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color w:val="auto"/>
          <w:sz w:val="32"/>
          <w:szCs w:val="32"/>
          <w:highlight w:val="none"/>
        </w:rPr>
      </w:pPr>
      <w:bookmarkStart w:id="0" w:name="_Hlk77003645"/>
      <w:r>
        <w:rPr>
          <w:color w:val="auto"/>
          <w:highlight w:val="none"/>
        </w:rPr>
        <w:drawing>
          <wp:anchor distT="0" distB="0" distL="114300" distR="114300" simplePos="0" relativeHeight="251659264" behindDoc="0" locked="0" layoutInCell="1" allowOverlap="1">
            <wp:simplePos x="0" y="0"/>
            <wp:positionH relativeFrom="column">
              <wp:posOffset>3781425</wp:posOffset>
            </wp:positionH>
            <wp:positionV relativeFrom="paragraph">
              <wp:posOffset>-5080</wp:posOffset>
            </wp:positionV>
            <wp:extent cx="1720215" cy="800100"/>
            <wp:effectExtent l="0" t="0" r="0" b="0"/>
            <wp:wrapNone/>
            <wp:docPr id="187" name="图片 3" descr="说明: 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3" descr="说明: G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720215" cy="800100"/>
                    </a:xfrm>
                    <a:prstGeom prst="rect">
                      <a:avLst/>
                    </a:prstGeom>
                    <a:noFill/>
                  </pic:spPr>
                </pic:pic>
              </a:graphicData>
            </a:graphic>
          </wp:anchor>
        </w:drawing>
      </w:r>
      <w:r>
        <w:rPr>
          <w:rFonts w:hint="eastAsia" w:eastAsia="黑体"/>
          <w:color w:val="auto"/>
          <w:sz w:val="32"/>
          <w:szCs w:val="32"/>
          <w:highlight w:val="none"/>
        </w:rPr>
        <w:t xml:space="preserve">  </w:t>
      </w:r>
      <w:r>
        <w:rPr>
          <w:rFonts w:eastAsia="黑体"/>
          <w:color w:val="auto"/>
          <w:sz w:val="32"/>
          <w:szCs w:val="32"/>
          <w:highlight w:val="none"/>
        </w:rPr>
        <w:t xml:space="preserve">      </w:t>
      </w:r>
    </w:p>
    <w:p>
      <w:pPr>
        <w:jc w:val="left"/>
        <w:rPr>
          <w:rFonts w:eastAsia="MS Gothic"/>
          <w:b/>
          <w:color w:val="auto"/>
          <w:sz w:val="84"/>
          <w:szCs w:val="84"/>
          <w:highlight w:val="none"/>
        </w:rPr>
      </w:pPr>
      <w:r>
        <w:rPr>
          <w:rFonts w:eastAsia="黑体"/>
          <w:color w:val="auto"/>
          <w:sz w:val="32"/>
          <w:szCs w:val="32"/>
          <w:highlight w:val="none"/>
        </w:rPr>
        <w:t xml:space="preserve">     </w:t>
      </w:r>
      <w:r>
        <w:rPr>
          <w:rFonts w:hint="eastAsia" w:eastAsia="黑体"/>
          <w:color w:val="auto"/>
          <w:sz w:val="32"/>
          <w:szCs w:val="32"/>
          <w:highlight w:val="none"/>
          <w:lang w:val="en-US" w:eastAsia="zh-CN"/>
        </w:rPr>
        <w:t xml:space="preserve">     </w:t>
      </w:r>
      <w:r>
        <w:rPr>
          <w:rFonts w:eastAsia="黑体"/>
          <w:color w:val="auto"/>
          <w:sz w:val="32"/>
          <w:szCs w:val="32"/>
          <w:highlight w:val="none"/>
        </w:rPr>
        <w:t xml:space="preserve">  </w:t>
      </w:r>
      <w:r>
        <w:rPr>
          <w:rFonts w:hint="eastAsia" w:eastAsia="黑体"/>
          <w:color w:val="auto"/>
          <w:spacing w:val="28"/>
          <w:sz w:val="44"/>
          <w:szCs w:val="44"/>
          <w:highlight w:val="none"/>
        </w:rPr>
        <w:t>广东省标准</w:t>
      </w:r>
      <w:r>
        <w:rPr>
          <w:rFonts w:eastAsia="黑体"/>
          <w:color w:val="auto"/>
          <w:sz w:val="32"/>
          <w:szCs w:val="32"/>
          <w:highlight w:val="none"/>
        </w:rPr>
        <w:t xml:space="preserve">            </w:t>
      </w:r>
    </w:p>
    <w:p>
      <w:pPr>
        <w:rPr>
          <w:color w:val="auto"/>
          <w:szCs w:val="20"/>
          <w:highlight w:val="none"/>
        </w:rPr>
      </w:pPr>
      <w:r>
        <w:rPr>
          <w:color w:val="auto"/>
          <w:highlight w:val="none"/>
        </w:rPr>
        <w:t xml:space="preserve">                              </w:t>
      </w:r>
      <w:bookmarkStart w:id="1" w:name="_Toc337542810"/>
      <w:r>
        <w:rPr>
          <w:color w:val="auto"/>
          <w:highlight w:val="none"/>
        </w:rPr>
        <w:t xml:space="preserve">                                                        </w:t>
      </w:r>
    </w:p>
    <w:p>
      <w:pPr>
        <w:spacing w:line="400" w:lineRule="exact"/>
        <w:jc w:val="right"/>
        <w:rPr>
          <w:rFonts w:hint="eastAsia" w:eastAsia="宋体"/>
          <w:color w:val="auto"/>
          <w:spacing w:val="17"/>
          <w:sz w:val="30"/>
          <w:szCs w:val="30"/>
          <w:highlight w:val="none"/>
          <w:lang w:eastAsia="zh-CN"/>
        </w:rPr>
      </w:pPr>
      <w:r>
        <w:rPr>
          <w:color w:val="auto"/>
          <w:highlight w:val="none"/>
        </w:rPr>
        <w:t xml:space="preserve">                                                       </w:t>
      </w:r>
      <w:r>
        <w:rPr>
          <w:color w:val="auto"/>
          <w:spacing w:val="23"/>
          <w:sz w:val="30"/>
          <w:szCs w:val="30"/>
          <w:highlight w:val="none"/>
        </w:rPr>
        <w:t>DBJ/T 15-XX-</w:t>
      </w:r>
      <w:bookmarkEnd w:id="1"/>
      <w:r>
        <w:rPr>
          <w:color w:val="auto"/>
          <w:sz w:val="30"/>
          <w:szCs w:val="30"/>
          <w:highlight w:val="none"/>
        </w:rPr>
        <w:t>202</w:t>
      </w:r>
      <w:r>
        <w:rPr>
          <w:rFonts w:hint="eastAsia"/>
          <w:color w:val="auto"/>
          <w:sz w:val="30"/>
          <w:szCs w:val="30"/>
          <w:highlight w:val="none"/>
          <w:lang w:val="en-US" w:eastAsia="zh-CN"/>
        </w:rPr>
        <w:t>2</w:t>
      </w:r>
    </w:p>
    <w:p>
      <w:pPr>
        <w:spacing w:line="400" w:lineRule="exact"/>
        <w:jc w:val="right"/>
        <w:rPr>
          <w:rFonts w:ascii="黑体" w:hAnsi="黑体" w:eastAsia="黑体"/>
          <w:color w:val="auto"/>
          <w:sz w:val="28"/>
          <w:szCs w:val="28"/>
          <w:highlight w:val="none"/>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26035</wp:posOffset>
                </wp:positionH>
                <wp:positionV relativeFrom="paragraph">
                  <wp:posOffset>359410</wp:posOffset>
                </wp:positionV>
                <wp:extent cx="5579745" cy="41910"/>
                <wp:effectExtent l="0" t="4445" r="1905" b="10795"/>
                <wp:wrapNone/>
                <wp:docPr id="77" name="Line 68"/>
                <wp:cNvGraphicFramePr/>
                <a:graphic xmlns:a="http://schemas.openxmlformats.org/drawingml/2006/main">
                  <a:graphicData uri="http://schemas.microsoft.com/office/word/2010/wordprocessingShape">
                    <wps:wsp>
                      <wps:cNvCnPr>
                        <a:cxnSpLocks noChangeShapeType="1"/>
                      </wps:cNvCnPr>
                      <wps:spPr bwMode="auto">
                        <a:xfrm flipV="1">
                          <a:off x="0" y="0"/>
                          <a:ext cx="5579745" cy="41910"/>
                        </a:xfrm>
                        <a:prstGeom prst="line">
                          <a:avLst/>
                        </a:prstGeom>
                        <a:noFill/>
                        <a:ln w="9525">
                          <a:solidFill>
                            <a:srgbClr val="000000"/>
                          </a:solidFill>
                          <a:round/>
                        </a:ln>
                      </wps:spPr>
                      <wps:bodyPr/>
                    </wps:wsp>
                  </a:graphicData>
                </a:graphic>
              </wp:anchor>
            </w:drawing>
          </mc:Choice>
          <mc:Fallback>
            <w:pict>
              <v:line id="Line 68" o:spid="_x0000_s1026" o:spt="20" style="position:absolute;left:0pt;flip:y;margin-left:2.05pt;margin-top:28.3pt;height:3.3pt;width:439.35pt;z-index:251660288;mso-width-relative:page;mso-height-relative:page;" filled="f" stroked="t" coordsize="21600,21600" o:gfxdata="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mmLdTWAAAABwEAAA8AAAAAAAAAAQAg&#10;AAAAIgAAAGRycy9kb3ducmV2LnhtbFBLAQIUABQAAAAIAIdO4kDJBQYv1wEAAK8DAAAOAAAAAAAA&#10;AAEAIAAAACUBAABkcnMvZTJvRG9jLnhtbFBLBQYAAAAABgAGAFkBAABuBQAAAAA=&#10;">
                <v:fill on="f" focussize="0,0"/>
                <v:stroke color="#000000" joinstyle="round"/>
                <v:imagedata o:title=""/>
                <o:lock v:ext="edit" aspectratio="f"/>
              </v:line>
            </w:pict>
          </mc:Fallback>
        </mc:AlternateContent>
      </w:r>
      <w:r>
        <w:rPr>
          <w:color w:val="auto"/>
          <w:sz w:val="28"/>
          <w:szCs w:val="28"/>
          <w:highlight w:val="none"/>
        </w:rPr>
        <w:t xml:space="preserve">                                        </w:t>
      </w:r>
      <w:r>
        <w:rPr>
          <w:rFonts w:ascii="黑体" w:hAnsi="黑体" w:eastAsia="黑体"/>
          <w:color w:val="auto"/>
          <w:sz w:val="28"/>
          <w:szCs w:val="28"/>
          <w:highlight w:val="none"/>
        </w:rPr>
        <w:t>备案号 J XXXXX-202</w:t>
      </w:r>
      <w:r>
        <w:rPr>
          <w:rFonts w:hint="eastAsia" w:ascii="黑体" w:hAnsi="黑体" w:eastAsia="黑体"/>
          <w:color w:val="auto"/>
          <w:sz w:val="28"/>
          <w:szCs w:val="28"/>
          <w:highlight w:val="none"/>
        </w:rPr>
        <w:t>2</w:t>
      </w:r>
    </w:p>
    <w:p>
      <w:pPr>
        <w:rPr>
          <w:rFonts w:ascii="宋体" w:hAnsi="宋体"/>
          <w:b/>
          <w:bCs/>
          <w:color w:val="auto"/>
          <w:sz w:val="48"/>
          <w:szCs w:val="48"/>
          <w:highlight w:val="none"/>
        </w:rPr>
      </w:pPr>
      <w:r>
        <w:rPr>
          <w:rFonts w:hint="eastAsia" w:ascii="宋体" w:hAnsi="宋体"/>
          <w:b/>
          <w:bCs/>
          <w:color w:val="auto"/>
          <w:sz w:val="48"/>
          <w:szCs w:val="48"/>
          <w:highlight w:val="none"/>
        </w:rPr>
        <w:t xml:space="preserve"> </w:t>
      </w:r>
    </w:p>
    <w:p>
      <w:pPr>
        <w:jc w:val="center"/>
        <w:rPr>
          <w:rFonts w:ascii="宋体" w:hAnsi="宋体"/>
          <w:b/>
          <w:bCs/>
          <w:color w:val="auto"/>
          <w:sz w:val="48"/>
          <w:szCs w:val="48"/>
          <w:highlight w:val="none"/>
        </w:rPr>
      </w:pPr>
      <w:r>
        <w:rPr>
          <w:rFonts w:hint="eastAsia" w:ascii="宋体" w:hAnsi="宋体"/>
          <w:b/>
          <w:bCs/>
          <w:color w:val="auto"/>
          <w:sz w:val="48"/>
          <w:szCs w:val="48"/>
          <w:highlight w:val="none"/>
        </w:rPr>
        <w:t xml:space="preserve"> </w:t>
      </w:r>
    </w:p>
    <w:p>
      <w:pPr>
        <w:spacing w:before="156" w:beforeLines="50" w:after="312" w:afterLines="100"/>
        <w:ind w:left="420" w:hanging="420"/>
        <w:jc w:val="center"/>
        <w:rPr>
          <w:rFonts w:ascii="宋体" w:hAnsi="宋体"/>
          <w:b/>
          <w:bCs/>
          <w:color w:val="auto"/>
          <w:sz w:val="48"/>
          <w:szCs w:val="48"/>
          <w:highlight w:val="none"/>
        </w:rPr>
      </w:pPr>
      <w:r>
        <w:rPr>
          <w:rFonts w:hint="eastAsia" w:ascii="宋体" w:hAnsi="宋体"/>
          <w:b/>
          <w:bCs/>
          <w:color w:val="auto"/>
          <w:sz w:val="48"/>
          <w:szCs w:val="48"/>
          <w:highlight w:val="none"/>
        </w:rPr>
        <w:t>市政工程勘察规范</w:t>
      </w:r>
    </w:p>
    <w:p>
      <w:pPr>
        <w:jc w:val="center"/>
        <w:rPr>
          <w:rFonts w:ascii="黑体" w:hAnsi="黑体" w:eastAsia="黑体"/>
          <w:color w:val="auto"/>
          <w:sz w:val="28"/>
          <w:szCs w:val="28"/>
          <w:highlight w:val="none"/>
        </w:rPr>
      </w:pPr>
      <w:r>
        <w:rPr>
          <w:rFonts w:hint="default" w:ascii="Times New Roman" w:hAnsi="Times New Roman" w:eastAsia="黑体" w:cs="Times New Roman"/>
          <w:color w:val="auto"/>
          <w:sz w:val="28"/>
          <w:szCs w:val="28"/>
          <w:highlight w:val="none"/>
        </w:rPr>
        <w:t>Code for geotechnical investigation of municipal</w:t>
      </w:r>
      <w:r>
        <w:rPr>
          <w:rFonts w:hint="eastAsia" w:ascii="Times New Roman" w:hAnsi="Times New Roman" w:eastAsia="黑体" w:cs="Times New Roman"/>
          <w:color w:val="auto"/>
          <w:sz w:val="28"/>
          <w:szCs w:val="28"/>
          <w:highlight w:val="none"/>
          <w:lang w:val="en-US" w:eastAsia="zh-CN"/>
        </w:rPr>
        <w:t xml:space="preserve"> </w:t>
      </w:r>
      <w:r>
        <w:rPr>
          <w:rFonts w:hint="default" w:ascii="Times New Roman" w:hAnsi="Times New Roman" w:eastAsia="黑体" w:cs="Times New Roman"/>
          <w:color w:val="auto"/>
          <w:sz w:val="28"/>
          <w:szCs w:val="28"/>
          <w:highlight w:val="none"/>
        </w:rPr>
        <w:t>engineering projects</w:t>
      </w:r>
    </w:p>
    <w:p>
      <w:pPr>
        <w:jc w:val="center"/>
        <w:rPr>
          <w:b/>
          <w:color w:val="auto"/>
          <w:sz w:val="24"/>
          <w:szCs w:val="24"/>
          <w:highlight w:val="none"/>
        </w:rPr>
      </w:pPr>
    </w:p>
    <w:p>
      <w:pPr>
        <w:jc w:val="center"/>
        <w:rPr>
          <w:b/>
          <w:color w:val="auto"/>
          <w:sz w:val="30"/>
          <w:szCs w:val="30"/>
          <w:highlight w:val="none"/>
        </w:rPr>
      </w:pPr>
      <w:r>
        <w:rPr>
          <w:rFonts w:hint="eastAsia"/>
          <w:b/>
          <w:bCs/>
          <w:color w:val="auto"/>
          <w:sz w:val="30"/>
          <w:szCs w:val="30"/>
          <w:highlight w:val="none"/>
        </w:rPr>
        <w:t xml:space="preserve"> (征求意见稿)</w:t>
      </w:r>
      <w:r>
        <w:rPr>
          <w:b/>
          <w:color w:val="auto"/>
          <w:sz w:val="30"/>
          <w:szCs w:val="30"/>
          <w:highlight w:val="none"/>
        </w:rPr>
        <w:t xml:space="preserve"> </w:t>
      </w:r>
    </w:p>
    <w:p>
      <w:pPr>
        <w:jc w:val="center"/>
        <w:rPr>
          <w:b/>
          <w:color w:val="auto"/>
          <w:sz w:val="30"/>
          <w:szCs w:val="30"/>
          <w:highlight w:val="none"/>
        </w:rPr>
      </w:pPr>
    </w:p>
    <w:p>
      <w:pPr>
        <w:jc w:val="center"/>
        <w:rPr>
          <w:b/>
          <w:color w:val="auto"/>
          <w:sz w:val="30"/>
          <w:szCs w:val="30"/>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ind w:firstLine="210" w:firstLineChars="100"/>
        <w:jc w:val="left"/>
        <w:rPr>
          <w:rFonts w:hint="default" w:ascii="Times New Roman" w:hAnsi="Times New Roman" w:eastAsia="黑体" w:cs="Times New Roman"/>
          <w:color w:val="auto"/>
          <w:sz w:val="28"/>
          <w:szCs w:val="28"/>
          <w:highlight w:val="none"/>
        </w:rPr>
      </w:pPr>
      <w:r>
        <w:rPr>
          <w:rFonts w:hint="default" w:ascii="Times New Roman" w:hAnsi="Times New Roman" w:cs="Times New Roman"/>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377825</wp:posOffset>
                </wp:positionV>
                <wp:extent cx="5579745" cy="26670"/>
                <wp:effectExtent l="0" t="4445" r="1905" b="6985"/>
                <wp:wrapNone/>
                <wp:docPr id="76" name="Line 69"/>
                <wp:cNvGraphicFramePr/>
                <a:graphic xmlns:a="http://schemas.openxmlformats.org/drawingml/2006/main">
                  <a:graphicData uri="http://schemas.microsoft.com/office/word/2010/wordprocessingShape">
                    <wps:wsp>
                      <wps:cNvCnPr>
                        <a:cxnSpLocks noChangeShapeType="1"/>
                      </wps:cNvCnPr>
                      <wps:spPr bwMode="auto">
                        <a:xfrm>
                          <a:off x="0" y="0"/>
                          <a:ext cx="5579745" cy="26670"/>
                        </a:xfrm>
                        <a:prstGeom prst="line">
                          <a:avLst/>
                        </a:prstGeom>
                        <a:noFill/>
                        <a:ln w="9525">
                          <a:solidFill>
                            <a:srgbClr val="000000"/>
                          </a:solidFill>
                          <a:round/>
                        </a:ln>
                      </wps:spPr>
                      <wps:bodyPr/>
                    </wps:wsp>
                  </a:graphicData>
                </a:graphic>
              </wp:anchor>
            </w:drawing>
          </mc:Choice>
          <mc:Fallback>
            <w:pict>
              <v:line id="Line 69" o:spid="_x0000_s1026" o:spt="20" style="position:absolute;left:0pt;margin-left:0pt;margin-top:29.75pt;height:2.1pt;width:439.35pt;z-index:251661312;mso-width-relative:page;mso-height-relative:page;" filled="f" stroked="t" coordsize="21600,21600" o:gfxdata="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5qrQ/WAAAABgEAAA8AAAAAAAAAAQAgAAAAIgAA&#10;AGRycy9kb3ducmV2LnhtbFBLAQIUABQAAAAIAIdO4kCF/Ier0QEAAKUDAAAOAAAAAAAAAAEAIAAA&#10;ACUBAABkcnMvZTJvRG9jLnhtbFBLBQYAAAAABgAGAFkBAABoBQAAAAA=&#10;">
                <v:fill on="f" focussize="0,0"/>
                <v:stroke color="#000000" joinstyle="round"/>
                <v:imagedata o:title=""/>
                <o:lock v:ext="edit" aspectratio="f"/>
              </v:line>
            </w:pict>
          </mc:Fallback>
        </mc:AlternateContent>
      </w:r>
      <w:r>
        <w:rPr>
          <w:rFonts w:hint="default" w:ascii="Times New Roman" w:hAnsi="Times New Roman" w:eastAsia="黑体" w:cs="Times New Roman"/>
          <w:color w:val="auto"/>
          <w:sz w:val="28"/>
          <w:szCs w:val="28"/>
          <w:highlight w:val="none"/>
        </w:rPr>
        <w:t>202</w:t>
      </w:r>
      <w:r>
        <w:rPr>
          <w:rFonts w:hint="default" w:ascii="Times New Roman" w:hAnsi="Times New Roman" w:eastAsia="黑体" w:cs="Times New Roman"/>
          <w:color w:val="auto"/>
          <w:sz w:val="28"/>
          <w:szCs w:val="28"/>
          <w:highlight w:val="none"/>
          <w:lang w:val="en-US" w:eastAsia="zh-CN"/>
        </w:rPr>
        <w:t>2</w:t>
      </w:r>
      <w:r>
        <w:rPr>
          <w:rFonts w:hint="default" w:ascii="Times New Roman" w:hAnsi="Times New Roman" w:eastAsia="黑体" w:cs="Times New Roman"/>
          <w:color w:val="auto"/>
          <w:sz w:val="28"/>
          <w:szCs w:val="28"/>
          <w:highlight w:val="none"/>
        </w:rPr>
        <w:t xml:space="preserve">-XX-XX  发布     </w:t>
      </w:r>
      <w:r>
        <w:rPr>
          <w:rFonts w:hint="default" w:ascii="Times New Roman" w:hAnsi="Times New Roman" w:eastAsia="黑体" w:cs="Times New Roman"/>
          <w:color w:val="auto"/>
          <w:sz w:val="28"/>
          <w:szCs w:val="28"/>
          <w:highlight w:val="none"/>
          <w:lang w:val="en-US" w:eastAsia="zh-CN"/>
        </w:rPr>
        <w:t xml:space="preserve">    </w:t>
      </w:r>
      <w:r>
        <w:rPr>
          <w:rFonts w:hint="eastAsia" w:ascii="Times New Roman" w:hAnsi="Times New Roman" w:eastAsia="黑体" w:cs="Times New Roman"/>
          <w:color w:val="auto"/>
          <w:sz w:val="28"/>
          <w:szCs w:val="28"/>
          <w:highlight w:val="none"/>
          <w:lang w:val="en-US" w:eastAsia="zh-CN"/>
        </w:rPr>
        <w:t xml:space="preserve">     </w:t>
      </w:r>
      <w:r>
        <w:rPr>
          <w:rFonts w:hint="default" w:ascii="Times New Roman" w:hAnsi="Times New Roman" w:eastAsia="黑体" w:cs="Times New Roman"/>
          <w:color w:val="auto"/>
          <w:sz w:val="28"/>
          <w:szCs w:val="28"/>
          <w:highlight w:val="none"/>
          <w:lang w:val="en-US" w:eastAsia="zh-CN"/>
        </w:rPr>
        <w:t xml:space="preserve">       </w:t>
      </w:r>
      <w:r>
        <w:rPr>
          <w:rFonts w:hint="default" w:ascii="Times New Roman" w:hAnsi="Times New Roman" w:eastAsia="黑体" w:cs="Times New Roman"/>
          <w:color w:val="auto"/>
          <w:sz w:val="28"/>
          <w:szCs w:val="28"/>
          <w:highlight w:val="none"/>
        </w:rPr>
        <w:t xml:space="preserve">     2022-XX-XX  实施</w:t>
      </w:r>
    </w:p>
    <w:p>
      <w:pPr>
        <w:jc w:val="center"/>
        <w:rPr>
          <w:color w:val="auto"/>
          <w:szCs w:val="20"/>
          <w:highlight w:val="none"/>
        </w:rPr>
      </w:pPr>
      <w:r>
        <w:rPr>
          <w:rFonts w:hint="eastAsia" w:eastAsia="黑体"/>
          <w:color w:val="auto"/>
          <w:sz w:val="32"/>
          <w:szCs w:val="32"/>
          <w:highlight w:val="none"/>
        </w:rPr>
        <w:t>广东省住房和城乡建设厅</w:t>
      </w:r>
      <w:r>
        <w:rPr>
          <w:rFonts w:hint="eastAsia" w:eastAsia="黑体"/>
          <w:color w:val="auto"/>
          <w:sz w:val="32"/>
          <w:szCs w:val="32"/>
          <w:highlight w:val="none"/>
          <w:lang w:val="en-US" w:eastAsia="zh-CN"/>
        </w:rPr>
        <w:t xml:space="preserve">  </w:t>
      </w:r>
      <w:r>
        <w:rPr>
          <w:rFonts w:hint="eastAsia" w:eastAsia="黑体"/>
          <w:color w:val="auto"/>
          <w:spacing w:val="20"/>
          <w:sz w:val="32"/>
          <w:szCs w:val="32"/>
          <w:highlight w:val="none"/>
        </w:rPr>
        <w:t>发布</w:t>
      </w:r>
    </w:p>
    <w:p>
      <w:pPr>
        <w:keepNext w:val="0"/>
        <w:keepLines w:val="0"/>
        <w:pageBreakBefore w:val="0"/>
        <w:widowControl w:val="0"/>
        <w:kinsoku/>
        <w:wordWrap/>
        <w:overflowPunct/>
        <w:topLinePunct w:val="0"/>
        <w:autoSpaceDE/>
        <w:autoSpaceDN/>
        <w:bidi w:val="0"/>
        <w:adjustRightInd/>
        <w:snapToGrid/>
        <w:spacing w:line="700" w:lineRule="exact"/>
        <w:ind w:firstLine="5928" w:firstLineChars="1976"/>
        <w:jc w:val="center"/>
        <w:textAlignment w:val="auto"/>
        <w:rPr>
          <w:rFonts w:hint="eastAsia"/>
          <w:color w:val="auto"/>
          <w:sz w:val="30"/>
          <w:szCs w:val="30"/>
          <w:highlight w:val="none"/>
          <w:bdr w:val="single" w:color="auto" w:sz="4" w:space="0"/>
        </w:rPr>
      </w:pPr>
    </w:p>
    <w:p>
      <w:pPr>
        <w:keepNext w:val="0"/>
        <w:keepLines w:val="0"/>
        <w:pageBreakBefore w:val="0"/>
        <w:widowControl w:val="0"/>
        <w:kinsoku/>
        <w:wordWrap/>
        <w:overflowPunct/>
        <w:topLinePunct w:val="0"/>
        <w:autoSpaceDE/>
        <w:autoSpaceDN/>
        <w:bidi w:val="0"/>
        <w:adjustRightInd/>
        <w:snapToGrid/>
        <w:spacing w:line="700" w:lineRule="exact"/>
        <w:ind w:firstLine="5928" w:firstLineChars="1976"/>
        <w:jc w:val="center"/>
        <w:textAlignment w:val="auto"/>
        <w:rPr>
          <w:rFonts w:hint="eastAsia"/>
          <w:color w:val="auto"/>
          <w:sz w:val="30"/>
          <w:szCs w:val="30"/>
          <w:highlight w:val="none"/>
          <w:bdr w:val="single" w:color="auto" w:sz="4" w:space="0"/>
        </w:rPr>
        <w:sectPr>
          <w:footerReference r:id="rId3" w:type="default"/>
          <w:footerReference r:id="rId4" w:type="even"/>
          <w:pgSz w:w="11906" w:h="16838"/>
          <w:pgMar w:top="1440" w:right="1587" w:bottom="1440" w:left="1588"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kern w:val="2"/>
          <w:sz w:val="40"/>
          <w:szCs w:val="40"/>
          <w:lang w:val="en-US" w:eastAsia="zh-CN" w:bidi="ar"/>
        </w:rPr>
      </w:pP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黑体"/>
          <w:b/>
          <w:bCs/>
          <w:kern w:val="2"/>
          <w:sz w:val="40"/>
          <w:szCs w:val="40"/>
        </w:rPr>
      </w:pPr>
      <w:r>
        <w:rPr>
          <w:rFonts w:hint="eastAsia" w:ascii="宋体" w:hAnsi="宋体" w:eastAsia="宋体" w:cs="宋体"/>
          <w:b/>
          <w:bCs/>
          <w:kern w:val="2"/>
          <w:sz w:val="40"/>
          <w:szCs w:val="40"/>
          <w:lang w:val="en-US" w:eastAsia="zh-CN" w:bidi="ar"/>
        </w:rPr>
        <w:t>广东省住房和城乡建设厅关于发布广东省标准《市政工程勘察规范》的公告</w:t>
      </w: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8"/>
          <w:szCs w:val="28"/>
          <w:lang w:val="en-US" w:eastAsia="zh-CN" w:bidi="ar"/>
        </w:rPr>
      </w:pP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8"/>
          <w:szCs w:val="28"/>
        </w:rPr>
      </w:pPr>
      <w:r>
        <w:rPr>
          <w:rFonts w:hint="eastAsia" w:ascii="宋体" w:hAnsi="宋体" w:eastAsia="宋体" w:cs="宋体"/>
          <w:kern w:val="2"/>
          <w:sz w:val="28"/>
          <w:szCs w:val="28"/>
          <w:lang w:val="en-US" w:eastAsia="zh-CN" w:bidi="ar"/>
        </w:rPr>
        <w:t>粤建公告〔</w:t>
      </w:r>
      <w:r>
        <w:rPr>
          <w:rFonts w:hint="default" w:ascii="Times New Roman" w:hAnsi="Times New Roman" w:eastAsia="宋体" w:cs="Times New Roman"/>
          <w:kern w:val="2"/>
          <w:sz w:val="28"/>
          <w:szCs w:val="28"/>
          <w:lang w:val="en-US" w:eastAsia="zh-CN" w:bidi="ar"/>
        </w:rPr>
        <w:t>202X</w:t>
      </w:r>
      <w:r>
        <w:rPr>
          <w:rFonts w:hint="eastAsia" w:ascii="宋体" w:hAnsi="宋体" w:eastAsia="宋体" w:cs="宋体"/>
          <w:kern w:val="2"/>
          <w:sz w:val="28"/>
          <w:szCs w:val="28"/>
          <w:lang w:val="en-US" w:eastAsia="zh-CN" w:bidi="ar"/>
        </w:rPr>
        <w:t>〕</w:t>
      </w:r>
      <w:r>
        <w:rPr>
          <w:rFonts w:hint="eastAsia" w:ascii="Times New Roman" w:hAnsi="Times New Roman" w:eastAsia="宋体" w:cs="Times New Roman"/>
          <w:kern w:val="2"/>
          <w:sz w:val="28"/>
          <w:szCs w:val="28"/>
          <w:lang w:val="en-US" w:eastAsia="zh-CN" w:bidi="ar"/>
        </w:rPr>
        <w:t xml:space="preserve">   </w:t>
      </w:r>
      <w:r>
        <w:rPr>
          <w:rFonts w:hint="eastAsia" w:ascii="宋体" w:hAnsi="宋体" w:eastAsia="宋体" w:cs="宋体"/>
          <w:kern w:val="2"/>
          <w:sz w:val="28"/>
          <w:szCs w:val="28"/>
          <w:lang w:val="en-US" w:eastAsia="zh-CN" w:bidi="ar"/>
        </w:rPr>
        <w:t>号</w:t>
      </w: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kern w:val="2"/>
          <w:sz w:val="28"/>
          <w:szCs w:val="28"/>
        </w:rPr>
      </w:pPr>
      <w:r>
        <w:rPr>
          <w:rFonts w:hint="eastAsia" w:ascii="宋体" w:hAnsi="宋体" w:eastAsia="宋体" w:cs="宋体"/>
          <w:kern w:val="2"/>
          <w:sz w:val="28"/>
          <w:szCs w:val="28"/>
          <w:lang w:val="en-US" w:eastAsia="zh-CN" w:bidi="ar"/>
        </w:rPr>
        <w:t>经组织专家委员会审查，现批准《市政工程勘察规范》为广东省地方标准，编号为</w:t>
      </w:r>
      <w:r>
        <w:rPr>
          <w:rFonts w:hint="default" w:ascii="Times New Roman" w:hAnsi="Times New Roman" w:eastAsia="宋体" w:cs="Times New Roman"/>
          <w:kern w:val="2"/>
          <w:sz w:val="28"/>
          <w:szCs w:val="28"/>
          <w:lang w:val="en-US" w:eastAsia="zh-CN" w:bidi="ar"/>
        </w:rPr>
        <w:t>DBJ/T 15-XXX-202X</w:t>
      </w:r>
      <w:r>
        <w:rPr>
          <w:rFonts w:hint="eastAsia" w:ascii="宋体" w:hAnsi="宋体" w:eastAsia="宋体" w:cs="宋体"/>
          <w:kern w:val="2"/>
          <w:sz w:val="28"/>
          <w:szCs w:val="28"/>
          <w:lang w:val="en-US" w:eastAsia="zh-CN" w:bidi="ar"/>
        </w:rPr>
        <w:t>。本标准自</w:t>
      </w:r>
      <w:r>
        <w:rPr>
          <w:rFonts w:hint="default" w:ascii="Times New Roman" w:hAnsi="Times New Roman" w:eastAsia="宋体" w:cs="Times New Roman"/>
          <w:kern w:val="2"/>
          <w:sz w:val="28"/>
          <w:szCs w:val="28"/>
          <w:lang w:val="en-US" w:eastAsia="zh-CN" w:bidi="ar"/>
        </w:rPr>
        <w:t>202X</w:t>
      </w:r>
      <w:r>
        <w:rPr>
          <w:rFonts w:hint="eastAsia" w:ascii="宋体" w:hAnsi="宋体" w:eastAsia="宋体" w:cs="宋体"/>
          <w:kern w:val="2"/>
          <w:sz w:val="28"/>
          <w:szCs w:val="28"/>
          <w:lang w:val="en-US" w:eastAsia="zh-CN" w:bidi="ar"/>
        </w:rPr>
        <w:t xml:space="preserve">年  月 </w:t>
      </w:r>
      <w:r>
        <w:rPr>
          <w:rFonts w:hint="default" w:ascii="Times New Roman" w:hAnsi="Times New Roman" w:eastAsia="宋体" w:cs="Times New Roman"/>
          <w:kern w:val="2"/>
          <w:sz w:val="28"/>
          <w:szCs w:val="28"/>
          <w:lang w:val="en-US" w:eastAsia="zh-CN" w:bidi="ar"/>
        </w:rPr>
        <w:t xml:space="preserve"> </w:t>
      </w:r>
      <w:r>
        <w:rPr>
          <w:rFonts w:hint="eastAsia" w:ascii="宋体" w:hAnsi="宋体" w:eastAsia="宋体" w:cs="宋体"/>
          <w:kern w:val="2"/>
          <w:sz w:val="28"/>
          <w:szCs w:val="28"/>
          <w:lang w:val="en-US" w:eastAsia="zh-CN" w:bidi="ar"/>
        </w:rPr>
        <w:t>日起实施。</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kern w:val="2"/>
          <w:sz w:val="28"/>
          <w:szCs w:val="28"/>
        </w:rPr>
      </w:pPr>
      <w:r>
        <w:rPr>
          <w:rFonts w:hint="eastAsia" w:ascii="宋体" w:hAnsi="宋体" w:eastAsia="宋体" w:cs="宋体"/>
          <w:kern w:val="2"/>
          <w:sz w:val="28"/>
          <w:szCs w:val="28"/>
          <w:lang w:val="en-US" w:eastAsia="zh-CN" w:bidi="ar"/>
        </w:rPr>
        <w:t>本标准由广东省住房和城乡建设厅负责管理，由主编单位负责具体技术内容的解释，并在广东省住房和城乡建设厅门户网站（</w:t>
      </w:r>
      <w:r>
        <w:rPr>
          <w:rFonts w:hint="default" w:ascii="Times New Roman" w:hAnsi="Times New Roman" w:eastAsia="宋体" w:cs="Times New Roman"/>
          <w:kern w:val="2"/>
          <w:sz w:val="28"/>
          <w:szCs w:val="28"/>
          <w:lang w:val="en-US" w:eastAsia="zh-CN" w:bidi="ar"/>
        </w:rPr>
        <w:t>http://zfcxjst.gd.gov.cn</w:t>
      </w:r>
      <w:r>
        <w:rPr>
          <w:rFonts w:hint="eastAsia" w:ascii="宋体" w:hAnsi="宋体" w:eastAsia="宋体" w:cs="宋体"/>
          <w:kern w:val="2"/>
          <w:sz w:val="28"/>
          <w:szCs w:val="28"/>
          <w:lang w:val="en-US" w:eastAsia="zh-CN" w:bidi="ar"/>
        </w:rPr>
        <w:t>）公开。</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kern w:val="2"/>
          <w:sz w:val="28"/>
          <w:szCs w:val="28"/>
        </w:rPr>
      </w:pPr>
      <w:r>
        <w:rPr>
          <w:rFonts w:hint="default" w:ascii="Times New Roman" w:hAnsi="Times New Roman" w:eastAsia="宋体" w:cs="Times New Roman"/>
          <w:kern w:val="2"/>
          <w:sz w:val="28"/>
          <w:szCs w:val="28"/>
          <w:lang w:val="en-US" w:eastAsia="zh-CN" w:bidi="ar"/>
        </w:rPr>
        <w:t xml:space="preserve"> </w:t>
      </w:r>
    </w:p>
    <w:p>
      <w:pPr>
        <w:keepNext w:val="0"/>
        <w:keepLines w:val="0"/>
        <w:widowControl w:val="0"/>
        <w:suppressLineNumbers w:val="0"/>
        <w:spacing w:before="0" w:beforeAutospacing="0" w:after="0" w:afterAutospacing="0" w:line="360" w:lineRule="auto"/>
        <w:ind w:left="0" w:right="0" w:firstLine="560" w:firstLineChars="200"/>
        <w:jc w:val="right"/>
        <w:rPr>
          <w:rFonts w:hint="default" w:ascii="Times New Roman" w:hAnsi="Times New Roman" w:eastAsia="宋体" w:cs="Times New Roman"/>
          <w:kern w:val="2"/>
          <w:sz w:val="28"/>
          <w:szCs w:val="28"/>
        </w:rPr>
      </w:pPr>
      <w:r>
        <w:rPr>
          <w:rFonts w:hint="eastAsia" w:ascii="Times New Roman" w:hAnsi="Times New Roman" w:eastAsia="宋体" w:cs="Times New Roman"/>
          <w:kern w:val="2"/>
          <w:sz w:val="28"/>
          <w:szCs w:val="28"/>
          <w:lang w:val="en-US" w:eastAsia="zh-CN" w:bidi="ar"/>
        </w:rPr>
        <w:t xml:space="preserve">                                 </w:t>
      </w:r>
      <w:r>
        <w:rPr>
          <w:rFonts w:hint="eastAsia" w:ascii="宋体" w:hAnsi="宋体" w:eastAsia="宋体" w:cs="宋体"/>
          <w:kern w:val="2"/>
          <w:sz w:val="28"/>
          <w:szCs w:val="28"/>
          <w:lang w:val="en-US" w:eastAsia="zh-CN" w:bidi="ar"/>
        </w:rPr>
        <w:t>广东省住房和城乡建设厅</w:t>
      </w:r>
    </w:p>
    <w:p>
      <w:pPr>
        <w:keepNext w:val="0"/>
        <w:keepLines w:val="0"/>
        <w:widowControl w:val="0"/>
        <w:suppressLineNumbers w:val="0"/>
        <w:spacing w:before="0" w:beforeAutospacing="0" w:after="0" w:afterAutospacing="0" w:line="360" w:lineRule="auto"/>
        <w:ind w:left="0" w:right="0" w:firstLine="560" w:firstLineChars="200"/>
        <w:jc w:val="right"/>
        <w:rPr>
          <w:rFonts w:hint="default" w:ascii="Times New Roman" w:hAnsi="Times New Roman" w:eastAsia="宋体" w:cs="Times New Roman"/>
          <w:kern w:val="2"/>
          <w:sz w:val="28"/>
          <w:szCs w:val="28"/>
        </w:rPr>
      </w:pPr>
      <w:r>
        <w:rPr>
          <w:rFonts w:hint="eastAsia" w:ascii="Times New Roman" w:hAnsi="Times New Roman" w:eastAsia="宋体" w:cs="Times New Roman"/>
          <w:kern w:val="2"/>
          <w:sz w:val="28"/>
          <w:szCs w:val="28"/>
          <w:lang w:val="en-US" w:eastAsia="zh-CN" w:bidi="ar"/>
        </w:rPr>
        <w:t xml:space="preserve">                                           </w:t>
      </w:r>
      <w:r>
        <w:rPr>
          <w:rFonts w:hint="eastAsia" w:ascii="宋体" w:hAnsi="宋体" w:eastAsia="宋体" w:cs="宋体"/>
          <w:kern w:val="2"/>
          <w:sz w:val="28"/>
          <w:szCs w:val="28"/>
          <w:lang w:val="en-US" w:eastAsia="zh-CN" w:bidi="ar"/>
        </w:rPr>
        <w:t>年</w:t>
      </w:r>
      <w:r>
        <w:rPr>
          <w:rFonts w:hint="eastAsia" w:ascii="Times New Roman" w:hAnsi="Times New Roman" w:eastAsia="宋体" w:cs="Times New Roman"/>
          <w:kern w:val="2"/>
          <w:sz w:val="28"/>
          <w:szCs w:val="28"/>
          <w:lang w:val="en-US" w:eastAsia="zh-CN" w:bidi="ar"/>
        </w:rPr>
        <w:t xml:space="preserve">   </w:t>
      </w:r>
      <w:r>
        <w:rPr>
          <w:rFonts w:hint="eastAsia" w:ascii="宋体" w:hAnsi="宋体" w:eastAsia="宋体" w:cs="宋体"/>
          <w:kern w:val="2"/>
          <w:sz w:val="28"/>
          <w:szCs w:val="28"/>
          <w:lang w:val="en-US" w:eastAsia="zh-CN" w:bidi="ar"/>
        </w:rPr>
        <w:t>月</w:t>
      </w:r>
      <w:r>
        <w:rPr>
          <w:rFonts w:hint="eastAsia" w:ascii="Times New Roman" w:hAnsi="Times New Roman" w:eastAsia="宋体" w:cs="Times New Roman"/>
          <w:kern w:val="2"/>
          <w:sz w:val="28"/>
          <w:szCs w:val="28"/>
          <w:lang w:val="en-US" w:eastAsia="zh-CN" w:bidi="ar"/>
        </w:rPr>
        <w:t xml:space="preserve">   </w:t>
      </w:r>
      <w:r>
        <w:rPr>
          <w:rFonts w:hint="eastAsia" w:ascii="宋体" w:hAnsi="宋体" w:eastAsia="宋体" w:cs="宋体"/>
          <w:kern w:val="2"/>
          <w:sz w:val="28"/>
          <w:szCs w:val="28"/>
          <w:lang w:val="en-US" w:eastAsia="zh-CN" w:bidi="ar"/>
        </w:rPr>
        <w:t>日</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left"/>
        <w:textAlignment w:val="auto"/>
        <w:rPr>
          <w:b/>
          <w:color w:val="auto"/>
          <w:sz w:val="32"/>
          <w:highlight w:val="none"/>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left"/>
        <w:textAlignment w:val="auto"/>
        <w:rPr>
          <w:b/>
          <w:color w:val="auto"/>
          <w:sz w:val="32"/>
          <w:highlight w:val="none"/>
        </w:rPr>
        <w:sectPr>
          <w:footerReference r:id="rId5" w:type="default"/>
          <w:footerReference r:id="rId6" w:type="even"/>
          <w:pgSz w:w="11906" w:h="16838"/>
          <w:pgMar w:top="1440" w:right="1587" w:bottom="1440" w:left="1588"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b/>
          <w:color w:val="auto"/>
          <w:sz w:val="32"/>
          <w:szCs w:val="32"/>
          <w:highlight w:val="none"/>
        </w:rPr>
      </w:pPr>
      <w:r>
        <w:rPr>
          <w:rFonts w:hint="eastAsia"/>
          <w:b/>
          <w:color w:val="auto"/>
          <w:sz w:val="32"/>
          <w:szCs w:val="32"/>
          <w:highlight w:val="none"/>
        </w:rPr>
        <w:t>前   言</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highlight w:val="none"/>
        </w:rPr>
      </w:pPr>
      <w:r>
        <w:rPr>
          <w:rFonts w:hint="eastAsia" w:ascii="宋体" w:hAnsi="宋体"/>
          <w:color w:val="auto"/>
          <w:sz w:val="24"/>
          <w:highlight w:val="none"/>
        </w:rPr>
        <w:t>根据</w:t>
      </w:r>
      <w:r>
        <w:rPr>
          <w:rFonts w:hint="eastAsia" w:ascii="宋体" w:hAnsi="宋体"/>
          <w:color w:val="auto"/>
          <w:sz w:val="24"/>
          <w:highlight w:val="none"/>
          <w:lang w:eastAsia="zh-CN"/>
        </w:rPr>
        <w:t>《</w:t>
      </w:r>
      <w:r>
        <w:rPr>
          <w:rFonts w:hint="eastAsia" w:ascii="宋体" w:hAnsi="宋体"/>
          <w:color w:val="auto"/>
          <w:sz w:val="24"/>
          <w:highlight w:val="none"/>
        </w:rPr>
        <w:t>广东省住房和城乡建设厅关于</w:t>
      </w:r>
      <w:r>
        <w:rPr>
          <w:rFonts w:hint="eastAsia" w:ascii="宋体" w:hAnsi="宋体"/>
          <w:color w:val="auto"/>
          <w:sz w:val="24"/>
          <w:highlight w:val="none"/>
          <w:lang w:val="en-US" w:eastAsia="zh-CN"/>
        </w:rPr>
        <w:t>&lt;</w:t>
      </w:r>
      <w:r>
        <w:rPr>
          <w:rFonts w:hint="eastAsia" w:ascii="宋体" w:hAnsi="宋体"/>
          <w:color w:val="auto"/>
          <w:sz w:val="24"/>
          <w:highlight w:val="none"/>
        </w:rPr>
        <w:t>2020年广东省工程建设标准制订和修订计划</w:t>
      </w:r>
      <w:r>
        <w:rPr>
          <w:rFonts w:hint="eastAsia" w:ascii="宋体" w:hAnsi="宋体"/>
          <w:color w:val="auto"/>
          <w:sz w:val="24"/>
          <w:highlight w:val="none"/>
          <w:lang w:val="en-US" w:eastAsia="zh-CN"/>
        </w:rPr>
        <w:t>&gt;</w:t>
      </w:r>
      <w:r>
        <w:rPr>
          <w:rFonts w:hint="eastAsia" w:ascii="宋体" w:hAnsi="宋体"/>
          <w:color w:val="auto"/>
          <w:sz w:val="24"/>
          <w:highlight w:val="none"/>
        </w:rPr>
        <w:t>的通知</w:t>
      </w:r>
      <w:r>
        <w:rPr>
          <w:rFonts w:hint="eastAsia" w:ascii="宋体" w:hAnsi="宋体"/>
          <w:color w:val="auto"/>
          <w:sz w:val="24"/>
          <w:highlight w:val="none"/>
          <w:lang w:eastAsia="zh-CN"/>
        </w:rPr>
        <w:t>》</w:t>
      </w:r>
      <w:r>
        <w:rPr>
          <w:rFonts w:hint="eastAsia" w:ascii="宋体" w:hAnsi="宋体"/>
          <w:color w:val="auto"/>
          <w:sz w:val="24"/>
          <w:highlight w:val="none"/>
        </w:rPr>
        <w:t>（粤建科函</w:t>
      </w:r>
      <w:r>
        <w:rPr>
          <w:rFonts w:hint="eastAsia" w:ascii="宋体" w:hAnsi="宋体"/>
          <w:color w:val="auto"/>
          <w:sz w:val="24"/>
          <w:highlight w:val="none"/>
          <w:lang w:eastAsia="zh-CN"/>
        </w:rPr>
        <w:t>〔</w:t>
      </w:r>
      <w:r>
        <w:rPr>
          <w:rFonts w:ascii="宋体" w:hAnsi="宋体"/>
          <w:color w:val="auto"/>
          <w:sz w:val="24"/>
          <w:highlight w:val="none"/>
        </w:rPr>
        <w:t>20</w:t>
      </w:r>
      <w:r>
        <w:rPr>
          <w:rFonts w:hint="eastAsia" w:ascii="宋体" w:hAnsi="宋体"/>
          <w:color w:val="auto"/>
          <w:sz w:val="24"/>
          <w:highlight w:val="none"/>
        </w:rPr>
        <w:t>20</w:t>
      </w:r>
      <w:r>
        <w:rPr>
          <w:rFonts w:hint="eastAsia" w:ascii="宋体" w:hAnsi="宋体"/>
          <w:color w:val="auto"/>
          <w:sz w:val="24"/>
          <w:highlight w:val="none"/>
          <w:lang w:eastAsia="zh-CN"/>
        </w:rPr>
        <w:t>〕</w:t>
      </w:r>
      <w:r>
        <w:rPr>
          <w:rFonts w:ascii="宋体" w:hAnsi="宋体"/>
          <w:color w:val="auto"/>
          <w:sz w:val="24"/>
          <w:highlight w:val="none"/>
        </w:rPr>
        <w:t>2367</w:t>
      </w:r>
      <w:r>
        <w:rPr>
          <w:rFonts w:hint="eastAsia" w:ascii="宋体" w:hAnsi="宋体"/>
          <w:color w:val="auto"/>
          <w:sz w:val="24"/>
          <w:highlight w:val="none"/>
        </w:rPr>
        <w:t>号）的要求，规范编制组经广泛调查研究，认真总结实践经验和科研成果，参考有关国家标准和地方标准，并在广泛征求意见基础上，</w:t>
      </w:r>
      <w:r>
        <w:rPr>
          <w:rFonts w:hint="eastAsia" w:ascii="宋体" w:hAnsi="宋体"/>
          <w:color w:val="auto"/>
          <w:sz w:val="24"/>
          <w:highlight w:val="none"/>
          <w:lang w:val="en-US" w:eastAsia="zh-CN"/>
        </w:rPr>
        <w:t>制定本规范</w:t>
      </w:r>
      <w:r>
        <w:rPr>
          <w:rFonts w:hint="eastAsia" w:ascii="宋体" w:hAnsi="宋体"/>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olor w:val="auto"/>
          <w:sz w:val="24"/>
          <w:highlight w:val="none"/>
          <w:lang w:val="en-US" w:eastAsia="zh-CN"/>
        </w:rPr>
      </w:pPr>
      <w:r>
        <w:rPr>
          <w:rFonts w:hint="eastAsia" w:ascii="宋体" w:hAnsi="宋体"/>
          <w:color w:val="auto"/>
          <w:sz w:val="24"/>
          <w:highlight w:val="none"/>
          <w:lang w:val="en-US" w:eastAsia="zh-CN"/>
        </w:rPr>
        <w:t>本规范不涉及专利。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 w:val="24"/>
          <w:highlight w:val="none"/>
        </w:rPr>
      </w:pPr>
      <w:r>
        <w:rPr>
          <w:rFonts w:hint="eastAsia" w:ascii="宋体" w:hAnsi="宋体"/>
          <w:color w:val="auto"/>
          <w:sz w:val="24"/>
          <w:highlight w:val="none"/>
        </w:rPr>
        <w:t>本规范</w:t>
      </w:r>
      <w:r>
        <w:rPr>
          <w:rFonts w:hint="eastAsia" w:ascii="宋体" w:hAnsi="宋体"/>
          <w:color w:val="auto"/>
          <w:sz w:val="24"/>
          <w:highlight w:val="none"/>
          <w:lang w:val="en-US" w:eastAsia="zh-CN"/>
        </w:rPr>
        <w:t>共</w:t>
      </w:r>
      <w:r>
        <w:rPr>
          <w:rFonts w:hint="eastAsia" w:ascii="宋体" w:hAnsi="宋体"/>
          <w:color w:val="auto"/>
          <w:sz w:val="24"/>
          <w:highlight w:val="none"/>
        </w:rPr>
        <w:t>15章，主要内容</w:t>
      </w:r>
      <w:r>
        <w:rPr>
          <w:rFonts w:hint="eastAsia" w:ascii="宋体" w:hAnsi="宋体"/>
          <w:color w:val="auto"/>
          <w:sz w:val="24"/>
          <w:highlight w:val="none"/>
          <w:lang w:val="en-US" w:eastAsia="zh-CN"/>
        </w:rPr>
        <w:t>是</w:t>
      </w:r>
      <w:r>
        <w:rPr>
          <w:rFonts w:hint="eastAsia" w:ascii="宋体" w:hAnsi="宋体"/>
          <w:color w:val="auto"/>
          <w:sz w:val="24"/>
          <w:highlight w:val="none"/>
        </w:rPr>
        <w:t>：1 总则；2 术语和符号；3 基本规定；4 岩土分类；5 城市道路工程；6 城市桥涵工程；7 城市隧道工程；8 城市给排水厂站工程；9 城市室外管道工程；10 城市综合管廊工程；11城市场地平整工程；12城市固体废弃物处置场工程；13城市堤岸工程；14施工勘察；15勘察成果与勘察信息化。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highlight w:val="none"/>
        </w:rPr>
      </w:pPr>
      <w:r>
        <w:rPr>
          <w:rFonts w:hint="eastAsia" w:ascii="宋体" w:hAnsi="宋体"/>
          <w:color w:val="auto"/>
          <w:sz w:val="24"/>
          <w:highlight w:val="none"/>
        </w:rPr>
        <w:t>本规范由广东省住房和城乡建设厅负责管理，</w:t>
      </w:r>
      <w:r>
        <w:rPr>
          <w:rFonts w:hint="eastAsia" w:ascii="宋体" w:hAnsi="宋体"/>
          <w:color w:val="auto"/>
          <w:sz w:val="24"/>
          <w:highlight w:val="none"/>
          <w:lang w:val="en-US" w:eastAsia="zh-CN"/>
        </w:rPr>
        <w:t>主编单位</w:t>
      </w:r>
      <w:r>
        <w:rPr>
          <w:rFonts w:hint="eastAsia" w:ascii="宋体" w:hAnsi="宋体"/>
          <w:color w:val="auto"/>
          <w:sz w:val="24"/>
          <w:highlight w:val="none"/>
        </w:rPr>
        <w:t>负责具体技术内容的解释。执行过程中如有意见和建议，请反馈至</w:t>
      </w:r>
      <w:r>
        <w:rPr>
          <w:rFonts w:hint="eastAsia" w:ascii="宋体" w:hAnsi="宋体"/>
          <w:color w:val="auto"/>
          <w:sz w:val="24"/>
          <w:highlight w:val="none"/>
          <w:lang w:val="en-US" w:eastAsia="zh-CN"/>
        </w:rPr>
        <w:t>主编单位</w:t>
      </w:r>
      <w:r>
        <w:rPr>
          <w:rFonts w:hint="eastAsia" w:ascii="宋体" w:hAnsi="宋体"/>
          <w:color w:val="auto"/>
          <w:sz w:val="24"/>
          <w:highlight w:val="none"/>
        </w:rPr>
        <w:t>（地址：广州市越秀区环市东路348号东座，邮编</w:t>
      </w:r>
      <w:r>
        <w:rPr>
          <w:rFonts w:hint="eastAsia" w:ascii="宋体" w:hAnsi="宋体"/>
          <w:color w:val="auto"/>
          <w:sz w:val="24"/>
          <w:highlight w:val="none"/>
          <w:lang w:val="en-US" w:eastAsia="zh-CN"/>
        </w:rPr>
        <w:t>编码</w:t>
      </w:r>
      <w:r>
        <w:rPr>
          <w:rFonts w:hint="eastAsia" w:ascii="宋体" w:hAnsi="宋体"/>
          <w:color w:val="auto"/>
          <w:sz w:val="24"/>
          <w:highlight w:val="none"/>
        </w:rPr>
        <w:t>：510060</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电子邮箱：penggx@gzmedri.com</w:t>
      </w:r>
      <w:r>
        <w:rPr>
          <w:rFonts w:hint="eastAsia" w:ascii="宋体" w:hAnsi="宋体"/>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 w:val="24"/>
          <w:highlight w:val="none"/>
        </w:rPr>
      </w:pPr>
      <w:r>
        <w:rPr>
          <w:rFonts w:hint="eastAsia" w:ascii="宋体" w:hAnsi="宋体"/>
          <w:color w:val="auto"/>
          <w:sz w:val="24"/>
          <w:highlight w:val="none"/>
          <w:lang w:val="en-US" w:eastAsia="zh-CN"/>
        </w:rPr>
        <w:t>本规范</w:t>
      </w:r>
      <w:r>
        <w:rPr>
          <w:rFonts w:hint="eastAsia" w:ascii="宋体" w:hAnsi="宋体"/>
          <w:color w:val="auto"/>
          <w:sz w:val="24"/>
          <w:highlight w:val="none"/>
        </w:rPr>
        <w:t>主编单位：广州市市政工程设计研究总院有限公司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firstLine="2400" w:firstLineChars="1000"/>
        <w:textAlignment w:val="auto"/>
        <w:rPr>
          <w:rFonts w:ascii="宋体" w:hAnsi="宋体"/>
          <w:color w:val="auto"/>
          <w:sz w:val="24"/>
          <w:highlight w:val="none"/>
        </w:rPr>
      </w:pPr>
      <w:r>
        <w:rPr>
          <w:rFonts w:hint="eastAsia" w:ascii="宋体" w:hAnsi="宋体"/>
          <w:color w:val="auto"/>
          <w:sz w:val="24"/>
          <w:highlight w:val="none"/>
        </w:rPr>
        <w:t>广州地铁设计研究院股份有限公司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 w:val="24"/>
          <w:highlight w:val="none"/>
        </w:rPr>
      </w:pPr>
      <w:r>
        <w:rPr>
          <w:rFonts w:hint="eastAsia" w:ascii="宋体" w:hAnsi="宋体"/>
          <w:color w:val="auto"/>
          <w:sz w:val="24"/>
          <w:highlight w:val="none"/>
          <w:lang w:val="en-US" w:eastAsia="zh-CN"/>
        </w:rPr>
        <w:t>本规范</w:t>
      </w:r>
      <w:r>
        <w:rPr>
          <w:rFonts w:hint="eastAsia" w:ascii="宋体" w:hAnsi="宋体"/>
          <w:color w:val="auto"/>
          <w:sz w:val="24"/>
          <w:highlight w:val="none"/>
        </w:rPr>
        <w:t>参编单位：</w:t>
      </w:r>
      <w:bookmarkStart w:id="2" w:name="OLE_LINK6"/>
      <w:r>
        <w:rPr>
          <w:rFonts w:hint="eastAsia" w:ascii="宋体" w:hAnsi="宋体"/>
          <w:color w:val="auto"/>
          <w:sz w:val="24"/>
          <w:highlight w:val="none"/>
        </w:rPr>
        <w:t>广州市城市规划勘测设计研究院</w:t>
      </w:r>
      <w:bookmarkEnd w:id="2"/>
    </w:p>
    <w:p>
      <w:pPr>
        <w:keepNext w:val="0"/>
        <w:keepLines w:val="0"/>
        <w:pageBreakBefore w:val="0"/>
        <w:widowControl w:val="0"/>
        <w:kinsoku/>
        <w:wordWrap/>
        <w:overflowPunct/>
        <w:topLinePunct w:val="0"/>
        <w:autoSpaceDE/>
        <w:autoSpaceDN/>
        <w:bidi w:val="0"/>
        <w:adjustRightInd/>
        <w:snapToGrid/>
        <w:spacing w:line="360" w:lineRule="auto"/>
        <w:ind w:left="0" w:leftChars="0" w:firstLine="2400" w:firstLineChars="1000"/>
        <w:textAlignment w:val="auto"/>
        <w:rPr>
          <w:rFonts w:hint="eastAsia" w:ascii="宋体" w:hAnsi="宋体"/>
          <w:color w:val="auto"/>
          <w:sz w:val="24"/>
          <w:highlight w:val="none"/>
        </w:rPr>
      </w:pPr>
      <w:r>
        <w:rPr>
          <w:rFonts w:hint="eastAsia" w:ascii="宋体" w:hAnsi="宋体"/>
          <w:color w:val="auto"/>
          <w:sz w:val="24"/>
          <w:highlight w:val="none"/>
        </w:rPr>
        <w:t>广东省交通规划设计研究院集团股份有限公司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firstLine="2400" w:firstLineChars="1000"/>
        <w:textAlignment w:val="auto"/>
        <w:rPr>
          <w:rFonts w:hint="eastAsia" w:ascii="宋体" w:hAnsi="宋体"/>
          <w:color w:val="auto"/>
          <w:sz w:val="24"/>
          <w:highlight w:val="none"/>
        </w:rPr>
      </w:pPr>
      <w:r>
        <w:rPr>
          <w:rFonts w:hint="eastAsia" w:ascii="宋体" w:hAnsi="宋体"/>
          <w:color w:val="auto"/>
          <w:sz w:val="24"/>
          <w:highlight w:val="none"/>
        </w:rPr>
        <w:t>深圳市勘察测绘院（集团）有限公司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firstLine="2400" w:firstLineChars="1000"/>
        <w:textAlignment w:val="auto"/>
        <w:rPr>
          <w:rFonts w:hint="eastAsia" w:ascii="宋体" w:hAnsi="宋体"/>
          <w:color w:val="auto"/>
          <w:sz w:val="24"/>
          <w:highlight w:val="none"/>
        </w:rPr>
      </w:pPr>
      <w:r>
        <w:rPr>
          <w:rFonts w:hint="eastAsia" w:ascii="宋体" w:hAnsi="宋体"/>
          <w:color w:val="auto"/>
          <w:sz w:val="24"/>
          <w:highlight w:val="none"/>
        </w:rPr>
        <w:t>广东省建筑设计研究院有限公司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firstLine="2400" w:firstLineChars="1000"/>
        <w:textAlignment w:val="auto"/>
        <w:rPr>
          <w:rFonts w:hint="eastAsia" w:ascii="宋体" w:hAnsi="宋体"/>
          <w:color w:val="auto"/>
          <w:sz w:val="24"/>
          <w:highlight w:val="none"/>
        </w:rPr>
      </w:pPr>
      <w:r>
        <w:rPr>
          <w:rFonts w:hint="eastAsia" w:ascii="宋体" w:hAnsi="宋体"/>
          <w:color w:val="auto"/>
          <w:sz w:val="24"/>
          <w:highlight w:val="none"/>
        </w:rPr>
        <w:t>广东省地质物探工程勘察院</w:t>
      </w:r>
    </w:p>
    <w:p>
      <w:pPr>
        <w:keepNext w:val="0"/>
        <w:keepLines w:val="0"/>
        <w:pageBreakBefore w:val="0"/>
        <w:widowControl w:val="0"/>
        <w:kinsoku/>
        <w:wordWrap/>
        <w:overflowPunct/>
        <w:topLinePunct w:val="0"/>
        <w:autoSpaceDE/>
        <w:autoSpaceDN/>
        <w:bidi w:val="0"/>
        <w:adjustRightInd/>
        <w:snapToGrid/>
        <w:spacing w:line="360" w:lineRule="auto"/>
        <w:ind w:left="0" w:leftChars="0" w:firstLine="2400" w:firstLineChars="1000"/>
        <w:textAlignment w:val="auto"/>
        <w:rPr>
          <w:rFonts w:hint="eastAsia" w:ascii="宋体" w:hAnsi="宋体"/>
          <w:color w:val="auto"/>
          <w:sz w:val="24"/>
          <w:highlight w:val="none"/>
        </w:rPr>
      </w:pPr>
      <w:r>
        <w:rPr>
          <w:rFonts w:hint="eastAsia" w:ascii="宋体" w:hAnsi="宋体"/>
          <w:color w:val="auto"/>
          <w:sz w:val="24"/>
          <w:highlight w:val="none"/>
        </w:rPr>
        <w:t>广州市设计院集团有限公司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firstLine="2400" w:firstLineChars="1000"/>
        <w:textAlignment w:val="auto"/>
        <w:rPr>
          <w:rFonts w:hint="eastAsia" w:ascii="宋体" w:hAnsi="宋体"/>
          <w:color w:val="auto"/>
          <w:sz w:val="24"/>
          <w:highlight w:val="none"/>
        </w:rPr>
      </w:pPr>
      <w:r>
        <w:rPr>
          <w:rFonts w:hint="eastAsia" w:ascii="宋体" w:hAnsi="宋体"/>
          <w:color w:val="auto"/>
          <w:sz w:val="24"/>
          <w:highlight w:val="none"/>
        </w:rPr>
        <w:t>广州市市政集团有限公司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firstLine="2400" w:firstLineChars="1000"/>
        <w:textAlignment w:val="auto"/>
        <w:rPr>
          <w:rFonts w:hint="eastAsia" w:ascii="宋体" w:hAnsi="宋体"/>
          <w:color w:val="auto"/>
          <w:sz w:val="24"/>
          <w:highlight w:val="none"/>
        </w:rPr>
      </w:pPr>
      <w:r>
        <w:rPr>
          <w:rFonts w:hint="eastAsia" w:ascii="宋体" w:hAnsi="宋体"/>
          <w:color w:val="auto"/>
          <w:sz w:val="24"/>
          <w:highlight w:val="none"/>
        </w:rPr>
        <w:t>广东省珠海工程勘察院</w:t>
      </w:r>
    </w:p>
    <w:p>
      <w:pPr>
        <w:keepNext w:val="0"/>
        <w:keepLines w:val="0"/>
        <w:pageBreakBefore w:val="0"/>
        <w:widowControl w:val="0"/>
        <w:kinsoku/>
        <w:wordWrap/>
        <w:overflowPunct/>
        <w:topLinePunct w:val="0"/>
        <w:autoSpaceDE/>
        <w:autoSpaceDN/>
        <w:bidi w:val="0"/>
        <w:adjustRightInd/>
        <w:snapToGrid/>
        <w:spacing w:line="360" w:lineRule="auto"/>
        <w:ind w:left="0" w:leftChars="0" w:firstLine="2400" w:firstLineChars="1000"/>
        <w:textAlignment w:val="auto"/>
        <w:rPr>
          <w:rFonts w:hint="eastAsia" w:ascii="宋体" w:hAnsi="宋体"/>
          <w:color w:val="auto"/>
          <w:sz w:val="24"/>
          <w:highlight w:val="none"/>
        </w:rPr>
      </w:pPr>
      <w:r>
        <w:rPr>
          <w:rFonts w:hint="eastAsia" w:ascii="宋体" w:hAnsi="宋体"/>
          <w:color w:val="auto"/>
          <w:sz w:val="24"/>
          <w:highlight w:val="none"/>
          <w:lang w:val="en-US" w:eastAsia="zh-CN"/>
        </w:rPr>
        <w:t>深圳市勘察研究院有限公司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本规范</w:t>
      </w:r>
      <w:r>
        <w:rPr>
          <w:rFonts w:hint="eastAsia" w:ascii="宋体" w:hAnsi="宋体"/>
          <w:color w:val="auto"/>
          <w:sz w:val="24"/>
          <w:highlight w:val="none"/>
        </w:rPr>
        <w:t>主要起草人员：</w:t>
      </w:r>
      <w:r>
        <w:rPr>
          <w:rFonts w:hint="eastAsia" w:ascii="宋体" w:hAnsi="宋体" w:eastAsia="宋体"/>
          <w:color w:val="auto"/>
          <w:sz w:val="24"/>
          <w:highlight w:val="none"/>
          <w:lang w:val="en-US" w:eastAsia="zh-CN"/>
        </w:rPr>
        <w:t>彭功勋</w:t>
      </w:r>
      <w:r>
        <w:rPr>
          <w:rFonts w:hint="eastAsia" w:ascii="宋体" w:hAnsi="宋体"/>
          <w:color w:val="auto"/>
          <w:sz w:val="24"/>
          <w:highlight w:val="none"/>
          <w:lang w:val="en-US" w:eastAsia="zh-CN"/>
        </w:rPr>
        <w:t xml:space="preserve">  </w:t>
      </w:r>
      <w:r>
        <w:rPr>
          <w:rFonts w:hint="eastAsia" w:ascii="宋体" w:hAnsi="宋体" w:eastAsia="宋体"/>
          <w:color w:val="auto"/>
          <w:sz w:val="24"/>
          <w:highlight w:val="none"/>
          <w:lang w:val="en-US" w:eastAsia="zh-CN"/>
        </w:rPr>
        <w:t>陈晓丹</w:t>
      </w:r>
      <w:r>
        <w:rPr>
          <w:rFonts w:hint="eastAsia" w:ascii="宋体" w:hAnsi="宋体"/>
          <w:color w:val="auto"/>
          <w:sz w:val="24"/>
          <w:highlight w:val="none"/>
          <w:lang w:val="en-US" w:eastAsia="zh-CN"/>
        </w:rPr>
        <w:t xml:space="preserve">  </w:t>
      </w:r>
      <w:r>
        <w:rPr>
          <w:rFonts w:hint="eastAsia" w:ascii="宋体" w:hAnsi="宋体" w:eastAsia="宋体"/>
          <w:color w:val="auto"/>
          <w:sz w:val="24"/>
          <w:highlight w:val="none"/>
          <w:lang w:val="en-US" w:eastAsia="zh-CN"/>
        </w:rPr>
        <w:t>彭卫平</w:t>
      </w:r>
      <w:r>
        <w:rPr>
          <w:rFonts w:hint="eastAsia" w:ascii="宋体" w:hAnsi="宋体"/>
          <w:color w:val="auto"/>
          <w:sz w:val="24"/>
          <w:highlight w:val="none"/>
          <w:lang w:val="en-US" w:eastAsia="zh-CN"/>
        </w:rPr>
        <w:t xml:space="preserve">  </w:t>
      </w:r>
      <w:r>
        <w:rPr>
          <w:rFonts w:hint="eastAsia" w:ascii="宋体" w:hAnsi="宋体" w:eastAsia="宋体"/>
          <w:color w:val="auto"/>
          <w:sz w:val="24"/>
          <w:highlight w:val="none"/>
          <w:lang w:val="en-US" w:eastAsia="zh-CN"/>
        </w:rPr>
        <w:t>安关峰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2880" w:firstLineChars="1200"/>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王</w:t>
      </w:r>
      <w:r>
        <w:rPr>
          <w:rFonts w:hint="eastAsia" w:ascii="宋体" w:hAnsi="宋体"/>
          <w:color w:val="auto"/>
          <w:sz w:val="21"/>
          <w:szCs w:val="20"/>
          <w:highlight w:val="none"/>
          <w:lang w:val="en-US" w:eastAsia="zh-CN"/>
        </w:rPr>
        <w:t xml:space="preserve">  </w:t>
      </w:r>
      <w:r>
        <w:rPr>
          <w:rFonts w:hint="eastAsia" w:ascii="宋体" w:hAnsi="宋体" w:eastAsia="宋体"/>
          <w:color w:val="auto"/>
          <w:sz w:val="24"/>
          <w:highlight w:val="none"/>
          <w:lang w:val="en-US" w:eastAsia="zh-CN"/>
        </w:rPr>
        <w:t>典</w:t>
      </w:r>
      <w:r>
        <w:rPr>
          <w:rFonts w:hint="eastAsia" w:ascii="宋体" w:hAnsi="宋体"/>
          <w:color w:val="auto"/>
          <w:sz w:val="24"/>
          <w:highlight w:val="none"/>
          <w:lang w:val="en-US" w:eastAsia="zh-CN"/>
        </w:rPr>
        <w:t xml:space="preserve">  </w:t>
      </w:r>
      <w:r>
        <w:rPr>
          <w:rFonts w:hint="eastAsia" w:ascii="宋体" w:hAnsi="宋体" w:eastAsia="宋体"/>
          <w:color w:val="auto"/>
          <w:sz w:val="24"/>
          <w:highlight w:val="none"/>
          <w:lang w:val="en-US" w:eastAsia="zh-CN"/>
        </w:rPr>
        <w:t>龚旭亚</w:t>
      </w:r>
      <w:r>
        <w:rPr>
          <w:rFonts w:hint="eastAsia" w:ascii="宋体" w:hAnsi="宋体"/>
          <w:color w:val="auto"/>
          <w:sz w:val="24"/>
          <w:highlight w:val="none"/>
          <w:lang w:val="en-US" w:eastAsia="zh-CN"/>
        </w:rPr>
        <w:t xml:space="preserve">  </w:t>
      </w:r>
      <w:r>
        <w:rPr>
          <w:rFonts w:hint="eastAsia" w:ascii="宋体" w:hAnsi="宋体" w:eastAsia="宋体"/>
          <w:color w:val="auto"/>
          <w:sz w:val="24"/>
          <w:highlight w:val="none"/>
          <w:lang w:val="en-US" w:eastAsia="zh-CN"/>
        </w:rPr>
        <w:t>张金平</w:t>
      </w:r>
      <w:r>
        <w:rPr>
          <w:rFonts w:hint="eastAsia" w:ascii="宋体" w:hAnsi="宋体"/>
          <w:color w:val="auto"/>
          <w:sz w:val="24"/>
          <w:highlight w:val="none"/>
          <w:lang w:val="en-US" w:eastAsia="zh-CN"/>
        </w:rPr>
        <w:t xml:space="preserve">  </w:t>
      </w:r>
      <w:r>
        <w:rPr>
          <w:rFonts w:hint="eastAsia" w:ascii="宋体" w:hAnsi="宋体" w:eastAsia="宋体"/>
          <w:color w:val="auto"/>
          <w:sz w:val="24"/>
          <w:highlight w:val="none"/>
          <w:lang w:val="en-US" w:eastAsia="zh-CN"/>
        </w:rPr>
        <w:t>黄俊光</w:t>
      </w:r>
    </w:p>
    <w:p>
      <w:pPr>
        <w:keepNext w:val="0"/>
        <w:keepLines w:val="0"/>
        <w:pageBreakBefore w:val="0"/>
        <w:widowControl w:val="0"/>
        <w:kinsoku/>
        <w:wordWrap/>
        <w:overflowPunct/>
        <w:topLinePunct w:val="0"/>
        <w:autoSpaceDE/>
        <w:autoSpaceDN/>
        <w:bidi w:val="0"/>
        <w:adjustRightInd/>
        <w:snapToGrid/>
        <w:spacing w:line="360" w:lineRule="auto"/>
        <w:ind w:left="0" w:leftChars="0" w:firstLine="2880" w:firstLineChars="1200"/>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李广平</w:t>
      </w:r>
      <w:r>
        <w:rPr>
          <w:rFonts w:hint="eastAsia" w:ascii="宋体" w:hAnsi="宋体"/>
          <w:color w:val="auto"/>
          <w:sz w:val="24"/>
          <w:highlight w:val="none"/>
          <w:lang w:val="en-US" w:eastAsia="zh-CN"/>
        </w:rPr>
        <w:t xml:space="preserve">  </w:t>
      </w:r>
      <w:r>
        <w:rPr>
          <w:rFonts w:hint="eastAsia" w:ascii="宋体" w:hAnsi="宋体" w:eastAsia="宋体"/>
          <w:color w:val="auto"/>
          <w:sz w:val="24"/>
          <w:highlight w:val="none"/>
          <w:lang w:val="en-US" w:eastAsia="zh-CN"/>
        </w:rPr>
        <w:t>李学文</w:t>
      </w:r>
      <w:r>
        <w:rPr>
          <w:rFonts w:hint="eastAsia" w:ascii="宋体" w:hAnsi="宋体"/>
          <w:color w:val="auto"/>
          <w:sz w:val="24"/>
          <w:highlight w:val="none"/>
          <w:lang w:val="en-US" w:eastAsia="zh-CN"/>
        </w:rPr>
        <w:t xml:space="preserve">  </w:t>
      </w:r>
      <w:r>
        <w:rPr>
          <w:rFonts w:hint="eastAsia" w:ascii="宋体" w:hAnsi="宋体" w:eastAsia="宋体"/>
          <w:color w:val="auto"/>
          <w:sz w:val="24"/>
          <w:highlight w:val="none"/>
          <w:lang w:val="en-US" w:eastAsia="zh-CN"/>
        </w:rPr>
        <w:t>张宇明</w:t>
      </w:r>
      <w:r>
        <w:rPr>
          <w:rFonts w:hint="eastAsia" w:ascii="宋体" w:hAnsi="宋体"/>
          <w:color w:val="auto"/>
          <w:sz w:val="24"/>
          <w:highlight w:val="none"/>
          <w:lang w:val="en-US" w:eastAsia="zh-CN"/>
        </w:rPr>
        <w:t xml:space="preserve">  </w:t>
      </w:r>
      <w:r>
        <w:rPr>
          <w:rFonts w:hint="eastAsia" w:ascii="宋体" w:hAnsi="宋体" w:eastAsia="宋体"/>
          <w:color w:val="auto"/>
          <w:sz w:val="24"/>
          <w:highlight w:val="none"/>
          <w:lang w:val="en-US" w:eastAsia="zh-CN"/>
        </w:rPr>
        <w:t>陈</w:t>
      </w:r>
      <w:r>
        <w:rPr>
          <w:rFonts w:hint="eastAsia" w:ascii="宋体" w:hAnsi="宋体"/>
          <w:color w:val="auto"/>
          <w:sz w:val="21"/>
          <w:szCs w:val="20"/>
          <w:highlight w:val="none"/>
          <w:lang w:val="en-US" w:eastAsia="zh-CN"/>
        </w:rPr>
        <w:t xml:space="preserve">  </w:t>
      </w:r>
      <w:r>
        <w:rPr>
          <w:rFonts w:hint="eastAsia" w:ascii="宋体" w:hAnsi="宋体" w:eastAsia="宋体"/>
          <w:color w:val="auto"/>
          <w:sz w:val="24"/>
          <w:highlight w:val="none"/>
          <w:lang w:val="en-US" w:eastAsia="zh-CN"/>
        </w:rPr>
        <w:t>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2880" w:firstLineChars="1200"/>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刘志方</w:t>
      </w:r>
      <w:r>
        <w:rPr>
          <w:rFonts w:hint="eastAsia" w:ascii="宋体" w:hAnsi="宋体"/>
          <w:color w:val="auto"/>
          <w:sz w:val="24"/>
          <w:highlight w:val="none"/>
          <w:lang w:val="en-US" w:eastAsia="zh-CN"/>
        </w:rPr>
        <w:t xml:space="preserve">  </w:t>
      </w:r>
      <w:r>
        <w:rPr>
          <w:rFonts w:hint="eastAsia" w:ascii="宋体" w:hAnsi="宋体" w:eastAsia="宋体"/>
          <w:color w:val="auto"/>
          <w:sz w:val="24"/>
          <w:highlight w:val="none"/>
          <w:lang w:val="en-US" w:eastAsia="zh-CN"/>
        </w:rPr>
        <w:t>李承海</w:t>
      </w:r>
      <w:r>
        <w:rPr>
          <w:rFonts w:hint="eastAsia" w:ascii="宋体" w:hAnsi="宋体"/>
          <w:color w:val="auto"/>
          <w:sz w:val="24"/>
          <w:highlight w:val="none"/>
          <w:lang w:val="en-US" w:eastAsia="zh-CN"/>
        </w:rPr>
        <w:t xml:space="preserve">  </w:t>
      </w:r>
      <w:r>
        <w:rPr>
          <w:rFonts w:hint="eastAsia" w:ascii="宋体" w:hAnsi="宋体" w:eastAsia="宋体"/>
          <w:color w:val="auto"/>
          <w:sz w:val="24"/>
          <w:highlight w:val="none"/>
          <w:lang w:val="en-US" w:eastAsia="zh-CN"/>
        </w:rPr>
        <w:t>赵</w:t>
      </w:r>
      <w:r>
        <w:rPr>
          <w:rFonts w:hint="eastAsia" w:ascii="宋体" w:hAnsi="宋体"/>
          <w:color w:val="auto"/>
          <w:sz w:val="21"/>
          <w:szCs w:val="20"/>
          <w:highlight w:val="none"/>
          <w:lang w:val="en-US" w:eastAsia="zh-CN"/>
        </w:rPr>
        <w:t xml:space="preserve">  </w:t>
      </w:r>
      <w:r>
        <w:rPr>
          <w:rFonts w:hint="eastAsia" w:ascii="宋体" w:hAnsi="宋体" w:eastAsia="宋体"/>
          <w:color w:val="auto"/>
          <w:sz w:val="24"/>
          <w:highlight w:val="none"/>
          <w:lang w:val="en-US" w:eastAsia="zh-CN"/>
        </w:rPr>
        <w:t>华</w:t>
      </w:r>
      <w:r>
        <w:rPr>
          <w:rFonts w:hint="eastAsia" w:ascii="宋体" w:hAnsi="宋体"/>
          <w:color w:val="auto"/>
          <w:sz w:val="24"/>
          <w:highlight w:val="none"/>
          <w:lang w:val="en-US" w:eastAsia="zh-CN"/>
        </w:rPr>
        <w:t xml:space="preserve">  </w:t>
      </w:r>
      <w:r>
        <w:rPr>
          <w:rFonts w:hint="eastAsia" w:ascii="宋体" w:hAnsi="宋体" w:eastAsia="宋体"/>
          <w:color w:val="auto"/>
          <w:sz w:val="24"/>
          <w:highlight w:val="none"/>
          <w:lang w:val="en-US" w:eastAsia="zh-CN"/>
        </w:rPr>
        <w:t>张晓伦</w:t>
      </w:r>
    </w:p>
    <w:p>
      <w:pPr>
        <w:keepNext w:val="0"/>
        <w:keepLines w:val="0"/>
        <w:pageBreakBefore w:val="0"/>
        <w:widowControl w:val="0"/>
        <w:kinsoku/>
        <w:wordWrap/>
        <w:overflowPunct/>
        <w:topLinePunct w:val="0"/>
        <w:autoSpaceDE/>
        <w:autoSpaceDN/>
        <w:bidi w:val="0"/>
        <w:adjustRightInd/>
        <w:snapToGrid/>
        <w:spacing w:line="360" w:lineRule="auto"/>
        <w:ind w:left="0" w:leftChars="0" w:firstLine="2880" w:firstLineChars="1200"/>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黄</w:t>
      </w:r>
      <w:r>
        <w:rPr>
          <w:rFonts w:hint="eastAsia" w:ascii="宋体" w:hAnsi="宋体"/>
          <w:color w:val="auto"/>
          <w:sz w:val="21"/>
          <w:szCs w:val="20"/>
          <w:highlight w:val="none"/>
          <w:lang w:val="en-US" w:eastAsia="zh-CN"/>
        </w:rPr>
        <w:t xml:space="preserve">  </w:t>
      </w:r>
      <w:r>
        <w:rPr>
          <w:rFonts w:hint="eastAsia" w:ascii="宋体" w:hAnsi="宋体" w:eastAsia="宋体"/>
          <w:color w:val="auto"/>
          <w:sz w:val="24"/>
          <w:highlight w:val="none"/>
          <w:lang w:val="en-US" w:eastAsia="zh-CN"/>
        </w:rPr>
        <w:t>宏</w:t>
      </w:r>
      <w:r>
        <w:rPr>
          <w:rFonts w:hint="eastAsia" w:ascii="宋体" w:hAnsi="宋体"/>
          <w:color w:val="auto"/>
          <w:sz w:val="24"/>
          <w:highlight w:val="none"/>
          <w:lang w:val="en-US" w:eastAsia="zh-CN"/>
        </w:rPr>
        <w:t xml:space="preserve">  </w:t>
      </w:r>
      <w:r>
        <w:rPr>
          <w:rFonts w:hint="eastAsia" w:ascii="宋体" w:hAnsi="宋体" w:eastAsia="宋体"/>
          <w:color w:val="auto"/>
          <w:sz w:val="24"/>
          <w:highlight w:val="none"/>
          <w:lang w:val="en-US" w:eastAsia="zh-CN"/>
        </w:rPr>
        <w:t>莫赐国</w:t>
      </w:r>
      <w:r>
        <w:rPr>
          <w:rFonts w:hint="eastAsia" w:ascii="宋体" w:hAnsi="宋体"/>
          <w:color w:val="auto"/>
          <w:sz w:val="24"/>
          <w:highlight w:val="none"/>
          <w:lang w:val="en-US" w:eastAsia="zh-CN"/>
        </w:rPr>
        <w:t xml:space="preserve">  </w:t>
      </w:r>
      <w:r>
        <w:rPr>
          <w:rFonts w:hint="eastAsia" w:ascii="宋体" w:hAnsi="宋体" w:eastAsia="宋体"/>
          <w:color w:val="auto"/>
          <w:sz w:val="24"/>
          <w:highlight w:val="none"/>
          <w:lang w:val="en-US" w:eastAsia="zh-CN"/>
        </w:rPr>
        <w:t>张</w:t>
      </w:r>
      <w:r>
        <w:rPr>
          <w:rFonts w:hint="eastAsia" w:ascii="宋体" w:hAnsi="宋体"/>
          <w:color w:val="auto"/>
          <w:sz w:val="21"/>
          <w:szCs w:val="20"/>
          <w:highlight w:val="none"/>
          <w:lang w:val="en-US" w:eastAsia="zh-CN"/>
        </w:rPr>
        <w:t xml:space="preserve">  </w:t>
      </w:r>
      <w:r>
        <w:rPr>
          <w:rFonts w:hint="eastAsia" w:ascii="宋体" w:hAnsi="宋体" w:eastAsia="宋体"/>
          <w:color w:val="auto"/>
          <w:sz w:val="24"/>
          <w:highlight w:val="none"/>
          <w:lang w:val="en-US" w:eastAsia="zh-CN"/>
        </w:rPr>
        <w:t>波</w:t>
      </w:r>
      <w:r>
        <w:rPr>
          <w:rFonts w:hint="eastAsia" w:ascii="宋体" w:hAnsi="宋体"/>
          <w:color w:val="auto"/>
          <w:sz w:val="24"/>
          <w:highlight w:val="none"/>
          <w:lang w:val="en-US" w:eastAsia="zh-CN"/>
        </w:rPr>
        <w:t xml:space="preserve">  </w:t>
      </w:r>
      <w:r>
        <w:rPr>
          <w:rFonts w:hint="eastAsia" w:ascii="宋体" w:hAnsi="宋体" w:eastAsia="宋体"/>
          <w:color w:val="auto"/>
          <w:sz w:val="24"/>
          <w:highlight w:val="none"/>
          <w:lang w:val="en-US" w:eastAsia="zh-CN"/>
        </w:rPr>
        <w:t>蒋</w:t>
      </w:r>
      <w:r>
        <w:rPr>
          <w:rFonts w:hint="eastAsia" w:ascii="宋体" w:hAnsi="宋体"/>
          <w:color w:val="auto"/>
          <w:sz w:val="21"/>
          <w:szCs w:val="20"/>
          <w:highlight w:val="none"/>
          <w:lang w:val="en-US" w:eastAsia="zh-CN"/>
        </w:rPr>
        <w:t xml:space="preserve">  </w:t>
      </w:r>
      <w:r>
        <w:rPr>
          <w:rFonts w:hint="eastAsia" w:ascii="宋体" w:hAnsi="宋体" w:eastAsia="宋体"/>
          <w:color w:val="auto"/>
          <w:sz w:val="24"/>
          <w:highlight w:val="none"/>
          <w:lang w:val="en-US" w:eastAsia="zh-CN"/>
        </w:rPr>
        <w:t>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2880" w:firstLineChars="1200"/>
        <w:textAlignment w:val="auto"/>
        <w:rPr>
          <w:rFonts w:ascii="宋体" w:hAnsi="宋体"/>
          <w:color w:val="auto"/>
          <w:sz w:val="24"/>
          <w:highlight w:val="none"/>
        </w:rPr>
      </w:pPr>
      <w:r>
        <w:rPr>
          <w:rFonts w:hint="eastAsia" w:ascii="宋体" w:hAnsi="宋体" w:eastAsia="宋体"/>
          <w:color w:val="auto"/>
          <w:sz w:val="24"/>
          <w:highlight w:val="none"/>
          <w:lang w:val="en-US" w:eastAsia="zh-CN"/>
        </w:rPr>
        <w:t>张</w:t>
      </w:r>
      <w:r>
        <w:rPr>
          <w:rFonts w:hint="eastAsia" w:ascii="宋体" w:hAnsi="宋体"/>
          <w:color w:val="auto"/>
          <w:sz w:val="21"/>
          <w:szCs w:val="20"/>
          <w:highlight w:val="none"/>
          <w:lang w:val="en-US" w:eastAsia="zh-CN"/>
        </w:rPr>
        <w:t xml:space="preserve">  </w:t>
      </w:r>
      <w:r>
        <w:rPr>
          <w:rFonts w:hint="eastAsia" w:ascii="宋体" w:hAnsi="宋体" w:eastAsia="宋体"/>
          <w:color w:val="auto"/>
          <w:sz w:val="24"/>
          <w:highlight w:val="none"/>
          <w:lang w:val="en-US" w:eastAsia="zh-CN"/>
        </w:rPr>
        <w:t>蓉</w:t>
      </w:r>
      <w:r>
        <w:rPr>
          <w:rFonts w:hint="eastAsia" w:ascii="宋体" w:hAnsi="宋体"/>
          <w:color w:val="auto"/>
          <w:sz w:val="24"/>
          <w:highlight w:val="none"/>
          <w:lang w:val="en-US" w:eastAsia="zh-CN"/>
        </w:rPr>
        <w:t xml:space="preserve">  </w:t>
      </w:r>
      <w:r>
        <w:rPr>
          <w:rFonts w:hint="eastAsia" w:ascii="宋体" w:hAnsi="宋体" w:eastAsia="宋体"/>
          <w:color w:val="auto"/>
          <w:sz w:val="24"/>
          <w:highlight w:val="none"/>
          <w:lang w:val="en-US" w:eastAsia="zh-CN"/>
        </w:rPr>
        <w:t>徐</w:t>
      </w:r>
      <w:r>
        <w:rPr>
          <w:rFonts w:hint="eastAsia" w:ascii="宋体" w:hAnsi="宋体"/>
          <w:color w:val="auto"/>
          <w:sz w:val="21"/>
          <w:szCs w:val="20"/>
          <w:highlight w:val="none"/>
          <w:lang w:val="en-US" w:eastAsia="zh-CN"/>
        </w:rPr>
        <w:t xml:space="preserve">  </w:t>
      </w:r>
      <w:r>
        <w:rPr>
          <w:rFonts w:hint="eastAsia" w:ascii="宋体" w:hAnsi="宋体" w:eastAsia="宋体"/>
          <w:color w:val="auto"/>
          <w:sz w:val="24"/>
          <w:highlight w:val="none"/>
          <w:lang w:val="en-US" w:eastAsia="zh-CN"/>
        </w:rPr>
        <w:t>晋</w:t>
      </w:r>
      <w:r>
        <w:rPr>
          <w:rFonts w:hint="eastAsia" w:ascii="宋体" w:hAnsi="宋体"/>
          <w:color w:val="auto"/>
          <w:sz w:val="24"/>
          <w:highlight w:val="none"/>
          <w:lang w:val="en-US" w:eastAsia="zh-CN"/>
        </w:rPr>
        <w:t xml:space="preserve">  </w:t>
      </w:r>
      <w:r>
        <w:rPr>
          <w:rFonts w:hint="eastAsia" w:ascii="宋体" w:hAnsi="宋体" w:eastAsia="宋体"/>
          <w:color w:val="auto"/>
          <w:sz w:val="24"/>
          <w:highlight w:val="none"/>
          <w:lang w:val="en-US" w:eastAsia="zh-CN"/>
        </w:rPr>
        <w:t>徐泰松</w:t>
      </w:r>
    </w:p>
    <w:p>
      <w:pPr>
        <w:keepNext w:val="0"/>
        <w:keepLines w:val="0"/>
        <w:pageBreakBefore w:val="0"/>
        <w:kinsoku/>
        <w:wordWrap/>
        <w:overflowPunct/>
        <w:topLinePunct w:val="0"/>
        <w:autoSpaceDE/>
        <w:autoSpaceDN/>
        <w:bidi w:val="0"/>
        <w:adjustRightInd/>
        <w:snapToGrid/>
        <w:spacing w:before="120" w:line="360" w:lineRule="auto"/>
        <w:ind w:firstLine="480" w:firstLineChars="200"/>
        <w:textAlignment w:val="auto"/>
        <w:rPr>
          <w:b/>
          <w:bCs/>
          <w:color w:val="auto"/>
          <w:sz w:val="30"/>
          <w:szCs w:val="30"/>
          <w:highlight w:val="none"/>
        </w:rPr>
      </w:pPr>
      <w:r>
        <w:rPr>
          <w:rFonts w:hint="eastAsia" w:ascii="宋体" w:hAnsi="宋体"/>
          <w:color w:val="auto"/>
          <w:sz w:val="24"/>
          <w:highlight w:val="none"/>
          <w:lang w:val="en-US" w:eastAsia="zh-CN"/>
        </w:rPr>
        <w:t>本规范</w:t>
      </w:r>
      <w:r>
        <w:rPr>
          <w:rFonts w:hint="eastAsia" w:ascii="宋体" w:hAnsi="宋体"/>
          <w:color w:val="auto"/>
          <w:sz w:val="24"/>
          <w:highlight w:val="none"/>
        </w:rPr>
        <w:t>主要审查人员：</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color w:val="auto"/>
          <w:kern w:val="44"/>
          <w:sz w:val="36"/>
          <w:highlight w:val="none"/>
        </w:rPr>
      </w:pPr>
      <w:r>
        <w:rPr>
          <w:color w:val="auto"/>
          <w:highlight w:val="none"/>
        </w:rPr>
        <w:t xml:space="preserve"> </w:t>
      </w:r>
      <w:r>
        <w:rPr>
          <w:color w:val="auto"/>
          <w:highlight w:val="none"/>
        </w:rPr>
        <w:br w:type="page"/>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color w:val="auto"/>
          <w:sz w:val="28"/>
          <w:szCs w:val="32"/>
          <w:highlight w:val="none"/>
        </w:rPr>
      </w:pPr>
      <w:r>
        <w:rPr>
          <w:color w:val="auto"/>
          <w:sz w:val="28"/>
          <w:szCs w:val="32"/>
          <w:highlight w:val="none"/>
          <w:lang w:val="zh-CN"/>
        </w:rPr>
        <w:t>目</w:t>
      </w:r>
      <w:r>
        <w:rPr>
          <w:rFonts w:hint="eastAsia"/>
          <w:color w:val="auto"/>
          <w:sz w:val="28"/>
          <w:szCs w:val="32"/>
          <w:highlight w:val="none"/>
          <w:lang w:val="en-US" w:eastAsia="zh-CN"/>
        </w:rPr>
        <w:t xml:space="preserve">  </w:t>
      </w:r>
      <w:r>
        <w:rPr>
          <w:rFonts w:hint="eastAsia"/>
          <w:color w:val="auto"/>
          <w:sz w:val="28"/>
          <w:szCs w:val="32"/>
          <w:highlight w:val="none"/>
          <w:lang w:val="zh-CN"/>
        </w:rPr>
        <w:t xml:space="preserve"> </w:t>
      </w:r>
      <w:r>
        <w:rPr>
          <w:color w:val="auto"/>
          <w:sz w:val="28"/>
          <w:szCs w:val="32"/>
          <w:highlight w:val="none"/>
          <w:lang w:val="zh-CN"/>
        </w:rPr>
        <w:t xml:space="preserve"> </w:t>
      </w:r>
      <w:r>
        <w:rPr>
          <w:rFonts w:hint="eastAsia"/>
          <w:color w:val="auto"/>
          <w:sz w:val="28"/>
          <w:szCs w:val="32"/>
          <w:highlight w:val="none"/>
          <w:lang w:val="zh-CN"/>
        </w:rPr>
        <w:t>次</w:t>
      </w:r>
    </w:p>
    <w:p>
      <w:pPr>
        <w:pStyle w:val="13"/>
        <w:tabs>
          <w:tab w:val="right" w:leader="dot" w:pos="8731"/>
          <w:tab w:val="clear" w:pos="420"/>
          <w:tab w:val="clear" w:pos="9523"/>
        </w:tabs>
      </w:pPr>
      <w:r>
        <w:rPr>
          <w:color w:val="auto"/>
          <w:highlight w:val="none"/>
        </w:rPr>
        <w:fldChar w:fldCharType="begin"/>
      </w:r>
      <w:r>
        <w:rPr>
          <w:color w:val="auto"/>
          <w:highlight w:val="none"/>
        </w:rPr>
        <w:instrText xml:space="preserve">TOC \o "1-2" \h \u </w:instrText>
      </w:r>
      <w:r>
        <w:rPr>
          <w:color w:val="auto"/>
          <w:highlight w:val="none"/>
        </w:rPr>
        <w:fldChar w:fldCharType="separate"/>
      </w:r>
      <w:r>
        <w:rPr>
          <w:color w:val="auto"/>
          <w:highlight w:val="none"/>
        </w:rPr>
        <w:fldChar w:fldCharType="begin"/>
      </w:r>
      <w:r>
        <w:rPr>
          <w:highlight w:val="none"/>
        </w:rPr>
        <w:instrText xml:space="preserve"> HYPERLINK \l _Toc32579 </w:instrText>
      </w:r>
      <w:r>
        <w:rPr>
          <w:highlight w:val="none"/>
        </w:rPr>
        <w:fldChar w:fldCharType="separate"/>
      </w:r>
      <w:r>
        <w:rPr>
          <w:rFonts w:hint="eastAsia"/>
          <w:highlight w:val="none"/>
        </w:rPr>
        <w:t>1　总　</w:t>
      </w:r>
      <w:r>
        <w:rPr>
          <w:highlight w:val="none"/>
        </w:rPr>
        <w:t>　</w:t>
      </w:r>
      <w:r>
        <w:rPr>
          <w:rFonts w:hint="eastAsia"/>
          <w:highlight w:val="none"/>
        </w:rPr>
        <w:t>则</w:t>
      </w:r>
      <w:r>
        <w:tab/>
      </w:r>
      <w:r>
        <w:fldChar w:fldCharType="begin"/>
      </w:r>
      <w:r>
        <w:instrText xml:space="preserve"> PAGEREF _Toc32579 \h </w:instrText>
      </w:r>
      <w:r>
        <w:fldChar w:fldCharType="separate"/>
      </w:r>
      <w:r>
        <w:t>1</w:t>
      </w:r>
      <w:r>
        <w:fldChar w:fldCharType="end"/>
      </w:r>
      <w:r>
        <w:rPr>
          <w:color w:val="auto"/>
          <w:highlight w:val="none"/>
        </w:rPr>
        <w:fldChar w:fldCharType="end"/>
      </w:r>
    </w:p>
    <w:p>
      <w:pPr>
        <w:pStyle w:val="13"/>
        <w:tabs>
          <w:tab w:val="right" w:leader="dot" w:pos="8731"/>
          <w:tab w:val="clear" w:pos="420"/>
          <w:tab w:val="clear" w:pos="9523"/>
        </w:tabs>
      </w:pPr>
      <w:r>
        <w:rPr>
          <w:color w:val="auto"/>
          <w:highlight w:val="none"/>
        </w:rPr>
        <w:fldChar w:fldCharType="begin"/>
      </w:r>
      <w:r>
        <w:rPr>
          <w:highlight w:val="none"/>
        </w:rPr>
        <w:instrText xml:space="preserve"> HYPERLINK \l _Toc10511 </w:instrText>
      </w:r>
      <w:r>
        <w:rPr>
          <w:highlight w:val="none"/>
        </w:rPr>
        <w:fldChar w:fldCharType="separate"/>
      </w:r>
      <w:r>
        <w:rPr>
          <w:rFonts w:hint="eastAsia"/>
          <w:highlight w:val="none"/>
        </w:rPr>
        <w:t>2　术语和符号</w:t>
      </w:r>
      <w:r>
        <w:tab/>
      </w:r>
      <w:r>
        <w:fldChar w:fldCharType="begin"/>
      </w:r>
      <w:r>
        <w:instrText xml:space="preserve"> PAGEREF _Toc10511 \h </w:instrText>
      </w:r>
      <w:r>
        <w:fldChar w:fldCharType="separate"/>
      </w:r>
      <w:r>
        <w:t>2</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_Toc26547 </w:instrText>
      </w:r>
      <w:r>
        <w:rPr>
          <w:highlight w:val="none"/>
        </w:rPr>
        <w:fldChar w:fldCharType="separate"/>
      </w:r>
      <w:r>
        <w:rPr>
          <w:rFonts w:ascii="Times New Roman" w:hAnsi="Times New Roman" w:eastAsia="宋体"/>
          <w:highlight w:val="none"/>
        </w:rPr>
        <w:t>2.1</w:t>
      </w:r>
      <w:r>
        <w:rPr>
          <w:rFonts w:hint="eastAsia" w:ascii="Times New Roman" w:hAnsi="Times New Roman" w:eastAsia="宋体"/>
          <w:highlight w:val="none"/>
        </w:rPr>
        <w:t>　</w:t>
      </w:r>
      <w:r>
        <w:rPr>
          <w:rFonts w:ascii="Times New Roman" w:hAnsi="Times New Roman" w:eastAsia="宋体"/>
          <w:highlight w:val="none"/>
        </w:rPr>
        <w:t>术</w:t>
      </w:r>
      <w:r>
        <w:rPr>
          <w:rFonts w:hint="eastAsia"/>
          <w:highlight w:val="none"/>
        </w:rPr>
        <w:t>　</w:t>
      </w:r>
      <w:r>
        <w:rPr>
          <w:highlight w:val="none"/>
        </w:rPr>
        <w:t>　</w:t>
      </w:r>
      <w:r>
        <w:rPr>
          <w:rFonts w:ascii="Times New Roman" w:hAnsi="Times New Roman" w:eastAsia="宋体"/>
          <w:highlight w:val="none"/>
        </w:rPr>
        <w:t>语</w:t>
      </w:r>
      <w:r>
        <w:tab/>
      </w:r>
      <w:r>
        <w:fldChar w:fldCharType="begin"/>
      </w:r>
      <w:r>
        <w:instrText xml:space="preserve"> PAGEREF _Toc26547 \h </w:instrText>
      </w:r>
      <w:r>
        <w:fldChar w:fldCharType="separate"/>
      </w:r>
      <w:r>
        <w:t>2</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_Toc88 </w:instrText>
      </w:r>
      <w:r>
        <w:rPr>
          <w:highlight w:val="none"/>
        </w:rPr>
        <w:fldChar w:fldCharType="separate"/>
      </w:r>
      <w:r>
        <w:rPr>
          <w:rFonts w:ascii="Times New Roman" w:hAnsi="Times New Roman" w:eastAsia="宋体"/>
          <w:highlight w:val="none"/>
        </w:rPr>
        <w:t>2.2</w:t>
      </w:r>
      <w:r>
        <w:rPr>
          <w:rFonts w:hint="eastAsia" w:ascii="Times New Roman" w:hAnsi="Times New Roman" w:eastAsia="宋体"/>
          <w:highlight w:val="none"/>
        </w:rPr>
        <w:t>　</w:t>
      </w:r>
      <w:r>
        <w:rPr>
          <w:rFonts w:ascii="Times New Roman" w:hAnsi="Times New Roman" w:eastAsia="宋体"/>
          <w:highlight w:val="none"/>
        </w:rPr>
        <w:t>符</w:t>
      </w:r>
      <w:r>
        <w:rPr>
          <w:rFonts w:hint="eastAsia"/>
          <w:highlight w:val="none"/>
        </w:rPr>
        <w:t>　</w:t>
      </w:r>
      <w:r>
        <w:rPr>
          <w:highlight w:val="none"/>
        </w:rPr>
        <w:t>　</w:t>
      </w:r>
      <w:r>
        <w:rPr>
          <w:rFonts w:ascii="Times New Roman" w:hAnsi="Times New Roman" w:eastAsia="宋体"/>
          <w:highlight w:val="none"/>
        </w:rPr>
        <w:t>号</w:t>
      </w:r>
      <w:r>
        <w:tab/>
      </w:r>
      <w:r>
        <w:fldChar w:fldCharType="begin"/>
      </w:r>
      <w:r>
        <w:instrText xml:space="preserve"> PAGEREF _Toc88 \h </w:instrText>
      </w:r>
      <w:r>
        <w:fldChar w:fldCharType="separate"/>
      </w:r>
      <w:r>
        <w:t>4</w:t>
      </w:r>
      <w:r>
        <w:fldChar w:fldCharType="end"/>
      </w:r>
      <w:r>
        <w:rPr>
          <w:color w:val="auto"/>
          <w:highlight w:val="none"/>
        </w:rPr>
        <w:fldChar w:fldCharType="end"/>
      </w:r>
    </w:p>
    <w:p>
      <w:pPr>
        <w:pStyle w:val="13"/>
        <w:tabs>
          <w:tab w:val="right" w:leader="dot" w:pos="8731"/>
          <w:tab w:val="clear" w:pos="420"/>
          <w:tab w:val="clear" w:pos="9523"/>
        </w:tabs>
      </w:pPr>
      <w:r>
        <w:rPr>
          <w:color w:val="auto"/>
          <w:highlight w:val="none"/>
        </w:rPr>
        <w:fldChar w:fldCharType="begin"/>
      </w:r>
      <w:r>
        <w:rPr>
          <w:highlight w:val="none"/>
        </w:rPr>
        <w:instrText xml:space="preserve"> HYPERLINK \l _Toc24232 </w:instrText>
      </w:r>
      <w:r>
        <w:rPr>
          <w:highlight w:val="none"/>
        </w:rPr>
        <w:fldChar w:fldCharType="separate"/>
      </w:r>
      <w:r>
        <w:rPr>
          <w:rFonts w:hint="eastAsia"/>
          <w:highlight w:val="none"/>
        </w:rPr>
        <w:t>3　基本规定</w:t>
      </w:r>
      <w:r>
        <w:tab/>
      </w:r>
      <w:r>
        <w:fldChar w:fldCharType="begin"/>
      </w:r>
      <w:r>
        <w:instrText xml:space="preserve"> PAGEREF _Toc24232 \h </w:instrText>
      </w:r>
      <w:r>
        <w:fldChar w:fldCharType="separate"/>
      </w:r>
      <w:r>
        <w:t>6</w:t>
      </w:r>
      <w:r>
        <w:fldChar w:fldCharType="end"/>
      </w:r>
      <w:r>
        <w:rPr>
          <w:color w:val="auto"/>
          <w:highlight w:val="none"/>
        </w:rPr>
        <w:fldChar w:fldCharType="end"/>
      </w:r>
    </w:p>
    <w:p>
      <w:pPr>
        <w:pStyle w:val="13"/>
        <w:tabs>
          <w:tab w:val="right" w:leader="dot" w:pos="8731"/>
          <w:tab w:val="clear" w:pos="420"/>
          <w:tab w:val="clear" w:pos="9523"/>
        </w:tabs>
      </w:pPr>
      <w:r>
        <w:rPr>
          <w:color w:val="auto"/>
          <w:highlight w:val="none"/>
        </w:rPr>
        <w:fldChar w:fldCharType="begin"/>
      </w:r>
      <w:r>
        <w:rPr>
          <w:highlight w:val="none"/>
        </w:rPr>
        <w:instrText xml:space="preserve"> HYPERLINK \l _Toc6446 </w:instrText>
      </w:r>
      <w:r>
        <w:rPr>
          <w:highlight w:val="none"/>
        </w:rPr>
        <w:fldChar w:fldCharType="separate"/>
      </w:r>
      <w:r>
        <w:rPr>
          <w:rFonts w:hint="eastAsia"/>
          <w:highlight w:val="none"/>
        </w:rPr>
        <w:t>4　岩土分类</w:t>
      </w:r>
      <w:r>
        <w:tab/>
      </w:r>
      <w:r>
        <w:fldChar w:fldCharType="begin"/>
      </w:r>
      <w:r>
        <w:instrText xml:space="preserve"> PAGEREF _Toc6446 \h </w:instrText>
      </w:r>
      <w:r>
        <w:fldChar w:fldCharType="separate"/>
      </w:r>
      <w:r>
        <w:t>10</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_Toc16041 </w:instrText>
      </w:r>
      <w:r>
        <w:rPr>
          <w:highlight w:val="none"/>
        </w:rPr>
        <w:fldChar w:fldCharType="separate"/>
      </w:r>
      <w:r>
        <w:rPr>
          <w:rFonts w:ascii="Times New Roman" w:hAnsi="Times New Roman" w:eastAsia="宋体"/>
          <w:highlight w:val="none"/>
        </w:rPr>
        <w:t>4.1</w:t>
      </w:r>
      <w:r>
        <w:rPr>
          <w:rFonts w:hint="eastAsia" w:ascii="Times New Roman" w:hAnsi="Times New Roman" w:eastAsia="宋体"/>
          <w:highlight w:val="none"/>
        </w:rPr>
        <w:t>　</w:t>
      </w:r>
      <w:r>
        <w:rPr>
          <w:rFonts w:ascii="Times New Roman" w:hAnsi="Times New Roman" w:eastAsia="宋体"/>
          <w:highlight w:val="none"/>
        </w:rPr>
        <w:t>岩石分类</w:t>
      </w:r>
      <w:r>
        <w:tab/>
      </w:r>
      <w:r>
        <w:fldChar w:fldCharType="begin"/>
      </w:r>
      <w:r>
        <w:instrText xml:space="preserve"> PAGEREF _Toc16041 \h </w:instrText>
      </w:r>
      <w:r>
        <w:fldChar w:fldCharType="separate"/>
      </w:r>
      <w:r>
        <w:t>10</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_Toc3779 </w:instrText>
      </w:r>
      <w:r>
        <w:rPr>
          <w:highlight w:val="none"/>
        </w:rPr>
        <w:fldChar w:fldCharType="separate"/>
      </w:r>
      <w:r>
        <w:rPr>
          <w:rFonts w:ascii="Times New Roman" w:hAnsi="Times New Roman" w:eastAsia="宋体"/>
          <w:highlight w:val="none"/>
        </w:rPr>
        <w:t>4.2</w:t>
      </w:r>
      <w:r>
        <w:rPr>
          <w:rFonts w:hint="eastAsia" w:ascii="Times New Roman" w:hAnsi="Times New Roman" w:eastAsia="宋体"/>
          <w:highlight w:val="none"/>
        </w:rPr>
        <w:t>　</w:t>
      </w:r>
      <w:r>
        <w:rPr>
          <w:rFonts w:ascii="Times New Roman" w:hAnsi="Times New Roman" w:eastAsia="宋体"/>
          <w:highlight w:val="none"/>
        </w:rPr>
        <w:t>岩石描述</w:t>
      </w:r>
      <w:r>
        <w:tab/>
      </w:r>
      <w:r>
        <w:fldChar w:fldCharType="begin"/>
      </w:r>
      <w:r>
        <w:instrText xml:space="preserve"> PAGEREF _Toc3779 \h </w:instrText>
      </w:r>
      <w:r>
        <w:fldChar w:fldCharType="separate"/>
      </w:r>
      <w:r>
        <w:t>13</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_Toc24004 </w:instrText>
      </w:r>
      <w:r>
        <w:rPr>
          <w:highlight w:val="none"/>
        </w:rPr>
        <w:fldChar w:fldCharType="separate"/>
      </w:r>
      <w:r>
        <w:rPr>
          <w:rFonts w:ascii="Times New Roman" w:hAnsi="Times New Roman" w:eastAsia="宋体"/>
          <w:highlight w:val="none"/>
        </w:rPr>
        <w:t>4.3</w:t>
      </w:r>
      <w:r>
        <w:rPr>
          <w:rFonts w:hint="eastAsia" w:ascii="Times New Roman" w:hAnsi="Times New Roman" w:eastAsia="宋体"/>
          <w:highlight w:val="none"/>
        </w:rPr>
        <w:t>　</w:t>
      </w:r>
      <w:r>
        <w:rPr>
          <w:rFonts w:ascii="Times New Roman" w:hAnsi="Times New Roman" w:eastAsia="宋体"/>
          <w:highlight w:val="none"/>
        </w:rPr>
        <w:t>土的分类</w:t>
      </w:r>
      <w:r>
        <w:tab/>
      </w:r>
      <w:r>
        <w:fldChar w:fldCharType="begin"/>
      </w:r>
      <w:r>
        <w:instrText xml:space="preserve"> PAGEREF _Toc24004 \h </w:instrText>
      </w:r>
      <w:r>
        <w:fldChar w:fldCharType="separate"/>
      </w:r>
      <w:r>
        <w:t>13</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_Toc28680 </w:instrText>
      </w:r>
      <w:r>
        <w:rPr>
          <w:highlight w:val="none"/>
        </w:rPr>
        <w:fldChar w:fldCharType="separate"/>
      </w:r>
      <w:r>
        <w:rPr>
          <w:rFonts w:ascii="Times New Roman" w:hAnsi="Times New Roman" w:eastAsia="宋体"/>
          <w:highlight w:val="none"/>
        </w:rPr>
        <w:t>4.4</w:t>
      </w:r>
      <w:r>
        <w:rPr>
          <w:rFonts w:hint="eastAsia" w:ascii="Times New Roman" w:hAnsi="Times New Roman" w:eastAsia="宋体"/>
          <w:highlight w:val="none"/>
        </w:rPr>
        <w:t>　</w:t>
      </w:r>
      <w:r>
        <w:rPr>
          <w:rFonts w:ascii="Times New Roman" w:hAnsi="Times New Roman" w:eastAsia="宋体"/>
          <w:highlight w:val="none"/>
        </w:rPr>
        <w:t>土的描述</w:t>
      </w:r>
      <w:r>
        <w:tab/>
      </w:r>
      <w:r>
        <w:fldChar w:fldCharType="begin"/>
      </w:r>
      <w:r>
        <w:instrText xml:space="preserve"> PAGEREF _Toc28680 \h </w:instrText>
      </w:r>
      <w:r>
        <w:fldChar w:fldCharType="separate"/>
      </w:r>
      <w:r>
        <w:t>17</w:t>
      </w:r>
      <w:r>
        <w:fldChar w:fldCharType="end"/>
      </w:r>
      <w:r>
        <w:rPr>
          <w:color w:val="auto"/>
          <w:highlight w:val="none"/>
        </w:rPr>
        <w:fldChar w:fldCharType="end"/>
      </w:r>
    </w:p>
    <w:p>
      <w:pPr>
        <w:pStyle w:val="13"/>
        <w:tabs>
          <w:tab w:val="right" w:leader="dot" w:pos="8731"/>
          <w:tab w:val="clear" w:pos="420"/>
          <w:tab w:val="clear" w:pos="9523"/>
        </w:tabs>
      </w:pPr>
      <w:r>
        <w:rPr>
          <w:color w:val="auto"/>
          <w:highlight w:val="none"/>
        </w:rPr>
        <w:fldChar w:fldCharType="begin"/>
      </w:r>
      <w:r>
        <w:rPr>
          <w:highlight w:val="none"/>
        </w:rPr>
        <w:instrText xml:space="preserve"> HYPERLINK \l _Toc17365 </w:instrText>
      </w:r>
      <w:r>
        <w:rPr>
          <w:highlight w:val="none"/>
        </w:rPr>
        <w:fldChar w:fldCharType="separate"/>
      </w:r>
      <w:r>
        <w:rPr>
          <w:rFonts w:hint="eastAsia"/>
          <w:highlight w:val="none"/>
        </w:rPr>
        <w:t>5　城市道路工程</w:t>
      </w:r>
      <w:r>
        <w:tab/>
      </w:r>
      <w:r>
        <w:fldChar w:fldCharType="begin"/>
      </w:r>
      <w:r>
        <w:instrText xml:space="preserve"> PAGEREF _Toc17365 \h </w:instrText>
      </w:r>
      <w:r>
        <w:fldChar w:fldCharType="separate"/>
      </w:r>
      <w:r>
        <w:t>20</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_Toc20303 </w:instrText>
      </w:r>
      <w:r>
        <w:rPr>
          <w:highlight w:val="none"/>
        </w:rPr>
        <w:fldChar w:fldCharType="separate"/>
      </w:r>
      <w:r>
        <w:rPr>
          <w:rFonts w:ascii="Times New Roman" w:hAnsi="Times New Roman" w:eastAsia="宋体"/>
          <w:highlight w:val="none"/>
        </w:rPr>
        <w:t>5.1</w:t>
      </w:r>
      <w:r>
        <w:rPr>
          <w:highlight w:val="none"/>
        </w:rPr>
        <w:t>　</w:t>
      </w:r>
      <w:r>
        <w:rPr>
          <w:rFonts w:ascii="Times New Roman" w:hAnsi="Times New Roman" w:eastAsia="宋体"/>
          <w:highlight w:val="none"/>
        </w:rPr>
        <w:t>一般规定</w:t>
      </w:r>
      <w:r>
        <w:tab/>
      </w:r>
      <w:r>
        <w:fldChar w:fldCharType="begin"/>
      </w:r>
      <w:r>
        <w:instrText xml:space="preserve"> PAGEREF _Toc20303 \h </w:instrText>
      </w:r>
      <w:r>
        <w:fldChar w:fldCharType="separate"/>
      </w:r>
      <w:r>
        <w:t>20</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_Toc25643 </w:instrText>
      </w:r>
      <w:r>
        <w:rPr>
          <w:highlight w:val="none"/>
        </w:rPr>
        <w:fldChar w:fldCharType="separate"/>
      </w:r>
      <w:r>
        <w:rPr>
          <w:rFonts w:ascii="Times New Roman" w:hAnsi="Times New Roman" w:eastAsia="宋体"/>
          <w:highlight w:val="none"/>
        </w:rPr>
        <w:t>5.2</w:t>
      </w:r>
      <w:r>
        <w:rPr>
          <w:highlight w:val="none"/>
        </w:rPr>
        <w:t>　</w:t>
      </w:r>
      <w:r>
        <w:rPr>
          <w:rFonts w:ascii="Times New Roman" w:hAnsi="Times New Roman" w:eastAsia="宋体"/>
          <w:highlight w:val="none"/>
        </w:rPr>
        <w:t>可行性研究勘察</w:t>
      </w:r>
      <w:r>
        <w:tab/>
      </w:r>
      <w:r>
        <w:fldChar w:fldCharType="begin"/>
      </w:r>
      <w:r>
        <w:instrText xml:space="preserve"> PAGEREF _Toc25643 \h </w:instrText>
      </w:r>
      <w:r>
        <w:fldChar w:fldCharType="separate"/>
      </w:r>
      <w:r>
        <w:t>21</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_Toc23531 </w:instrText>
      </w:r>
      <w:r>
        <w:rPr>
          <w:highlight w:val="none"/>
        </w:rPr>
        <w:fldChar w:fldCharType="separate"/>
      </w:r>
      <w:r>
        <w:rPr>
          <w:rFonts w:ascii="Times New Roman" w:hAnsi="Times New Roman" w:eastAsia="宋体"/>
          <w:highlight w:val="none"/>
        </w:rPr>
        <w:t>5.3</w:t>
      </w:r>
      <w:r>
        <w:rPr>
          <w:highlight w:val="none"/>
        </w:rPr>
        <w:t>　</w:t>
      </w:r>
      <w:r>
        <w:rPr>
          <w:rFonts w:ascii="Times New Roman" w:hAnsi="Times New Roman" w:eastAsia="宋体"/>
          <w:highlight w:val="none"/>
        </w:rPr>
        <w:t>初步勘察</w:t>
      </w:r>
      <w:r>
        <w:tab/>
      </w:r>
      <w:r>
        <w:fldChar w:fldCharType="begin"/>
      </w:r>
      <w:r>
        <w:instrText xml:space="preserve"> PAGEREF _Toc23531 \h </w:instrText>
      </w:r>
      <w:r>
        <w:fldChar w:fldCharType="separate"/>
      </w:r>
      <w:r>
        <w:t>21</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_Toc32030 </w:instrText>
      </w:r>
      <w:r>
        <w:rPr>
          <w:highlight w:val="none"/>
        </w:rPr>
        <w:fldChar w:fldCharType="separate"/>
      </w:r>
      <w:r>
        <w:rPr>
          <w:rFonts w:ascii="Times New Roman" w:hAnsi="Times New Roman" w:eastAsia="宋体"/>
          <w:highlight w:val="none"/>
        </w:rPr>
        <w:t>5.4</w:t>
      </w:r>
      <w:r>
        <w:rPr>
          <w:highlight w:val="none"/>
        </w:rPr>
        <w:t>　</w:t>
      </w:r>
      <w:r>
        <w:rPr>
          <w:rFonts w:ascii="Times New Roman" w:hAnsi="Times New Roman" w:eastAsia="宋体"/>
          <w:highlight w:val="none"/>
        </w:rPr>
        <w:t>详细勘察</w:t>
      </w:r>
      <w:r>
        <w:tab/>
      </w:r>
      <w:r>
        <w:fldChar w:fldCharType="begin"/>
      </w:r>
      <w:r>
        <w:instrText xml:space="preserve"> PAGEREF _Toc32030 \h </w:instrText>
      </w:r>
      <w:r>
        <w:fldChar w:fldCharType="separate"/>
      </w:r>
      <w:r>
        <w:t>23</w:t>
      </w:r>
      <w:r>
        <w:fldChar w:fldCharType="end"/>
      </w:r>
      <w:r>
        <w:rPr>
          <w:color w:val="auto"/>
          <w:highlight w:val="none"/>
        </w:rPr>
        <w:fldChar w:fldCharType="end"/>
      </w:r>
    </w:p>
    <w:p>
      <w:pPr>
        <w:pStyle w:val="13"/>
        <w:tabs>
          <w:tab w:val="right" w:leader="dot" w:pos="8731"/>
          <w:tab w:val="clear" w:pos="420"/>
          <w:tab w:val="clear" w:pos="9523"/>
        </w:tabs>
      </w:pPr>
      <w:r>
        <w:rPr>
          <w:color w:val="auto"/>
          <w:highlight w:val="none"/>
        </w:rPr>
        <w:fldChar w:fldCharType="begin"/>
      </w:r>
      <w:r>
        <w:rPr>
          <w:highlight w:val="none"/>
        </w:rPr>
        <w:instrText xml:space="preserve"> HYPERLINK \l _Toc15835 </w:instrText>
      </w:r>
      <w:r>
        <w:rPr>
          <w:highlight w:val="none"/>
        </w:rPr>
        <w:fldChar w:fldCharType="separate"/>
      </w:r>
      <w:r>
        <w:rPr>
          <w:rFonts w:hint="eastAsia"/>
          <w:highlight w:val="none"/>
        </w:rPr>
        <w:t>6　城市桥涵工程</w:t>
      </w:r>
      <w:r>
        <w:tab/>
      </w:r>
      <w:r>
        <w:fldChar w:fldCharType="begin"/>
      </w:r>
      <w:r>
        <w:instrText xml:space="preserve"> PAGEREF _Toc15835 \h </w:instrText>
      </w:r>
      <w:r>
        <w:fldChar w:fldCharType="separate"/>
      </w:r>
      <w:r>
        <w:t>26</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_Toc5526 </w:instrText>
      </w:r>
      <w:r>
        <w:rPr>
          <w:highlight w:val="none"/>
        </w:rPr>
        <w:fldChar w:fldCharType="separate"/>
      </w:r>
      <w:r>
        <w:rPr>
          <w:rFonts w:ascii="Times New Roman" w:hAnsi="Times New Roman" w:eastAsia="宋体"/>
          <w:highlight w:val="none"/>
        </w:rPr>
        <w:t>6.1</w:t>
      </w:r>
      <w:r>
        <w:rPr>
          <w:rFonts w:hint="eastAsia" w:ascii="Times New Roman" w:hAnsi="Times New Roman" w:eastAsia="宋体"/>
          <w:highlight w:val="none"/>
        </w:rPr>
        <w:t>　</w:t>
      </w:r>
      <w:r>
        <w:rPr>
          <w:rFonts w:ascii="Times New Roman" w:hAnsi="Times New Roman" w:eastAsia="宋体"/>
          <w:highlight w:val="none"/>
        </w:rPr>
        <w:t>一般规定</w:t>
      </w:r>
      <w:r>
        <w:tab/>
      </w:r>
      <w:r>
        <w:fldChar w:fldCharType="begin"/>
      </w:r>
      <w:r>
        <w:instrText xml:space="preserve"> PAGEREF _Toc5526 \h </w:instrText>
      </w:r>
      <w:r>
        <w:fldChar w:fldCharType="separate"/>
      </w:r>
      <w:r>
        <w:t>26</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_Toc27587 </w:instrText>
      </w:r>
      <w:r>
        <w:rPr>
          <w:highlight w:val="none"/>
        </w:rPr>
        <w:fldChar w:fldCharType="separate"/>
      </w:r>
      <w:r>
        <w:rPr>
          <w:rFonts w:ascii="Times New Roman" w:hAnsi="Times New Roman" w:eastAsia="宋体"/>
          <w:highlight w:val="none"/>
        </w:rPr>
        <w:t>6.2</w:t>
      </w:r>
      <w:r>
        <w:rPr>
          <w:rFonts w:hint="eastAsia" w:ascii="Times New Roman" w:hAnsi="Times New Roman" w:eastAsia="宋体"/>
          <w:highlight w:val="none"/>
        </w:rPr>
        <w:t>　</w:t>
      </w:r>
      <w:r>
        <w:rPr>
          <w:rFonts w:ascii="Times New Roman" w:hAnsi="Times New Roman" w:eastAsia="宋体"/>
          <w:highlight w:val="none"/>
        </w:rPr>
        <w:t>可行性研究勘察</w:t>
      </w:r>
      <w:r>
        <w:tab/>
      </w:r>
      <w:r>
        <w:fldChar w:fldCharType="begin"/>
      </w:r>
      <w:r>
        <w:instrText xml:space="preserve"> PAGEREF _Toc27587 \h </w:instrText>
      </w:r>
      <w:r>
        <w:fldChar w:fldCharType="separate"/>
      </w:r>
      <w:r>
        <w:t>26</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_Toc3989 </w:instrText>
      </w:r>
      <w:r>
        <w:rPr>
          <w:highlight w:val="none"/>
        </w:rPr>
        <w:fldChar w:fldCharType="separate"/>
      </w:r>
      <w:r>
        <w:rPr>
          <w:rFonts w:ascii="Times New Roman" w:hAnsi="Times New Roman" w:eastAsia="宋体"/>
          <w:highlight w:val="none"/>
        </w:rPr>
        <w:t>6.3</w:t>
      </w:r>
      <w:r>
        <w:rPr>
          <w:rFonts w:hint="eastAsia" w:ascii="Times New Roman" w:hAnsi="Times New Roman" w:eastAsia="宋体"/>
          <w:highlight w:val="none"/>
        </w:rPr>
        <w:t>　</w:t>
      </w:r>
      <w:r>
        <w:rPr>
          <w:rFonts w:ascii="Times New Roman" w:hAnsi="Times New Roman" w:eastAsia="宋体"/>
          <w:highlight w:val="none"/>
        </w:rPr>
        <w:t>初步勘察</w:t>
      </w:r>
      <w:r>
        <w:tab/>
      </w:r>
      <w:r>
        <w:fldChar w:fldCharType="begin"/>
      </w:r>
      <w:r>
        <w:instrText xml:space="preserve"> PAGEREF _Toc3989 \h </w:instrText>
      </w:r>
      <w:r>
        <w:fldChar w:fldCharType="separate"/>
      </w:r>
      <w:r>
        <w:t>27</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_Toc13762 </w:instrText>
      </w:r>
      <w:r>
        <w:rPr>
          <w:highlight w:val="none"/>
        </w:rPr>
        <w:fldChar w:fldCharType="separate"/>
      </w:r>
      <w:r>
        <w:rPr>
          <w:rFonts w:ascii="Times New Roman" w:hAnsi="Times New Roman" w:eastAsia="宋体"/>
          <w:highlight w:val="none"/>
        </w:rPr>
        <w:t>6.4</w:t>
      </w:r>
      <w:r>
        <w:rPr>
          <w:rFonts w:hint="eastAsia" w:ascii="Times New Roman" w:hAnsi="Times New Roman" w:eastAsia="宋体"/>
          <w:highlight w:val="none"/>
        </w:rPr>
        <w:t>　</w:t>
      </w:r>
      <w:r>
        <w:rPr>
          <w:rFonts w:ascii="Times New Roman" w:hAnsi="Times New Roman" w:eastAsia="宋体"/>
          <w:highlight w:val="none"/>
        </w:rPr>
        <w:t>详细勘察</w:t>
      </w:r>
      <w:r>
        <w:tab/>
      </w:r>
      <w:r>
        <w:fldChar w:fldCharType="begin"/>
      </w:r>
      <w:r>
        <w:instrText xml:space="preserve"> PAGEREF _Toc13762 \h </w:instrText>
      </w:r>
      <w:r>
        <w:fldChar w:fldCharType="separate"/>
      </w:r>
      <w:r>
        <w:t>28</w:t>
      </w:r>
      <w:r>
        <w:fldChar w:fldCharType="end"/>
      </w:r>
      <w:r>
        <w:rPr>
          <w:color w:val="auto"/>
          <w:highlight w:val="none"/>
        </w:rPr>
        <w:fldChar w:fldCharType="end"/>
      </w:r>
    </w:p>
    <w:p>
      <w:pPr>
        <w:pStyle w:val="13"/>
        <w:tabs>
          <w:tab w:val="right" w:leader="dot" w:pos="8731"/>
          <w:tab w:val="clear" w:pos="420"/>
          <w:tab w:val="clear" w:pos="9523"/>
        </w:tabs>
      </w:pPr>
      <w:r>
        <w:rPr>
          <w:color w:val="auto"/>
          <w:highlight w:val="none"/>
        </w:rPr>
        <w:fldChar w:fldCharType="begin"/>
      </w:r>
      <w:r>
        <w:rPr>
          <w:highlight w:val="none"/>
        </w:rPr>
        <w:instrText xml:space="preserve"> HYPERLINK \l _Toc16448 </w:instrText>
      </w:r>
      <w:r>
        <w:rPr>
          <w:highlight w:val="none"/>
        </w:rPr>
        <w:fldChar w:fldCharType="separate"/>
      </w:r>
      <w:r>
        <w:rPr>
          <w:rFonts w:hint="eastAsia"/>
          <w:highlight w:val="none"/>
        </w:rPr>
        <w:t>7　城市隧道工程</w:t>
      </w:r>
      <w:r>
        <w:tab/>
      </w:r>
      <w:r>
        <w:fldChar w:fldCharType="begin"/>
      </w:r>
      <w:r>
        <w:instrText xml:space="preserve"> PAGEREF _Toc16448 \h </w:instrText>
      </w:r>
      <w:r>
        <w:fldChar w:fldCharType="separate"/>
      </w:r>
      <w:r>
        <w:t>31</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_Toc21480 </w:instrText>
      </w:r>
      <w:r>
        <w:rPr>
          <w:highlight w:val="none"/>
        </w:rPr>
        <w:fldChar w:fldCharType="separate"/>
      </w:r>
      <w:r>
        <w:rPr>
          <w:rFonts w:ascii="Times New Roman" w:hAnsi="Times New Roman" w:eastAsia="宋体"/>
          <w:highlight w:val="none"/>
        </w:rPr>
        <w:t>7.1</w:t>
      </w:r>
      <w:r>
        <w:rPr>
          <w:rFonts w:hint="eastAsia" w:ascii="Times New Roman" w:hAnsi="Times New Roman" w:eastAsia="宋体"/>
          <w:highlight w:val="none"/>
        </w:rPr>
        <w:t>　</w:t>
      </w:r>
      <w:r>
        <w:rPr>
          <w:rFonts w:ascii="Times New Roman" w:hAnsi="Times New Roman" w:eastAsia="宋体"/>
          <w:highlight w:val="none"/>
        </w:rPr>
        <w:t>一般规定</w:t>
      </w:r>
      <w:r>
        <w:tab/>
      </w:r>
      <w:r>
        <w:fldChar w:fldCharType="begin"/>
      </w:r>
      <w:r>
        <w:instrText xml:space="preserve"> PAGEREF _Toc21480 \h </w:instrText>
      </w:r>
      <w:r>
        <w:fldChar w:fldCharType="separate"/>
      </w:r>
      <w:r>
        <w:t>31</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_Toc16634 </w:instrText>
      </w:r>
      <w:r>
        <w:rPr>
          <w:highlight w:val="none"/>
        </w:rPr>
        <w:fldChar w:fldCharType="separate"/>
      </w:r>
      <w:r>
        <w:rPr>
          <w:rFonts w:ascii="Times New Roman" w:hAnsi="Times New Roman" w:eastAsia="宋体"/>
          <w:highlight w:val="none"/>
        </w:rPr>
        <w:t>7.2</w:t>
      </w:r>
      <w:r>
        <w:rPr>
          <w:rFonts w:hint="eastAsia" w:ascii="Times New Roman" w:hAnsi="Times New Roman" w:eastAsia="宋体"/>
          <w:highlight w:val="none"/>
        </w:rPr>
        <w:t>　</w:t>
      </w:r>
      <w:r>
        <w:rPr>
          <w:rFonts w:ascii="Times New Roman" w:hAnsi="Times New Roman" w:eastAsia="宋体"/>
          <w:highlight w:val="none"/>
        </w:rPr>
        <w:t>可行性研究勘察</w:t>
      </w:r>
      <w:r>
        <w:tab/>
      </w:r>
      <w:r>
        <w:fldChar w:fldCharType="begin"/>
      </w:r>
      <w:r>
        <w:instrText xml:space="preserve"> PAGEREF _Toc16634 \h </w:instrText>
      </w:r>
      <w:r>
        <w:fldChar w:fldCharType="separate"/>
      </w:r>
      <w:r>
        <w:t>33</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_Toc32082 </w:instrText>
      </w:r>
      <w:r>
        <w:rPr>
          <w:highlight w:val="none"/>
        </w:rPr>
        <w:fldChar w:fldCharType="separate"/>
      </w:r>
      <w:r>
        <w:rPr>
          <w:rFonts w:ascii="Times New Roman" w:hAnsi="Times New Roman" w:eastAsia="宋体"/>
          <w:highlight w:val="none"/>
        </w:rPr>
        <w:t>7.3</w:t>
      </w:r>
      <w:r>
        <w:rPr>
          <w:rFonts w:hint="eastAsia" w:ascii="Times New Roman" w:hAnsi="Times New Roman" w:eastAsia="宋体"/>
          <w:highlight w:val="none"/>
        </w:rPr>
        <w:t>　</w:t>
      </w:r>
      <w:r>
        <w:rPr>
          <w:rFonts w:ascii="Times New Roman" w:hAnsi="Times New Roman" w:eastAsia="宋体"/>
          <w:highlight w:val="none"/>
        </w:rPr>
        <w:t>初步勘察</w:t>
      </w:r>
      <w:r>
        <w:tab/>
      </w:r>
      <w:r>
        <w:fldChar w:fldCharType="begin"/>
      </w:r>
      <w:r>
        <w:instrText xml:space="preserve"> PAGEREF _Toc32082 \h </w:instrText>
      </w:r>
      <w:r>
        <w:fldChar w:fldCharType="separate"/>
      </w:r>
      <w:r>
        <w:t>34</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_Toc2703 </w:instrText>
      </w:r>
      <w:r>
        <w:rPr>
          <w:highlight w:val="none"/>
        </w:rPr>
        <w:fldChar w:fldCharType="separate"/>
      </w:r>
      <w:r>
        <w:rPr>
          <w:rFonts w:ascii="Times New Roman" w:hAnsi="Times New Roman" w:eastAsia="宋体"/>
          <w:highlight w:val="none"/>
        </w:rPr>
        <w:t>7.4</w:t>
      </w:r>
      <w:r>
        <w:rPr>
          <w:rFonts w:hint="eastAsia" w:ascii="Times New Roman" w:hAnsi="Times New Roman" w:eastAsia="宋体"/>
          <w:highlight w:val="none"/>
        </w:rPr>
        <w:t>　</w:t>
      </w:r>
      <w:r>
        <w:rPr>
          <w:rFonts w:ascii="Times New Roman" w:hAnsi="Times New Roman" w:eastAsia="宋体"/>
          <w:highlight w:val="none"/>
        </w:rPr>
        <w:t>详细勘察</w:t>
      </w:r>
      <w:r>
        <w:tab/>
      </w:r>
      <w:r>
        <w:fldChar w:fldCharType="begin"/>
      </w:r>
      <w:r>
        <w:instrText xml:space="preserve"> PAGEREF _Toc2703 \h </w:instrText>
      </w:r>
      <w:r>
        <w:fldChar w:fldCharType="separate"/>
      </w:r>
      <w:r>
        <w:t>35</w:t>
      </w:r>
      <w:r>
        <w:fldChar w:fldCharType="end"/>
      </w:r>
      <w:r>
        <w:rPr>
          <w:color w:val="auto"/>
          <w:highlight w:val="none"/>
        </w:rPr>
        <w:fldChar w:fldCharType="end"/>
      </w:r>
    </w:p>
    <w:p>
      <w:pPr>
        <w:pStyle w:val="13"/>
        <w:tabs>
          <w:tab w:val="right" w:leader="dot" w:pos="8731"/>
          <w:tab w:val="clear" w:pos="420"/>
          <w:tab w:val="clear" w:pos="9523"/>
        </w:tabs>
      </w:pPr>
      <w:r>
        <w:rPr>
          <w:color w:val="auto"/>
          <w:highlight w:val="none"/>
        </w:rPr>
        <w:fldChar w:fldCharType="begin"/>
      </w:r>
      <w:r>
        <w:rPr>
          <w:highlight w:val="none"/>
        </w:rPr>
        <w:instrText xml:space="preserve"> HYPERLINK \l _Toc30010 </w:instrText>
      </w:r>
      <w:r>
        <w:rPr>
          <w:highlight w:val="none"/>
        </w:rPr>
        <w:fldChar w:fldCharType="separate"/>
      </w:r>
      <w:r>
        <w:rPr>
          <w:rFonts w:hint="eastAsia"/>
          <w:highlight w:val="none"/>
        </w:rPr>
        <w:t>8　城市给排水厂站工程</w:t>
      </w:r>
      <w:r>
        <w:tab/>
      </w:r>
      <w:r>
        <w:fldChar w:fldCharType="begin"/>
      </w:r>
      <w:r>
        <w:instrText xml:space="preserve"> PAGEREF _Toc30010 \h </w:instrText>
      </w:r>
      <w:r>
        <w:fldChar w:fldCharType="separate"/>
      </w:r>
      <w:r>
        <w:t>40</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_Toc12930 </w:instrText>
      </w:r>
      <w:r>
        <w:rPr>
          <w:highlight w:val="none"/>
        </w:rPr>
        <w:fldChar w:fldCharType="separate"/>
      </w:r>
      <w:r>
        <w:rPr>
          <w:rFonts w:ascii="Times New Roman" w:hAnsi="Times New Roman" w:eastAsia="宋体"/>
          <w:highlight w:val="none"/>
        </w:rPr>
        <w:t>8.1</w:t>
      </w:r>
      <w:r>
        <w:rPr>
          <w:rFonts w:hint="eastAsia" w:ascii="Times New Roman" w:hAnsi="Times New Roman" w:eastAsia="宋体"/>
          <w:highlight w:val="none"/>
        </w:rPr>
        <w:t>　</w:t>
      </w:r>
      <w:r>
        <w:rPr>
          <w:rFonts w:ascii="Times New Roman" w:hAnsi="Times New Roman" w:eastAsia="宋体"/>
          <w:highlight w:val="none"/>
        </w:rPr>
        <w:t>一般规定</w:t>
      </w:r>
      <w:r>
        <w:tab/>
      </w:r>
      <w:r>
        <w:fldChar w:fldCharType="begin"/>
      </w:r>
      <w:r>
        <w:instrText xml:space="preserve"> PAGEREF _Toc12930 \h </w:instrText>
      </w:r>
      <w:r>
        <w:fldChar w:fldCharType="separate"/>
      </w:r>
      <w:r>
        <w:t>40</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_Toc9600 </w:instrText>
      </w:r>
      <w:r>
        <w:rPr>
          <w:highlight w:val="none"/>
        </w:rPr>
        <w:fldChar w:fldCharType="separate"/>
      </w:r>
      <w:r>
        <w:rPr>
          <w:rFonts w:ascii="Times New Roman" w:hAnsi="Times New Roman" w:eastAsia="宋体"/>
          <w:highlight w:val="none"/>
        </w:rPr>
        <w:t>8.2</w:t>
      </w:r>
      <w:r>
        <w:rPr>
          <w:rFonts w:hint="eastAsia" w:ascii="Times New Roman" w:hAnsi="Times New Roman" w:eastAsia="宋体"/>
          <w:highlight w:val="none"/>
        </w:rPr>
        <w:t>　</w:t>
      </w:r>
      <w:r>
        <w:rPr>
          <w:rFonts w:ascii="Times New Roman" w:hAnsi="Times New Roman" w:eastAsia="宋体"/>
          <w:highlight w:val="none"/>
        </w:rPr>
        <w:t>可行性研究勘察</w:t>
      </w:r>
      <w:r>
        <w:tab/>
      </w:r>
      <w:r>
        <w:fldChar w:fldCharType="begin"/>
      </w:r>
      <w:r>
        <w:instrText xml:space="preserve"> PAGEREF _Toc9600 \h </w:instrText>
      </w:r>
      <w:r>
        <w:fldChar w:fldCharType="separate"/>
      </w:r>
      <w:r>
        <w:t>40</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_Toc9207 </w:instrText>
      </w:r>
      <w:r>
        <w:rPr>
          <w:highlight w:val="none"/>
        </w:rPr>
        <w:fldChar w:fldCharType="separate"/>
      </w:r>
      <w:r>
        <w:rPr>
          <w:rFonts w:ascii="Times New Roman" w:hAnsi="Times New Roman" w:eastAsia="宋体"/>
          <w:highlight w:val="none"/>
        </w:rPr>
        <w:t>8.3</w:t>
      </w:r>
      <w:r>
        <w:rPr>
          <w:rFonts w:hint="eastAsia" w:ascii="Times New Roman" w:hAnsi="Times New Roman" w:eastAsia="宋体"/>
          <w:highlight w:val="none"/>
        </w:rPr>
        <w:t>　</w:t>
      </w:r>
      <w:r>
        <w:rPr>
          <w:rFonts w:ascii="Times New Roman" w:hAnsi="Times New Roman" w:eastAsia="宋体"/>
          <w:highlight w:val="none"/>
        </w:rPr>
        <w:t>初步勘察</w:t>
      </w:r>
      <w:r>
        <w:tab/>
      </w:r>
      <w:r>
        <w:fldChar w:fldCharType="begin"/>
      </w:r>
      <w:r>
        <w:instrText xml:space="preserve"> PAGEREF _Toc9207 \h </w:instrText>
      </w:r>
      <w:r>
        <w:fldChar w:fldCharType="separate"/>
      </w:r>
      <w:r>
        <w:t>41</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_Toc23152 </w:instrText>
      </w:r>
      <w:r>
        <w:rPr>
          <w:highlight w:val="none"/>
        </w:rPr>
        <w:fldChar w:fldCharType="separate"/>
      </w:r>
      <w:r>
        <w:rPr>
          <w:rFonts w:ascii="Times New Roman" w:hAnsi="Times New Roman" w:eastAsia="宋体"/>
          <w:highlight w:val="none"/>
        </w:rPr>
        <w:t>8.4</w:t>
      </w:r>
      <w:r>
        <w:rPr>
          <w:rFonts w:hint="eastAsia" w:ascii="Times New Roman" w:hAnsi="Times New Roman" w:eastAsia="宋体"/>
          <w:highlight w:val="none"/>
        </w:rPr>
        <w:t>　</w:t>
      </w:r>
      <w:r>
        <w:rPr>
          <w:rFonts w:ascii="Times New Roman" w:hAnsi="Times New Roman" w:eastAsia="宋体"/>
          <w:highlight w:val="none"/>
        </w:rPr>
        <w:t>详细勘察</w:t>
      </w:r>
      <w:r>
        <w:tab/>
      </w:r>
      <w:r>
        <w:fldChar w:fldCharType="begin"/>
      </w:r>
      <w:r>
        <w:instrText xml:space="preserve"> PAGEREF _Toc23152 \h </w:instrText>
      </w:r>
      <w:r>
        <w:fldChar w:fldCharType="separate"/>
      </w:r>
      <w:r>
        <w:t>42</w:t>
      </w:r>
      <w:r>
        <w:fldChar w:fldCharType="end"/>
      </w:r>
      <w:r>
        <w:rPr>
          <w:color w:val="auto"/>
          <w:highlight w:val="none"/>
        </w:rPr>
        <w:fldChar w:fldCharType="end"/>
      </w:r>
    </w:p>
    <w:p>
      <w:pPr>
        <w:pStyle w:val="13"/>
        <w:tabs>
          <w:tab w:val="right" w:leader="dot" w:pos="8731"/>
          <w:tab w:val="clear" w:pos="420"/>
          <w:tab w:val="clear" w:pos="9523"/>
        </w:tabs>
      </w:pPr>
      <w:r>
        <w:rPr>
          <w:color w:val="auto"/>
          <w:highlight w:val="none"/>
        </w:rPr>
        <w:fldChar w:fldCharType="begin"/>
      </w:r>
      <w:r>
        <w:rPr>
          <w:highlight w:val="none"/>
        </w:rPr>
        <w:instrText xml:space="preserve"> HYPERLINK \l _Toc14551 </w:instrText>
      </w:r>
      <w:r>
        <w:rPr>
          <w:highlight w:val="none"/>
        </w:rPr>
        <w:fldChar w:fldCharType="separate"/>
      </w:r>
      <w:r>
        <w:rPr>
          <w:rFonts w:hint="eastAsia"/>
          <w:highlight w:val="none"/>
        </w:rPr>
        <w:t>9　城市室外管道工程</w:t>
      </w:r>
      <w:r>
        <w:tab/>
      </w:r>
      <w:r>
        <w:fldChar w:fldCharType="begin"/>
      </w:r>
      <w:r>
        <w:instrText xml:space="preserve"> PAGEREF _Toc14551 \h </w:instrText>
      </w:r>
      <w:r>
        <w:fldChar w:fldCharType="separate"/>
      </w:r>
      <w:r>
        <w:t>45</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_Toc4569 </w:instrText>
      </w:r>
      <w:r>
        <w:rPr>
          <w:highlight w:val="none"/>
        </w:rPr>
        <w:fldChar w:fldCharType="separate"/>
      </w:r>
      <w:r>
        <w:rPr>
          <w:rFonts w:ascii="Times New Roman" w:hAnsi="Times New Roman" w:eastAsia="宋体"/>
          <w:highlight w:val="none"/>
        </w:rPr>
        <w:t>9.1</w:t>
      </w:r>
      <w:r>
        <w:rPr>
          <w:rFonts w:hint="eastAsia" w:ascii="Times New Roman" w:hAnsi="Times New Roman" w:eastAsia="宋体"/>
          <w:highlight w:val="none"/>
        </w:rPr>
        <w:t>　</w:t>
      </w:r>
      <w:r>
        <w:rPr>
          <w:rFonts w:ascii="Times New Roman" w:hAnsi="Times New Roman" w:eastAsia="宋体"/>
          <w:highlight w:val="none"/>
        </w:rPr>
        <w:t>一般规定</w:t>
      </w:r>
      <w:r>
        <w:tab/>
      </w:r>
      <w:r>
        <w:fldChar w:fldCharType="begin"/>
      </w:r>
      <w:r>
        <w:instrText xml:space="preserve"> PAGEREF _Toc4569 \h </w:instrText>
      </w:r>
      <w:r>
        <w:fldChar w:fldCharType="separate"/>
      </w:r>
      <w:r>
        <w:t>45</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_Toc32028 </w:instrText>
      </w:r>
      <w:r>
        <w:rPr>
          <w:highlight w:val="none"/>
        </w:rPr>
        <w:fldChar w:fldCharType="separate"/>
      </w:r>
      <w:r>
        <w:rPr>
          <w:rFonts w:ascii="Times New Roman" w:hAnsi="Times New Roman" w:eastAsia="宋体"/>
          <w:highlight w:val="none"/>
        </w:rPr>
        <w:t>9.2</w:t>
      </w:r>
      <w:r>
        <w:rPr>
          <w:rFonts w:hint="eastAsia" w:ascii="Times New Roman" w:hAnsi="Times New Roman" w:eastAsia="宋体"/>
          <w:highlight w:val="none"/>
        </w:rPr>
        <w:t>　</w:t>
      </w:r>
      <w:r>
        <w:rPr>
          <w:rFonts w:ascii="Times New Roman" w:hAnsi="Times New Roman" w:eastAsia="宋体"/>
          <w:highlight w:val="none"/>
        </w:rPr>
        <w:t>可行性研究勘察</w:t>
      </w:r>
      <w:r>
        <w:tab/>
      </w:r>
      <w:r>
        <w:fldChar w:fldCharType="begin"/>
      </w:r>
      <w:r>
        <w:instrText xml:space="preserve"> PAGEREF _Toc32028 \h </w:instrText>
      </w:r>
      <w:r>
        <w:fldChar w:fldCharType="separate"/>
      </w:r>
      <w:r>
        <w:t>46</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_Toc8109 </w:instrText>
      </w:r>
      <w:r>
        <w:rPr>
          <w:highlight w:val="none"/>
        </w:rPr>
        <w:fldChar w:fldCharType="separate"/>
      </w:r>
      <w:r>
        <w:rPr>
          <w:rFonts w:ascii="Times New Roman" w:hAnsi="Times New Roman" w:eastAsia="宋体"/>
          <w:highlight w:val="none"/>
        </w:rPr>
        <w:t>9.3</w:t>
      </w:r>
      <w:r>
        <w:rPr>
          <w:rFonts w:hint="eastAsia" w:ascii="Times New Roman" w:hAnsi="Times New Roman" w:eastAsia="宋体"/>
          <w:highlight w:val="none"/>
        </w:rPr>
        <w:t>　</w:t>
      </w:r>
      <w:r>
        <w:rPr>
          <w:rFonts w:ascii="Times New Roman" w:hAnsi="Times New Roman" w:eastAsia="宋体"/>
          <w:highlight w:val="none"/>
        </w:rPr>
        <w:t>初步勘察</w:t>
      </w:r>
      <w:r>
        <w:tab/>
      </w:r>
      <w:r>
        <w:fldChar w:fldCharType="begin"/>
      </w:r>
      <w:r>
        <w:instrText xml:space="preserve"> PAGEREF _Toc8109 \h </w:instrText>
      </w:r>
      <w:r>
        <w:fldChar w:fldCharType="separate"/>
      </w:r>
      <w:r>
        <w:t>46</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_Toc30049 </w:instrText>
      </w:r>
      <w:r>
        <w:rPr>
          <w:highlight w:val="none"/>
        </w:rPr>
        <w:fldChar w:fldCharType="separate"/>
      </w:r>
      <w:r>
        <w:rPr>
          <w:rFonts w:ascii="Times New Roman" w:hAnsi="Times New Roman" w:eastAsia="宋体"/>
          <w:highlight w:val="none"/>
        </w:rPr>
        <w:t>9.4</w:t>
      </w:r>
      <w:r>
        <w:rPr>
          <w:rFonts w:hint="eastAsia" w:ascii="Times New Roman" w:hAnsi="Times New Roman" w:eastAsia="宋体"/>
          <w:highlight w:val="none"/>
        </w:rPr>
        <w:t>　</w:t>
      </w:r>
      <w:r>
        <w:rPr>
          <w:rFonts w:ascii="Times New Roman" w:hAnsi="Times New Roman" w:eastAsia="宋体"/>
          <w:highlight w:val="none"/>
        </w:rPr>
        <w:t>详细勘察</w:t>
      </w:r>
      <w:r>
        <w:tab/>
      </w:r>
      <w:r>
        <w:fldChar w:fldCharType="begin"/>
      </w:r>
      <w:r>
        <w:instrText xml:space="preserve"> PAGEREF _Toc30049 \h </w:instrText>
      </w:r>
      <w:r>
        <w:fldChar w:fldCharType="separate"/>
      </w:r>
      <w:r>
        <w:t>47</w:t>
      </w:r>
      <w:r>
        <w:fldChar w:fldCharType="end"/>
      </w:r>
      <w:r>
        <w:rPr>
          <w:color w:val="auto"/>
          <w:highlight w:val="none"/>
        </w:rPr>
        <w:fldChar w:fldCharType="end"/>
      </w:r>
    </w:p>
    <w:p>
      <w:pPr>
        <w:pStyle w:val="13"/>
        <w:tabs>
          <w:tab w:val="right" w:leader="dot" w:pos="8731"/>
          <w:tab w:val="clear" w:pos="420"/>
          <w:tab w:val="clear" w:pos="9523"/>
        </w:tabs>
      </w:pPr>
      <w:r>
        <w:rPr>
          <w:color w:val="auto"/>
          <w:highlight w:val="none"/>
        </w:rPr>
        <w:fldChar w:fldCharType="begin"/>
      </w:r>
      <w:r>
        <w:rPr>
          <w:highlight w:val="none"/>
        </w:rPr>
        <w:instrText xml:space="preserve"> HYPERLINK \l _Toc15548 </w:instrText>
      </w:r>
      <w:r>
        <w:rPr>
          <w:highlight w:val="none"/>
        </w:rPr>
        <w:fldChar w:fldCharType="separate"/>
      </w:r>
      <w:r>
        <w:rPr>
          <w:highlight w:val="none"/>
        </w:rPr>
        <w:t>10</w:t>
      </w:r>
      <w:r>
        <w:rPr>
          <w:rFonts w:hint="eastAsia"/>
          <w:highlight w:val="none"/>
        </w:rPr>
        <w:t>　城市</w:t>
      </w:r>
      <w:r>
        <w:rPr>
          <w:highlight w:val="none"/>
        </w:rPr>
        <w:t>综合管廊工程</w:t>
      </w:r>
      <w:r>
        <w:tab/>
      </w:r>
      <w:r>
        <w:fldChar w:fldCharType="begin"/>
      </w:r>
      <w:r>
        <w:instrText xml:space="preserve"> PAGEREF _Toc15548 \h </w:instrText>
      </w:r>
      <w:r>
        <w:fldChar w:fldCharType="separate"/>
      </w:r>
      <w:r>
        <w:t>50</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_Toc19254 </w:instrText>
      </w:r>
      <w:r>
        <w:rPr>
          <w:highlight w:val="none"/>
        </w:rPr>
        <w:fldChar w:fldCharType="separate"/>
      </w:r>
      <w:r>
        <w:rPr>
          <w:rFonts w:ascii="Times New Roman" w:hAnsi="Times New Roman" w:eastAsia="宋体"/>
          <w:highlight w:val="none"/>
        </w:rPr>
        <w:t>10.1</w:t>
      </w:r>
      <w:r>
        <w:rPr>
          <w:rFonts w:hint="eastAsia" w:ascii="Times New Roman" w:hAnsi="Times New Roman" w:eastAsia="宋体"/>
          <w:highlight w:val="none"/>
        </w:rPr>
        <w:t>　</w:t>
      </w:r>
      <w:r>
        <w:rPr>
          <w:rFonts w:ascii="Times New Roman" w:hAnsi="Times New Roman" w:eastAsia="宋体"/>
          <w:highlight w:val="none"/>
        </w:rPr>
        <w:t>一般规定</w:t>
      </w:r>
      <w:r>
        <w:tab/>
      </w:r>
      <w:r>
        <w:fldChar w:fldCharType="begin"/>
      </w:r>
      <w:r>
        <w:instrText xml:space="preserve"> PAGEREF _Toc19254 \h </w:instrText>
      </w:r>
      <w:r>
        <w:fldChar w:fldCharType="separate"/>
      </w:r>
      <w:r>
        <w:t>50</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_Toc30804 </w:instrText>
      </w:r>
      <w:r>
        <w:rPr>
          <w:highlight w:val="none"/>
        </w:rPr>
        <w:fldChar w:fldCharType="separate"/>
      </w:r>
      <w:r>
        <w:rPr>
          <w:rFonts w:ascii="Times New Roman" w:hAnsi="Times New Roman" w:eastAsia="宋体"/>
          <w:highlight w:val="none"/>
        </w:rPr>
        <w:t>10.2</w:t>
      </w:r>
      <w:r>
        <w:rPr>
          <w:rFonts w:hint="eastAsia" w:ascii="Times New Roman" w:hAnsi="Times New Roman" w:eastAsia="宋体"/>
          <w:highlight w:val="none"/>
        </w:rPr>
        <w:t>　</w:t>
      </w:r>
      <w:r>
        <w:rPr>
          <w:rFonts w:ascii="Times New Roman" w:hAnsi="Times New Roman" w:eastAsia="宋体"/>
          <w:highlight w:val="none"/>
        </w:rPr>
        <w:t>可行性研究勘察</w:t>
      </w:r>
      <w:r>
        <w:tab/>
      </w:r>
      <w:r>
        <w:fldChar w:fldCharType="begin"/>
      </w:r>
      <w:r>
        <w:instrText xml:space="preserve"> PAGEREF _Toc30804 \h </w:instrText>
      </w:r>
      <w:r>
        <w:fldChar w:fldCharType="separate"/>
      </w:r>
      <w:r>
        <w:t>50</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_Toc5316 </w:instrText>
      </w:r>
      <w:r>
        <w:rPr>
          <w:highlight w:val="none"/>
        </w:rPr>
        <w:fldChar w:fldCharType="separate"/>
      </w:r>
      <w:r>
        <w:rPr>
          <w:rFonts w:ascii="Times New Roman" w:hAnsi="Times New Roman" w:eastAsia="宋体"/>
          <w:highlight w:val="none"/>
        </w:rPr>
        <w:t>10.3</w:t>
      </w:r>
      <w:r>
        <w:rPr>
          <w:rFonts w:hint="eastAsia" w:ascii="Times New Roman" w:hAnsi="Times New Roman" w:eastAsia="宋体"/>
          <w:highlight w:val="none"/>
        </w:rPr>
        <w:t>　</w:t>
      </w:r>
      <w:r>
        <w:rPr>
          <w:rFonts w:ascii="Times New Roman" w:hAnsi="Times New Roman" w:eastAsia="宋体"/>
          <w:highlight w:val="none"/>
        </w:rPr>
        <w:t>初步勘察</w:t>
      </w:r>
      <w:r>
        <w:tab/>
      </w:r>
      <w:r>
        <w:fldChar w:fldCharType="begin"/>
      </w:r>
      <w:r>
        <w:instrText xml:space="preserve"> PAGEREF _Toc5316 \h </w:instrText>
      </w:r>
      <w:r>
        <w:fldChar w:fldCharType="separate"/>
      </w:r>
      <w:r>
        <w:t>51</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_Toc3015 </w:instrText>
      </w:r>
      <w:r>
        <w:rPr>
          <w:highlight w:val="none"/>
        </w:rPr>
        <w:fldChar w:fldCharType="separate"/>
      </w:r>
      <w:r>
        <w:rPr>
          <w:rFonts w:ascii="Times New Roman" w:hAnsi="Times New Roman" w:eastAsia="宋体"/>
          <w:highlight w:val="none"/>
        </w:rPr>
        <w:t>10.4</w:t>
      </w:r>
      <w:r>
        <w:rPr>
          <w:rFonts w:hint="eastAsia" w:ascii="Times New Roman" w:hAnsi="Times New Roman" w:eastAsia="宋体"/>
          <w:highlight w:val="none"/>
        </w:rPr>
        <w:t>　</w:t>
      </w:r>
      <w:r>
        <w:rPr>
          <w:rFonts w:ascii="Times New Roman" w:hAnsi="Times New Roman" w:eastAsia="宋体"/>
          <w:highlight w:val="none"/>
        </w:rPr>
        <w:t>详细勘察</w:t>
      </w:r>
      <w:r>
        <w:tab/>
      </w:r>
      <w:r>
        <w:fldChar w:fldCharType="begin"/>
      </w:r>
      <w:r>
        <w:instrText xml:space="preserve"> PAGEREF _Toc3015 \h </w:instrText>
      </w:r>
      <w:r>
        <w:fldChar w:fldCharType="separate"/>
      </w:r>
      <w:r>
        <w:t>53</w:t>
      </w:r>
      <w:r>
        <w:fldChar w:fldCharType="end"/>
      </w:r>
      <w:r>
        <w:rPr>
          <w:color w:val="auto"/>
          <w:highlight w:val="none"/>
        </w:rPr>
        <w:fldChar w:fldCharType="end"/>
      </w:r>
    </w:p>
    <w:p>
      <w:pPr>
        <w:pStyle w:val="13"/>
        <w:tabs>
          <w:tab w:val="right" w:leader="dot" w:pos="8731"/>
          <w:tab w:val="clear" w:pos="420"/>
          <w:tab w:val="clear" w:pos="9523"/>
        </w:tabs>
      </w:pPr>
      <w:r>
        <w:rPr>
          <w:color w:val="auto"/>
          <w:highlight w:val="none"/>
        </w:rPr>
        <w:fldChar w:fldCharType="begin"/>
      </w:r>
      <w:r>
        <w:rPr>
          <w:highlight w:val="none"/>
        </w:rPr>
        <w:instrText xml:space="preserve"> HYPERLINK \l _Toc23226 </w:instrText>
      </w:r>
      <w:r>
        <w:rPr>
          <w:highlight w:val="none"/>
        </w:rPr>
        <w:fldChar w:fldCharType="separate"/>
      </w:r>
      <w:r>
        <w:rPr>
          <w:rFonts w:hint="eastAsia"/>
          <w:highlight w:val="none"/>
        </w:rPr>
        <w:t>11　城市场地平整工程</w:t>
      </w:r>
      <w:r>
        <w:tab/>
      </w:r>
      <w:r>
        <w:fldChar w:fldCharType="begin"/>
      </w:r>
      <w:r>
        <w:instrText xml:space="preserve"> PAGEREF _Toc23226 \h </w:instrText>
      </w:r>
      <w:r>
        <w:fldChar w:fldCharType="separate"/>
      </w:r>
      <w:r>
        <w:t>56</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_Toc18206 </w:instrText>
      </w:r>
      <w:r>
        <w:rPr>
          <w:highlight w:val="none"/>
        </w:rPr>
        <w:fldChar w:fldCharType="separate"/>
      </w:r>
      <w:r>
        <w:rPr>
          <w:rFonts w:hint="eastAsia" w:ascii="Times New Roman" w:hAnsi="Times New Roman" w:eastAsia="宋体"/>
          <w:highlight w:val="none"/>
        </w:rPr>
        <w:t>11.</w:t>
      </w:r>
      <w:r>
        <w:rPr>
          <w:rFonts w:ascii="Times New Roman" w:hAnsi="Times New Roman" w:eastAsia="宋体"/>
          <w:highlight w:val="none"/>
        </w:rPr>
        <w:t>1</w:t>
      </w:r>
      <w:r>
        <w:rPr>
          <w:rFonts w:hint="eastAsia" w:ascii="Times New Roman" w:hAnsi="Times New Roman" w:eastAsia="宋体"/>
          <w:highlight w:val="none"/>
        </w:rPr>
        <w:t>　</w:t>
      </w:r>
      <w:r>
        <w:rPr>
          <w:rFonts w:ascii="Times New Roman" w:hAnsi="Times New Roman" w:eastAsia="宋体"/>
          <w:highlight w:val="none"/>
        </w:rPr>
        <w:t>一般规定</w:t>
      </w:r>
      <w:r>
        <w:tab/>
      </w:r>
      <w:r>
        <w:fldChar w:fldCharType="begin"/>
      </w:r>
      <w:r>
        <w:instrText xml:space="preserve"> PAGEREF _Toc18206 \h </w:instrText>
      </w:r>
      <w:r>
        <w:fldChar w:fldCharType="separate"/>
      </w:r>
      <w:r>
        <w:t>56</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_Toc22186 </w:instrText>
      </w:r>
      <w:r>
        <w:rPr>
          <w:highlight w:val="none"/>
        </w:rPr>
        <w:fldChar w:fldCharType="separate"/>
      </w:r>
      <w:r>
        <w:rPr>
          <w:rFonts w:hint="eastAsia" w:ascii="Times New Roman" w:hAnsi="Times New Roman" w:eastAsia="宋体"/>
          <w:highlight w:val="none"/>
        </w:rPr>
        <w:t>11.</w:t>
      </w:r>
      <w:r>
        <w:rPr>
          <w:rFonts w:ascii="Times New Roman" w:hAnsi="Times New Roman" w:eastAsia="宋体"/>
          <w:highlight w:val="none"/>
        </w:rPr>
        <w:t>2</w:t>
      </w:r>
      <w:r>
        <w:rPr>
          <w:rFonts w:hint="eastAsia" w:ascii="Times New Roman" w:hAnsi="Times New Roman" w:eastAsia="宋体"/>
          <w:highlight w:val="none"/>
        </w:rPr>
        <w:t>　丘陵场地平整</w:t>
      </w:r>
      <w:r>
        <w:rPr>
          <w:rFonts w:ascii="Times New Roman" w:hAnsi="Times New Roman" w:eastAsia="宋体"/>
          <w:highlight w:val="none"/>
        </w:rPr>
        <w:t>勘察</w:t>
      </w:r>
      <w:r>
        <w:tab/>
      </w:r>
      <w:r>
        <w:fldChar w:fldCharType="begin"/>
      </w:r>
      <w:r>
        <w:instrText xml:space="preserve"> PAGEREF _Toc22186 \h </w:instrText>
      </w:r>
      <w:r>
        <w:fldChar w:fldCharType="separate"/>
      </w:r>
      <w:r>
        <w:t>56</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_Toc18575 </w:instrText>
      </w:r>
      <w:r>
        <w:rPr>
          <w:highlight w:val="none"/>
        </w:rPr>
        <w:fldChar w:fldCharType="separate"/>
      </w:r>
      <w:r>
        <w:rPr>
          <w:rFonts w:hint="eastAsia" w:ascii="Times New Roman" w:hAnsi="Times New Roman" w:eastAsia="宋体"/>
          <w:highlight w:val="none"/>
        </w:rPr>
        <w:t>11.</w:t>
      </w:r>
      <w:r>
        <w:rPr>
          <w:rFonts w:ascii="Times New Roman" w:hAnsi="Times New Roman" w:eastAsia="宋体"/>
          <w:highlight w:val="none"/>
        </w:rPr>
        <w:t>3</w:t>
      </w:r>
      <w:r>
        <w:rPr>
          <w:rFonts w:hint="eastAsia" w:ascii="Times New Roman" w:hAnsi="Times New Roman" w:eastAsia="宋体"/>
          <w:highlight w:val="none"/>
        </w:rPr>
        <w:t>　滨海场地平整</w:t>
      </w:r>
      <w:r>
        <w:rPr>
          <w:rFonts w:ascii="Times New Roman" w:hAnsi="Times New Roman" w:eastAsia="宋体"/>
          <w:highlight w:val="none"/>
        </w:rPr>
        <w:t>勘察</w:t>
      </w:r>
      <w:r>
        <w:tab/>
      </w:r>
      <w:r>
        <w:fldChar w:fldCharType="begin"/>
      </w:r>
      <w:r>
        <w:instrText xml:space="preserve"> PAGEREF _Toc18575 \h </w:instrText>
      </w:r>
      <w:r>
        <w:fldChar w:fldCharType="separate"/>
      </w:r>
      <w:r>
        <w:t>58</w:t>
      </w:r>
      <w:r>
        <w:fldChar w:fldCharType="end"/>
      </w:r>
      <w:r>
        <w:rPr>
          <w:color w:val="auto"/>
          <w:highlight w:val="none"/>
        </w:rPr>
        <w:fldChar w:fldCharType="end"/>
      </w:r>
    </w:p>
    <w:p>
      <w:pPr>
        <w:pStyle w:val="13"/>
        <w:tabs>
          <w:tab w:val="right" w:leader="dot" w:pos="8731"/>
          <w:tab w:val="clear" w:pos="420"/>
          <w:tab w:val="clear" w:pos="9523"/>
        </w:tabs>
      </w:pPr>
      <w:r>
        <w:rPr>
          <w:color w:val="auto"/>
          <w:highlight w:val="none"/>
        </w:rPr>
        <w:fldChar w:fldCharType="begin"/>
      </w:r>
      <w:r>
        <w:rPr>
          <w:highlight w:val="none"/>
        </w:rPr>
        <w:instrText xml:space="preserve"> HYPERLINK \l _Toc30007 </w:instrText>
      </w:r>
      <w:r>
        <w:rPr>
          <w:highlight w:val="none"/>
        </w:rPr>
        <w:fldChar w:fldCharType="separate"/>
      </w:r>
      <w:r>
        <w:rPr>
          <w:rFonts w:hint="eastAsia"/>
          <w:highlight w:val="none"/>
        </w:rPr>
        <w:t>12　城市固体废弃物处置场工程</w:t>
      </w:r>
      <w:r>
        <w:tab/>
      </w:r>
      <w:r>
        <w:fldChar w:fldCharType="begin"/>
      </w:r>
      <w:r>
        <w:instrText xml:space="preserve"> PAGEREF _Toc30007 \h </w:instrText>
      </w:r>
      <w:r>
        <w:fldChar w:fldCharType="separate"/>
      </w:r>
      <w:r>
        <w:t>60</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_Toc31850 </w:instrText>
      </w:r>
      <w:r>
        <w:rPr>
          <w:highlight w:val="none"/>
        </w:rPr>
        <w:fldChar w:fldCharType="separate"/>
      </w:r>
      <w:r>
        <w:rPr>
          <w:rFonts w:ascii="Times New Roman" w:hAnsi="Times New Roman" w:eastAsia="宋体"/>
          <w:highlight w:val="none"/>
        </w:rPr>
        <w:t>1</w:t>
      </w:r>
      <w:r>
        <w:rPr>
          <w:rFonts w:hint="eastAsia" w:ascii="Times New Roman" w:hAnsi="Times New Roman" w:eastAsia="宋体"/>
          <w:highlight w:val="none"/>
        </w:rPr>
        <w:t>2</w:t>
      </w:r>
      <w:r>
        <w:rPr>
          <w:rFonts w:ascii="Times New Roman" w:hAnsi="Times New Roman" w:eastAsia="宋体"/>
          <w:highlight w:val="none"/>
        </w:rPr>
        <w:t>.1</w:t>
      </w:r>
      <w:r>
        <w:rPr>
          <w:rFonts w:hint="eastAsia" w:ascii="Times New Roman" w:hAnsi="Times New Roman" w:eastAsia="宋体"/>
          <w:highlight w:val="none"/>
        </w:rPr>
        <w:t>　</w:t>
      </w:r>
      <w:r>
        <w:rPr>
          <w:rFonts w:ascii="Times New Roman" w:hAnsi="Times New Roman" w:eastAsia="宋体"/>
          <w:highlight w:val="none"/>
        </w:rPr>
        <w:t>一般规定</w:t>
      </w:r>
      <w:r>
        <w:tab/>
      </w:r>
      <w:r>
        <w:fldChar w:fldCharType="begin"/>
      </w:r>
      <w:r>
        <w:instrText xml:space="preserve"> PAGEREF _Toc31850 \h </w:instrText>
      </w:r>
      <w:r>
        <w:fldChar w:fldCharType="separate"/>
      </w:r>
      <w:r>
        <w:t>60</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_Toc17090 </w:instrText>
      </w:r>
      <w:r>
        <w:rPr>
          <w:highlight w:val="none"/>
        </w:rPr>
        <w:fldChar w:fldCharType="separate"/>
      </w:r>
      <w:r>
        <w:rPr>
          <w:rFonts w:hint="eastAsia" w:ascii="Times New Roman" w:hAnsi="Times New Roman" w:eastAsia="宋体"/>
          <w:highlight w:val="none"/>
        </w:rPr>
        <w:t>12.</w:t>
      </w:r>
      <w:r>
        <w:rPr>
          <w:rFonts w:ascii="Times New Roman" w:hAnsi="Times New Roman" w:eastAsia="宋体"/>
          <w:highlight w:val="none"/>
        </w:rPr>
        <w:t>2</w:t>
      </w:r>
      <w:r>
        <w:rPr>
          <w:rFonts w:hint="eastAsia" w:ascii="Times New Roman" w:hAnsi="Times New Roman" w:eastAsia="宋体"/>
          <w:highlight w:val="none"/>
        </w:rPr>
        <w:t>　</w:t>
      </w:r>
      <w:r>
        <w:rPr>
          <w:rFonts w:ascii="Times New Roman" w:hAnsi="Times New Roman" w:eastAsia="宋体"/>
          <w:highlight w:val="none"/>
        </w:rPr>
        <w:t>可行性研究勘察</w:t>
      </w:r>
      <w:r>
        <w:tab/>
      </w:r>
      <w:r>
        <w:fldChar w:fldCharType="begin"/>
      </w:r>
      <w:r>
        <w:instrText xml:space="preserve"> PAGEREF _Toc17090 \h </w:instrText>
      </w:r>
      <w:r>
        <w:fldChar w:fldCharType="separate"/>
      </w:r>
      <w:r>
        <w:t>61</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_Toc4500 </w:instrText>
      </w:r>
      <w:r>
        <w:rPr>
          <w:highlight w:val="none"/>
        </w:rPr>
        <w:fldChar w:fldCharType="separate"/>
      </w:r>
      <w:r>
        <w:rPr>
          <w:rFonts w:hint="eastAsia" w:ascii="Times New Roman" w:hAnsi="Times New Roman" w:eastAsia="宋体"/>
          <w:highlight w:val="none"/>
        </w:rPr>
        <w:t>12.</w:t>
      </w:r>
      <w:r>
        <w:rPr>
          <w:rFonts w:ascii="Times New Roman" w:hAnsi="Times New Roman" w:eastAsia="宋体"/>
          <w:highlight w:val="none"/>
        </w:rPr>
        <w:t>3</w:t>
      </w:r>
      <w:r>
        <w:rPr>
          <w:rFonts w:hint="eastAsia" w:ascii="Times New Roman" w:hAnsi="Times New Roman" w:eastAsia="宋体"/>
          <w:highlight w:val="none"/>
        </w:rPr>
        <w:t>　</w:t>
      </w:r>
      <w:r>
        <w:rPr>
          <w:rFonts w:ascii="Times New Roman" w:hAnsi="Times New Roman" w:eastAsia="宋体"/>
          <w:highlight w:val="none"/>
        </w:rPr>
        <w:t>初步勘察</w:t>
      </w:r>
      <w:r>
        <w:tab/>
      </w:r>
      <w:r>
        <w:fldChar w:fldCharType="begin"/>
      </w:r>
      <w:r>
        <w:instrText xml:space="preserve"> PAGEREF _Toc4500 \h </w:instrText>
      </w:r>
      <w:r>
        <w:fldChar w:fldCharType="separate"/>
      </w:r>
      <w:r>
        <w:t>61</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_Toc24189 </w:instrText>
      </w:r>
      <w:r>
        <w:rPr>
          <w:highlight w:val="none"/>
        </w:rPr>
        <w:fldChar w:fldCharType="separate"/>
      </w:r>
      <w:r>
        <w:rPr>
          <w:rFonts w:hint="eastAsia" w:ascii="Times New Roman" w:hAnsi="Times New Roman" w:eastAsia="宋体"/>
          <w:highlight w:val="none"/>
        </w:rPr>
        <w:t>12.</w:t>
      </w:r>
      <w:r>
        <w:rPr>
          <w:rFonts w:ascii="Times New Roman" w:hAnsi="Times New Roman" w:eastAsia="宋体"/>
          <w:highlight w:val="none"/>
        </w:rPr>
        <w:t>4</w:t>
      </w:r>
      <w:r>
        <w:rPr>
          <w:rFonts w:hint="eastAsia" w:ascii="Times New Roman" w:hAnsi="Times New Roman" w:eastAsia="宋体"/>
          <w:highlight w:val="none"/>
        </w:rPr>
        <w:t>　</w:t>
      </w:r>
      <w:r>
        <w:rPr>
          <w:rFonts w:ascii="Times New Roman" w:hAnsi="Times New Roman" w:eastAsia="宋体"/>
          <w:highlight w:val="none"/>
        </w:rPr>
        <w:t>详细勘察</w:t>
      </w:r>
      <w:r>
        <w:tab/>
      </w:r>
      <w:r>
        <w:fldChar w:fldCharType="begin"/>
      </w:r>
      <w:r>
        <w:instrText xml:space="preserve"> PAGEREF _Toc24189 \h </w:instrText>
      </w:r>
      <w:r>
        <w:fldChar w:fldCharType="separate"/>
      </w:r>
      <w:r>
        <w:t>63</w:t>
      </w:r>
      <w:r>
        <w:fldChar w:fldCharType="end"/>
      </w:r>
      <w:r>
        <w:rPr>
          <w:color w:val="auto"/>
          <w:highlight w:val="none"/>
        </w:rPr>
        <w:fldChar w:fldCharType="end"/>
      </w:r>
    </w:p>
    <w:p>
      <w:pPr>
        <w:pStyle w:val="13"/>
        <w:tabs>
          <w:tab w:val="right" w:leader="dot" w:pos="8731"/>
          <w:tab w:val="clear" w:pos="420"/>
          <w:tab w:val="clear" w:pos="9523"/>
        </w:tabs>
      </w:pPr>
      <w:r>
        <w:rPr>
          <w:color w:val="auto"/>
          <w:highlight w:val="none"/>
        </w:rPr>
        <w:fldChar w:fldCharType="begin"/>
      </w:r>
      <w:r>
        <w:rPr>
          <w:highlight w:val="none"/>
        </w:rPr>
        <w:instrText xml:space="preserve"> HYPERLINK \l _Toc11988 </w:instrText>
      </w:r>
      <w:r>
        <w:rPr>
          <w:highlight w:val="none"/>
        </w:rPr>
        <w:fldChar w:fldCharType="separate"/>
      </w:r>
      <w:r>
        <w:rPr>
          <w:rFonts w:hint="eastAsia"/>
          <w:highlight w:val="none"/>
        </w:rPr>
        <w:t>13　城市堤岸工程</w:t>
      </w:r>
      <w:r>
        <w:tab/>
      </w:r>
      <w:r>
        <w:fldChar w:fldCharType="begin"/>
      </w:r>
      <w:r>
        <w:instrText xml:space="preserve"> PAGEREF _Toc11988 \h </w:instrText>
      </w:r>
      <w:r>
        <w:fldChar w:fldCharType="separate"/>
      </w:r>
      <w:r>
        <w:t>67</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_Toc12041 </w:instrText>
      </w:r>
      <w:r>
        <w:rPr>
          <w:highlight w:val="none"/>
        </w:rPr>
        <w:fldChar w:fldCharType="separate"/>
      </w:r>
      <w:r>
        <w:rPr>
          <w:rFonts w:hint="eastAsia" w:ascii="Times New Roman" w:hAnsi="Times New Roman" w:eastAsia="宋体"/>
          <w:highlight w:val="none"/>
        </w:rPr>
        <w:t>13.</w:t>
      </w:r>
      <w:r>
        <w:rPr>
          <w:rFonts w:ascii="Times New Roman" w:hAnsi="Times New Roman" w:eastAsia="宋体"/>
          <w:highlight w:val="none"/>
        </w:rPr>
        <w:t>1</w:t>
      </w:r>
      <w:r>
        <w:rPr>
          <w:rFonts w:hint="eastAsia" w:ascii="Times New Roman" w:hAnsi="Times New Roman" w:eastAsia="宋体"/>
          <w:highlight w:val="none"/>
        </w:rPr>
        <w:t>　</w:t>
      </w:r>
      <w:r>
        <w:rPr>
          <w:rFonts w:ascii="Times New Roman" w:hAnsi="Times New Roman" w:eastAsia="宋体"/>
          <w:highlight w:val="none"/>
        </w:rPr>
        <w:t>一般规定</w:t>
      </w:r>
      <w:r>
        <w:tab/>
      </w:r>
      <w:r>
        <w:fldChar w:fldCharType="begin"/>
      </w:r>
      <w:r>
        <w:instrText xml:space="preserve"> PAGEREF _Toc12041 \h </w:instrText>
      </w:r>
      <w:r>
        <w:fldChar w:fldCharType="separate"/>
      </w:r>
      <w:r>
        <w:t>67</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_Toc22388 </w:instrText>
      </w:r>
      <w:r>
        <w:rPr>
          <w:highlight w:val="none"/>
        </w:rPr>
        <w:fldChar w:fldCharType="separate"/>
      </w:r>
      <w:r>
        <w:rPr>
          <w:rFonts w:hint="eastAsia" w:ascii="Times New Roman" w:hAnsi="Times New Roman" w:eastAsia="宋体"/>
          <w:highlight w:val="none"/>
        </w:rPr>
        <w:t>13.</w:t>
      </w:r>
      <w:r>
        <w:rPr>
          <w:rFonts w:ascii="Times New Roman" w:hAnsi="Times New Roman" w:eastAsia="宋体"/>
          <w:highlight w:val="none"/>
        </w:rPr>
        <w:t>2</w:t>
      </w:r>
      <w:r>
        <w:rPr>
          <w:rFonts w:hint="eastAsia" w:ascii="Times New Roman" w:hAnsi="Times New Roman" w:eastAsia="宋体"/>
          <w:highlight w:val="none"/>
        </w:rPr>
        <w:t>　</w:t>
      </w:r>
      <w:r>
        <w:rPr>
          <w:rFonts w:ascii="Times New Roman" w:hAnsi="Times New Roman" w:eastAsia="宋体"/>
          <w:highlight w:val="none"/>
        </w:rPr>
        <w:t>可行性研究勘察</w:t>
      </w:r>
      <w:r>
        <w:tab/>
      </w:r>
      <w:r>
        <w:fldChar w:fldCharType="begin"/>
      </w:r>
      <w:r>
        <w:instrText xml:space="preserve"> PAGEREF _Toc22388 \h </w:instrText>
      </w:r>
      <w:r>
        <w:fldChar w:fldCharType="separate"/>
      </w:r>
      <w:r>
        <w:t>67</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_Toc11525 </w:instrText>
      </w:r>
      <w:r>
        <w:rPr>
          <w:highlight w:val="none"/>
        </w:rPr>
        <w:fldChar w:fldCharType="separate"/>
      </w:r>
      <w:r>
        <w:rPr>
          <w:rFonts w:hint="eastAsia" w:ascii="Times New Roman" w:hAnsi="Times New Roman" w:eastAsia="宋体"/>
          <w:highlight w:val="none"/>
        </w:rPr>
        <w:t>13.</w:t>
      </w:r>
      <w:r>
        <w:rPr>
          <w:rFonts w:ascii="Times New Roman" w:hAnsi="Times New Roman" w:eastAsia="宋体"/>
          <w:highlight w:val="none"/>
        </w:rPr>
        <w:t>3</w:t>
      </w:r>
      <w:r>
        <w:rPr>
          <w:rFonts w:hint="eastAsia" w:ascii="Times New Roman" w:hAnsi="Times New Roman" w:eastAsia="宋体"/>
          <w:highlight w:val="none"/>
        </w:rPr>
        <w:t>　</w:t>
      </w:r>
      <w:r>
        <w:rPr>
          <w:rFonts w:ascii="Times New Roman" w:hAnsi="Times New Roman" w:eastAsia="宋体"/>
          <w:highlight w:val="none"/>
        </w:rPr>
        <w:t>初步勘察</w:t>
      </w:r>
      <w:r>
        <w:tab/>
      </w:r>
      <w:r>
        <w:fldChar w:fldCharType="begin"/>
      </w:r>
      <w:r>
        <w:instrText xml:space="preserve"> PAGEREF _Toc11525 \h </w:instrText>
      </w:r>
      <w:r>
        <w:fldChar w:fldCharType="separate"/>
      </w:r>
      <w:r>
        <w:t>68</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_Toc8712 </w:instrText>
      </w:r>
      <w:r>
        <w:rPr>
          <w:highlight w:val="none"/>
        </w:rPr>
        <w:fldChar w:fldCharType="separate"/>
      </w:r>
      <w:r>
        <w:rPr>
          <w:rFonts w:hint="eastAsia" w:ascii="Times New Roman" w:hAnsi="Times New Roman" w:eastAsia="宋体"/>
          <w:highlight w:val="none"/>
        </w:rPr>
        <w:t>13.</w:t>
      </w:r>
      <w:r>
        <w:rPr>
          <w:rFonts w:ascii="Times New Roman" w:hAnsi="Times New Roman" w:eastAsia="宋体"/>
          <w:highlight w:val="none"/>
        </w:rPr>
        <w:t>4</w:t>
      </w:r>
      <w:r>
        <w:rPr>
          <w:rFonts w:hint="eastAsia" w:ascii="Times New Roman" w:hAnsi="Times New Roman" w:eastAsia="宋体"/>
          <w:highlight w:val="none"/>
        </w:rPr>
        <w:t>　</w:t>
      </w:r>
      <w:r>
        <w:rPr>
          <w:rFonts w:ascii="Times New Roman" w:hAnsi="Times New Roman" w:eastAsia="宋体"/>
          <w:highlight w:val="none"/>
        </w:rPr>
        <w:t>详细勘察</w:t>
      </w:r>
      <w:r>
        <w:tab/>
      </w:r>
      <w:r>
        <w:fldChar w:fldCharType="begin"/>
      </w:r>
      <w:r>
        <w:instrText xml:space="preserve"> PAGEREF _Toc8712 \h </w:instrText>
      </w:r>
      <w:r>
        <w:fldChar w:fldCharType="separate"/>
      </w:r>
      <w:r>
        <w:t>69</w:t>
      </w:r>
      <w:r>
        <w:fldChar w:fldCharType="end"/>
      </w:r>
      <w:r>
        <w:rPr>
          <w:color w:val="auto"/>
          <w:highlight w:val="none"/>
        </w:rPr>
        <w:fldChar w:fldCharType="end"/>
      </w:r>
    </w:p>
    <w:p>
      <w:pPr>
        <w:pStyle w:val="13"/>
        <w:tabs>
          <w:tab w:val="right" w:leader="dot" w:pos="8731"/>
          <w:tab w:val="clear" w:pos="420"/>
          <w:tab w:val="clear" w:pos="9523"/>
        </w:tabs>
      </w:pPr>
      <w:r>
        <w:rPr>
          <w:color w:val="auto"/>
          <w:highlight w:val="none"/>
        </w:rPr>
        <w:fldChar w:fldCharType="begin"/>
      </w:r>
      <w:r>
        <w:rPr>
          <w:highlight w:val="none"/>
        </w:rPr>
        <w:instrText xml:space="preserve"> HYPERLINK \l _Toc31560 </w:instrText>
      </w:r>
      <w:r>
        <w:rPr>
          <w:highlight w:val="none"/>
        </w:rPr>
        <w:fldChar w:fldCharType="separate"/>
      </w:r>
      <w:r>
        <w:rPr>
          <w:rFonts w:hint="eastAsia"/>
          <w:highlight w:val="none"/>
        </w:rPr>
        <w:t>14　</w:t>
      </w:r>
      <w:r>
        <w:rPr>
          <w:highlight w:val="none"/>
        </w:rPr>
        <w:t>施工勘察</w:t>
      </w:r>
      <w:r>
        <w:tab/>
      </w:r>
      <w:r>
        <w:fldChar w:fldCharType="begin"/>
      </w:r>
      <w:r>
        <w:instrText xml:space="preserve"> PAGEREF _Toc31560 \h </w:instrText>
      </w:r>
      <w:r>
        <w:fldChar w:fldCharType="separate"/>
      </w:r>
      <w:r>
        <w:t>72</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_Toc14942 </w:instrText>
      </w:r>
      <w:r>
        <w:rPr>
          <w:highlight w:val="none"/>
        </w:rPr>
        <w:fldChar w:fldCharType="separate"/>
      </w:r>
      <w:r>
        <w:rPr>
          <w:rFonts w:hint="eastAsia" w:ascii="Times New Roman" w:hAnsi="Times New Roman" w:eastAsia="宋体"/>
          <w:highlight w:val="none"/>
        </w:rPr>
        <w:t>14.</w:t>
      </w:r>
      <w:r>
        <w:rPr>
          <w:rFonts w:ascii="Times New Roman" w:hAnsi="Times New Roman" w:eastAsia="宋体"/>
          <w:highlight w:val="none"/>
        </w:rPr>
        <w:t>1</w:t>
      </w:r>
      <w:r>
        <w:rPr>
          <w:rFonts w:hint="eastAsia" w:ascii="Times New Roman" w:hAnsi="Times New Roman" w:eastAsia="宋体"/>
          <w:highlight w:val="none"/>
        </w:rPr>
        <w:t>　</w:t>
      </w:r>
      <w:r>
        <w:rPr>
          <w:rFonts w:ascii="Times New Roman" w:hAnsi="Times New Roman" w:eastAsia="宋体"/>
          <w:highlight w:val="none"/>
        </w:rPr>
        <w:t>一般规定</w:t>
      </w:r>
      <w:r>
        <w:tab/>
      </w:r>
      <w:r>
        <w:fldChar w:fldCharType="begin"/>
      </w:r>
      <w:r>
        <w:instrText xml:space="preserve"> PAGEREF _Toc14942 \h </w:instrText>
      </w:r>
      <w:r>
        <w:fldChar w:fldCharType="separate"/>
      </w:r>
      <w:r>
        <w:t>72</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_Toc397 </w:instrText>
      </w:r>
      <w:r>
        <w:rPr>
          <w:highlight w:val="none"/>
        </w:rPr>
        <w:fldChar w:fldCharType="separate"/>
      </w:r>
      <w:r>
        <w:rPr>
          <w:rFonts w:hint="eastAsia" w:ascii="Times New Roman" w:hAnsi="Times New Roman" w:eastAsia="宋体"/>
          <w:highlight w:val="none"/>
        </w:rPr>
        <w:t>14.</w:t>
      </w:r>
      <w:r>
        <w:rPr>
          <w:rFonts w:ascii="Times New Roman" w:hAnsi="Times New Roman" w:eastAsia="宋体"/>
          <w:highlight w:val="none"/>
        </w:rPr>
        <w:t>2</w:t>
      </w:r>
      <w:r>
        <w:rPr>
          <w:rFonts w:hint="eastAsia" w:ascii="Times New Roman" w:hAnsi="Times New Roman" w:eastAsia="宋体"/>
          <w:highlight w:val="none"/>
        </w:rPr>
        <w:t>　勘察要点</w:t>
      </w:r>
      <w:r>
        <w:tab/>
      </w:r>
      <w:r>
        <w:fldChar w:fldCharType="begin"/>
      </w:r>
      <w:r>
        <w:instrText xml:space="preserve"> PAGEREF _Toc397 \h </w:instrText>
      </w:r>
      <w:r>
        <w:fldChar w:fldCharType="separate"/>
      </w:r>
      <w:r>
        <w:t>72</w:t>
      </w:r>
      <w:r>
        <w:fldChar w:fldCharType="end"/>
      </w:r>
      <w:r>
        <w:rPr>
          <w:color w:val="auto"/>
          <w:highlight w:val="none"/>
        </w:rPr>
        <w:fldChar w:fldCharType="end"/>
      </w:r>
    </w:p>
    <w:p>
      <w:pPr>
        <w:pStyle w:val="13"/>
        <w:tabs>
          <w:tab w:val="right" w:leader="dot" w:pos="8731"/>
          <w:tab w:val="clear" w:pos="420"/>
          <w:tab w:val="clear" w:pos="9523"/>
        </w:tabs>
      </w:pPr>
      <w:r>
        <w:rPr>
          <w:color w:val="auto"/>
          <w:highlight w:val="none"/>
        </w:rPr>
        <w:fldChar w:fldCharType="begin"/>
      </w:r>
      <w:r>
        <w:rPr>
          <w:highlight w:val="none"/>
        </w:rPr>
        <w:instrText xml:space="preserve"> HYPERLINK \l _Toc12249 </w:instrText>
      </w:r>
      <w:r>
        <w:rPr>
          <w:highlight w:val="none"/>
        </w:rPr>
        <w:fldChar w:fldCharType="separate"/>
      </w:r>
      <w:r>
        <w:rPr>
          <w:rFonts w:hint="eastAsia"/>
          <w:highlight w:val="none"/>
        </w:rPr>
        <w:t>15　勘察成果与信息化</w:t>
      </w:r>
      <w:r>
        <w:tab/>
      </w:r>
      <w:r>
        <w:fldChar w:fldCharType="begin"/>
      </w:r>
      <w:r>
        <w:instrText xml:space="preserve"> PAGEREF _Toc12249 \h </w:instrText>
      </w:r>
      <w:r>
        <w:fldChar w:fldCharType="separate"/>
      </w:r>
      <w:r>
        <w:t>75</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_Toc9693 </w:instrText>
      </w:r>
      <w:r>
        <w:rPr>
          <w:highlight w:val="none"/>
        </w:rPr>
        <w:fldChar w:fldCharType="separate"/>
      </w:r>
      <w:r>
        <w:rPr>
          <w:rFonts w:hint="eastAsia" w:ascii="Times New Roman" w:hAnsi="Times New Roman" w:eastAsia="宋体"/>
          <w:highlight w:val="none"/>
        </w:rPr>
        <w:t>15.</w:t>
      </w:r>
      <w:r>
        <w:rPr>
          <w:rFonts w:ascii="Times New Roman" w:hAnsi="Times New Roman" w:eastAsia="宋体"/>
          <w:highlight w:val="none"/>
        </w:rPr>
        <w:t>1</w:t>
      </w:r>
      <w:r>
        <w:rPr>
          <w:rFonts w:hint="eastAsia" w:ascii="Times New Roman" w:hAnsi="Times New Roman" w:eastAsia="宋体"/>
          <w:highlight w:val="none"/>
        </w:rPr>
        <w:t>　</w:t>
      </w:r>
      <w:r>
        <w:rPr>
          <w:rFonts w:ascii="Times New Roman" w:hAnsi="Times New Roman" w:eastAsia="宋体"/>
          <w:highlight w:val="none"/>
        </w:rPr>
        <w:t>一般规定</w:t>
      </w:r>
      <w:r>
        <w:tab/>
      </w:r>
      <w:r>
        <w:fldChar w:fldCharType="begin"/>
      </w:r>
      <w:r>
        <w:instrText xml:space="preserve"> PAGEREF _Toc9693 \h </w:instrText>
      </w:r>
      <w:r>
        <w:fldChar w:fldCharType="separate"/>
      </w:r>
      <w:r>
        <w:t>75</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_Toc23498 </w:instrText>
      </w:r>
      <w:r>
        <w:rPr>
          <w:highlight w:val="none"/>
        </w:rPr>
        <w:fldChar w:fldCharType="separate"/>
      </w:r>
      <w:r>
        <w:rPr>
          <w:rFonts w:hint="eastAsia" w:ascii="Times New Roman" w:hAnsi="Times New Roman" w:eastAsia="宋体"/>
          <w:highlight w:val="none"/>
        </w:rPr>
        <w:t>15.2　</w:t>
      </w:r>
      <w:r>
        <w:rPr>
          <w:rFonts w:ascii="Times New Roman" w:hAnsi="Times New Roman" w:eastAsia="宋体"/>
          <w:highlight w:val="none"/>
        </w:rPr>
        <w:t>勘察报告</w:t>
      </w:r>
      <w:r>
        <w:tab/>
      </w:r>
      <w:r>
        <w:fldChar w:fldCharType="begin"/>
      </w:r>
      <w:r>
        <w:instrText xml:space="preserve"> PAGEREF _Toc23498 \h </w:instrText>
      </w:r>
      <w:r>
        <w:fldChar w:fldCharType="separate"/>
      </w:r>
      <w:r>
        <w:t>75</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_Toc25091 </w:instrText>
      </w:r>
      <w:r>
        <w:rPr>
          <w:highlight w:val="none"/>
        </w:rPr>
        <w:fldChar w:fldCharType="separate"/>
      </w:r>
      <w:r>
        <w:rPr>
          <w:rFonts w:hint="eastAsia" w:ascii="Times New Roman" w:hAnsi="Times New Roman" w:eastAsia="宋体"/>
          <w:highlight w:val="none"/>
        </w:rPr>
        <w:t>15.3　</w:t>
      </w:r>
      <w:r>
        <w:rPr>
          <w:rFonts w:ascii="Times New Roman" w:hAnsi="Times New Roman" w:eastAsia="宋体"/>
          <w:highlight w:val="none"/>
        </w:rPr>
        <w:t>勘察</w:t>
      </w:r>
      <w:r>
        <w:rPr>
          <w:rFonts w:hint="eastAsia" w:ascii="Times New Roman" w:hAnsi="Times New Roman" w:eastAsia="宋体"/>
          <w:highlight w:val="none"/>
        </w:rPr>
        <w:t>成果数字化</w:t>
      </w:r>
      <w:r>
        <w:tab/>
      </w:r>
      <w:r>
        <w:fldChar w:fldCharType="begin"/>
      </w:r>
      <w:r>
        <w:instrText xml:space="preserve"> PAGEREF _Toc25091 \h </w:instrText>
      </w:r>
      <w:r>
        <w:fldChar w:fldCharType="separate"/>
      </w:r>
      <w:r>
        <w:t>76</w:t>
      </w:r>
      <w:r>
        <w:fldChar w:fldCharType="end"/>
      </w:r>
      <w:r>
        <w:rPr>
          <w:color w:val="auto"/>
          <w:highlight w:val="none"/>
        </w:rPr>
        <w:fldChar w:fldCharType="end"/>
      </w:r>
    </w:p>
    <w:p>
      <w:pPr>
        <w:pStyle w:val="17"/>
        <w:tabs>
          <w:tab w:val="right" w:leader="dot" w:pos="8731"/>
        </w:tabs>
      </w:pPr>
      <w:r>
        <w:rPr>
          <w:color w:val="auto"/>
          <w:highlight w:val="none"/>
        </w:rPr>
        <w:fldChar w:fldCharType="begin"/>
      </w:r>
      <w:r>
        <w:rPr>
          <w:highlight w:val="none"/>
        </w:rPr>
        <w:instrText xml:space="preserve"> HYPERLINK \l _Toc18317 </w:instrText>
      </w:r>
      <w:r>
        <w:rPr>
          <w:highlight w:val="none"/>
        </w:rPr>
        <w:fldChar w:fldCharType="separate"/>
      </w:r>
      <w:r>
        <w:rPr>
          <w:rFonts w:hint="eastAsia" w:ascii="Times New Roman" w:hAnsi="Times New Roman" w:eastAsia="宋体"/>
          <w:highlight w:val="none"/>
        </w:rPr>
        <w:t>15.4　勘察信息化</w:t>
      </w:r>
      <w:r>
        <w:tab/>
      </w:r>
      <w:r>
        <w:fldChar w:fldCharType="begin"/>
      </w:r>
      <w:r>
        <w:instrText xml:space="preserve"> PAGEREF _Toc18317 \h </w:instrText>
      </w:r>
      <w:r>
        <w:fldChar w:fldCharType="separate"/>
      </w:r>
      <w:r>
        <w:t>77</w:t>
      </w:r>
      <w:r>
        <w:fldChar w:fldCharType="end"/>
      </w:r>
      <w:r>
        <w:rPr>
          <w:color w:val="auto"/>
          <w:highlight w:val="none"/>
        </w:rPr>
        <w:fldChar w:fldCharType="end"/>
      </w:r>
    </w:p>
    <w:p>
      <w:pPr>
        <w:pStyle w:val="13"/>
        <w:tabs>
          <w:tab w:val="right" w:leader="dot" w:pos="8731"/>
          <w:tab w:val="clear" w:pos="420"/>
          <w:tab w:val="clear" w:pos="9523"/>
        </w:tabs>
      </w:pPr>
      <w:r>
        <w:rPr>
          <w:color w:val="auto"/>
          <w:highlight w:val="none"/>
        </w:rPr>
        <w:fldChar w:fldCharType="begin"/>
      </w:r>
      <w:r>
        <w:rPr>
          <w:highlight w:val="none"/>
        </w:rPr>
        <w:instrText xml:space="preserve"> HYPERLINK \l _Toc7615 </w:instrText>
      </w:r>
      <w:r>
        <w:rPr>
          <w:highlight w:val="none"/>
        </w:rPr>
        <w:fldChar w:fldCharType="separate"/>
      </w:r>
      <w:r>
        <w:rPr>
          <w:rFonts w:hint="eastAsia"/>
          <w:bCs/>
          <w:szCs w:val="32"/>
          <w:highlight w:val="none"/>
        </w:rPr>
        <w:t>附录A　岩土试验项目</w:t>
      </w:r>
      <w:r>
        <w:tab/>
      </w:r>
      <w:r>
        <w:fldChar w:fldCharType="begin"/>
      </w:r>
      <w:r>
        <w:instrText xml:space="preserve"> PAGEREF _Toc7615 \h </w:instrText>
      </w:r>
      <w:r>
        <w:fldChar w:fldCharType="separate"/>
      </w:r>
      <w:r>
        <w:t>78</w:t>
      </w:r>
      <w:r>
        <w:fldChar w:fldCharType="end"/>
      </w:r>
      <w:r>
        <w:rPr>
          <w:color w:val="auto"/>
          <w:highlight w:val="none"/>
        </w:rPr>
        <w:fldChar w:fldCharType="end"/>
      </w:r>
    </w:p>
    <w:p>
      <w:pPr>
        <w:pStyle w:val="13"/>
        <w:tabs>
          <w:tab w:val="right" w:leader="dot" w:pos="8731"/>
          <w:tab w:val="clear" w:pos="420"/>
          <w:tab w:val="clear" w:pos="9523"/>
        </w:tabs>
      </w:pPr>
      <w:r>
        <w:rPr>
          <w:color w:val="auto"/>
          <w:highlight w:val="none"/>
        </w:rPr>
        <w:fldChar w:fldCharType="begin"/>
      </w:r>
      <w:r>
        <w:rPr>
          <w:highlight w:val="none"/>
        </w:rPr>
        <w:instrText xml:space="preserve"> HYPERLINK \l _Toc30823 </w:instrText>
      </w:r>
      <w:r>
        <w:rPr>
          <w:highlight w:val="none"/>
        </w:rPr>
        <w:fldChar w:fldCharType="separate"/>
      </w:r>
      <w:r>
        <w:rPr>
          <w:bCs/>
          <w:szCs w:val="32"/>
          <w:highlight w:val="none"/>
        </w:rPr>
        <w:t>附录</w:t>
      </w:r>
      <w:r>
        <w:rPr>
          <w:rFonts w:hint="eastAsia"/>
          <w:bCs/>
          <w:szCs w:val="32"/>
          <w:highlight w:val="none"/>
        </w:rPr>
        <w:t>B　钻探岩芯摆放及照片拍摄</w:t>
      </w:r>
      <w:r>
        <w:tab/>
      </w:r>
      <w:r>
        <w:fldChar w:fldCharType="begin"/>
      </w:r>
      <w:r>
        <w:instrText xml:space="preserve"> PAGEREF _Toc30823 \h </w:instrText>
      </w:r>
      <w:r>
        <w:fldChar w:fldCharType="separate"/>
      </w:r>
      <w:r>
        <w:t>80</w:t>
      </w:r>
      <w:r>
        <w:fldChar w:fldCharType="end"/>
      </w:r>
      <w:r>
        <w:rPr>
          <w:color w:val="auto"/>
          <w:highlight w:val="none"/>
        </w:rPr>
        <w:fldChar w:fldCharType="end"/>
      </w:r>
    </w:p>
    <w:p>
      <w:pPr>
        <w:pStyle w:val="13"/>
        <w:tabs>
          <w:tab w:val="right" w:leader="dot" w:pos="8731"/>
          <w:tab w:val="clear" w:pos="420"/>
          <w:tab w:val="clear" w:pos="9523"/>
        </w:tabs>
      </w:pPr>
      <w:r>
        <w:rPr>
          <w:color w:val="auto"/>
          <w:highlight w:val="none"/>
        </w:rPr>
        <w:fldChar w:fldCharType="begin"/>
      </w:r>
      <w:r>
        <w:rPr>
          <w:highlight w:val="none"/>
        </w:rPr>
        <w:instrText xml:space="preserve"> HYPERLINK \l _Toc15268 </w:instrText>
      </w:r>
      <w:r>
        <w:rPr>
          <w:highlight w:val="none"/>
        </w:rPr>
        <w:fldChar w:fldCharType="separate"/>
      </w:r>
      <w:r>
        <w:rPr>
          <w:bCs/>
          <w:szCs w:val="32"/>
          <w:highlight w:val="none"/>
        </w:rPr>
        <w:t>附录</w:t>
      </w:r>
      <w:r>
        <w:rPr>
          <w:rFonts w:hint="eastAsia"/>
          <w:bCs/>
          <w:szCs w:val="32"/>
          <w:highlight w:val="none"/>
        </w:rPr>
        <w:t>C　</w:t>
      </w:r>
      <w:r>
        <w:rPr>
          <w:bCs/>
          <w:szCs w:val="32"/>
          <w:highlight w:val="none"/>
        </w:rPr>
        <w:t>地球物理勘探方法选择</w:t>
      </w:r>
      <w:r>
        <w:tab/>
      </w:r>
      <w:r>
        <w:fldChar w:fldCharType="begin"/>
      </w:r>
      <w:r>
        <w:instrText xml:space="preserve"> PAGEREF _Toc15268 \h </w:instrText>
      </w:r>
      <w:r>
        <w:fldChar w:fldCharType="separate"/>
      </w:r>
      <w:r>
        <w:t>81</w:t>
      </w:r>
      <w:r>
        <w:fldChar w:fldCharType="end"/>
      </w:r>
      <w:r>
        <w:rPr>
          <w:color w:val="auto"/>
          <w:highlight w:val="none"/>
        </w:rPr>
        <w:fldChar w:fldCharType="end"/>
      </w:r>
    </w:p>
    <w:p>
      <w:pPr>
        <w:pStyle w:val="13"/>
        <w:tabs>
          <w:tab w:val="right" w:leader="dot" w:pos="8731"/>
          <w:tab w:val="clear" w:pos="420"/>
          <w:tab w:val="clear" w:pos="9523"/>
        </w:tabs>
      </w:pPr>
      <w:r>
        <w:rPr>
          <w:color w:val="auto"/>
          <w:highlight w:val="none"/>
        </w:rPr>
        <w:fldChar w:fldCharType="begin"/>
      </w:r>
      <w:r>
        <w:rPr>
          <w:highlight w:val="none"/>
        </w:rPr>
        <w:instrText xml:space="preserve"> HYPERLINK \l _Toc30587 </w:instrText>
      </w:r>
      <w:r>
        <w:rPr>
          <w:highlight w:val="none"/>
        </w:rPr>
        <w:fldChar w:fldCharType="separate"/>
      </w:r>
      <w:r>
        <w:rPr>
          <w:bCs/>
          <w:szCs w:val="32"/>
          <w:highlight w:val="none"/>
        </w:rPr>
        <w:t>附录</w:t>
      </w:r>
      <w:r>
        <w:rPr>
          <w:rFonts w:hint="eastAsia"/>
          <w:bCs/>
          <w:szCs w:val="32"/>
          <w:highlight w:val="none"/>
        </w:rPr>
        <w:t>D　</w:t>
      </w:r>
      <w:r>
        <w:rPr>
          <w:bCs/>
          <w:szCs w:val="32"/>
          <w:highlight w:val="none"/>
        </w:rPr>
        <w:t>圆锥动力触探和标准贯入锤击数修正</w:t>
      </w:r>
      <w:r>
        <w:tab/>
      </w:r>
      <w:r>
        <w:fldChar w:fldCharType="begin"/>
      </w:r>
      <w:r>
        <w:instrText xml:space="preserve"> PAGEREF _Toc30587 \h </w:instrText>
      </w:r>
      <w:r>
        <w:fldChar w:fldCharType="separate"/>
      </w:r>
      <w:r>
        <w:t>83</w:t>
      </w:r>
      <w:r>
        <w:fldChar w:fldCharType="end"/>
      </w:r>
      <w:r>
        <w:rPr>
          <w:color w:val="auto"/>
          <w:highlight w:val="none"/>
        </w:rPr>
        <w:fldChar w:fldCharType="end"/>
      </w:r>
    </w:p>
    <w:p>
      <w:pPr>
        <w:pStyle w:val="13"/>
        <w:tabs>
          <w:tab w:val="right" w:leader="dot" w:pos="8731"/>
          <w:tab w:val="clear" w:pos="420"/>
          <w:tab w:val="clear" w:pos="9523"/>
        </w:tabs>
      </w:pPr>
      <w:r>
        <w:rPr>
          <w:color w:val="auto"/>
          <w:highlight w:val="none"/>
        </w:rPr>
        <w:fldChar w:fldCharType="begin"/>
      </w:r>
      <w:r>
        <w:rPr>
          <w:highlight w:val="none"/>
        </w:rPr>
        <w:instrText xml:space="preserve"> HYPERLINK \l _Toc30141 </w:instrText>
      </w:r>
      <w:r>
        <w:rPr>
          <w:highlight w:val="none"/>
        </w:rPr>
        <w:fldChar w:fldCharType="separate"/>
      </w:r>
      <w:r>
        <w:rPr>
          <w:bCs/>
          <w:szCs w:val="32"/>
          <w:highlight w:val="none"/>
        </w:rPr>
        <w:t>附录</w:t>
      </w:r>
      <w:r>
        <w:rPr>
          <w:rFonts w:hint="eastAsia"/>
          <w:bCs/>
          <w:szCs w:val="32"/>
          <w:highlight w:val="none"/>
        </w:rPr>
        <w:t>E　</w:t>
      </w:r>
      <w:r>
        <w:rPr>
          <w:bCs/>
          <w:szCs w:val="32"/>
          <w:highlight w:val="none"/>
        </w:rPr>
        <w:t>路基干湿状态</w:t>
      </w:r>
      <w:r>
        <w:tab/>
      </w:r>
      <w:r>
        <w:fldChar w:fldCharType="begin"/>
      </w:r>
      <w:r>
        <w:instrText xml:space="preserve"> PAGEREF _Toc30141 \h </w:instrText>
      </w:r>
      <w:r>
        <w:fldChar w:fldCharType="separate"/>
      </w:r>
      <w:r>
        <w:t>85</w:t>
      </w:r>
      <w:r>
        <w:fldChar w:fldCharType="end"/>
      </w:r>
      <w:r>
        <w:rPr>
          <w:color w:val="auto"/>
          <w:highlight w:val="none"/>
        </w:rPr>
        <w:fldChar w:fldCharType="end"/>
      </w:r>
    </w:p>
    <w:p>
      <w:pPr>
        <w:pStyle w:val="13"/>
        <w:tabs>
          <w:tab w:val="right" w:leader="dot" w:pos="8731"/>
          <w:tab w:val="clear" w:pos="420"/>
          <w:tab w:val="clear" w:pos="9523"/>
        </w:tabs>
      </w:pPr>
      <w:r>
        <w:rPr>
          <w:color w:val="auto"/>
          <w:highlight w:val="none"/>
        </w:rPr>
        <w:fldChar w:fldCharType="begin"/>
      </w:r>
      <w:r>
        <w:rPr>
          <w:highlight w:val="none"/>
        </w:rPr>
        <w:instrText xml:space="preserve"> HYPERLINK \l _Toc24149 </w:instrText>
      </w:r>
      <w:r>
        <w:rPr>
          <w:highlight w:val="none"/>
        </w:rPr>
        <w:fldChar w:fldCharType="separate"/>
      </w:r>
      <w:r>
        <w:rPr>
          <w:bCs/>
          <w:szCs w:val="32"/>
          <w:highlight w:val="none"/>
        </w:rPr>
        <w:t>附录</w:t>
      </w:r>
      <w:r>
        <w:rPr>
          <w:rFonts w:hint="eastAsia"/>
          <w:bCs/>
          <w:szCs w:val="32"/>
          <w:highlight w:val="none"/>
        </w:rPr>
        <w:t>F　</w:t>
      </w:r>
      <w:r>
        <w:rPr>
          <w:bCs/>
          <w:szCs w:val="32"/>
          <w:highlight w:val="none"/>
        </w:rPr>
        <w:t>隧道围岩分级</w:t>
      </w:r>
      <w:r>
        <w:tab/>
      </w:r>
      <w:r>
        <w:fldChar w:fldCharType="begin"/>
      </w:r>
      <w:r>
        <w:instrText xml:space="preserve"> PAGEREF _Toc24149 \h </w:instrText>
      </w:r>
      <w:r>
        <w:fldChar w:fldCharType="separate"/>
      </w:r>
      <w:r>
        <w:t>86</w:t>
      </w:r>
      <w:r>
        <w:fldChar w:fldCharType="end"/>
      </w:r>
      <w:r>
        <w:rPr>
          <w:color w:val="auto"/>
          <w:highlight w:val="none"/>
        </w:rPr>
        <w:fldChar w:fldCharType="end"/>
      </w:r>
    </w:p>
    <w:p>
      <w:pPr>
        <w:pStyle w:val="13"/>
        <w:tabs>
          <w:tab w:val="right" w:leader="dot" w:pos="8731"/>
          <w:tab w:val="clear" w:pos="420"/>
          <w:tab w:val="clear" w:pos="9523"/>
        </w:tabs>
      </w:pPr>
      <w:r>
        <w:rPr>
          <w:color w:val="auto"/>
          <w:highlight w:val="none"/>
        </w:rPr>
        <w:fldChar w:fldCharType="begin"/>
      </w:r>
      <w:r>
        <w:rPr>
          <w:highlight w:val="none"/>
        </w:rPr>
        <w:instrText xml:space="preserve"> HYPERLINK \l _Toc20581 </w:instrText>
      </w:r>
      <w:r>
        <w:rPr>
          <w:highlight w:val="none"/>
        </w:rPr>
        <w:fldChar w:fldCharType="separate"/>
      </w:r>
      <w:r>
        <w:rPr>
          <w:bCs/>
          <w:szCs w:val="32"/>
          <w:highlight w:val="none"/>
        </w:rPr>
        <w:t>附录</w:t>
      </w:r>
      <w:r>
        <w:rPr>
          <w:rFonts w:hint="eastAsia"/>
          <w:bCs/>
          <w:szCs w:val="32"/>
          <w:highlight w:val="none"/>
        </w:rPr>
        <w:t>G</w:t>
      </w:r>
      <w:r>
        <w:rPr>
          <w:rFonts w:hint="eastAsia"/>
          <w:bCs/>
          <w:szCs w:val="21"/>
          <w:highlight w:val="none"/>
        </w:rPr>
        <w:t>　</w:t>
      </w:r>
      <w:r>
        <w:rPr>
          <w:bCs/>
          <w:szCs w:val="32"/>
          <w:highlight w:val="none"/>
        </w:rPr>
        <w:t>土石工程分级</w:t>
      </w:r>
      <w:r>
        <w:tab/>
      </w:r>
      <w:r>
        <w:fldChar w:fldCharType="begin"/>
      </w:r>
      <w:r>
        <w:instrText xml:space="preserve"> PAGEREF _Toc20581 \h </w:instrText>
      </w:r>
      <w:r>
        <w:fldChar w:fldCharType="separate"/>
      </w:r>
      <w:r>
        <w:t>89</w:t>
      </w:r>
      <w:r>
        <w:fldChar w:fldCharType="end"/>
      </w:r>
      <w:r>
        <w:rPr>
          <w:color w:val="auto"/>
          <w:highlight w:val="none"/>
        </w:rPr>
        <w:fldChar w:fldCharType="end"/>
      </w:r>
    </w:p>
    <w:p>
      <w:pPr>
        <w:pStyle w:val="13"/>
        <w:tabs>
          <w:tab w:val="right" w:leader="dot" w:pos="8731"/>
          <w:tab w:val="clear" w:pos="420"/>
          <w:tab w:val="clear" w:pos="9523"/>
        </w:tabs>
      </w:pPr>
      <w:r>
        <w:rPr>
          <w:color w:val="auto"/>
          <w:highlight w:val="none"/>
        </w:rPr>
        <w:fldChar w:fldCharType="begin"/>
      </w:r>
      <w:r>
        <w:rPr>
          <w:highlight w:val="none"/>
        </w:rPr>
        <w:instrText xml:space="preserve"> HYPERLINK \l _Toc13529 </w:instrText>
      </w:r>
      <w:r>
        <w:rPr>
          <w:highlight w:val="none"/>
        </w:rPr>
        <w:fldChar w:fldCharType="separate"/>
      </w:r>
      <w:r>
        <w:rPr>
          <w:bCs/>
          <w:szCs w:val="32"/>
          <w:highlight w:val="none"/>
        </w:rPr>
        <w:t>附录</w:t>
      </w:r>
      <w:r>
        <w:rPr>
          <w:rFonts w:hint="eastAsia"/>
          <w:bCs/>
          <w:szCs w:val="32"/>
          <w:highlight w:val="none"/>
        </w:rPr>
        <w:t>H　回填封孔</w:t>
      </w:r>
      <w:r>
        <w:tab/>
      </w:r>
      <w:r>
        <w:fldChar w:fldCharType="begin"/>
      </w:r>
      <w:r>
        <w:instrText xml:space="preserve"> PAGEREF _Toc13529 \h </w:instrText>
      </w:r>
      <w:r>
        <w:fldChar w:fldCharType="separate"/>
      </w:r>
      <w:r>
        <w:t>90</w:t>
      </w:r>
      <w:r>
        <w:fldChar w:fldCharType="end"/>
      </w:r>
      <w:r>
        <w:rPr>
          <w:color w:val="auto"/>
          <w:highlight w:val="none"/>
        </w:rPr>
        <w:fldChar w:fldCharType="end"/>
      </w:r>
    </w:p>
    <w:p>
      <w:pPr>
        <w:pStyle w:val="13"/>
        <w:tabs>
          <w:tab w:val="right" w:leader="dot" w:pos="8731"/>
          <w:tab w:val="clear" w:pos="420"/>
          <w:tab w:val="clear" w:pos="9523"/>
        </w:tabs>
      </w:pPr>
      <w:r>
        <w:rPr>
          <w:color w:val="auto"/>
          <w:highlight w:val="none"/>
        </w:rPr>
        <w:fldChar w:fldCharType="begin"/>
      </w:r>
      <w:r>
        <w:rPr>
          <w:highlight w:val="none"/>
        </w:rPr>
        <w:instrText xml:space="preserve"> HYPERLINK \l _Toc23814 </w:instrText>
      </w:r>
      <w:r>
        <w:rPr>
          <w:highlight w:val="none"/>
        </w:rPr>
        <w:fldChar w:fldCharType="separate"/>
      </w:r>
      <w:r>
        <w:rPr>
          <w:highlight w:val="none"/>
        </w:rPr>
        <w:t>本规范用词说明</w:t>
      </w:r>
      <w:r>
        <w:tab/>
      </w:r>
      <w:r>
        <w:fldChar w:fldCharType="begin"/>
      </w:r>
      <w:r>
        <w:instrText xml:space="preserve"> PAGEREF _Toc23814 \h </w:instrText>
      </w:r>
      <w:r>
        <w:fldChar w:fldCharType="separate"/>
      </w:r>
      <w:r>
        <w:t>92</w:t>
      </w:r>
      <w:r>
        <w:fldChar w:fldCharType="end"/>
      </w:r>
      <w:r>
        <w:rPr>
          <w:color w:val="auto"/>
          <w:highlight w:val="none"/>
        </w:rPr>
        <w:fldChar w:fldCharType="end"/>
      </w:r>
    </w:p>
    <w:p>
      <w:pPr>
        <w:pStyle w:val="13"/>
        <w:tabs>
          <w:tab w:val="right" w:leader="dot" w:pos="8731"/>
          <w:tab w:val="clear" w:pos="420"/>
          <w:tab w:val="clear" w:pos="9523"/>
        </w:tabs>
      </w:pPr>
      <w:r>
        <w:rPr>
          <w:color w:val="auto"/>
          <w:highlight w:val="none"/>
        </w:rPr>
        <w:fldChar w:fldCharType="begin"/>
      </w:r>
      <w:r>
        <w:rPr>
          <w:highlight w:val="none"/>
        </w:rPr>
        <w:instrText xml:space="preserve"> HYPERLINK \l _Toc5013 </w:instrText>
      </w:r>
      <w:r>
        <w:rPr>
          <w:highlight w:val="none"/>
        </w:rPr>
        <w:fldChar w:fldCharType="separate"/>
      </w:r>
      <w:r>
        <w:rPr>
          <w:rFonts w:hint="eastAsia"/>
          <w:highlight w:val="none"/>
          <w:lang w:val="en-US" w:eastAsia="zh-CN"/>
        </w:rPr>
        <w:t>引用标准名录</w:t>
      </w:r>
      <w:r>
        <w:tab/>
      </w:r>
      <w:r>
        <w:fldChar w:fldCharType="begin"/>
      </w:r>
      <w:r>
        <w:instrText xml:space="preserve"> PAGEREF _Toc5013 \h </w:instrText>
      </w:r>
      <w:r>
        <w:fldChar w:fldCharType="separate"/>
      </w:r>
      <w:r>
        <w:t>93</w:t>
      </w:r>
      <w:r>
        <w:fldChar w:fldCharType="end"/>
      </w:r>
      <w:r>
        <w:rPr>
          <w:color w:val="auto"/>
          <w:highlight w:val="none"/>
        </w:rPr>
        <w:fldChar w:fldCharType="end"/>
      </w:r>
    </w:p>
    <w:p>
      <w:pPr>
        <w:pStyle w:val="13"/>
        <w:tabs>
          <w:tab w:val="right" w:leader="dot" w:pos="8731"/>
          <w:tab w:val="clear" w:pos="420"/>
          <w:tab w:val="clear" w:pos="9523"/>
        </w:tabs>
        <w:rPr>
          <w:rFonts w:hint="eastAsia" w:eastAsia="宋体"/>
          <w:lang w:eastAsia="zh-CN"/>
        </w:rPr>
      </w:pPr>
      <w:r>
        <w:rPr>
          <w:color w:val="auto"/>
          <w:highlight w:val="none"/>
        </w:rPr>
        <w:fldChar w:fldCharType="begin"/>
      </w:r>
      <w:r>
        <w:rPr>
          <w:highlight w:val="none"/>
        </w:rPr>
        <w:instrText xml:space="preserve"> HYPERLINK \l _Toc5013 </w:instrText>
      </w:r>
      <w:r>
        <w:rPr>
          <w:highlight w:val="none"/>
        </w:rPr>
        <w:fldChar w:fldCharType="separate"/>
      </w:r>
      <w:r>
        <w:rPr>
          <w:rFonts w:hint="eastAsia"/>
          <w:highlight w:val="none"/>
          <w:lang w:val="en-US" w:eastAsia="zh-CN"/>
        </w:rPr>
        <w:t>条文说明</w:t>
      </w:r>
      <w:r>
        <w:tab/>
      </w:r>
      <w:r>
        <w:fldChar w:fldCharType="begin"/>
      </w:r>
      <w:r>
        <w:instrText xml:space="preserve"> PAGEREF _Toc5013 \h </w:instrText>
      </w:r>
      <w:r>
        <w:fldChar w:fldCharType="separate"/>
      </w:r>
      <w:r>
        <w:t>9</w:t>
      </w:r>
      <w:r>
        <w:fldChar w:fldCharType="end"/>
      </w:r>
      <w:r>
        <w:rPr>
          <w:color w:val="auto"/>
          <w:highlight w:val="none"/>
        </w:rPr>
        <w:fldChar w:fldCharType="end"/>
      </w:r>
      <w:r>
        <w:rPr>
          <w:rFonts w:hint="eastAsia"/>
          <w:lang w:val="en-US" w:eastAsia="zh-CN"/>
        </w:rPr>
        <w:t>4</w:t>
      </w:r>
    </w:p>
    <w:p>
      <w:pPr>
        <w:pStyle w:val="13"/>
        <w:tabs>
          <w:tab w:val="right" w:leader="dot" w:pos="8731"/>
          <w:tab w:val="clear" w:pos="420"/>
          <w:tab w:val="clear" w:pos="9523"/>
        </w:tabs>
      </w:pPr>
    </w:p>
    <w:p>
      <w:pPr>
        <w:rPr>
          <w:color w:val="auto"/>
          <w:highlight w:val="none"/>
        </w:rPr>
      </w:pPr>
      <w:r>
        <w:rPr>
          <w:color w:val="auto"/>
          <w:highlight w:val="none"/>
        </w:rPr>
        <w:fldChar w:fldCharType="end"/>
      </w:r>
    </w:p>
    <w:p>
      <w:pPr>
        <w:rPr>
          <w:color w:val="auto"/>
          <w:highlight w:val="none"/>
        </w:rPr>
      </w:pPr>
      <w:r>
        <w:rPr>
          <w:color w:val="auto"/>
          <w:highlight w:val="none"/>
        </w:rPr>
        <w:br w:type="page"/>
      </w:r>
    </w:p>
    <w:p>
      <w:pPr>
        <w:keepNext w:val="0"/>
        <w:keepLines w:val="0"/>
        <w:pageBreakBefore w:val="0"/>
        <w:widowControl w:val="0"/>
        <w:kinsoku/>
        <w:wordWrap/>
        <w:overflowPunct/>
        <w:topLinePunct w:val="0"/>
        <w:autoSpaceDE/>
        <w:autoSpaceDN/>
        <w:bidi w:val="0"/>
        <w:adjustRightInd/>
        <w:snapToGrid/>
        <w:spacing w:before="313" w:beforeLines="100"/>
        <w:jc w:val="center"/>
        <w:textAlignment w:val="auto"/>
        <w:rPr>
          <w:color w:val="auto"/>
          <w:sz w:val="28"/>
          <w:szCs w:val="32"/>
          <w:highlight w:val="none"/>
          <w:lang w:val="zh-CN"/>
        </w:rPr>
      </w:pP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default" w:eastAsia="宋体"/>
          <w:color w:val="auto"/>
          <w:sz w:val="28"/>
          <w:szCs w:val="32"/>
          <w:highlight w:val="none"/>
          <w:lang w:val="en-US" w:eastAsia="zh-CN"/>
        </w:rPr>
      </w:pPr>
      <w:r>
        <w:rPr>
          <w:rFonts w:hint="eastAsia"/>
          <w:color w:val="auto"/>
          <w:sz w:val="28"/>
          <w:szCs w:val="32"/>
          <w:highlight w:val="none"/>
          <w:lang w:val="en-US" w:eastAsia="zh-CN"/>
        </w:rPr>
        <w:t>Contents</w:t>
      </w:r>
    </w:p>
    <w:p>
      <w:pPr>
        <w:pStyle w:val="13"/>
        <w:tabs>
          <w:tab w:val="right" w:leader="dot" w:pos="8620"/>
          <w:tab w:val="clear" w:pos="420"/>
          <w:tab w:val="clear" w:pos="9523"/>
        </w:tabs>
        <w:rPr>
          <w:color w:val="auto"/>
          <w:highlight w:val="none"/>
        </w:rPr>
      </w:pPr>
      <w:r>
        <w:rPr>
          <w:color w:val="auto"/>
          <w:highlight w:val="none"/>
        </w:rPr>
        <w:fldChar w:fldCharType="begin"/>
      </w:r>
      <w:r>
        <w:rPr>
          <w:color w:val="auto"/>
          <w:highlight w:val="none"/>
        </w:rPr>
        <w:instrText xml:space="preserve">TOC \o "1-2" \h \u </w:instrText>
      </w:r>
      <w:r>
        <w:rPr>
          <w:color w:val="auto"/>
          <w:highlight w:val="none"/>
        </w:rPr>
        <w:fldChar w:fldCharType="separate"/>
      </w:r>
      <w:r>
        <w:rPr>
          <w:color w:val="auto"/>
          <w:highlight w:val="none"/>
        </w:rPr>
        <w:fldChar w:fldCharType="begin"/>
      </w:r>
      <w:r>
        <w:rPr>
          <w:color w:val="auto"/>
          <w:highlight w:val="none"/>
        </w:rPr>
        <w:instrText xml:space="preserve"> HYPERLINK \l _Toc11797 </w:instrText>
      </w:r>
      <w:r>
        <w:rPr>
          <w:color w:val="auto"/>
          <w:highlight w:val="none"/>
        </w:rPr>
        <w:fldChar w:fldCharType="separate"/>
      </w:r>
      <w:r>
        <w:rPr>
          <w:rFonts w:hint="eastAsia"/>
          <w:color w:val="auto"/>
          <w:highlight w:val="none"/>
        </w:rPr>
        <w:t>1</w:t>
      </w:r>
      <w:r>
        <w:rPr>
          <w:rFonts w:hint="eastAsia"/>
          <w:color w:val="auto"/>
          <w:highlight w:val="none"/>
          <w:lang w:val="en-US" w:eastAsia="zh-CN"/>
        </w:rPr>
        <w:t xml:space="preserve"> </w:t>
      </w:r>
      <w:r>
        <w:rPr>
          <w:rFonts w:hint="eastAsia"/>
          <w:color w:val="auto"/>
          <w:highlight w:val="none"/>
        </w:rPr>
        <w:t xml:space="preserve"> General </w:t>
      </w:r>
      <w:r>
        <w:rPr>
          <w:rFonts w:hint="eastAsia"/>
          <w:color w:val="auto"/>
          <w:highlight w:val="none"/>
          <w:lang w:val="en-US" w:eastAsia="zh-CN"/>
        </w:rPr>
        <w:t>P</w:t>
      </w:r>
      <w:r>
        <w:rPr>
          <w:rFonts w:hint="eastAsia"/>
          <w:color w:val="auto"/>
          <w:highlight w:val="none"/>
        </w:rPr>
        <w:t>rovisions</w:t>
      </w:r>
      <w:r>
        <w:rPr>
          <w:color w:val="auto"/>
          <w:highlight w:val="none"/>
        </w:rPr>
        <w:tab/>
      </w:r>
      <w:r>
        <w:rPr>
          <w:color w:val="auto"/>
          <w:highlight w:val="none"/>
        </w:rPr>
        <w:fldChar w:fldCharType="begin"/>
      </w:r>
      <w:r>
        <w:rPr>
          <w:color w:val="auto"/>
          <w:highlight w:val="none"/>
        </w:rPr>
        <w:instrText xml:space="preserve"> PAGEREF _Toc11797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13"/>
        <w:tabs>
          <w:tab w:val="right" w:leader="dot" w:pos="8620"/>
          <w:tab w:val="clear" w:pos="420"/>
          <w:tab w:val="clear" w:pos="9523"/>
        </w:tabs>
        <w:rPr>
          <w:color w:val="auto"/>
          <w:highlight w:val="none"/>
        </w:rPr>
      </w:pPr>
      <w:r>
        <w:rPr>
          <w:color w:val="auto"/>
          <w:highlight w:val="none"/>
        </w:rPr>
        <w:fldChar w:fldCharType="begin"/>
      </w:r>
      <w:r>
        <w:rPr>
          <w:color w:val="auto"/>
          <w:highlight w:val="none"/>
        </w:rPr>
        <w:instrText xml:space="preserve"> HYPERLINK \l _Toc7502 </w:instrText>
      </w:r>
      <w:r>
        <w:rPr>
          <w:color w:val="auto"/>
          <w:highlight w:val="none"/>
        </w:rPr>
        <w:fldChar w:fldCharType="separate"/>
      </w:r>
      <w:r>
        <w:rPr>
          <w:rFonts w:hint="eastAsia"/>
          <w:color w:val="auto"/>
          <w:highlight w:val="none"/>
        </w:rPr>
        <w:t xml:space="preserve">2 </w:t>
      </w:r>
      <w:r>
        <w:rPr>
          <w:rFonts w:hint="eastAsia"/>
          <w:color w:val="auto"/>
          <w:highlight w:val="none"/>
          <w:lang w:val="en-US" w:eastAsia="zh-CN"/>
        </w:rPr>
        <w:t xml:space="preserve"> </w:t>
      </w:r>
      <w:r>
        <w:rPr>
          <w:rFonts w:hint="eastAsia"/>
          <w:color w:val="auto"/>
          <w:highlight w:val="none"/>
        </w:rPr>
        <w:t xml:space="preserve">Terms and </w:t>
      </w:r>
      <w:r>
        <w:rPr>
          <w:rFonts w:hint="eastAsia"/>
          <w:color w:val="auto"/>
          <w:highlight w:val="none"/>
          <w:lang w:val="en-US" w:eastAsia="zh-CN"/>
        </w:rPr>
        <w:t>S</w:t>
      </w:r>
      <w:r>
        <w:rPr>
          <w:rFonts w:hint="eastAsia"/>
          <w:color w:val="auto"/>
          <w:highlight w:val="none"/>
        </w:rPr>
        <w:t>ymbols</w:t>
      </w:r>
      <w:r>
        <w:rPr>
          <w:color w:val="auto"/>
          <w:highlight w:val="none"/>
        </w:rPr>
        <w:tab/>
      </w:r>
      <w:r>
        <w:rPr>
          <w:color w:val="auto"/>
          <w:highlight w:val="none"/>
        </w:rPr>
        <w:fldChar w:fldCharType="begin"/>
      </w:r>
      <w:r>
        <w:rPr>
          <w:color w:val="auto"/>
          <w:highlight w:val="none"/>
        </w:rPr>
        <w:instrText xml:space="preserve"> PAGEREF _Toc7502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_Toc14730 </w:instrText>
      </w:r>
      <w:r>
        <w:rPr>
          <w:color w:val="auto"/>
          <w:highlight w:val="none"/>
        </w:rPr>
        <w:fldChar w:fldCharType="separate"/>
      </w:r>
      <w:r>
        <w:rPr>
          <w:rFonts w:ascii="Times New Roman" w:hAnsi="Times New Roman" w:eastAsia="宋体"/>
          <w:color w:val="auto"/>
          <w:highlight w:val="none"/>
        </w:rPr>
        <w:t>2.1 Terms</w:t>
      </w:r>
      <w:r>
        <w:rPr>
          <w:color w:val="auto"/>
          <w:highlight w:val="none"/>
        </w:rPr>
        <w:tab/>
      </w:r>
      <w:r>
        <w:rPr>
          <w:color w:val="auto"/>
          <w:highlight w:val="none"/>
        </w:rPr>
        <w:fldChar w:fldCharType="begin"/>
      </w:r>
      <w:r>
        <w:rPr>
          <w:color w:val="auto"/>
          <w:highlight w:val="none"/>
        </w:rPr>
        <w:instrText xml:space="preserve"> PAGEREF _Toc14730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_Toc11532 </w:instrText>
      </w:r>
      <w:r>
        <w:rPr>
          <w:color w:val="auto"/>
          <w:highlight w:val="none"/>
        </w:rPr>
        <w:fldChar w:fldCharType="separate"/>
      </w:r>
      <w:r>
        <w:rPr>
          <w:rFonts w:ascii="Times New Roman" w:hAnsi="Times New Roman" w:eastAsia="宋体"/>
          <w:color w:val="auto"/>
          <w:highlight w:val="none"/>
        </w:rPr>
        <w:t xml:space="preserve">2.2 </w:t>
      </w:r>
      <w:r>
        <w:rPr>
          <w:rFonts w:hint="eastAsia" w:ascii="Times New Roman" w:hAnsi="Times New Roman"/>
          <w:color w:val="auto"/>
          <w:highlight w:val="none"/>
          <w:lang w:val="en-US" w:eastAsia="zh-CN"/>
        </w:rPr>
        <w:t>S</w:t>
      </w:r>
      <w:r>
        <w:rPr>
          <w:rFonts w:ascii="Times New Roman" w:hAnsi="Times New Roman" w:eastAsia="宋体"/>
          <w:color w:val="auto"/>
          <w:highlight w:val="none"/>
        </w:rPr>
        <w:t>ymbol</w:t>
      </w:r>
      <w:r>
        <w:rPr>
          <w:rFonts w:hint="eastAsia" w:ascii="Times New Roman" w:hAnsi="Times New Roman"/>
          <w:color w:val="auto"/>
          <w:highlight w:val="none"/>
          <w:lang w:val="en-US" w:eastAsia="zh-CN"/>
        </w:rPr>
        <w:t>s</w:t>
      </w:r>
      <w:r>
        <w:rPr>
          <w:color w:val="auto"/>
          <w:highlight w:val="none"/>
        </w:rPr>
        <w:tab/>
      </w:r>
      <w:r>
        <w:rPr>
          <w:color w:val="auto"/>
          <w:highlight w:val="none"/>
        </w:rPr>
        <w:fldChar w:fldCharType="begin"/>
      </w:r>
      <w:r>
        <w:rPr>
          <w:color w:val="auto"/>
          <w:highlight w:val="none"/>
        </w:rPr>
        <w:instrText xml:space="preserve"> PAGEREF _Toc11532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13"/>
        <w:tabs>
          <w:tab w:val="right" w:leader="dot" w:pos="8620"/>
          <w:tab w:val="clear" w:pos="420"/>
          <w:tab w:val="clear" w:pos="9523"/>
        </w:tabs>
        <w:rPr>
          <w:color w:val="auto"/>
          <w:highlight w:val="none"/>
        </w:rPr>
      </w:pPr>
      <w:r>
        <w:rPr>
          <w:color w:val="auto"/>
          <w:highlight w:val="none"/>
        </w:rPr>
        <w:fldChar w:fldCharType="begin"/>
      </w:r>
      <w:r>
        <w:rPr>
          <w:color w:val="auto"/>
          <w:highlight w:val="none"/>
        </w:rPr>
        <w:instrText xml:space="preserve"> HYPERLINK \l _Toc10262 </w:instrText>
      </w:r>
      <w:r>
        <w:rPr>
          <w:color w:val="auto"/>
          <w:highlight w:val="none"/>
        </w:rPr>
        <w:fldChar w:fldCharType="separate"/>
      </w:r>
      <w:r>
        <w:rPr>
          <w:rFonts w:hint="eastAsia"/>
          <w:color w:val="auto"/>
          <w:highlight w:val="none"/>
        </w:rPr>
        <w:t xml:space="preserve">3 </w:t>
      </w:r>
      <w:r>
        <w:rPr>
          <w:rFonts w:hint="eastAsia"/>
          <w:color w:val="auto"/>
          <w:highlight w:val="none"/>
          <w:lang w:val="en-US" w:eastAsia="zh-CN"/>
        </w:rPr>
        <w:t xml:space="preserve"> </w:t>
      </w:r>
      <w:r>
        <w:rPr>
          <w:rFonts w:hint="eastAsia"/>
          <w:color w:val="auto"/>
          <w:highlight w:val="none"/>
        </w:rPr>
        <w:t xml:space="preserve">Basic </w:t>
      </w:r>
      <w:r>
        <w:rPr>
          <w:rFonts w:hint="eastAsia"/>
          <w:color w:val="auto"/>
          <w:highlight w:val="none"/>
          <w:lang w:val="en-US" w:eastAsia="zh-CN"/>
        </w:rPr>
        <w:t>Requirements</w:t>
      </w:r>
      <w:r>
        <w:rPr>
          <w:color w:val="auto"/>
          <w:highlight w:val="none"/>
        </w:rPr>
        <w:tab/>
      </w:r>
      <w:r>
        <w:rPr>
          <w:color w:val="auto"/>
          <w:highlight w:val="none"/>
        </w:rPr>
        <w:fldChar w:fldCharType="begin"/>
      </w:r>
      <w:r>
        <w:rPr>
          <w:color w:val="auto"/>
          <w:highlight w:val="none"/>
        </w:rPr>
        <w:instrText xml:space="preserve"> PAGEREF _Toc10262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13"/>
        <w:tabs>
          <w:tab w:val="right" w:leader="dot" w:pos="8620"/>
          <w:tab w:val="clear" w:pos="420"/>
          <w:tab w:val="clear" w:pos="9523"/>
        </w:tabs>
        <w:rPr>
          <w:color w:val="auto"/>
          <w:highlight w:val="none"/>
        </w:rPr>
      </w:pPr>
      <w:r>
        <w:rPr>
          <w:color w:val="auto"/>
          <w:highlight w:val="none"/>
        </w:rPr>
        <w:fldChar w:fldCharType="begin"/>
      </w:r>
      <w:r>
        <w:rPr>
          <w:color w:val="auto"/>
          <w:highlight w:val="none"/>
        </w:rPr>
        <w:instrText xml:space="preserve"> HYPERLINK \l _Toc27579 </w:instrText>
      </w:r>
      <w:r>
        <w:rPr>
          <w:color w:val="auto"/>
          <w:highlight w:val="none"/>
        </w:rPr>
        <w:fldChar w:fldCharType="separate"/>
      </w:r>
      <w:r>
        <w:rPr>
          <w:rFonts w:hint="eastAsia"/>
          <w:color w:val="auto"/>
          <w:highlight w:val="none"/>
        </w:rPr>
        <w:t xml:space="preserve">4 </w:t>
      </w:r>
      <w:r>
        <w:rPr>
          <w:rFonts w:hint="eastAsia"/>
          <w:color w:val="auto"/>
          <w:highlight w:val="none"/>
          <w:lang w:val="en-US" w:eastAsia="zh-CN"/>
        </w:rPr>
        <w:t xml:space="preserve"> </w:t>
      </w:r>
      <w:r>
        <w:rPr>
          <w:rFonts w:hint="eastAsia"/>
          <w:color w:val="auto"/>
          <w:highlight w:val="none"/>
        </w:rPr>
        <w:t xml:space="preserve">Classification of </w:t>
      </w:r>
      <w:r>
        <w:rPr>
          <w:rFonts w:hint="eastAsia"/>
          <w:color w:val="auto"/>
          <w:highlight w:val="none"/>
          <w:lang w:val="en-US" w:eastAsia="zh-CN"/>
        </w:rPr>
        <w:t>R</w:t>
      </w:r>
      <w:r>
        <w:rPr>
          <w:rFonts w:hint="eastAsia"/>
          <w:color w:val="auto"/>
          <w:highlight w:val="none"/>
        </w:rPr>
        <w:t xml:space="preserve">ock and </w:t>
      </w:r>
      <w:r>
        <w:rPr>
          <w:rFonts w:hint="eastAsia"/>
          <w:color w:val="auto"/>
          <w:highlight w:val="none"/>
          <w:lang w:val="en-US" w:eastAsia="zh-CN"/>
        </w:rPr>
        <w:t>S</w:t>
      </w:r>
      <w:r>
        <w:rPr>
          <w:rFonts w:hint="eastAsia"/>
          <w:color w:val="auto"/>
          <w:highlight w:val="none"/>
        </w:rPr>
        <w:t>oil</w:t>
      </w:r>
      <w:r>
        <w:rPr>
          <w:color w:val="auto"/>
          <w:highlight w:val="none"/>
        </w:rPr>
        <w:tab/>
      </w:r>
      <w:r>
        <w:rPr>
          <w:color w:val="auto"/>
          <w:highlight w:val="none"/>
        </w:rPr>
        <w:fldChar w:fldCharType="begin"/>
      </w:r>
      <w:r>
        <w:rPr>
          <w:color w:val="auto"/>
          <w:highlight w:val="none"/>
        </w:rPr>
        <w:instrText xml:space="preserve"> PAGEREF _Toc27579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_Toc8750 </w:instrText>
      </w:r>
      <w:r>
        <w:rPr>
          <w:color w:val="auto"/>
          <w:highlight w:val="none"/>
        </w:rPr>
        <w:fldChar w:fldCharType="separate"/>
      </w:r>
      <w:r>
        <w:rPr>
          <w:rFonts w:ascii="Times New Roman" w:hAnsi="Times New Roman" w:eastAsia="宋体"/>
          <w:color w:val="auto"/>
          <w:highlight w:val="none"/>
        </w:rPr>
        <w:t xml:space="preserve">4.1 </w:t>
      </w:r>
      <w:r>
        <w:rPr>
          <w:rFonts w:hint="eastAsia" w:ascii="Times New Roman" w:hAnsi="Times New Roman"/>
          <w:color w:val="auto"/>
          <w:highlight w:val="none"/>
          <w:lang w:val="en-US" w:eastAsia="zh-CN"/>
        </w:rPr>
        <w:t xml:space="preserve"> </w:t>
      </w:r>
      <w:r>
        <w:rPr>
          <w:rFonts w:ascii="Times New Roman" w:hAnsi="Times New Roman" w:eastAsia="宋体"/>
          <w:color w:val="auto"/>
          <w:highlight w:val="none"/>
        </w:rPr>
        <w:t xml:space="preserve">Rock </w:t>
      </w:r>
      <w:r>
        <w:rPr>
          <w:rFonts w:hint="eastAsia" w:ascii="Times New Roman" w:hAnsi="Times New Roman"/>
          <w:color w:val="auto"/>
          <w:highlight w:val="none"/>
          <w:lang w:val="en-US" w:eastAsia="zh-CN"/>
        </w:rPr>
        <w:t>C</w:t>
      </w:r>
      <w:r>
        <w:rPr>
          <w:rFonts w:ascii="Times New Roman" w:hAnsi="Times New Roman" w:eastAsia="宋体"/>
          <w:color w:val="auto"/>
          <w:highlight w:val="none"/>
        </w:rPr>
        <w:t>lassification</w:t>
      </w:r>
      <w:r>
        <w:rPr>
          <w:color w:val="auto"/>
          <w:highlight w:val="none"/>
        </w:rPr>
        <w:tab/>
      </w:r>
      <w:r>
        <w:rPr>
          <w:color w:val="auto"/>
          <w:highlight w:val="none"/>
        </w:rPr>
        <w:fldChar w:fldCharType="begin"/>
      </w:r>
      <w:r>
        <w:rPr>
          <w:color w:val="auto"/>
          <w:highlight w:val="none"/>
        </w:rPr>
        <w:instrText xml:space="preserve"> PAGEREF _Toc8750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_Toc23452 </w:instrText>
      </w:r>
      <w:r>
        <w:rPr>
          <w:color w:val="auto"/>
          <w:highlight w:val="none"/>
        </w:rPr>
        <w:fldChar w:fldCharType="separate"/>
      </w:r>
      <w:r>
        <w:rPr>
          <w:rFonts w:ascii="Times New Roman" w:hAnsi="Times New Roman" w:eastAsia="宋体"/>
          <w:color w:val="auto"/>
          <w:highlight w:val="none"/>
        </w:rPr>
        <w:t>4.2</w:t>
      </w:r>
      <w:r>
        <w:rPr>
          <w:rFonts w:hint="eastAsia" w:ascii="Times New Roman" w:hAnsi="Times New Roman"/>
          <w:color w:val="auto"/>
          <w:highlight w:val="none"/>
          <w:lang w:val="en-US" w:eastAsia="zh-CN"/>
        </w:rPr>
        <w:t xml:space="preserve"> </w:t>
      </w:r>
      <w:r>
        <w:rPr>
          <w:rFonts w:ascii="Times New Roman" w:hAnsi="Times New Roman" w:eastAsia="宋体"/>
          <w:color w:val="auto"/>
          <w:highlight w:val="none"/>
        </w:rPr>
        <w:t xml:space="preserve"> Rock </w:t>
      </w:r>
      <w:r>
        <w:rPr>
          <w:rFonts w:hint="eastAsia" w:ascii="Times New Roman" w:hAnsi="Times New Roman"/>
          <w:color w:val="auto"/>
          <w:highlight w:val="none"/>
          <w:lang w:val="en-US" w:eastAsia="zh-CN"/>
        </w:rPr>
        <w:t>D</w:t>
      </w:r>
      <w:r>
        <w:rPr>
          <w:rFonts w:ascii="Times New Roman" w:hAnsi="Times New Roman" w:eastAsia="宋体"/>
          <w:color w:val="auto"/>
          <w:highlight w:val="none"/>
        </w:rPr>
        <w:t>escription</w:t>
      </w:r>
      <w:r>
        <w:rPr>
          <w:color w:val="auto"/>
          <w:highlight w:val="none"/>
        </w:rPr>
        <w:tab/>
      </w:r>
      <w:r>
        <w:rPr>
          <w:color w:val="auto"/>
          <w:highlight w:val="none"/>
        </w:rPr>
        <w:fldChar w:fldCharType="begin"/>
      </w:r>
      <w:r>
        <w:rPr>
          <w:color w:val="auto"/>
          <w:highlight w:val="none"/>
        </w:rPr>
        <w:instrText xml:space="preserve"> PAGEREF _Toc23452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_Toc13873 </w:instrText>
      </w:r>
      <w:r>
        <w:rPr>
          <w:color w:val="auto"/>
          <w:highlight w:val="none"/>
        </w:rPr>
        <w:fldChar w:fldCharType="separate"/>
      </w:r>
      <w:r>
        <w:rPr>
          <w:rFonts w:ascii="Times New Roman" w:hAnsi="Times New Roman" w:eastAsia="宋体"/>
          <w:color w:val="auto"/>
          <w:highlight w:val="none"/>
        </w:rPr>
        <w:t xml:space="preserve">4.3 </w:t>
      </w:r>
      <w:r>
        <w:rPr>
          <w:rFonts w:hint="eastAsia" w:ascii="Times New Roman" w:hAnsi="Times New Roman"/>
          <w:color w:val="auto"/>
          <w:highlight w:val="none"/>
          <w:lang w:val="en-US" w:eastAsia="zh-CN"/>
        </w:rPr>
        <w:t xml:space="preserve"> </w:t>
      </w:r>
      <w:r>
        <w:rPr>
          <w:rFonts w:ascii="Times New Roman" w:hAnsi="Times New Roman" w:eastAsia="宋体"/>
          <w:color w:val="auto"/>
          <w:highlight w:val="none"/>
        </w:rPr>
        <w:t xml:space="preserve">Classification of </w:t>
      </w:r>
      <w:r>
        <w:rPr>
          <w:rFonts w:hint="eastAsia" w:ascii="Times New Roman" w:hAnsi="Times New Roman"/>
          <w:color w:val="auto"/>
          <w:highlight w:val="none"/>
          <w:lang w:val="en-US" w:eastAsia="zh-CN"/>
        </w:rPr>
        <w:t>S</w:t>
      </w:r>
      <w:r>
        <w:rPr>
          <w:rFonts w:ascii="Times New Roman" w:hAnsi="Times New Roman" w:eastAsia="宋体"/>
          <w:color w:val="auto"/>
          <w:highlight w:val="none"/>
        </w:rPr>
        <w:t>oil</w:t>
      </w:r>
      <w:r>
        <w:rPr>
          <w:color w:val="auto"/>
          <w:highlight w:val="none"/>
        </w:rPr>
        <w:tab/>
      </w:r>
      <w:r>
        <w:rPr>
          <w:color w:val="auto"/>
          <w:highlight w:val="none"/>
        </w:rPr>
        <w:fldChar w:fldCharType="begin"/>
      </w:r>
      <w:r>
        <w:rPr>
          <w:color w:val="auto"/>
          <w:highlight w:val="none"/>
        </w:rPr>
        <w:instrText xml:space="preserve"> PAGEREF _Toc13873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_Toc31300 </w:instrText>
      </w:r>
      <w:r>
        <w:rPr>
          <w:color w:val="auto"/>
          <w:highlight w:val="none"/>
        </w:rPr>
        <w:fldChar w:fldCharType="separate"/>
      </w:r>
      <w:r>
        <w:rPr>
          <w:rFonts w:ascii="Times New Roman" w:hAnsi="Times New Roman" w:eastAsia="宋体"/>
          <w:color w:val="auto"/>
          <w:highlight w:val="none"/>
        </w:rPr>
        <w:t xml:space="preserve">4.4 </w:t>
      </w:r>
      <w:r>
        <w:rPr>
          <w:rFonts w:hint="eastAsia" w:ascii="Times New Roman" w:hAnsi="Times New Roman"/>
          <w:color w:val="auto"/>
          <w:highlight w:val="none"/>
          <w:lang w:val="en-US" w:eastAsia="zh-CN"/>
        </w:rPr>
        <w:t xml:space="preserve"> </w:t>
      </w:r>
      <w:r>
        <w:rPr>
          <w:rFonts w:ascii="Times New Roman" w:hAnsi="Times New Roman" w:eastAsia="宋体"/>
          <w:color w:val="auto"/>
          <w:highlight w:val="none"/>
        </w:rPr>
        <w:t xml:space="preserve">Description of the </w:t>
      </w:r>
      <w:r>
        <w:rPr>
          <w:rFonts w:hint="eastAsia" w:ascii="Times New Roman" w:hAnsi="Times New Roman"/>
          <w:color w:val="auto"/>
          <w:highlight w:val="none"/>
          <w:lang w:val="en-US" w:eastAsia="zh-CN"/>
        </w:rPr>
        <w:t>S</w:t>
      </w:r>
      <w:r>
        <w:rPr>
          <w:rFonts w:ascii="Times New Roman" w:hAnsi="Times New Roman" w:eastAsia="宋体"/>
          <w:color w:val="auto"/>
          <w:highlight w:val="none"/>
        </w:rPr>
        <w:t>oil</w:t>
      </w:r>
      <w:r>
        <w:rPr>
          <w:color w:val="auto"/>
          <w:highlight w:val="none"/>
        </w:rPr>
        <w:tab/>
      </w:r>
      <w:r>
        <w:rPr>
          <w:color w:val="auto"/>
          <w:highlight w:val="none"/>
        </w:rPr>
        <w:fldChar w:fldCharType="begin"/>
      </w:r>
      <w:r>
        <w:rPr>
          <w:color w:val="auto"/>
          <w:highlight w:val="none"/>
        </w:rPr>
        <w:instrText xml:space="preserve"> PAGEREF _Toc31300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3"/>
        <w:tabs>
          <w:tab w:val="right" w:leader="dot" w:pos="8620"/>
          <w:tab w:val="clear" w:pos="420"/>
          <w:tab w:val="clear" w:pos="9523"/>
        </w:tabs>
        <w:rPr>
          <w:color w:val="auto"/>
          <w:highlight w:val="none"/>
        </w:rPr>
      </w:pPr>
      <w:r>
        <w:rPr>
          <w:color w:val="auto"/>
          <w:highlight w:val="none"/>
        </w:rPr>
        <w:fldChar w:fldCharType="begin"/>
      </w:r>
      <w:r>
        <w:rPr>
          <w:color w:val="auto"/>
          <w:highlight w:val="none"/>
        </w:rPr>
        <w:instrText xml:space="preserve"> HYPERLINK \l _Toc14662 </w:instrText>
      </w:r>
      <w:r>
        <w:rPr>
          <w:color w:val="auto"/>
          <w:highlight w:val="none"/>
        </w:rPr>
        <w:fldChar w:fldCharType="separate"/>
      </w:r>
      <w:r>
        <w:rPr>
          <w:rFonts w:hint="eastAsia"/>
          <w:color w:val="auto"/>
          <w:highlight w:val="none"/>
        </w:rPr>
        <w:t>5</w:t>
      </w:r>
      <w:r>
        <w:rPr>
          <w:rFonts w:hint="eastAsia"/>
          <w:color w:val="auto"/>
          <w:highlight w:val="none"/>
          <w:lang w:val="en-US" w:eastAsia="zh-CN"/>
        </w:rPr>
        <w:t xml:space="preserve"> </w:t>
      </w:r>
      <w:r>
        <w:rPr>
          <w:rFonts w:hint="eastAsia"/>
          <w:color w:val="auto"/>
          <w:highlight w:val="none"/>
        </w:rPr>
        <w:t xml:space="preserve"> Urban </w:t>
      </w:r>
      <w:r>
        <w:rPr>
          <w:rFonts w:hint="eastAsia"/>
          <w:color w:val="auto"/>
          <w:highlight w:val="none"/>
          <w:lang w:val="en-US" w:eastAsia="zh-CN"/>
        </w:rPr>
        <w:t>R</w:t>
      </w:r>
      <w:r>
        <w:rPr>
          <w:rFonts w:hint="eastAsia"/>
          <w:color w:val="auto"/>
          <w:highlight w:val="none"/>
        </w:rPr>
        <w:t xml:space="preserve">oad </w:t>
      </w:r>
      <w:r>
        <w:rPr>
          <w:color w:val="auto"/>
          <w:highlight w:val="none"/>
        </w:rPr>
        <w:tab/>
      </w:r>
      <w:r>
        <w:rPr>
          <w:color w:val="auto"/>
          <w:highlight w:val="none"/>
        </w:rPr>
        <w:fldChar w:fldCharType="begin"/>
      </w:r>
      <w:r>
        <w:rPr>
          <w:color w:val="auto"/>
          <w:highlight w:val="none"/>
        </w:rPr>
        <w:instrText xml:space="preserve"> PAGEREF _Toc14662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_Toc1665 </w:instrText>
      </w:r>
      <w:r>
        <w:rPr>
          <w:color w:val="auto"/>
          <w:highlight w:val="none"/>
        </w:rPr>
        <w:fldChar w:fldCharType="separate"/>
      </w:r>
      <w:r>
        <w:rPr>
          <w:rFonts w:ascii="Times New Roman" w:hAnsi="Times New Roman" w:eastAsia="宋体"/>
          <w:color w:val="auto"/>
          <w:highlight w:val="none"/>
        </w:rPr>
        <w:t xml:space="preserve">5.1 General </w:t>
      </w:r>
      <w:r>
        <w:rPr>
          <w:rFonts w:hint="eastAsia" w:ascii="Times New Roman" w:hAnsi="Times New Roman"/>
          <w:color w:val="auto"/>
          <w:highlight w:val="none"/>
          <w:lang w:eastAsia="zh-CN"/>
        </w:rPr>
        <w:t>Requirements</w:t>
      </w:r>
      <w:r>
        <w:rPr>
          <w:color w:val="auto"/>
          <w:highlight w:val="none"/>
        </w:rPr>
        <w:tab/>
      </w:r>
      <w:r>
        <w:rPr>
          <w:color w:val="auto"/>
          <w:highlight w:val="none"/>
        </w:rPr>
        <w:fldChar w:fldCharType="begin"/>
      </w:r>
      <w:r>
        <w:rPr>
          <w:color w:val="auto"/>
          <w:highlight w:val="none"/>
        </w:rPr>
        <w:instrText xml:space="preserve"> PAGEREF _Toc1665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_Toc15420 </w:instrText>
      </w:r>
      <w:r>
        <w:rPr>
          <w:color w:val="auto"/>
          <w:highlight w:val="none"/>
        </w:rPr>
        <w:fldChar w:fldCharType="separate"/>
      </w:r>
      <w:r>
        <w:rPr>
          <w:rFonts w:ascii="Times New Roman" w:hAnsi="Times New Roman" w:eastAsia="宋体"/>
          <w:color w:val="auto"/>
          <w:highlight w:val="none"/>
        </w:rPr>
        <w:t xml:space="preserve">5.2 Feasibility </w:t>
      </w:r>
      <w:r>
        <w:rPr>
          <w:rFonts w:hint="eastAsia" w:ascii="Times New Roman" w:hAnsi="Times New Roman"/>
          <w:color w:val="auto"/>
          <w:highlight w:val="none"/>
          <w:lang w:val="en-US" w:eastAsia="zh-CN"/>
        </w:rPr>
        <w:t>S</w:t>
      </w:r>
      <w:r>
        <w:rPr>
          <w:rFonts w:ascii="Times New Roman" w:hAnsi="Times New Roman" w:eastAsia="宋体"/>
          <w:color w:val="auto"/>
          <w:highlight w:val="none"/>
        </w:rPr>
        <w:t xml:space="preserve">tudy </w:t>
      </w:r>
      <w:r>
        <w:rPr>
          <w:rFonts w:hint="eastAsia" w:ascii="Times New Roman" w:hAnsi="Times New Roman"/>
          <w:color w:val="auto"/>
          <w:highlight w:val="none"/>
          <w:lang w:val="en-US" w:eastAsia="zh-CN"/>
        </w:rPr>
        <w:t>I</w:t>
      </w:r>
      <w:r>
        <w:rPr>
          <w:rFonts w:ascii="Times New Roman" w:hAnsi="Times New Roman" w:eastAsia="宋体"/>
          <w:color w:val="auto"/>
          <w:highlight w:val="none"/>
        </w:rPr>
        <w:t>nvestigation</w:t>
      </w:r>
      <w:r>
        <w:rPr>
          <w:color w:val="auto"/>
          <w:highlight w:val="none"/>
        </w:rPr>
        <w:tab/>
      </w:r>
      <w:r>
        <w:rPr>
          <w:color w:val="auto"/>
          <w:highlight w:val="none"/>
        </w:rPr>
        <w:fldChar w:fldCharType="begin"/>
      </w:r>
      <w:r>
        <w:rPr>
          <w:color w:val="auto"/>
          <w:highlight w:val="none"/>
        </w:rPr>
        <w:instrText xml:space="preserve"> PAGEREF _Toc15420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_Toc20021 </w:instrText>
      </w:r>
      <w:r>
        <w:rPr>
          <w:color w:val="auto"/>
          <w:highlight w:val="none"/>
        </w:rPr>
        <w:fldChar w:fldCharType="separate"/>
      </w:r>
      <w:r>
        <w:rPr>
          <w:rFonts w:ascii="Times New Roman" w:hAnsi="Times New Roman" w:eastAsia="宋体"/>
          <w:color w:val="auto"/>
          <w:highlight w:val="none"/>
        </w:rPr>
        <w:t xml:space="preserve">5.3 Preliminary </w:t>
      </w:r>
      <w:r>
        <w:rPr>
          <w:rFonts w:hint="eastAsia" w:ascii="Times New Roman" w:hAnsi="Times New Roman"/>
          <w:color w:val="auto"/>
          <w:highlight w:val="none"/>
          <w:lang w:val="en-US" w:eastAsia="zh-CN"/>
        </w:rPr>
        <w:t>I</w:t>
      </w:r>
      <w:r>
        <w:rPr>
          <w:rFonts w:ascii="Times New Roman" w:hAnsi="Times New Roman" w:eastAsia="宋体"/>
          <w:color w:val="auto"/>
          <w:highlight w:val="none"/>
        </w:rPr>
        <w:t>nvestigation</w:t>
      </w:r>
      <w:r>
        <w:rPr>
          <w:color w:val="auto"/>
          <w:highlight w:val="none"/>
        </w:rPr>
        <w:tab/>
      </w:r>
      <w:r>
        <w:rPr>
          <w:color w:val="auto"/>
          <w:highlight w:val="none"/>
        </w:rPr>
        <w:fldChar w:fldCharType="begin"/>
      </w:r>
      <w:r>
        <w:rPr>
          <w:color w:val="auto"/>
          <w:highlight w:val="none"/>
        </w:rPr>
        <w:instrText xml:space="preserve"> PAGEREF _Toc20021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_Toc7288 </w:instrText>
      </w:r>
      <w:r>
        <w:rPr>
          <w:color w:val="auto"/>
          <w:highlight w:val="none"/>
        </w:rPr>
        <w:fldChar w:fldCharType="separate"/>
      </w:r>
      <w:r>
        <w:rPr>
          <w:rFonts w:ascii="Times New Roman" w:hAnsi="Times New Roman" w:eastAsia="宋体"/>
          <w:color w:val="auto"/>
          <w:highlight w:val="none"/>
        </w:rPr>
        <w:t xml:space="preserve">5.4 Detailed </w:t>
      </w:r>
      <w:r>
        <w:rPr>
          <w:rFonts w:hint="eastAsia" w:ascii="Times New Roman" w:hAnsi="Times New Roman"/>
          <w:color w:val="auto"/>
          <w:highlight w:val="none"/>
          <w:lang w:val="en-US" w:eastAsia="zh-CN"/>
        </w:rPr>
        <w:t>I</w:t>
      </w:r>
      <w:r>
        <w:rPr>
          <w:rFonts w:ascii="Times New Roman" w:hAnsi="Times New Roman" w:eastAsia="宋体"/>
          <w:color w:val="auto"/>
          <w:highlight w:val="none"/>
        </w:rPr>
        <w:t>nvestigation</w:t>
      </w:r>
      <w:r>
        <w:rPr>
          <w:color w:val="auto"/>
          <w:highlight w:val="none"/>
        </w:rPr>
        <w:tab/>
      </w:r>
      <w:r>
        <w:rPr>
          <w:color w:val="auto"/>
          <w:highlight w:val="none"/>
        </w:rPr>
        <w:fldChar w:fldCharType="begin"/>
      </w:r>
      <w:r>
        <w:rPr>
          <w:color w:val="auto"/>
          <w:highlight w:val="none"/>
        </w:rPr>
        <w:instrText xml:space="preserve"> PAGEREF _Toc7288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3"/>
        <w:tabs>
          <w:tab w:val="right" w:leader="dot" w:pos="8620"/>
          <w:tab w:val="clear" w:pos="420"/>
          <w:tab w:val="clear" w:pos="9523"/>
        </w:tabs>
        <w:rPr>
          <w:color w:val="auto"/>
          <w:highlight w:val="none"/>
        </w:rPr>
      </w:pPr>
      <w:r>
        <w:rPr>
          <w:color w:val="auto"/>
          <w:highlight w:val="none"/>
        </w:rPr>
        <w:fldChar w:fldCharType="begin"/>
      </w:r>
      <w:r>
        <w:rPr>
          <w:color w:val="auto"/>
          <w:highlight w:val="none"/>
        </w:rPr>
        <w:instrText xml:space="preserve"> HYPERLINK \l _Toc3097 </w:instrText>
      </w:r>
      <w:r>
        <w:rPr>
          <w:color w:val="auto"/>
          <w:highlight w:val="none"/>
        </w:rPr>
        <w:fldChar w:fldCharType="separate"/>
      </w:r>
      <w:r>
        <w:rPr>
          <w:rFonts w:hint="eastAsia"/>
          <w:color w:val="auto"/>
          <w:highlight w:val="none"/>
        </w:rPr>
        <w:t xml:space="preserve">6. Urban </w:t>
      </w:r>
      <w:r>
        <w:rPr>
          <w:rFonts w:hint="eastAsia"/>
          <w:color w:val="auto"/>
          <w:highlight w:val="none"/>
          <w:lang w:val="en-US" w:eastAsia="zh-CN"/>
        </w:rPr>
        <w:t>B</w:t>
      </w:r>
      <w:r>
        <w:rPr>
          <w:rFonts w:hint="eastAsia"/>
          <w:color w:val="auto"/>
          <w:highlight w:val="none"/>
        </w:rPr>
        <w:t xml:space="preserve">ridge and </w:t>
      </w:r>
      <w:r>
        <w:rPr>
          <w:rFonts w:hint="eastAsia"/>
          <w:color w:val="auto"/>
          <w:highlight w:val="none"/>
          <w:lang w:val="en-US" w:eastAsia="zh-CN"/>
        </w:rPr>
        <w:t>C</w:t>
      </w:r>
      <w:r>
        <w:rPr>
          <w:rFonts w:hint="eastAsia"/>
          <w:color w:val="auto"/>
          <w:highlight w:val="none"/>
        </w:rPr>
        <w:t>ulvert</w:t>
      </w:r>
      <w:r>
        <w:rPr>
          <w:color w:val="auto"/>
          <w:highlight w:val="none"/>
        </w:rPr>
        <w:tab/>
      </w:r>
      <w:r>
        <w:rPr>
          <w:color w:val="auto"/>
          <w:highlight w:val="none"/>
        </w:rPr>
        <w:fldChar w:fldCharType="begin"/>
      </w:r>
      <w:r>
        <w:rPr>
          <w:color w:val="auto"/>
          <w:highlight w:val="none"/>
        </w:rPr>
        <w:instrText xml:space="preserve"> PAGEREF _Toc3097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_Toc14634 </w:instrText>
      </w:r>
      <w:r>
        <w:rPr>
          <w:color w:val="auto"/>
          <w:highlight w:val="none"/>
        </w:rPr>
        <w:fldChar w:fldCharType="separate"/>
      </w:r>
      <w:r>
        <w:rPr>
          <w:rFonts w:ascii="Times New Roman" w:hAnsi="Times New Roman" w:eastAsia="宋体"/>
          <w:color w:val="auto"/>
          <w:highlight w:val="none"/>
        </w:rPr>
        <w:t xml:space="preserve">6.1 General </w:t>
      </w:r>
      <w:r>
        <w:rPr>
          <w:rFonts w:hint="eastAsia" w:ascii="Times New Roman" w:hAnsi="Times New Roman"/>
          <w:color w:val="auto"/>
          <w:highlight w:val="none"/>
          <w:lang w:eastAsia="zh-CN"/>
        </w:rPr>
        <w:t>Requirements</w:t>
      </w:r>
      <w:r>
        <w:rPr>
          <w:color w:val="auto"/>
          <w:highlight w:val="none"/>
        </w:rPr>
        <w:tab/>
      </w:r>
      <w:r>
        <w:rPr>
          <w:color w:val="auto"/>
          <w:highlight w:val="none"/>
        </w:rPr>
        <w:fldChar w:fldCharType="begin"/>
      </w:r>
      <w:r>
        <w:rPr>
          <w:color w:val="auto"/>
          <w:highlight w:val="none"/>
        </w:rPr>
        <w:instrText xml:space="preserve"> PAGEREF _Toc14634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_Toc23689 </w:instrText>
      </w:r>
      <w:r>
        <w:rPr>
          <w:color w:val="auto"/>
          <w:highlight w:val="none"/>
        </w:rPr>
        <w:fldChar w:fldCharType="separate"/>
      </w:r>
      <w:r>
        <w:rPr>
          <w:rFonts w:ascii="Times New Roman" w:hAnsi="Times New Roman" w:eastAsia="宋体"/>
          <w:color w:val="auto"/>
          <w:highlight w:val="none"/>
        </w:rPr>
        <w:t xml:space="preserve">6.2 Feasibility </w:t>
      </w:r>
      <w:r>
        <w:rPr>
          <w:rFonts w:hint="eastAsia" w:ascii="Times New Roman" w:hAnsi="Times New Roman"/>
          <w:color w:val="auto"/>
          <w:highlight w:val="none"/>
          <w:lang w:val="en-US" w:eastAsia="zh-CN"/>
        </w:rPr>
        <w:t>S</w:t>
      </w:r>
      <w:r>
        <w:rPr>
          <w:rFonts w:ascii="Times New Roman" w:hAnsi="Times New Roman" w:eastAsia="宋体"/>
          <w:color w:val="auto"/>
          <w:highlight w:val="none"/>
        </w:rPr>
        <w:t xml:space="preserve">tudy </w:t>
      </w:r>
      <w:r>
        <w:rPr>
          <w:rFonts w:hint="eastAsia" w:ascii="Times New Roman" w:hAnsi="Times New Roman"/>
          <w:color w:val="auto"/>
          <w:highlight w:val="none"/>
          <w:lang w:val="en-US" w:eastAsia="zh-CN"/>
        </w:rPr>
        <w:t>I</w:t>
      </w:r>
      <w:r>
        <w:rPr>
          <w:rFonts w:ascii="Times New Roman" w:hAnsi="Times New Roman" w:eastAsia="宋体"/>
          <w:color w:val="auto"/>
          <w:highlight w:val="none"/>
        </w:rPr>
        <w:t>nvestigation</w:t>
      </w:r>
      <w:r>
        <w:rPr>
          <w:color w:val="auto"/>
          <w:highlight w:val="none"/>
        </w:rPr>
        <w:tab/>
      </w:r>
      <w:r>
        <w:rPr>
          <w:color w:val="auto"/>
          <w:highlight w:val="none"/>
        </w:rPr>
        <w:fldChar w:fldCharType="begin"/>
      </w:r>
      <w:r>
        <w:rPr>
          <w:color w:val="auto"/>
          <w:highlight w:val="none"/>
        </w:rPr>
        <w:instrText xml:space="preserve"> PAGEREF _Toc23689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_Toc22375 </w:instrText>
      </w:r>
      <w:r>
        <w:rPr>
          <w:color w:val="auto"/>
          <w:highlight w:val="none"/>
        </w:rPr>
        <w:fldChar w:fldCharType="separate"/>
      </w:r>
      <w:r>
        <w:rPr>
          <w:rFonts w:ascii="Times New Roman" w:hAnsi="Times New Roman" w:eastAsia="宋体"/>
          <w:color w:val="auto"/>
          <w:highlight w:val="none"/>
        </w:rPr>
        <w:t xml:space="preserve">6.3 Preliminary </w:t>
      </w:r>
      <w:r>
        <w:rPr>
          <w:rFonts w:hint="eastAsia" w:ascii="Times New Roman" w:hAnsi="Times New Roman"/>
          <w:color w:val="auto"/>
          <w:highlight w:val="none"/>
          <w:lang w:val="en-US" w:eastAsia="zh-CN"/>
        </w:rPr>
        <w:t>I</w:t>
      </w:r>
      <w:r>
        <w:rPr>
          <w:rFonts w:ascii="Times New Roman" w:hAnsi="Times New Roman" w:eastAsia="宋体"/>
          <w:color w:val="auto"/>
          <w:highlight w:val="none"/>
        </w:rPr>
        <w:t>nvestigation</w:t>
      </w:r>
      <w:r>
        <w:rPr>
          <w:color w:val="auto"/>
          <w:highlight w:val="none"/>
        </w:rPr>
        <w:tab/>
      </w:r>
      <w:r>
        <w:rPr>
          <w:color w:val="auto"/>
          <w:highlight w:val="none"/>
        </w:rPr>
        <w:fldChar w:fldCharType="begin"/>
      </w:r>
      <w:r>
        <w:rPr>
          <w:color w:val="auto"/>
          <w:highlight w:val="none"/>
        </w:rPr>
        <w:instrText xml:space="preserve"> PAGEREF _Toc22375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_Toc18890 </w:instrText>
      </w:r>
      <w:r>
        <w:rPr>
          <w:color w:val="auto"/>
          <w:highlight w:val="none"/>
        </w:rPr>
        <w:fldChar w:fldCharType="separate"/>
      </w:r>
      <w:r>
        <w:rPr>
          <w:rFonts w:ascii="Times New Roman" w:hAnsi="Times New Roman" w:eastAsia="宋体"/>
          <w:color w:val="auto"/>
          <w:highlight w:val="none"/>
        </w:rPr>
        <w:t xml:space="preserve">6.4 Detailed </w:t>
      </w:r>
      <w:r>
        <w:rPr>
          <w:rFonts w:hint="eastAsia" w:ascii="Times New Roman" w:hAnsi="Times New Roman"/>
          <w:color w:val="auto"/>
          <w:highlight w:val="none"/>
          <w:lang w:val="en-US" w:eastAsia="zh-CN"/>
        </w:rPr>
        <w:t>I</w:t>
      </w:r>
      <w:r>
        <w:rPr>
          <w:rFonts w:ascii="Times New Roman" w:hAnsi="Times New Roman" w:eastAsia="宋体"/>
          <w:color w:val="auto"/>
          <w:highlight w:val="none"/>
        </w:rPr>
        <w:t>nvestigation</w:t>
      </w:r>
      <w:r>
        <w:rPr>
          <w:color w:val="auto"/>
          <w:highlight w:val="none"/>
        </w:rPr>
        <w:tab/>
      </w:r>
      <w:r>
        <w:rPr>
          <w:color w:val="auto"/>
          <w:highlight w:val="none"/>
        </w:rPr>
        <w:fldChar w:fldCharType="begin"/>
      </w:r>
      <w:r>
        <w:rPr>
          <w:color w:val="auto"/>
          <w:highlight w:val="none"/>
        </w:rPr>
        <w:instrText xml:space="preserve"> PAGEREF _Toc18890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3"/>
        <w:tabs>
          <w:tab w:val="right" w:leader="dot" w:pos="8620"/>
          <w:tab w:val="clear" w:pos="420"/>
          <w:tab w:val="clear" w:pos="9523"/>
        </w:tabs>
        <w:rPr>
          <w:color w:val="auto"/>
          <w:highlight w:val="none"/>
        </w:rPr>
      </w:pPr>
      <w:r>
        <w:rPr>
          <w:color w:val="auto"/>
          <w:highlight w:val="none"/>
        </w:rPr>
        <w:fldChar w:fldCharType="begin"/>
      </w:r>
      <w:r>
        <w:rPr>
          <w:color w:val="auto"/>
          <w:highlight w:val="none"/>
        </w:rPr>
        <w:instrText xml:space="preserve"> HYPERLINK \l _Toc21468 </w:instrText>
      </w:r>
      <w:r>
        <w:rPr>
          <w:color w:val="auto"/>
          <w:highlight w:val="none"/>
        </w:rPr>
        <w:fldChar w:fldCharType="separate"/>
      </w:r>
      <w:r>
        <w:rPr>
          <w:rFonts w:hint="eastAsia"/>
          <w:color w:val="auto"/>
          <w:highlight w:val="none"/>
        </w:rPr>
        <w:t xml:space="preserve">7 Urban </w:t>
      </w:r>
      <w:r>
        <w:rPr>
          <w:rFonts w:hint="eastAsia"/>
          <w:color w:val="auto"/>
          <w:highlight w:val="none"/>
          <w:lang w:val="en-US" w:eastAsia="zh-CN"/>
        </w:rPr>
        <w:t>T</w:t>
      </w:r>
      <w:r>
        <w:rPr>
          <w:rFonts w:hint="eastAsia"/>
          <w:color w:val="auto"/>
          <w:highlight w:val="none"/>
        </w:rPr>
        <w:t>unnel</w:t>
      </w:r>
      <w:r>
        <w:rPr>
          <w:color w:val="auto"/>
          <w:highlight w:val="none"/>
        </w:rPr>
        <w:tab/>
      </w:r>
      <w:r>
        <w:rPr>
          <w:color w:val="auto"/>
          <w:highlight w:val="none"/>
        </w:rPr>
        <w:fldChar w:fldCharType="begin"/>
      </w:r>
      <w:r>
        <w:rPr>
          <w:color w:val="auto"/>
          <w:highlight w:val="none"/>
        </w:rPr>
        <w:instrText xml:space="preserve"> PAGEREF _Toc21468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_Toc13160 </w:instrText>
      </w:r>
      <w:r>
        <w:rPr>
          <w:color w:val="auto"/>
          <w:highlight w:val="none"/>
        </w:rPr>
        <w:fldChar w:fldCharType="separate"/>
      </w:r>
      <w:r>
        <w:rPr>
          <w:rFonts w:ascii="Times New Roman" w:hAnsi="Times New Roman" w:eastAsia="宋体"/>
          <w:color w:val="auto"/>
          <w:highlight w:val="none"/>
        </w:rPr>
        <w:t xml:space="preserve">7.1 General </w:t>
      </w:r>
      <w:r>
        <w:rPr>
          <w:rFonts w:hint="eastAsia" w:ascii="Times New Roman" w:hAnsi="Times New Roman"/>
          <w:color w:val="auto"/>
          <w:highlight w:val="none"/>
          <w:lang w:eastAsia="zh-CN"/>
        </w:rPr>
        <w:t>Requirements</w:t>
      </w:r>
      <w:r>
        <w:rPr>
          <w:color w:val="auto"/>
          <w:highlight w:val="none"/>
        </w:rPr>
        <w:tab/>
      </w:r>
      <w:r>
        <w:rPr>
          <w:color w:val="auto"/>
          <w:highlight w:val="none"/>
        </w:rPr>
        <w:fldChar w:fldCharType="begin"/>
      </w:r>
      <w:r>
        <w:rPr>
          <w:color w:val="auto"/>
          <w:highlight w:val="none"/>
        </w:rPr>
        <w:instrText xml:space="preserve"> PAGEREF _Toc13160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_Toc30506 </w:instrText>
      </w:r>
      <w:r>
        <w:rPr>
          <w:color w:val="auto"/>
          <w:highlight w:val="none"/>
        </w:rPr>
        <w:fldChar w:fldCharType="separate"/>
      </w:r>
      <w:r>
        <w:rPr>
          <w:rFonts w:ascii="Times New Roman" w:hAnsi="Times New Roman" w:eastAsia="宋体"/>
          <w:color w:val="auto"/>
          <w:highlight w:val="none"/>
        </w:rPr>
        <w:t xml:space="preserve">7.2 Feasibility </w:t>
      </w:r>
      <w:r>
        <w:rPr>
          <w:rFonts w:hint="eastAsia" w:ascii="Times New Roman" w:hAnsi="Times New Roman"/>
          <w:color w:val="auto"/>
          <w:highlight w:val="none"/>
          <w:lang w:val="en-US" w:eastAsia="zh-CN"/>
        </w:rPr>
        <w:t>S</w:t>
      </w:r>
      <w:r>
        <w:rPr>
          <w:rFonts w:ascii="Times New Roman" w:hAnsi="Times New Roman" w:eastAsia="宋体"/>
          <w:color w:val="auto"/>
          <w:highlight w:val="none"/>
        </w:rPr>
        <w:t xml:space="preserve">tudy and </w:t>
      </w:r>
      <w:r>
        <w:rPr>
          <w:rFonts w:hint="eastAsia" w:ascii="Times New Roman" w:hAnsi="Times New Roman"/>
          <w:color w:val="auto"/>
          <w:highlight w:val="none"/>
          <w:lang w:val="en-US" w:eastAsia="zh-CN"/>
        </w:rPr>
        <w:t>I</w:t>
      </w:r>
      <w:r>
        <w:rPr>
          <w:rFonts w:ascii="Times New Roman" w:hAnsi="Times New Roman" w:eastAsia="宋体"/>
          <w:color w:val="auto"/>
          <w:highlight w:val="none"/>
        </w:rPr>
        <w:t>nvestigation</w:t>
      </w:r>
      <w:r>
        <w:rPr>
          <w:color w:val="auto"/>
          <w:highlight w:val="none"/>
        </w:rPr>
        <w:tab/>
      </w:r>
      <w:r>
        <w:rPr>
          <w:color w:val="auto"/>
          <w:highlight w:val="none"/>
        </w:rPr>
        <w:fldChar w:fldCharType="begin"/>
      </w:r>
      <w:r>
        <w:rPr>
          <w:color w:val="auto"/>
          <w:highlight w:val="none"/>
        </w:rPr>
        <w:instrText xml:space="preserve"> PAGEREF _Toc30506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_Toc12704 </w:instrText>
      </w:r>
      <w:r>
        <w:rPr>
          <w:color w:val="auto"/>
          <w:highlight w:val="none"/>
        </w:rPr>
        <w:fldChar w:fldCharType="separate"/>
      </w:r>
      <w:r>
        <w:rPr>
          <w:rFonts w:ascii="Times New Roman" w:hAnsi="Times New Roman" w:eastAsia="宋体"/>
          <w:color w:val="auto"/>
          <w:highlight w:val="none"/>
        </w:rPr>
        <w:t xml:space="preserve">7.3 Preliminary </w:t>
      </w:r>
      <w:r>
        <w:rPr>
          <w:rFonts w:hint="eastAsia" w:ascii="Times New Roman" w:hAnsi="Times New Roman"/>
          <w:color w:val="auto"/>
          <w:highlight w:val="none"/>
          <w:lang w:val="en-US" w:eastAsia="zh-CN"/>
        </w:rPr>
        <w:t>I</w:t>
      </w:r>
      <w:r>
        <w:rPr>
          <w:rFonts w:ascii="Times New Roman" w:hAnsi="Times New Roman" w:eastAsia="宋体"/>
          <w:color w:val="auto"/>
          <w:highlight w:val="none"/>
        </w:rPr>
        <w:t>nvestigation</w:t>
      </w:r>
      <w:r>
        <w:rPr>
          <w:color w:val="auto"/>
          <w:highlight w:val="none"/>
        </w:rPr>
        <w:tab/>
      </w:r>
      <w:r>
        <w:rPr>
          <w:color w:val="auto"/>
          <w:highlight w:val="none"/>
        </w:rPr>
        <w:fldChar w:fldCharType="begin"/>
      </w:r>
      <w:r>
        <w:rPr>
          <w:color w:val="auto"/>
          <w:highlight w:val="none"/>
        </w:rPr>
        <w:instrText xml:space="preserve"> PAGEREF _Toc12704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_Toc10809 </w:instrText>
      </w:r>
      <w:r>
        <w:rPr>
          <w:color w:val="auto"/>
          <w:highlight w:val="none"/>
        </w:rPr>
        <w:fldChar w:fldCharType="separate"/>
      </w:r>
      <w:r>
        <w:rPr>
          <w:rFonts w:ascii="Times New Roman" w:hAnsi="Times New Roman" w:eastAsia="宋体"/>
          <w:color w:val="auto"/>
          <w:highlight w:val="none"/>
        </w:rPr>
        <w:t xml:space="preserve">7.4 Detailed </w:t>
      </w:r>
      <w:r>
        <w:rPr>
          <w:rFonts w:hint="eastAsia" w:ascii="Times New Roman" w:hAnsi="Times New Roman"/>
          <w:color w:val="auto"/>
          <w:highlight w:val="none"/>
          <w:lang w:val="en-US" w:eastAsia="zh-CN"/>
        </w:rPr>
        <w:t>I</w:t>
      </w:r>
      <w:r>
        <w:rPr>
          <w:rFonts w:ascii="Times New Roman" w:hAnsi="Times New Roman" w:eastAsia="宋体"/>
          <w:color w:val="auto"/>
          <w:highlight w:val="none"/>
        </w:rPr>
        <w:t>nvestigation</w:t>
      </w:r>
      <w:r>
        <w:rPr>
          <w:color w:val="auto"/>
          <w:highlight w:val="none"/>
        </w:rPr>
        <w:tab/>
      </w:r>
      <w:r>
        <w:rPr>
          <w:color w:val="auto"/>
          <w:highlight w:val="none"/>
        </w:rPr>
        <w:fldChar w:fldCharType="begin"/>
      </w:r>
      <w:r>
        <w:rPr>
          <w:color w:val="auto"/>
          <w:highlight w:val="none"/>
        </w:rPr>
        <w:instrText xml:space="preserve"> PAGEREF _Toc10809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pPr>
        <w:pStyle w:val="13"/>
        <w:tabs>
          <w:tab w:val="right" w:leader="dot" w:pos="8620"/>
          <w:tab w:val="clear" w:pos="420"/>
          <w:tab w:val="clear" w:pos="9523"/>
        </w:tabs>
        <w:rPr>
          <w:color w:val="auto"/>
          <w:highlight w:val="none"/>
        </w:rPr>
      </w:pPr>
      <w:r>
        <w:rPr>
          <w:color w:val="auto"/>
          <w:highlight w:val="none"/>
        </w:rPr>
        <w:fldChar w:fldCharType="begin"/>
      </w:r>
      <w:r>
        <w:rPr>
          <w:color w:val="auto"/>
          <w:highlight w:val="none"/>
        </w:rPr>
        <w:instrText xml:space="preserve"> HYPERLINK \l _Toc23790 </w:instrText>
      </w:r>
      <w:r>
        <w:rPr>
          <w:color w:val="auto"/>
          <w:highlight w:val="none"/>
        </w:rPr>
        <w:fldChar w:fldCharType="separate"/>
      </w:r>
      <w:r>
        <w:rPr>
          <w:rFonts w:hint="eastAsia"/>
          <w:color w:val="auto"/>
          <w:highlight w:val="none"/>
        </w:rPr>
        <w:t xml:space="preserve">8 Urban </w:t>
      </w:r>
      <w:r>
        <w:rPr>
          <w:rFonts w:hint="eastAsia"/>
          <w:color w:val="auto"/>
          <w:highlight w:val="none"/>
          <w:lang w:val="en-US" w:eastAsia="zh-CN"/>
        </w:rPr>
        <w:t>W</w:t>
      </w:r>
      <w:r>
        <w:rPr>
          <w:rFonts w:hint="eastAsia"/>
          <w:color w:val="auto"/>
          <w:highlight w:val="none"/>
        </w:rPr>
        <w:t xml:space="preserve">ater </w:t>
      </w:r>
      <w:r>
        <w:rPr>
          <w:rFonts w:hint="eastAsia"/>
          <w:color w:val="auto"/>
          <w:highlight w:val="none"/>
          <w:lang w:val="en-US" w:eastAsia="zh-CN"/>
        </w:rPr>
        <w:t>S</w:t>
      </w:r>
      <w:r>
        <w:rPr>
          <w:rFonts w:hint="eastAsia"/>
          <w:color w:val="auto"/>
          <w:highlight w:val="none"/>
        </w:rPr>
        <w:t xml:space="preserve">upply and </w:t>
      </w:r>
      <w:r>
        <w:rPr>
          <w:rFonts w:hint="eastAsia"/>
          <w:color w:val="auto"/>
          <w:highlight w:val="none"/>
          <w:lang w:val="en-US" w:eastAsia="zh-CN"/>
        </w:rPr>
        <w:t>D</w:t>
      </w:r>
      <w:r>
        <w:rPr>
          <w:rFonts w:hint="eastAsia"/>
          <w:color w:val="auto"/>
          <w:highlight w:val="none"/>
        </w:rPr>
        <w:t xml:space="preserve">rainage </w:t>
      </w:r>
      <w:r>
        <w:rPr>
          <w:rFonts w:hint="eastAsia"/>
          <w:color w:val="auto"/>
          <w:highlight w:val="none"/>
          <w:lang w:val="en-US" w:eastAsia="zh-CN"/>
        </w:rPr>
        <w:t>Facilities</w:t>
      </w:r>
      <w:r>
        <w:rPr>
          <w:color w:val="auto"/>
          <w:highlight w:val="none"/>
        </w:rPr>
        <w:tab/>
      </w:r>
      <w:r>
        <w:rPr>
          <w:color w:val="auto"/>
          <w:highlight w:val="none"/>
        </w:rPr>
        <w:fldChar w:fldCharType="begin"/>
      </w:r>
      <w:r>
        <w:rPr>
          <w:color w:val="auto"/>
          <w:highlight w:val="none"/>
        </w:rPr>
        <w:instrText xml:space="preserve"> PAGEREF _Toc23790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_Toc29182 </w:instrText>
      </w:r>
      <w:r>
        <w:rPr>
          <w:color w:val="auto"/>
          <w:highlight w:val="none"/>
        </w:rPr>
        <w:fldChar w:fldCharType="separate"/>
      </w:r>
      <w:r>
        <w:rPr>
          <w:rFonts w:ascii="Times New Roman" w:hAnsi="Times New Roman" w:eastAsia="宋体"/>
          <w:color w:val="auto"/>
          <w:highlight w:val="none"/>
        </w:rPr>
        <w:t xml:space="preserve">8.1 General </w:t>
      </w:r>
      <w:r>
        <w:rPr>
          <w:rFonts w:hint="eastAsia" w:ascii="Times New Roman" w:hAnsi="Times New Roman"/>
          <w:color w:val="auto"/>
          <w:highlight w:val="none"/>
          <w:lang w:eastAsia="zh-CN"/>
        </w:rPr>
        <w:t>Requirements</w:t>
      </w:r>
      <w:r>
        <w:rPr>
          <w:color w:val="auto"/>
          <w:highlight w:val="none"/>
        </w:rPr>
        <w:tab/>
      </w:r>
      <w:r>
        <w:rPr>
          <w:color w:val="auto"/>
          <w:highlight w:val="none"/>
        </w:rPr>
        <w:fldChar w:fldCharType="begin"/>
      </w:r>
      <w:r>
        <w:rPr>
          <w:color w:val="auto"/>
          <w:highlight w:val="none"/>
        </w:rPr>
        <w:instrText xml:space="preserve"> PAGEREF _Toc29182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_Toc25399 </w:instrText>
      </w:r>
      <w:r>
        <w:rPr>
          <w:color w:val="auto"/>
          <w:highlight w:val="none"/>
        </w:rPr>
        <w:fldChar w:fldCharType="separate"/>
      </w:r>
      <w:r>
        <w:rPr>
          <w:rFonts w:ascii="Times New Roman" w:hAnsi="Times New Roman" w:eastAsia="宋体"/>
          <w:color w:val="auto"/>
          <w:highlight w:val="none"/>
        </w:rPr>
        <w:t xml:space="preserve">8.2 Feasibility </w:t>
      </w:r>
      <w:r>
        <w:rPr>
          <w:rFonts w:hint="eastAsia"/>
          <w:color w:val="auto"/>
          <w:highlight w:val="none"/>
          <w:lang w:val="en-US" w:eastAsia="zh-CN"/>
        </w:rPr>
        <w:t>S</w:t>
      </w:r>
      <w:r>
        <w:rPr>
          <w:rFonts w:ascii="Times New Roman" w:hAnsi="Times New Roman" w:eastAsia="宋体"/>
          <w:color w:val="auto"/>
          <w:highlight w:val="none"/>
        </w:rPr>
        <w:t xml:space="preserve">tudy </w:t>
      </w:r>
      <w:r>
        <w:rPr>
          <w:rFonts w:hint="eastAsia"/>
          <w:color w:val="auto"/>
          <w:highlight w:val="none"/>
          <w:lang w:val="en-US" w:eastAsia="zh-CN"/>
        </w:rPr>
        <w:t>I</w:t>
      </w:r>
      <w:r>
        <w:rPr>
          <w:rFonts w:ascii="Times New Roman" w:hAnsi="Times New Roman" w:eastAsia="宋体"/>
          <w:color w:val="auto"/>
          <w:highlight w:val="none"/>
        </w:rPr>
        <w:t>nvestigation</w:t>
      </w:r>
      <w:r>
        <w:rPr>
          <w:color w:val="auto"/>
          <w:highlight w:val="none"/>
        </w:rPr>
        <w:tab/>
      </w:r>
      <w:r>
        <w:rPr>
          <w:color w:val="auto"/>
          <w:highlight w:val="none"/>
        </w:rPr>
        <w:fldChar w:fldCharType="begin"/>
      </w:r>
      <w:r>
        <w:rPr>
          <w:color w:val="auto"/>
          <w:highlight w:val="none"/>
        </w:rPr>
        <w:instrText xml:space="preserve"> PAGEREF _Toc25399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_Toc5761 </w:instrText>
      </w:r>
      <w:r>
        <w:rPr>
          <w:color w:val="auto"/>
          <w:highlight w:val="none"/>
        </w:rPr>
        <w:fldChar w:fldCharType="separate"/>
      </w:r>
      <w:r>
        <w:rPr>
          <w:rFonts w:ascii="Times New Roman" w:hAnsi="Times New Roman" w:eastAsia="宋体"/>
          <w:color w:val="auto"/>
          <w:highlight w:val="none"/>
        </w:rPr>
        <w:t xml:space="preserve">8.3 Preliminary </w:t>
      </w:r>
      <w:r>
        <w:rPr>
          <w:rFonts w:hint="eastAsia"/>
          <w:color w:val="auto"/>
          <w:highlight w:val="none"/>
          <w:lang w:val="en-US" w:eastAsia="zh-CN"/>
        </w:rPr>
        <w:t>I</w:t>
      </w:r>
      <w:r>
        <w:rPr>
          <w:rFonts w:ascii="Times New Roman" w:hAnsi="Times New Roman" w:eastAsia="宋体"/>
          <w:color w:val="auto"/>
          <w:highlight w:val="none"/>
        </w:rPr>
        <w:t>nvestigation</w:t>
      </w:r>
      <w:r>
        <w:rPr>
          <w:color w:val="auto"/>
          <w:highlight w:val="none"/>
        </w:rPr>
        <w:tab/>
      </w:r>
      <w:r>
        <w:rPr>
          <w:color w:val="auto"/>
          <w:highlight w:val="none"/>
        </w:rPr>
        <w:fldChar w:fldCharType="begin"/>
      </w:r>
      <w:r>
        <w:rPr>
          <w:color w:val="auto"/>
          <w:highlight w:val="none"/>
        </w:rPr>
        <w:instrText xml:space="preserve"> PAGEREF _Toc5761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_Toc24366 </w:instrText>
      </w:r>
      <w:r>
        <w:rPr>
          <w:color w:val="auto"/>
          <w:highlight w:val="none"/>
        </w:rPr>
        <w:fldChar w:fldCharType="separate"/>
      </w:r>
      <w:r>
        <w:rPr>
          <w:rFonts w:ascii="Times New Roman" w:hAnsi="Times New Roman" w:eastAsia="宋体"/>
          <w:color w:val="auto"/>
          <w:highlight w:val="none"/>
        </w:rPr>
        <w:t xml:space="preserve">8.4 Detailed </w:t>
      </w:r>
      <w:r>
        <w:rPr>
          <w:rFonts w:hint="eastAsia"/>
          <w:color w:val="auto"/>
          <w:highlight w:val="none"/>
          <w:lang w:val="en-US" w:eastAsia="zh-CN"/>
        </w:rPr>
        <w:t>I</w:t>
      </w:r>
      <w:r>
        <w:rPr>
          <w:rFonts w:ascii="Times New Roman" w:hAnsi="Times New Roman" w:eastAsia="宋体"/>
          <w:color w:val="auto"/>
          <w:highlight w:val="none"/>
        </w:rPr>
        <w:t>nvestigation</w:t>
      </w:r>
      <w:r>
        <w:rPr>
          <w:color w:val="auto"/>
          <w:highlight w:val="none"/>
        </w:rPr>
        <w:tab/>
      </w:r>
      <w:r>
        <w:rPr>
          <w:color w:val="auto"/>
          <w:highlight w:val="none"/>
        </w:rPr>
        <w:fldChar w:fldCharType="begin"/>
      </w:r>
      <w:r>
        <w:rPr>
          <w:color w:val="auto"/>
          <w:highlight w:val="none"/>
        </w:rPr>
        <w:instrText xml:space="preserve"> PAGEREF _Toc24366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13"/>
        <w:tabs>
          <w:tab w:val="right" w:leader="dot" w:pos="8620"/>
          <w:tab w:val="clear" w:pos="420"/>
          <w:tab w:val="clear" w:pos="9523"/>
        </w:tabs>
        <w:rPr>
          <w:color w:val="auto"/>
          <w:highlight w:val="none"/>
        </w:rPr>
      </w:pPr>
      <w:r>
        <w:rPr>
          <w:color w:val="auto"/>
          <w:highlight w:val="none"/>
        </w:rPr>
        <w:fldChar w:fldCharType="begin"/>
      </w:r>
      <w:r>
        <w:rPr>
          <w:color w:val="auto"/>
          <w:highlight w:val="none"/>
        </w:rPr>
        <w:instrText xml:space="preserve"> HYPERLINK \l _Toc14135 </w:instrText>
      </w:r>
      <w:r>
        <w:rPr>
          <w:color w:val="auto"/>
          <w:highlight w:val="none"/>
        </w:rPr>
        <w:fldChar w:fldCharType="separate"/>
      </w:r>
      <w:r>
        <w:rPr>
          <w:rFonts w:hint="eastAsia"/>
          <w:color w:val="auto"/>
          <w:highlight w:val="none"/>
        </w:rPr>
        <w:t xml:space="preserve">9 Urban </w:t>
      </w:r>
      <w:r>
        <w:rPr>
          <w:rFonts w:hint="eastAsia"/>
          <w:color w:val="auto"/>
          <w:highlight w:val="none"/>
          <w:lang w:val="en-US" w:eastAsia="zh-CN"/>
        </w:rPr>
        <w:t>O</w:t>
      </w:r>
      <w:r>
        <w:rPr>
          <w:rFonts w:hint="eastAsia"/>
          <w:color w:val="auto"/>
          <w:highlight w:val="none"/>
        </w:rPr>
        <w:t xml:space="preserve">utdoor </w:t>
      </w:r>
      <w:r>
        <w:rPr>
          <w:rFonts w:hint="eastAsia"/>
          <w:color w:val="auto"/>
          <w:highlight w:val="none"/>
          <w:lang w:val="en-US" w:eastAsia="zh-CN"/>
        </w:rPr>
        <w:t>P</w:t>
      </w:r>
      <w:r>
        <w:rPr>
          <w:rFonts w:hint="eastAsia"/>
          <w:color w:val="auto"/>
          <w:highlight w:val="none"/>
        </w:rPr>
        <w:t>ipe</w:t>
      </w:r>
      <w:r>
        <w:rPr>
          <w:color w:val="auto"/>
          <w:highlight w:val="none"/>
        </w:rPr>
        <w:tab/>
      </w:r>
      <w:r>
        <w:rPr>
          <w:color w:val="auto"/>
          <w:highlight w:val="none"/>
        </w:rPr>
        <w:fldChar w:fldCharType="begin"/>
      </w:r>
      <w:r>
        <w:rPr>
          <w:color w:val="auto"/>
          <w:highlight w:val="none"/>
        </w:rPr>
        <w:instrText xml:space="preserve"> PAGEREF _Toc14135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_Toc19420 </w:instrText>
      </w:r>
      <w:r>
        <w:rPr>
          <w:color w:val="auto"/>
          <w:highlight w:val="none"/>
        </w:rPr>
        <w:fldChar w:fldCharType="separate"/>
      </w:r>
      <w:r>
        <w:rPr>
          <w:rFonts w:ascii="Times New Roman" w:hAnsi="Times New Roman" w:eastAsia="宋体"/>
          <w:color w:val="auto"/>
          <w:highlight w:val="none"/>
        </w:rPr>
        <w:t xml:space="preserve">9.1 General </w:t>
      </w:r>
      <w:r>
        <w:rPr>
          <w:rFonts w:hint="eastAsia" w:ascii="Times New Roman" w:hAnsi="Times New Roman"/>
          <w:color w:val="auto"/>
          <w:highlight w:val="none"/>
          <w:lang w:eastAsia="zh-CN"/>
        </w:rPr>
        <w:t>Requirements</w:t>
      </w:r>
      <w:r>
        <w:rPr>
          <w:color w:val="auto"/>
          <w:highlight w:val="none"/>
        </w:rPr>
        <w:tab/>
      </w:r>
      <w:r>
        <w:rPr>
          <w:color w:val="auto"/>
          <w:highlight w:val="none"/>
        </w:rPr>
        <w:fldChar w:fldCharType="begin"/>
      </w:r>
      <w:r>
        <w:rPr>
          <w:color w:val="auto"/>
          <w:highlight w:val="none"/>
        </w:rPr>
        <w:instrText xml:space="preserve"> PAGEREF _Toc19420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_Toc24286 </w:instrText>
      </w:r>
      <w:r>
        <w:rPr>
          <w:color w:val="auto"/>
          <w:highlight w:val="none"/>
        </w:rPr>
        <w:fldChar w:fldCharType="separate"/>
      </w:r>
      <w:r>
        <w:rPr>
          <w:rFonts w:ascii="Times New Roman" w:hAnsi="Times New Roman" w:eastAsia="宋体"/>
          <w:color w:val="auto"/>
          <w:highlight w:val="none"/>
        </w:rPr>
        <w:t xml:space="preserve">9.2 Feasibility </w:t>
      </w:r>
      <w:r>
        <w:rPr>
          <w:rFonts w:hint="eastAsia"/>
          <w:color w:val="auto"/>
          <w:highlight w:val="none"/>
          <w:lang w:val="en-US" w:eastAsia="zh-CN"/>
        </w:rPr>
        <w:t>S</w:t>
      </w:r>
      <w:r>
        <w:rPr>
          <w:rFonts w:ascii="Times New Roman" w:hAnsi="Times New Roman" w:eastAsia="宋体"/>
          <w:color w:val="auto"/>
          <w:highlight w:val="none"/>
        </w:rPr>
        <w:t xml:space="preserve">tudy </w:t>
      </w:r>
      <w:r>
        <w:rPr>
          <w:rFonts w:hint="eastAsia"/>
          <w:color w:val="auto"/>
          <w:highlight w:val="none"/>
          <w:lang w:val="en-US" w:eastAsia="zh-CN"/>
        </w:rPr>
        <w:t>I</w:t>
      </w:r>
      <w:r>
        <w:rPr>
          <w:rFonts w:ascii="Times New Roman" w:hAnsi="Times New Roman" w:eastAsia="宋体"/>
          <w:color w:val="auto"/>
          <w:highlight w:val="none"/>
        </w:rPr>
        <w:t>nvestigation</w:t>
      </w:r>
      <w:r>
        <w:rPr>
          <w:color w:val="auto"/>
          <w:highlight w:val="none"/>
        </w:rPr>
        <w:tab/>
      </w:r>
      <w:r>
        <w:rPr>
          <w:color w:val="auto"/>
          <w:highlight w:val="none"/>
        </w:rPr>
        <w:fldChar w:fldCharType="begin"/>
      </w:r>
      <w:r>
        <w:rPr>
          <w:color w:val="auto"/>
          <w:highlight w:val="none"/>
        </w:rPr>
        <w:instrText xml:space="preserve"> PAGEREF _Toc24286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_Toc32119 </w:instrText>
      </w:r>
      <w:r>
        <w:rPr>
          <w:color w:val="auto"/>
          <w:highlight w:val="none"/>
        </w:rPr>
        <w:fldChar w:fldCharType="separate"/>
      </w:r>
      <w:r>
        <w:rPr>
          <w:rFonts w:ascii="Times New Roman" w:hAnsi="Times New Roman" w:eastAsia="宋体"/>
          <w:color w:val="auto"/>
          <w:highlight w:val="none"/>
        </w:rPr>
        <w:t xml:space="preserve">9.3 Preliminary </w:t>
      </w:r>
      <w:r>
        <w:rPr>
          <w:rFonts w:hint="eastAsia"/>
          <w:color w:val="auto"/>
          <w:highlight w:val="none"/>
          <w:lang w:val="en-US" w:eastAsia="zh-CN"/>
        </w:rPr>
        <w:t>I</w:t>
      </w:r>
      <w:r>
        <w:rPr>
          <w:rFonts w:ascii="Times New Roman" w:hAnsi="Times New Roman" w:eastAsia="宋体"/>
          <w:color w:val="auto"/>
          <w:highlight w:val="none"/>
        </w:rPr>
        <w:t>nvestigation</w:t>
      </w:r>
      <w:r>
        <w:rPr>
          <w:color w:val="auto"/>
          <w:highlight w:val="none"/>
        </w:rPr>
        <w:tab/>
      </w:r>
      <w:r>
        <w:rPr>
          <w:color w:val="auto"/>
          <w:highlight w:val="none"/>
        </w:rPr>
        <w:fldChar w:fldCharType="begin"/>
      </w:r>
      <w:r>
        <w:rPr>
          <w:color w:val="auto"/>
          <w:highlight w:val="none"/>
        </w:rPr>
        <w:instrText xml:space="preserve"> PAGEREF _Toc32119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_Toc31613 </w:instrText>
      </w:r>
      <w:r>
        <w:rPr>
          <w:color w:val="auto"/>
          <w:highlight w:val="none"/>
        </w:rPr>
        <w:fldChar w:fldCharType="separate"/>
      </w:r>
      <w:r>
        <w:rPr>
          <w:rFonts w:ascii="Times New Roman" w:hAnsi="Times New Roman" w:eastAsia="宋体"/>
          <w:color w:val="auto"/>
          <w:highlight w:val="none"/>
        </w:rPr>
        <w:t xml:space="preserve">9.4 Detailed </w:t>
      </w:r>
      <w:r>
        <w:rPr>
          <w:rFonts w:hint="eastAsia"/>
          <w:color w:val="auto"/>
          <w:highlight w:val="none"/>
          <w:lang w:val="en-US" w:eastAsia="zh-CN"/>
        </w:rPr>
        <w:t>I</w:t>
      </w:r>
      <w:r>
        <w:rPr>
          <w:rFonts w:ascii="Times New Roman" w:hAnsi="Times New Roman" w:eastAsia="宋体"/>
          <w:color w:val="auto"/>
          <w:highlight w:val="none"/>
        </w:rPr>
        <w:t>nvestigation</w:t>
      </w:r>
      <w:r>
        <w:rPr>
          <w:color w:val="auto"/>
          <w:highlight w:val="none"/>
        </w:rPr>
        <w:tab/>
      </w:r>
      <w:r>
        <w:rPr>
          <w:color w:val="auto"/>
          <w:highlight w:val="none"/>
        </w:rPr>
        <w:fldChar w:fldCharType="begin"/>
      </w:r>
      <w:r>
        <w:rPr>
          <w:color w:val="auto"/>
          <w:highlight w:val="none"/>
        </w:rPr>
        <w:instrText xml:space="preserve"> PAGEREF _Toc31613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pPr>
        <w:pStyle w:val="13"/>
        <w:tabs>
          <w:tab w:val="right" w:leader="dot" w:pos="8620"/>
          <w:tab w:val="clear" w:pos="420"/>
          <w:tab w:val="clear" w:pos="9523"/>
        </w:tabs>
        <w:rPr>
          <w:color w:val="auto"/>
          <w:highlight w:val="none"/>
        </w:rPr>
      </w:pPr>
      <w:r>
        <w:rPr>
          <w:color w:val="auto"/>
          <w:highlight w:val="none"/>
        </w:rPr>
        <w:fldChar w:fldCharType="begin"/>
      </w:r>
      <w:r>
        <w:rPr>
          <w:color w:val="auto"/>
          <w:highlight w:val="none"/>
        </w:rPr>
        <w:instrText xml:space="preserve"> HYPERLINK \l _Toc4591 </w:instrText>
      </w:r>
      <w:r>
        <w:rPr>
          <w:color w:val="auto"/>
          <w:highlight w:val="none"/>
        </w:rPr>
        <w:fldChar w:fldCharType="separate"/>
      </w:r>
      <w:r>
        <w:rPr>
          <w:color w:val="auto"/>
          <w:highlight w:val="none"/>
        </w:rPr>
        <w:t xml:space="preserve">10. Urban </w:t>
      </w:r>
      <w:r>
        <w:rPr>
          <w:rFonts w:hint="eastAsia"/>
          <w:color w:val="auto"/>
          <w:highlight w:val="none"/>
          <w:lang w:val="en-US" w:eastAsia="zh-CN"/>
        </w:rPr>
        <w:t>C</w:t>
      </w:r>
      <w:r>
        <w:rPr>
          <w:color w:val="auto"/>
          <w:highlight w:val="none"/>
        </w:rPr>
        <w:t xml:space="preserve">omprehensive </w:t>
      </w:r>
      <w:r>
        <w:rPr>
          <w:rFonts w:hint="eastAsia"/>
          <w:color w:val="auto"/>
          <w:highlight w:val="none"/>
          <w:lang w:val="en-US" w:eastAsia="zh-CN"/>
        </w:rPr>
        <w:t>P</w:t>
      </w:r>
      <w:r>
        <w:rPr>
          <w:color w:val="auto"/>
          <w:highlight w:val="none"/>
        </w:rPr>
        <w:t xml:space="preserve">ipe </w:t>
      </w:r>
      <w:r>
        <w:rPr>
          <w:rFonts w:hint="eastAsia"/>
          <w:color w:val="auto"/>
          <w:highlight w:val="none"/>
          <w:lang w:val="en-US" w:eastAsia="zh-CN"/>
        </w:rPr>
        <w:t>C</w:t>
      </w:r>
      <w:r>
        <w:rPr>
          <w:color w:val="auto"/>
          <w:highlight w:val="none"/>
        </w:rPr>
        <w:t>orridor</w:t>
      </w:r>
      <w:r>
        <w:rPr>
          <w:color w:val="auto"/>
          <w:highlight w:val="none"/>
        </w:rPr>
        <w:tab/>
      </w:r>
      <w:r>
        <w:rPr>
          <w:color w:val="auto"/>
          <w:highlight w:val="none"/>
        </w:rPr>
        <w:fldChar w:fldCharType="begin"/>
      </w:r>
      <w:r>
        <w:rPr>
          <w:color w:val="auto"/>
          <w:highlight w:val="none"/>
        </w:rPr>
        <w:instrText xml:space="preserve"> PAGEREF _Toc4591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_Toc829 </w:instrText>
      </w:r>
      <w:r>
        <w:rPr>
          <w:color w:val="auto"/>
          <w:highlight w:val="none"/>
        </w:rPr>
        <w:fldChar w:fldCharType="separate"/>
      </w:r>
      <w:r>
        <w:rPr>
          <w:rFonts w:ascii="Times New Roman" w:hAnsi="Times New Roman" w:eastAsia="宋体"/>
          <w:color w:val="auto"/>
          <w:highlight w:val="none"/>
        </w:rPr>
        <w:t xml:space="preserve">10.1, General </w:t>
      </w:r>
      <w:r>
        <w:rPr>
          <w:rFonts w:hint="eastAsia" w:ascii="Times New Roman" w:hAnsi="Times New Roman"/>
          <w:color w:val="auto"/>
          <w:highlight w:val="none"/>
          <w:lang w:eastAsia="zh-CN"/>
        </w:rPr>
        <w:t>Requirements</w:t>
      </w:r>
      <w:r>
        <w:rPr>
          <w:color w:val="auto"/>
          <w:highlight w:val="none"/>
        </w:rPr>
        <w:tab/>
      </w:r>
      <w:r>
        <w:rPr>
          <w:color w:val="auto"/>
          <w:highlight w:val="none"/>
        </w:rPr>
        <w:fldChar w:fldCharType="begin"/>
      </w:r>
      <w:r>
        <w:rPr>
          <w:color w:val="auto"/>
          <w:highlight w:val="none"/>
        </w:rPr>
        <w:instrText xml:space="preserve"> PAGEREF _Toc829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_Toc7894 </w:instrText>
      </w:r>
      <w:r>
        <w:rPr>
          <w:color w:val="auto"/>
          <w:highlight w:val="none"/>
        </w:rPr>
        <w:fldChar w:fldCharType="separate"/>
      </w:r>
      <w:r>
        <w:rPr>
          <w:rFonts w:ascii="Times New Roman" w:hAnsi="Times New Roman" w:eastAsia="宋体"/>
          <w:color w:val="auto"/>
          <w:highlight w:val="none"/>
        </w:rPr>
        <w:t xml:space="preserve">10.2 Feasibility </w:t>
      </w:r>
      <w:r>
        <w:rPr>
          <w:rFonts w:hint="eastAsia"/>
          <w:color w:val="auto"/>
          <w:highlight w:val="none"/>
          <w:lang w:val="en-US" w:eastAsia="zh-CN"/>
        </w:rPr>
        <w:t>S</w:t>
      </w:r>
      <w:r>
        <w:rPr>
          <w:rFonts w:ascii="Times New Roman" w:hAnsi="Times New Roman" w:eastAsia="宋体"/>
          <w:color w:val="auto"/>
          <w:highlight w:val="none"/>
        </w:rPr>
        <w:t xml:space="preserve">tudy </w:t>
      </w:r>
      <w:r>
        <w:rPr>
          <w:rFonts w:hint="eastAsia"/>
          <w:color w:val="auto"/>
          <w:highlight w:val="none"/>
          <w:lang w:val="en-US" w:eastAsia="zh-CN"/>
        </w:rPr>
        <w:t>I</w:t>
      </w:r>
      <w:r>
        <w:rPr>
          <w:rFonts w:ascii="Times New Roman" w:hAnsi="Times New Roman" w:eastAsia="宋体"/>
          <w:color w:val="auto"/>
          <w:highlight w:val="none"/>
        </w:rPr>
        <w:t>nvestigation</w:t>
      </w:r>
      <w:r>
        <w:rPr>
          <w:color w:val="auto"/>
          <w:highlight w:val="none"/>
        </w:rPr>
        <w:tab/>
      </w:r>
      <w:r>
        <w:rPr>
          <w:color w:val="auto"/>
          <w:highlight w:val="none"/>
        </w:rPr>
        <w:fldChar w:fldCharType="begin"/>
      </w:r>
      <w:r>
        <w:rPr>
          <w:color w:val="auto"/>
          <w:highlight w:val="none"/>
        </w:rPr>
        <w:instrText xml:space="preserve"> PAGEREF _Toc7894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_Toc5428 </w:instrText>
      </w:r>
      <w:r>
        <w:rPr>
          <w:color w:val="auto"/>
          <w:highlight w:val="none"/>
        </w:rPr>
        <w:fldChar w:fldCharType="separate"/>
      </w:r>
      <w:r>
        <w:rPr>
          <w:rFonts w:ascii="Times New Roman" w:hAnsi="Times New Roman" w:eastAsia="宋体"/>
          <w:color w:val="auto"/>
          <w:highlight w:val="none"/>
        </w:rPr>
        <w:t xml:space="preserve">10.3 Preliminary </w:t>
      </w:r>
      <w:r>
        <w:rPr>
          <w:rFonts w:hint="eastAsia"/>
          <w:color w:val="auto"/>
          <w:highlight w:val="none"/>
          <w:lang w:val="en-US" w:eastAsia="zh-CN"/>
        </w:rPr>
        <w:t>I</w:t>
      </w:r>
      <w:r>
        <w:rPr>
          <w:rFonts w:ascii="Times New Roman" w:hAnsi="Times New Roman" w:eastAsia="宋体"/>
          <w:color w:val="auto"/>
          <w:highlight w:val="none"/>
        </w:rPr>
        <w:t>nvestigation</w:t>
      </w:r>
      <w:r>
        <w:rPr>
          <w:color w:val="auto"/>
          <w:highlight w:val="none"/>
        </w:rPr>
        <w:tab/>
      </w:r>
      <w:r>
        <w:rPr>
          <w:color w:val="auto"/>
          <w:highlight w:val="none"/>
        </w:rPr>
        <w:fldChar w:fldCharType="begin"/>
      </w:r>
      <w:r>
        <w:rPr>
          <w:color w:val="auto"/>
          <w:highlight w:val="none"/>
        </w:rPr>
        <w:instrText xml:space="preserve"> PAGEREF _Toc5428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_Toc20363 </w:instrText>
      </w:r>
      <w:r>
        <w:rPr>
          <w:color w:val="auto"/>
          <w:highlight w:val="none"/>
        </w:rPr>
        <w:fldChar w:fldCharType="separate"/>
      </w:r>
      <w:r>
        <w:rPr>
          <w:rFonts w:ascii="Times New Roman" w:hAnsi="Times New Roman" w:eastAsia="宋体"/>
          <w:color w:val="auto"/>
          <w:highlight w:val="none"/>
        </w:rPr>
        <w:t xml:space="preserve">10.4 Detailed </w:t>
      </w:r>
      <w:r>
        <w:rPr>
          <w:rFonts w:hint="eastAsia"/>
          <w:color w:val="auto"/>
          <w:highlight w:val="none"/>
          <w:lang w:val="en-US" w:eastAsia="zh-CN"/>
        </w:rPr>
        <w:t>I</w:t>
      </w:r>
      <w:r>
        <w:rPr>
          <w:rFonts w:ascii="Times New Roman" w:hAnsi="Times New Roman" w:eastAsia="宋体"/>
          <w:color w:val="auto"/>
          <w:highlight w:val="none"/>
        </w:rPr>
        <w:t>nvestigation</w:t>
      </w:r>
      <w:r>
        <w:rPr>
          <w:color w:val="auto"/>
          <w:highlight w:val="none"/>
        </w:rPr>
        <w:tab/>
      </w:r>
      <w:r>
        <w:rPr>
          <w:color w:val="auto"/>
          <w:highlight w:val="none"/>
        </w:rPr>
        <w:fldChar w:fldCharType="begin"/>
      </w:r>
      <w:r>
        <w:rPr>
          <w:color w:val="auto"/>
          <w:highlight w:val="none"/>
        </w:rPr>
        <w:instrText xml:space="preserve"> PAGEREF _Toc20363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13"/>
        <w:tabs>
          <w:tab w:val="right" w:leader="dot" w:pos="8620"/>
          <w:tab w:val="clear" w:pos="420"/>
          <w:tab w:val="clear" w:pos="9523"/>
        </w:tabs>
        <w:rPr>
          <w:color w:val="auto"/>
          <w:highlight w:val="none"/>
        </w:rPr>
      </w:pPr>
      <w:r>
        <w:rPr>
          <w:color w:val="auto"/>
          <w:highlight w:val="none"/>
        </w:rPr>
        <w:fldChar w:fldCharType="begin"/>
      </w:r>
      <w:r>
        <w:rPr>
          <w:color w:val="auto"/>
          <w:highlight w:val="none"/>
        </w:rPr>
        <w:instrText xml:space="preserve"> HYPERLINK \l _Toc7515 </w:instrText>
      </w:r>
      <w:r>
        <w:rPr>
          <w:color w:val="auto"/>
          <w:highlight w:val="none"/>
        </w:rPr>
        <w:fldChar w:fldCharType="separate"/>
      </w:r>
      <w:r>
        <w:rPr>
          <w:rFonts w:hint="eastAsia"/>
          <w:color w:val="auto"/>
          <w:highlight w:val="none"/>
        </w:rPr>
        <w:t xml:space="preserve">11 Urban Site </w:t>
      </w:r>
      <w:r>
        <w:rPr>
          <w:rFonts w:hint="eastAsia"/>
          <w:color w:val="auto"/>
          <w:highlight w:val="none"/>
          <w:lang w:val="en-US" w:eastAsia="zh-CN"/>
        </w:rPr>
        <w:t>L</w:t>
      </w:r>
      <w:r>
        <w:rPr>
          <w:rFonts w:hint="eastAsia"/>
          <w:color w:val="auto"/>
          <w:highlight w:val="none"/>
        </w:rPr>
        <w:t>eveling</w:t>
      </w:r>
      <w:r>
        <w:rPr>
          <w:color w:val="auto"/>
          <w:highlight w:val="none"/>
        </w:rPr>
        <w:tab/>
      </w:r>
      <w:r>
        <w:rPr>
          <w:color w:val="auto"/>
          <w:highlight w:val="none"/>
        </w:rPr>
        <w:fldChar w:fldCharType="begin"/>
      </w:r>
      <w:r>
        <w:rPr>
          <w:color w:val="auto"/>
          <w:highlight w:val="none"/>
        </w:rPr>
        <w:instrText xml:space="preserve"> PAGEREF _Toc7515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_Toc32219 </w:instrText>
      </w:r>
      <w:r>
        <w:rPr>
          <w:color w:val="auto"/>
          <w:highlight w:val="none"/>
        </w:rPr>
        <w:fldChar w:fldCharType="separate"/>
      </w:r>
      <w:r>
        <w:rPr>
          <w:rFonts w:ascii="Times New Roman" w:hAnsi="Times New Roman" w:eastAsia="宋体"/>
          <w:color w:val="auto"/>
          <w:highlight w:val="none"/>
        </w:rPr>
        <w:t xml:space="preserve">11.1 General </w:t>
      </w:r>
      <w:r>
        <w:rPr>
          <w:rFonts w:hint="eastAsia" w:ascii="Times New Roman" w:hAnsi="Times New Roman"/>
          <w:color w:val="auto"/>
          <w:highlight w:val="none"/>
          <w:lang w:eastAsia="zh-CN"/>
        </w:rPr>
        <w:t>Requirements</w:t>
      </w:r>
      <w:r>
        <w:rPr>
          <w:color w:val="auto"/>
          <w:highlight w:val="none"/>
        </w:rPr>
        <w:tab/>
      </w:r>
      <w:r>
        <w:rPr>
          <w:color w:val="auto"/>
          <w:highlight w:val="none"/>
        </w:rPr>
        <w:fldChar w:fldCharType="begin"/>
      </w:r>
      <w:r>
        <w:rPr>
          <w:color w:val="auto"/>
          <w:highlight w:val="none"/>
        </w:rPr>
        <w:instrText xml:space="preserve"> PAGEREF _Toc32219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_Toc32060 </w:instrText>
      </w:r>
      <w:r>
        <w:rPr>
          <w:color w:val="auto"/>
          <w:highlight w:val="none"/>
        </w:rPr>
        <w:fldChar w:fldCharType="separate"/>
      </w:r>
      <w:r>
        <w:rPr>
          <w:rFonts w:hint="eastAsia" w:ascii="Times New Roman" w:hAnsi="Times New Roman" w:eastAsia="宋体"/>
          <w:color w:val="auto"/>
          <w:highlight w:val="none"/>
        </w:rPr>
        <w:t xml:space="preserve">11.2 Hill </w:t>
      </w:r>
      <w:r>
        <w:rPr>
          <w:rFonts w:hint="eastAsia"/>
          <w:color w:val="auto"/>
          <w:highlight w:val="none"/>
          <w:lang w:val="en-US" w:eastAsia="zh-CN"/>
        </w:rPr>
        <w:t>S</w:t>
      </w:r>
      <w:r>
        <w:rPr>
          <w:rFonts w:hint="eastAsia" w:ascii="Times New Roman" w:hAnsi="Times New Roman" w:eastAsia="宋体"/>
          <w:color w:val="auto"/>
          <w:highlight w:val="none"/>
        </w:rPr>
        <w:t xml:space="preserve">ite </w:t>
      </w:r>
      <w:r>
        <w:rPr>
          <w:rFonts w:hint="eastAsia"/>
          <w:color w:val="auto"/>
          <w:highlight w:val="none"/>
          <w:lang w:val="en-US" w:eastAsia="zh-CN"/>
        </w:rPr>
        <w:t>L</w:t>
      </w:r>
      <w:r>
        <w:rPr>
          <w:rFonts w:hint="eastAsia" w:ascii="Times New Roman" w:hAnsi="Times New Roman" w:eastAsia="宋体"/>
          <w:color w:val="auto"/>
          <w:highlight w:val="none"/>
        </w:rPr>
        <w:t>eveling</w:t>
      </w:r>
      <w:r>
        <w:rPr>
          <w:color w:val="auto"/>
          <w:highlight w:val="none"/>
        </w:rPr>
        <w:tab/>
      </w:r>
      <w:r>
        <w:rPr>
          <w:color w:val="auto"/>
          <w:highlight w:val="none"/>
        </w:rPr>
        <w:fldChar w:fldCharType="begin"/>
      </w:r>
      <w:r>
        <w:rPr>
          <w:color w:val="auto"/>
          <w:highlight w:val="none"/>
        </w:rPr>
        <w:instrText xml:space="preserve"> PAGEREF _Toc32060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_Toc24682 </w:instrText>
      </w:r>
      <w:r>
        <w:rPr>
          <w:color w:val="auto"/>
          <w:highlight w:val="none"/>
        </w:rPr>
        <w:fldChar w:fldCharType="separate"/>
      </w:r>
      <w:r>
        <w:rPr>
          <w:rFonts w:hint="eastAsia" w:ascii="Times New Roman" w:hAnsi="Times New Roman" w:eastAsia="宋体"/>
          <w:color w:val="auto"/>
          <w:highlight w:val="none"/>
        </w:rPr>
        <w:t xml:space="preserve">11.3 </w:t>
      </w:r>
      <w:r>
        <w:rPr>
          <w:rFonts w:hint="eastAsia"/>
          <w:color w:val="auto"/>
          <w:highlight w:val="none"/>
          <w:lang w:val="en-US" w:eastAsia="zh-CN"/>
        </w:rPr>
        <w:t>C</w:t>
      </w:r>
      <w:r>
        <w:rPr>
          <w:rFonts w:hint="eastAsia" w:ascii="Times New Roman" w:hAnsi="Times New Roman" w:eastAsia="宋体"/>
          <w:color w:val="auto"/>
          <w:highlight w:val="none"/>
        </w:rPr>
        <w:t xml:space="preserve">oastal </w:t>
      </w:r>
      <w:r>
        <w:rPr>
          <w:rFonts w:hint="eastAsia"/>
          <w:color w:val="auto"/>
          <w:highlight w:val="none"/>
          <w:lang w:val="en-US" w:eastAsia="zh-CN"/>
        </w:rPr>
        <w:t>S</w:t>
      </w:r>
      <w:r>
        <w:rPr>
          <w:rFonts w:hint="eastAsia" w:ascii="Times New Roman" w:hAnsi="Times New Roman" w:eastAsia="宋体"/>
          <w:color w:val="auto"/>
          <w:highlight w:val="none"/>
        </w:rPr>
        <w:t>ite</w:t>
      </w:r>
      <w:r>
        <w:rPr>
          <w:color w:val="auto"/>
          <w:highlight w:val="none"/>
        </w:rPr>
        <w:tab/>
      </w:r>
      <w:r>
        <w:rPr>
          <w:color w:val="auto"/>
          <w:highlight w:val="none"/>
        </w:rPr>
        <w:fldChar w:fldCharType="begin"/>
      </w:r>
      <w:r>
        <w:rPr>
          <w:color w:val="auto"/>
          <w:highlight w:val="none"/>
        </w:rPr>
        <w:instrText xml:space="preserve"> PAGEREF _Toc24682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3"/>
        <w:tabs>
          <w:tab w:val="right" w:leader="dot" w:pos="8620"/>
          <w:tab w:val="clear" w:pos="420"/>
          <w:tab w:val="clear" w:pos="9523"/>
        </w:tabs>
        <w:rPr>
          <w:color w:val="auto"/>
          <w:highlight w:val="none"/>
        </w:rPr>
      </w:pPr>
      <w:r>
        <w:rPr>
          <w:color w:val="auto"/>
          <w:highlight w:val="none"/>
        </w:rPr>
        <w:fldChar w:fldCharType="begin"/>
      </w:r>
      <w:r>
        <w:rPr>
          <w:color w:val="auto"/>
          <w:highlight w:val="none"/>
        </w:rPr>
        <w:instrText xml:space="preserve"> HYPERLINK \l _Toc1827 </w:instrText>
      </w:r>
      <w:r>
        <w:rPr>
          <w:color w:val="auto"/>
          <w:highlight w:val="none"/>
        </w:rPr>
        <w:fldChar w:fldCharType="separate"/>
      </w:r>
      <w:r>
        <w:rPr>
          <w:rFonts w:hint="eastAsia"/>
          <w:color w:val="auto"/>
          <w:highlight w:val="none"/>
        </w:rPr>
        <w:t xml:space="preserve">12 Urban Solid </w:t>
      </w:r>
      <w:r>
        <w:rPr>
          <w:rFonts w:hint="eastAsia"/>
          <w:color w:val="auto"/>
          <w:highlight w:val="none"/>
          <w:lang w:val="en-US" w:eastAsia="zh-CN"/>
        </w:rPr>
        <w:t>W</w:t>
      </w:r>
      <w:r>
        <w:rPr>
          <w:rFonts w:hint="eastAsia"/>
          <w:color w:val="auto"/>
          <w:highlight w:val="none"/>
        </w:rPr>
        <w:t>aste Disposal Site</w:t>
      </w:r>
      <w:r>
        <w:rPr>
          <w:color w:val="auto"/>
          <w:highlight w:val="none"/>
        </w:rPr>
        <w:tab/>
      </w:r>
      <w:r>
        <w:rPr>
          <w:color w:val="auto"/>
          <w:highlight w:val="none"/>
        </w:rPr>
        <w:fldChar w:fldCharType="begin"/>
      </w:r>
      <w:r>
        <w:rPr>
          <w:color w:val="auto"/>
          <w:highlight w:val="none"/>
        </w:rPr>
        <w:instrText xml:space="preserve"> PAGEREF _Toc1827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_Toc1440 </w:instrText>
      </w:r>
      <w:r>
        <w:rPr>
          <w:color w:val="auto"/>
          <w:highlight w:val="none"/>
        </w:rPr>
        <w:fldChar w:fldCharType="separate"/>
      </w:r>
      <w:r>
        <w:rPr>
          <w:rFonts w:ascii="Times New Roman" w:hAnsi="Times New Roman" w:eastAsia="宋体"/>
          <w:color w:val="auto"/>
          <w:highlight w:val="none"/>
        </w:rPr>
        <w:t xml:space="preserve">12.1 General </w:t>
      </w:r>
      <w:r>
        <w:rPr>
          <w:rFonts w:hint="eastAsia" w:ascii="Times New Roman" w:hAnsi="Times New Roman"/>
          <w:color w:val="auto"/>
          <w:highlight w:val="none"/>
          <w:lang w:eastAsia="zh-CN"/>
        </w:rPr>
        <w:t>Requirements</w:t>
      </w:r>
      <w:r>
        <w:rPr>
          <w:color w:val="auto"/>
          <w:highlight w:val="none"/>
        </w:rPr>
        <w:tab/>
      </w:r>
      <w:r>
        <w:rPr>
          <w:color w:val="auto"/>
          <w:highlight w:val="none"/>
        </w:rPr>
        <w:fldChar w:fldCharType="begin"/>
      </w:r>
      <w:r>
        <w:rPr>
          <w:color w:val="auto"/>
          <w:highlight w:val="none"/>
        </w:rPr>
        <w:instrText xml:space="preserve"> PAGEREF _Toc1440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_Toc18395 </w:instrText>
      </w:r>
      <w:r>
        <w:rPr>
          <w:color w:val="auto"/>
          <w:highlight w:val="none"/>
        </w:rPr>
        <w:fldChar w:fldCharType="separate"/>
      </w:r>
      <w:r>
        <w:rPr>
          <w:rFonts w:ascii="Times New Roman" w:hAnsi="Times New Roman" w:eastAsia="宋体"/>
          <w:color w:val="auto"/>
          <w:highlight w:val="none"/>
        </w:rPr>
        <w:t xml:space="preserve">12.2 Feasibility </w:t>
      </w:r>
      <w:r>
        <w:rPr>
          <w:rFonts w:hint="eastAsia"/>
          <w:color w:val="auto"/>
          <w:highlight w:val="none"/>
          <w:lang w:val="en-US" w:eastAsia="zh-CN"/>
        </w:rPr>
        <w:t>S</w:t>
      </w:r>
      <w:r>
        <w:rPr>
          <w:rFonts w:ascii="Times New Roman" w:hAnsi="Times New Roman" w:eastAsia="宋体"/>
          <w:color w:val="auto"/>
          <w:highlight w:val="none"/>
        </w:rPr>
        <w:t xml:space="preserve">tudy </w:t>
      </w:r>
      <w:r>
        <w:rPr>
          <w:rFonts w:hint="eastAsia"/>
          <w:color w:val="auto"/>
          <w:highlight w:val="none"/>
          <w:lang w:val="en-US" w:eastAsia="zh-CN"/>
        </w:rPr>
        <w:t>I</w:t>
      </w:r>
      <w:r>
        <w:rPr>
          <w:rFonts w:ascii="Times New Roman" w:hAnsi="Times New Roman" w:eastAsia="宋体"/>
          <w:color w:val="auto"/>
          <w:highlight w:val="none"/>
        </w:rPr>
        <w:t>nvestigation</w:t>
      </w:r>
      <w:r>
        <w:rPr>
          <w:color w:val="auto"/>
          <w:highlight w:val="none"/>
        </w:rPr>
        <w:tab/>
      </w:r>
      <w:r>
        <w:rPr>
          <w:color w:val="auto"/>
          <w:highlight w:val="none"/>
        </w:rPr>
        <w:fldChar w:fldCharType="begin"/>
      </w:r>
      <w:r>
        <w:rPr>
          <w:color w:val="auto"/>
          <w:highlight w:val="none"/>
        </w:rPr>
        <w:instrText xml:space="preserve"> PAGEREF _Toc18395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_Toc18178 </w:instrText>
      </w:r>
      <w:r>
        <w:rPr>
          <w:color w:val="auto"/>
          <w:highlight w:val="none"/>
        </w:rPr>
        <w:fldChar w:fldCharType="separate"/>
      </w:r>
      <w:r>
        <w:rPr>
          <w:rFonts w:ascii="Times New Roman" w:hAnsi="Times New Roman" w:eastAsia="宋体"/>
          <w:color w:val="auto"/>
          <w:highlight w:val="none"/>
        </w:rPr>
        <w:t xml:space="preserve">12.3 Preliminary </w:t>
      </w:r>
      <w:r>
        <w:rPr>
          <w:rFonts w:hint="eastAsia"/>
          <w:color w:val="auto"/>
          <w:highlight w:val="none"/>
          <w:lang w:val="en-US" w:eastAsia="zh-CN"/>
        </w:rPr>
        <w:t>I</w:t>
      </w:r>
      <w:r>
        <w:rPr>
          <w:rFonts w:ascii="Times New Roman" w:hAnsi="Times New Roman" w:eastAsia="宋体"/>
          <w:color w:val="auto"/>
          <w:highlight w:val="none"/>
        </w:rPr>
        <w:t>nvestigation</w:t>
      </w:r>
      <w:r>
        <w:rPr>
          <w:color w:val="auto"/>
          <w:highlight w:val="none"/>
        </w:rPr>
        <w:tab/>
      </w:r>
      <w:r>
        <w:rPr>
          <w:color w:val="auto"/>
          <w:highlight w:val="none"/>
        </w:rPr>
        <w:fldChar w:fldCharType="begin"/>
      </w:r>
      <w:r>
        <w:rPr>
          <w:color w:val="auto"/>
          <w:highlight w:val="none"/>
        </w:rPr>
        <w:instrText xml:space="preserve"> PAGEREF _Toc18178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_Toc15159 </w:instrText>
      </w:r>
      <w:r>
        <w:rPr>
          <w:color w:val="auto"/>
          <w:highlight w:val="none"/>
        </w:rPr>
        <w:fldChar w:fldCharType="separate"/>
      </w:r>
      <w:r>
        <w:rPr>
          <w:rFonts w:ascii="Times New Roman" w:hAnsi="Times New Roman" w:eastAsia="宋体"/>
          <w:color w:val="auto"/>
          <w:highlight w:val="none"/>
        </w:rPr>
        <w:t xml:space="preserve">12.4 Detailed </w:t>
      </w:r>
      <w:r>
        <w:rPr>
          <w:rFonts w:hint="eastAsia"/>
          <w:color w:val="auto"/>
          <w:highlight w:val="none"/>
          <w:lang w:val="en-US" w:eastAsia="zh-CN"/>
        </w:rPr>
        <w:t>I</w:t>
      </w:r>
      <w:r>
        <w:rPr>
          <w:rFonts w:ascii="Times New Roman" w:hAnsi="Times New Roman" w:eastAsia="宋体"/>
          <w:color w:val="auto"/>
          <w:highlight w:val="none"/>
        </w:rPr>
        <w:t>nvestigation</w:t>
      </w:r>
      <w:r>
        <w:rPr>
          <w:color w:val="auto"/>
          <w:highlight w:val="none"/>
        </w:rPr>
        <w:tab/>
      </w:r>
      <w:r>
        <w:rPr>
          <w:color w:val="auto"/>
          <w:highlight w:val="none"/>
        </w:rPr>
        <w:fldChar w:fldCharType="begin"/>
      </w:r>
      <w:r>
        <w:rPr>
          <w:color w:val="auto"/>
          <w:highlight w:val="none"/>
        </w:rPr>
        <w:instrText xml:space="preserve"> PAGEREF _Toc15159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13"/>
        <w:tabs>
          <w:tab w:val="right" w:leader="dot" w:pos="8620"/>
          <w:tab w:val="clear" w:pos="420"/>
          <w:tab w:val="clear" w:pos="9523"/>
        </w:tabs>
        <w:rPr>
          <w:color w:val="auto"/>
          <w:highlight w:val="none"/>
        </w:rPr>
      </w:pPr>
      <w:r>
        <w:rPr>
          <w:color w:val="auto"/>
          <w:highlight w:val="none"/>
        </w:rPr>
        <w:fldChar w:fldCharType="begin"/>
      </w:r>
      <w:r>
        <w:rPr>
          <w:color w:val="auto"/>
          <w:highlight w:val="none"/>
        </w:rPr>
        <w:instrText xml:space="preserve"> HYPERLINK \l _Toc8 </w:instrText>
      </w:r>
      <w:r>
        <w:rPr>
          <w:color w:val="auto"/>
          <w:highlight w:val="none"/>
        </w:rPr>
        <w:fldChar w:fldCharType="separate"/>
      </w:r>
      <w:r>
        <w:rPr>
          <w:rFonts w:hint="eastAsia"/>
          <w:color w:val="auto"/>
          <w:highlight w:val="none"/>
        </w:rPr>
        <w:t>13 Urban Embankment</w:t>
      </w:r>
      <w:r>
        <w:rPr>
          <w:color w:val="auto"/>
          <w:highlight w:val="none"/>
        </w:rPr>
        <w:tab/>
      </w:r>
      <w:r>
        <w:rPr>
          <w:color w:val="auto"/>
          <w:highlight w:val="none"/>
        </w:rPr>
        <w:fldChar w:fldCharType="begin"/>
      </w:r>
      <w:r>
        <w:rPr>
          <w:color w:val="auto"/>
          <w:highlight w:val="none"/>
        </w:rPr>
        <w:instrText xml:space="preserve"> PAGEREF _Toc8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_Toc10743 </w:instrText>
      </w:r>
      <w:r>
        <w:rPr>
          <w:color w:val="auto"/>
          <w:highlight w:val="none"/>
        </w:rPr>
        <w:fldChar w:fldCharType="separate"/>
      </w:r>
      <w:r>
        <w:rPr>
          <w:rFonts w:ascii="Times New Roman" w:hAnsi="Times New Roman" w:eastAsia="宋体"/>
          <w:color w:val="auto"/>
          <w:highlight w:val="none"/>
        </w:rPr>
        <w:t xml:space="preserve">13.1 General </w:t>
      </w:r>
      <w:r>
        <w:rPr>
          <w:rFonts w:hint="eastAsia" w:ascii="Times New Roman" w:hAnsi="Times New Roman"/>
          <w:color w:val="auto"/>
          <w:highlight w:val="none"/>
          <w:lang w:eastAsia="zh-CN"/>
        </w:rPr>
        <w:t>Requirements</w:t>
      </w:r>
      <w:r>
        <w:rPr>
          <w:color w:val="auto"/>
          <w:highlight w:val="none"/>
        </w:rPr>
        <w:tab/>
      </w:r>
      <w:r>
        <w:rPr>
          <w:color w:val="auto"/>
          <w:highlight w:val="none"/>
        </w:rPr>
        <w:fldChar w:fldCharType="begin"/>
      </w:r>
      <w:r>
        <w:rPr>
          <w:color w:val="auto"/>
          <w:highlight w:val="none"/>
        </w:rPr>
        <w:instrText xml:space="preserve"> PAGEREF _Toc10743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_Toc27892 </w:instrText>
      </w:r>
      <w:r>
        <w:rPr>
          <w:color w:val="auto"/>
          <w:highlight w:val="none"/>
        </w:rPr>
        <w:fldChar w:fldCharType="separate"/>
      </w:r>
      <w:r>
        <w:rPr>
          <w:rFonts w:ascii="Times New Roman" w:hAnsi="Times New Roman" w:eastAsia="宋体"/>
          <w:color w:val="auto"/>
          <w:highlight w:val="none"/>
        </w:rPr>
        <w:t xml:space="preserve">13.2 Feasibility </w:t>
      </w:r>
      <w:r>
        <w:rPr>
          <w:rFonts w:hint="eastAsia"/>
          <w:color w:val="auto"/>
          <w:highlight w:val="none"/>
          <w:lang w:val="en-US" w:eastAsia="zh-CN"/>
        </w:rPr>
        <w:t>S</w:t>
      </w:r>
      <w:r>
        <w:rPr>
          <w:rFonts w:ascii="Times New Roman" w:hAnsi="Times New Roman" w:eastAsia="宋体"/>
          <w:color w:val="auto"/>
          <w:highlight w:val="none"/>
        </w:rPr>
        <w:t xml:space="preserve">tudy </w:t>
      </w:r>
      <w:r>
        <w:rPr>
          <w:rFonts w:hint="eastAsia"/>
          <w:color w:val="auto"/>
          <w:highlight w:val="none"/>
          <w:lang w:val="en-US" w:eastAsia="zh-CN"/>
        </w:rPr>
        <w:t>I</w:t>
      </w:r>
      <w:r>
        <w:rPr>
          <w:rFonts w:ascii="Times New Roman" w:hAnsi="Times New Roman" w:eastAsia="宋体"/>
          <w:color w:val="auto"/>
          <w:highlight w:val="none"/>
        </w:rPr>
        <w:t>nvestigation</w:t>
      </w:r>
      <w:r>
        <w:rPr>
          <w:color w:val="auto"/>
          <w:highlight w:val="none"/>
        </w:rPr>
        <w:tab/>
      </w:r>
      <w:r>
        <w:rPr>
          <w:color w:val="auto"/>
          <w:highlight w:val="none"/>
        </w:rPr>
        <w:fldChar w:fldCharType="begin"/>
      </w:r>
      <w:r>
        <w:rPr>
          <w:color w:val="auto"/>
          <w:highlight w:val="none"/>
        </w:rPr>
        <w:instrText xml:space="preserve"> PAGEREF _Toc27892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_Toc9165 </w:instrText>
      </w:r>
      <w:r>
        <w:rPr>
          <w:color w:val="auto"/>
          <w:highlight w:val="none"/>
        </w:rPr>
        <w:fldChar w:fldCharType="separate"/>
      </w:r>
      <w:r>
        <w:rPr>
          <w:rFonts w:ascii="Times New Roman" w:hAnsi="Times New Roman" w:eastAsia="宋体"/>
          <w:color w:val="auto"/>
          <w:highlight w:val="none"/>
        </w:rPr>
        <w:t xml:space="preserve">13.3 Preliminary </w:t>
      </w:r>
      <w:r>
        <w:rPr>
          <w:rFonts w:hint="eastAsia"/>
          <w:color w:val="auto"/>
          <w:highlight w:val="none"/>
          <w:lang w:val="en-US" w:eastAsia="zh-CN"/>
        </w:rPr>
        <w:t>I</w:t>
      </w:r>
      <w:r>
        <w:rPr>
          <w:rFonts w:ascii="Times New Roman" w:hAnsi="Times New Roman" w:eastAsia="宋体"/>
          <w:color w:val="auto"/>
          <w:highlight w:val="none"/>
        </w:rPr>
        <w:t>nvestigation</w:t>
      </w:r>
      <w:r>
        <w:rPr>
          <w:color w:val="auto"/>
          <w:highlight w:val="none"/>
        </w:rPr>
        <w:tab/>
      </w:r>
      <w:r>
        <w:rPr>
          <w:color w:val="auto"/>
          <w:highlight w:val="none"/>
        </w:rPr>
        <w:fldChar w:fldCharType="begin"/>
      </w:r>
      <w:r>
        <w:rPr>
          <w:color w:val="auto"/>
          <w:highlight w:val="none"/>
        </w:rPr>
        <w:instrText xml:space="preserve"> PAGEREF _Toc9165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_Toc31045 </w:instrText>
      </w:r>
      <w:r>
        <w:rPr>
          <w:color w:val="auto"/>
          <w:highlight w:val="none"/>
        </w:rPr>
        <w:fldChar w:fldCharType="separate"/>
      </w:r>
      <w:r>
        <w:rPr>
          <w:rFonts w:ascii="Times New Roman" w:hAnsi="Times New Roman" w:eastAsia="宋体"/>
          <w:color w:val="auto"/>
          <w:highlight w:val="none"/>
        </w:rPr>
        <w:t xml:space="preserve">13.4 Detailed </w:t>
      </w:r>
      <w:r>
        <w:rPr>
          <w:rFonts w:hint="eastAsia"/>
          <w:color w:val="auto"/>
          <w:highlight w:val="none"/>
          <w:lang w:val="en-US" w:eastAsia="zh-CN"/>
        </w:rPr>
        <w:t>I</w:t>
      </w:r>
      <w:r>
        <w:rPr>
          <w:rFonts w:ascii="Times New Roman" w:hAnsi="Times New Roman" w:eastAsia="宋体"/>
          <w:color w:val="auto"/>
          <w:highlight w:val="none"/>
        </w:rPr>
        <w:t>nvestigation</w:t>
      </w:r>
      <w:r>
        <w:rPr>
          <w:color w:val="auto"/>
          <w:highlight w:val="none"/>
        </w:rPr>
        <w:tab/>
      </w:r>
      <w:r>
        <w:rPr>
          <w:color w:val="auto"/>
          <w:highlight w:val="none"/>
        </w:rPr>
        <w:fldChar w:fldCharType="begin"/>
      </w:r>
      <w:r>
        <w:rPr>
          <w:color w:val="auto"/>
          <w:highlight w:val="none"/>
        </w:rPr>
        <w:instrText xml:space="preserve"> PAGEREF _Toc31045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pPr>
        <w:pStyle w:val="13"/>
        <w:tabs>
          <w:tab w:val="right" w:leader="dot" w:pos="8620"/>
          <w:tab w:val="clear" w:pos="420"/>
          <w:tab w:val="clear" w:pos="9523"/>
        </w:tabs>
        <w:rPr>
          <w:color w:val="auto"/>
          <w:highlight w:val="none"/>
        </w:rPr>
      </w:pPr>
      <w:r>
        <w:rPr>
          <w:color w:val="auto"/>
          <w:highlight w:val="none"/>
        </w:rPr>
        <w:fldChar w:fldCharType="begin"/>
      </w:r>
      <w:r>
        <w:rPr>
          <w:color w:val="auto"/>
          <w:highlight w:val="none"/>
        </w:rPr>
        <w:instrText xml:space="preserve"> HYPERLINK \l _Toc24201 </w:instrText>
      </w:r>
      <w:r>
        <w:rPr>
          <w:color w:val="auto"/>
          <w:highlight w:val="none"/>
        </w:rPr>
        <w:fldChar w:fldCharType="separate"/>
      </w:r>
      <w:r>
        <w:rPr>
          <w:color w:val="auto"/>
          <w:highlight w:val="none"/>
        </w:rPr>
        <w:t xml:space="preserve">14 Construction </w:t>
      </w:r>
      <w:r>
        <w:rPr>
          <w:rFonts w:hint="eastAsia"/>
          <w:color w:val="auto"/>
          <w:highlight w:val="none"/>
          <w:lang w:val="en-US" w:eastAsia="zh-CN"/>
        </w:rPr>
        <w:t>S</w:t>
      </w:r>
      <w:r>
        <w:rPr>
          <w:color w:val="auto"/>
          <w:highlight w:val="none"/>
        </w:rPr>
        <w:t>urvey</w:t>
      </w:r>
      <w:r>
        <w:rPr>
          <w:color w:val="auto"/>
          <w:highlight w:val="none"/>
        </w:rPr>
        <w:tab/>
      </w:r>
      <w:r>
        <w:rPr>
          <w:color w:val="auto"/>
          <w:highlight w:val="none"/>
        </w:rPr>
        <w:fldChar w:fldCharType="begin"/>
      </w:r>
      <w:r>
        <w:rPr>
          <w:color w:val="auto"/>
          <w:highlight w:val="none"/>
        </w:rPr>
        <w:instrText xml:space="preserve"> PAGEREF _Toc24201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_Toc17063 </w:instrText>
      </w:r>
      <w:r>
        <w:rPr>
          <w:color w:val="auto"/>
          <w:highlight w:val="none"/>
        </w:rPr>
        <w:fldChar w:fldCharType="separate"/>
      </w:r>
      <w:r>
        <w:rPr>
          <w:rFonts w:ascii="Times New Roman" w:hAnsi="Times New Roman" w:eastAsia="宋体"/>
          <w:color w:val="auto"/>
          <w:highlight w:val="none"/>
        </w:rPr>
        <w:t xml:space="preserve">14.1 General </w:t>
      </w:r>
      <w:r>
        <w:rPr>
          <w:rFonts w:hint="eastAsia" w:ascii="Times New Roman" w:hAnsi="Times New Roman"/>
          <w:color w:val="auto"/>
          <w:highlight w:val="none"/>
          <w:lang w:eastAsia="zh-CN"/>
        </w:rPr>
        <w:t>Requirements</w:t>
      </w:r>
      <w:r>
        <w:rPr>
          <w:color w:val="auto"/>
          <w:highlight w:val="none"/>
        </w:rPr>
        <w:tab/>
      </w:r>
      <w:r>
        <w:rPr>
          <w:color w:val="auto"/>
          <w:highlight w:val="none"/>
        </w:rPr>
        <w:fldChar w:fldCharType="begin"/>
      </w:r>
      <w:r>
        <w:rPr>
          <w:color w:val="auto"/>
          <w:highlight w:val="none"/>
        </w:rPr>
        <w:instrText xml:space="preserve"> PAGEREF _Toc17063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_Toc19388 </w:instrText>
      </w:r>
      <w:r>
        <w:rPr>
          <w:color w:val="auto"/>
          <w:highlight w:val="none"/>
        </w:rPr>
        <w:fldChar w:fldCharType="separate"/>
      </w:r>
      <w:r>
        <w:rPr>
          <w:rFonts w:hint="eastAsia" w:ascii="Times New Roman" w:hAnsi="Times New Roman" w:eastAsia="宋体"/>
          <w:color w:val="auto"/>
          <w:highlight w:val="none"/>
        </w:rPr>
        <w:t xml:space="preserve">14.2 Key </w:t>
      </w:r>
      <w:r>
        <w:rPr>
          <w:rFonts w:hint="eastAsia"/>
          <w:color w:val="auto"/>
          <w:highlight w:val="none"/>
          <w:lang w:val="en-US" w:eastAsia="zh-CN"/>
        </w:rPr>
        <w:t>P</w:t>
      </w:r>
      <w:r>
        <w:rPr>
          <w:rFonts w:hint="eastAsia" w:ascii="Times New Roman" w:hAnsi="Times New Roman" w:eastAsia="宋体"/>
          <w:color w:val="auto"/>
          <w:highlight w:val="none"/>
        </w:rPr>
        <w:t xml:space="preserve">oints of </w:t>
      </w:r>
      <w:r>
        <w:rPr>
          <w:rFonts w:hint="eastAsia"/>
          <w:color w:val="auto"/>
          <w:highlight w:val="none"/>
          <w:lang w:val="en-US" w:eastAsia="zh-CN"/>
        </w:rPr>
        <w:t>I</w:t>
      </w:r>
      <w:r>
        <w:rPr>
          <w:rFonts w:hint="eastAsia" w:ascii="Times New Roman" w:hAnsi="Times New Roman" w:eastAsia="宋体"/>
          <w:color w:val="auto"/>
          <w:highlight w:val="none"/>
        </w:rPr>
        <w:t>nvestigation</w:t>
      </w:r>
      <w:r>
        <w:rPr>
          <w:color w:val="auto"/>
          <w:highlight w:val="none"/>
        </w:rPr>
        <w:tab/>
      </w:r>
      <w:r>
        <w:rPr>
          <w:color w:val="auto"/>
          <w:highlight w:val="none"/>
        </w:rPr>
        <w:fldChar w:fldCharType="begin"/>
      </w:r>
      <w:r>
        <w:rPr>
          <w:color w:val="auto"/>
          <w:highlight w:val="none"/>
        </w:rPr>
        <w:instrText xml:space="preserve"> PAGEREF _Toc19388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pPr>
        <w:pStyle w:val="13"/>
        <w:tabs>
          <w:tab w:val="right" w:leader="dot" w:pos="8620"/>
          <w:tab w:val="clear" w:pos="420"/>
          <w:tab w:val="clear" w:pos="9523"/>
        </w:tabs>
        <w:rPr>
          <w:color w:val="auto"/>
          <w:highlight w:val="none"/>
        </w:rPr>
      </w:pPr>
      <w:r>
        <w:rPr>
          <w:color w:val="auto"/>
          <w:highlight w:val="none"/>
        </w:rPr>
        <w:fldChar w:fldCharType="begin"/>
      </w:r>
      <w:r>
        <w:rPr>
          <w:color w:val="auto"/>
          <w:highlight w:val="none"/>
        </w:rPr>
        <w:instrText xml:space="preserve"> HYPERLINK \l _Toc31901 </w:instrText>
      </w:r>
      <w:r>
        <w:rPr>
          <w:color w:val="auto"/>
          <w:highlight w:val="none"/>
        </w:rPr>
        <w:fldChar w:fldCharType="separate"/>
      </w:r>
      <w:r>
        <w:rPr>
          <w:rFonts w:hint="eastAsia"/>
          <w:color w:val="auto"/>
          <w:highlight w:val="none"/>
        </w:rPr>
        <w:t xml:space="preserve">15 Survey </w:t>
      </w:r>
      <w:r>
        <w:rPr>
          <w:rFonts w:hint="eastAsia"/>
          <w:color w:val="auto"/>
          <w:highlight w:val="none"/>
          <w:lang w:val="en-US" w:eastAsia="zh-CN"/>
        </w:rPr>
        <w:t>R</w:t>
      </w:r>
      <w:r>
        <w:rPr>
          <w:rFonts w:hint="eastAsia"/>
          <w:color w:val="auto"/>
          <w:highlight w:val="none"/>
        </w:rPr>
        <w:t xml:space="preserve">esults and </w:t>
      </w:r>
      <w:r>
        <w:rPr>
          <w:rFonts w:hint="eastAsia"/>
          <w:color w:val="auto"/>
          <w:highlight w:val="none"/>
          <w:lang w:val="en-US" w:eastAsia="zh-CN"/>
        </w:rPr>
        <w:t>I</w:t>
      </w:r>
      <w:r>
        <w:rPr>
          <w:rFonts w:hint="eastAsia"/>
          <w:color w:val="auto"/>
          <w:highlight w:val="none"/>
        </w:rPr>
        <w:t xml:space="preserve">nformation </w:t>
      </w:r>
      <w:r>
        <w:rPr>
          <w:rFonts w:hint="eastAsia"/>
          <w:color w:val="auto"/>
          <w:highlight w:val="none"/>
          <w:lang w:val="en-US" w:eastAsia="zh-CN"/>
        </w:rPr>
        <w:t>T</w:t>
      </w:r>
      <w:r>
        <w:rPr>
          <w:rFonts w:hint="eastAsia"/>
          <w:color w:val="auto"/>
          <w:highlight w:val="none"/>
        </w:rPr>
        <w:t>echnology</w:t>
      </w:r>
      <w:r>
        <w:rPr>
          <w:color w:val="auto"/>
          <w:highlight w:val="none"/>
        </w:rPr>
        <w:tab/>
      </w:r>
      <w:r>
        <w:rPr>
          <w:color w:val="auto"/>
          <w:highlight w:val="none"/>
        </w:rPr>
        <w:fldChar w:fldCharType="begin"/>
      </w:r>
      <w:r>
        <w:rPr>
          <w:color w:val="auto"/>
          <w:highlight w:val="none"/>
        </w:rPr>
        <w:instrText xml:space="preserve"> PAGEREF _Toc31901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_Toc78 </w:instrText>
      </w:r>
      <w:r>
        <w:rPr>
          <w:color w:val="auto"/>
          <w:highlight w:val="none"/>
        </w:rPr>
        <w:fldChar w:fldCharType="separate"/>
      </w:r>
      <w:r>
        <w:rPr>
          <w:rFonts w:ascii="Times New Roman" w:hAnsi="Times New Roman" w:eastAsia="宋体"/>
          <w:color w:val="auto"/>
          <w:highlight w:val="none"/>
        </w:rPr>
        <w:t xml:space="preserve">15.1 General </w:t>
      </w:r>
      <w:r>
        <w:rPr>
          <w:rFonts w:hint="eastAsia" w:ascii="Times New Roman" w:hAnsi="Times New Roman"/>
          <w:color w:val="auto"/>
          <w:highlight w:val="none"/>
          <w:lang w:eastAsia="zh-CN"/>
        </w:rPr>
        <w:t>Requirements</w:t>
      </w:r>
      <w:r>
        <w:rPr>
          <w:color w:val="auto"/>
          <w:highlight w:val="none"/>
        </w:rPr>
        <w:tab/>
      </w:r>
      <w:r>
        <w:rPr>
          <w:color w:val="auto"/>
          <w:highlight w:val="none"/>
        </w:rPr>
        <w:fldChar w:fldCharType="begin"/>
      </w:r>
      <w:r>
        <w:rPr>
          <w:color w:val="auto"/>
          <w:highlight w:val="none"/>
        </w:rPr>
        <w:instrText xml:space="preserve"> PAGEREF _Toc78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_Toc560 </w:instrText>
      </w:r>
      <w:r>
        <w:rPr>
          <w:color w:val="auto"/>
          <w:highlight w:val="none"/>
        </w:rPr>
        <w:fldChar w:fldCharType="separate"/>
      </w:r>
      <w:r>
        <w:rPr>
          <w:rFonts w:hint="eastAsia" w:ascii="Times New Roman" w:hAnsi="Times New Roman" w:eastAsia="宋体"/>
          <w:color w:val="auto"/>
          <w:highlight w:val="none"/>
        </w:rPr>
        <w:t xml:space="preserve">15.2 Investigation </w:t>
      </w:r>
      <w:r>
        <w:rPr>
          <w:rFonts w:hint="eastAsia"/>
          <w:color w:val="auto"/>
          <w:highlight w:val="none"/>
          <w:lang w:val="en-US" w:eastAsia="zh-CN"/>
        </w:rPr>
        <w:t>R</w:t>
      </w:r>
      <w:r>
        <w:rPr>
          <w:rFonts w:hint="eastAsia" w:ascii="Times New Roman" w:hAnsi="Times New Roman" w:eastAsia="宋体"/>
          <w:color w:val="auto"/>
          <w:highlight w:val="none"/>
        </w:rPr>
        <w:t>eport</w:t>
      </w:r>
      <w:r>
        <w:rPr>
          <w:color w:val="auto"/>
          <w:highlight w:val="none"/>
        </w:rPr>
        <w:tab/>
      </w:r>
      <w:r>
        <w:rPr>
          <w:color w:val="auto"/>
          <w:highlight w:val="none"/>
        </w:rPr>
        <w:fldChar w:fldCharType="begin"/>
      </w:r>
      <w:r>
        <w:rPr>
          <w:color w:val="auto"/>
          <w:highlight w:val="none"/>
        </w:rPr>
        <w:instrText xml:space="preserve"> PAGEREF _Toc560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_Toc9686 </w:instrText>
      </w:r>
      <w:r>
        <w:rPr>
          <w:color w:val="auto"/>
          <w:highlight w:val="none"/>
        </w:rPr>
        <w:fldChar w:fldCharType="separate"/>
      </w:r>
      <w:r>
        <w:rPr>
          <w:rFonts w:hint="eastAsia" w:ascii="Times New Roman" w:hAnsi="Times New Roman" w:eastAsia="宋体"/>
          <w:color w:val="auto"/>
          <w:highlight w:val="none"/>
        </w:rPr>
        <w:t xml:space="preserve">15.3 Digitalization of </w:t>
      </w:r>
      <w:r>
        <w:rPr>
          <w:rFonts w:hint="eastAsia"/>
          <w:color w:val="auto"/>
          <w:highlight w:val="none"/>
          <w:lang w:val="en-US" w:eastAsia="zh-CN"/>
        </w:rPr>
        <w:t>S</w:t>
      </w:r>
      <w:r>
        <w:rPr>
          <w:rFonts w:hint="eastAsia" w:ascii="Times New Roman" w:hAnsi="Times New Roman" w:eastAsia="宋体"/>
          <w:color w:val="auto"/>
          <w:highlight w:val="none"/>
        </w:rPr>
        <w:t xml:space="preserve">urvey </w:t>
      </w:r>
      <w:r>
        <w:rPr>
          <w:rFonts w:hint="eastAsia"/>
          <w:color w:val="auto"/>
          <w:highlight w:val="none"/>
          <w:lang w:val="en-US" w:eastAsia="zh-CN"/>
        </w:rPr>
        <w:t>R</w:t>
      </w:r>
      <w:r>
        <w:rPr>
          <w:rFonts w:hint="eastAsia" w:ascii="Times New Roman" w:hAnsi="Times New Roman" w:eastAsia="宋体"/>
          <w:color w:val="auto"/>
          <w:highlight w:val="none"/>
        </w:rPr>
        <w:t>esults</w:t>
      </w:r>
      <w:r>
        <w:rPr>
          <w:color w:val="auto"/>
          <w:highlight w:val="none"/>
        </w:rPr>
        <w:tab/>
      </w:r>
      <w:r>
        <w:rPr>
          <w:color w:val="auto"/>
          <w:highlight w:val="none"/>
        </w:rPr>
        <w:fldChar w:fldCharType="begin"/>
      </w:r>
      <w:r>
        <w:rPr>
          <w:color w:val="auto"/>
          <w:highlight w:val="none"/>
        </w:rPr>
        <w:instrText xml:space="preserve"> PAGEREF _Toc9686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_Toc3693 </w:instrText>
      </w:r>
      <w:r>
        <w:rPr>
          <w:color w:val="auto"/>
          <w:highlight w:val="none"/>
        </w:rPr>
        <w:fldChar w:fldCharType="separate"/>
      </w:r>
      <w:r>
        <w:rPr>
          <w:rFonts w:hint="eastAsia" w:ascii="Times New Roman" w:hAnsi="Times New Roman" w:eastAsia="宋体"/>
          <w:color w:val="auto"/>
          <w:highlight w:val="none"/>
        </w:rPr>
        <w:t xml:space="preserve">15.4 Investigation </w:t>
      </w:r>
      <w:r>
        <w:rPr>
          <w:rFonts w:hint="eastAsia"/>
          <w:color w:val="auto"/>
          <w:highlight w:val="none"/>
          <w:lang w:val="en-US" w:eastAsia="zh-CN"/>
        </w:rPr>
        <w:t>I</w:t>
      </w:r>
      <w:r>
        <w:rPr>
          <w:rFonts w:hint="eastAsia" w:ascii="Times New Roman" w:hAnsi="Times New Roman" w:eastAsia="宋体"/>
          <w:color w:val="auto"/>
          <w:highlight w:val="none"/>
        </w:rPr>
        <w:t>nformatization</w:t>
      </w:r>
      <w:r>
        <w:rPr>
          <w:color w:val="auto"/>
          <w:highlight w:val="none"/>
        </w:rPr>
        <w:tab/>
      </w:r>
      <w:r>
        <w:rPr>
          <w:color w:val="auto"/>
          <w:highlight w:val="none"/>
        </w:rPr>
        <w:fldChar w:fldCharType="begin"/>
      </w:r>
      <w:r>
        <w:rPr>
          <w:color w:val="auto"/>
          <w:highlight w:val="none"/>
        </w:rPr>
        <w:instrText xml:space="preserve"> PAGEREF _Toc3693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pPr>
        <w:pStyle w:val="13"/>
        <w:tabs>
          <w:tab w:val="right" w:leader="dot" w:pos="8620"/>
          <w:tab w:val="clear" w:pos="420"/>
          <w:tab w:val="clear" w:pos="9523"/>
        </w:tabs>
        <w:rPr>
          <w:color w:val="auto"/>
          <w:highlight w:val="none"/>
        </w:rPr>
      </w:pPr>
      <w:r>
        <w:rPr>
          <w:color w:val="auto"/>
          <w:highlight w:val="none"/>
        </w:rPr>
        <w:fldChar w:fldCharType="begin"/>
      </w:r>
      <w:r>
        <w:rPr>
          <w:color w:val="auto"/>
          <w:highlight w:val="none"/>
        </w:rPr>
        <w:instrText xml:space="preserve"> HYPERLINK \l _Toc11200 </w:instrText>
      </w:r>
      <w:r>
        <w:rPr>
          <w:color w:val="auto"/>
          <w:highlight w:val="none"/>
        </w:rPr>
        <w:fldChar w:fldCharType="separate"/>
      </w:r>
      <w:r>
        <w:rPr>
          <w:rFonts w:hint="eastAsia"/>
          <w:bCs/>
          <w:color w:val="auto"/>
          <w:szCs w:val="32"/>
          <w:highlight w:val="none"/>
        </w:rPr>
        <w:t>Appendix A</w:t>
      </w:r>
      <w:r>
        <w:rPr>
          <w:rFonts w:hint="eastAsia"/>
          <w:bCs/>
          <w:color w:val="auto"/>
          <w:szCs w:val="32"/>
          <w:highlight w:val="none"/>
          <w:lang w:val="en-US" w:eastAsia="zh-CN"/>
        </w:rPr>
        <w:t xml:space="preserve">   </w:t>
      </w:r>
      <w:r>
        <w:rPr>
          <w:rFonts w:hint="eastAsia"/>
          <w:bCs/>
          <w:color w:val="auto"/>
          <w:szCs w:val="32"/>
          <w:highlight w:val="none"/>
        </w:rPr>
        <w:t>Geotechnical Test Project</w:t>
      </w:r>
      <w:r>
        <w:rPr>
          <w:color w:val="auto"/>
          <w:highlight w:val="none"/>
        </w:rPr>
        <w:tab/>
      </w:r>
      <w:r>
        <w:rPr>
          <w:color w:val="auto"/>
          <w:highlight w:val="none"/>
        </w:rPr>
        <w:fldChar w:fldCharType="begin"/>
      </w:r>
      <w:r>
        <w:rPr>
          <w:color w:val="auto"/>
          <w:highlight w:val="none"/>
        </w:rPr>
        <w:instrText xml:space="preserve"> PAGEREF _Toc11200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pPr>
        <w:pStyle w:val="13"/>
        <w:tabs>
          <w:tab w:val="right" w:leader="dot" w:pos="8620"/>
          <w:tab w:val="clear" w:pos="420"/>
          <w:tab w:val="clear" w:pos="9523"/>
        </w:tabs>
        <w:rPr>
          <w:color w:val="auto"/>
          <w:highlight w:val="none"/>
        </w:rPr>
      </w:pPr>
      <w:r>
        <w:rPr>
          <w:color w:val="auto"/>
          <w:highlight w:val="none"/>
        </w:rPr>
        <w:fldChar w:fldCharType="begin"/>
      </w:r>
      <w:r>
        <w:rPr>
          <w:color w:val="auto"/>
          <w:highlight w:val="none"/>
        </w:rPr>
        <w:instrText xml:space="preserve"> HYPERLINK \l _Toc6518 </w:instrText>
      </w:r>
      <w:r>
        <w:rPr>
          <w:color w:val="auto"/>
          <w:highlight w:val="none"/>
        </w:rPr>
        <w:fldChar w:fldCharType="separate"/>
      </w:r>
      <w:r>
        <w:rPr>
          <w:rFonts w:hint="eastAsia"/>
          <w:bCs/>
          <w:color w:val="auto"/>
          <w:szCs w:val="32"/>
          <w:highlight w:val="none"/>
        </w:rPr>
        <w:t xml:space="preserve">Appendix B </w:t>
      </w:r>
      <w:r>
        <w:rPr>
          <w:rFonts w:hint="eastAsia"/>
          <w:bCs/>
          <w:color w:val="auto"/>
          <w:szCs w:val="32"/>
          <w:highlight w:val="none"/>
          <w:lang w:val="en-US" w:eastAsia="zh-CN"/>
        </w:rPr>
        <w:t xml:space="preserve">  </w:t>
      </w:r>
      <w:r>
        <w:rPr>
          <w:rFonts w:hint="eastAsia"/>
          <w:bCs/>
          <w:color w:val="auto"/>
          <w:szCs w:val="32"/>
          <w:highlight w:val="none"/>
        </w:rPr>
        <w:t xml:space="preserve">Drilling </w:t>
      </w:r>
      <w:r>
        <w:rPr>
          <w:rFonts w:hint="eastAsia"/>
          <w:bCs/>
          <w:color w:val="auto"/>
          <w:szCs w:val="32"/>
          <w:highlight w:val="none"/>
          <w:lang w:val="en-US" w:eastAsia="zh-CN"/>
        </w:rPr>
        <w:t>C</w:t>
      </w:r>
      <w:r>
        <w:rPr>
          <w:rFonts w:hint="eastAsia"/>
          <w:bCs/>
          <w:color w:val="auto"/>
          <w:szCs w:val="32"/>
          <w:highlight w:val="none"/>
        </w:rPr>
        <w:t xml:space="preserve">ore </w:t>
      </w:r>
      <w:r>
        <w:rPr>
          <w:rFonts w:hint="eastAsia"/>
          <w:bCs/>
          <w:color w:val="auto"/>
          <w:szCs w:val="32"/>
          <w:highlight w:val="none"/>
          <w:lang w:val="en-US" w:eastAsia="zh-CN"/>
        </w:rPr>
        <w:t>P</w:t>
      </w:r>
      <w:r>
        <w:rPr>
          <w:rFonts w:hint="eastAsia"/>
          <w:bCs/>
          <w:color w:val="auto"/>
          <w:szCs w:val="32"/>
          <w:highlight w:val="none"/>
        </w:rPr>
        <w:t xml:space="preserve">lacement and </w:t>
      </w:r>
      <w:r>
        <w:rPr>
          <w:rFonts w:hint="eastAsia"/>
          <w:bCs/>
          <w:color w:val="auto"/>
          <w:szCs w:val="32"/>
          <w:highlight w:val="none"/>
          <w:lang w:val="en-US" w:eastAsia="zh-CN"/>
        </w:rPr>
        <w:t>P</w:t>
      </w:r>
      <w:r>
        <w:rPr>
          <w:rFonts w:hint="eastAsia"/>
          <w:bCs/>
          <w:color w:val="auto"/>
          <w:szCs w:val="32"/>
          <w:highlight w:val="none"/>
        </w:rPr>
        <w:t>hotographs</w:t>
      </w:r>
      <w:r>
        <w:rPr>
          <w:color w:val="auto"/>
          <w:highlight w:val="none"/>
        </w:rPr>
        <w:tab/>
      </w:r>
      <w:r>
        <w:rPr>
          <w:color w:val="auto"/>
          <w:highlight w:val="none"/>
        </w:rPr>
        <w:fldChar w:fldCharType="begin"/>
      </w:r>
      <w:r>
        <w:rPr>
          <w:color w:val="auto"/>
          <w:highlight w:val="none"/>
        </w:rPr>
        <w:instrText xml:space="preserve"> PAGEREF _Toc6518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pPr>
        <w:pStyle w:val="13"/>
        <w:tabs>
          <w:tab w:val="right" w:leader="dot" w:pos="8620"/>
          <w:tab w:val="clear" w:pos="420"/>
          <w:tab w:val="clear" w:pos="9523"/>
        </w:tabs>
        <w:rPr>
          <w:color w:val="auto"/>
          <w:highlight w:val="none"/>
        </w:rPr>
      </w:pPr>
      <w:r>
        <w:rPr>
          <w:color w:val="auto"/>
          <w:highlight w:val="none"/>
        </w:rPr>
        <w:fldChar w:fldCharType="begin"/>
      </w:r>
      <w:r>
        <w:rPr>
          <w:color w:val="auto"/>
          <w:highlight w:val="none"/>
        </w:rPr>
        <w:instrText xml:space="preserve"> HYPERLINK \l _Toc24185 </w:instrText>
      </w:r>
      <w:r>
        <w:rPr>
          <w:color w:val="auto"/>
          <w:highlight w:val="none"/>
        </w:rPr>
        <w:fldChar w:fldCharType="separate"/>
      </w:r>
      <w:r>
        <w:rPr>
          <w:bCs/>
          <w:color w:val="auto"/>
          <w:szCs w:val="32"/>
          <w:highlight w:val="none"/>
        </w:rPr>
        <w:t>Appendix C</w:t>
      </w:r>
      <w:r>
        <w:rPr>
          <w:rFonts w:hint="eastAsia"/>
          <w:bCs/>
          <w:color w:val="auto"/>
          <w:szCs w:val="32"/>
          <w:highlight w:val="none"/>
          <w:lang w:val="en-US" w:eastAsia="zh-CN"/>
        </w:rPr>
        <w:t xml:space="preserve">   </w:t>
      </w:r>
      <w:r>
        <w:rPr>
          <w:bCs/>
          <w:color w:val="auto"/>
          <w:szCs w:val="32"/>
          <w:highlight w:val="none"/>
        </w:rPr>
        <w:t>Selection of Geophysical Exploration Methods</w:t>
      </w:r>
      <w:r>
        <w:rPr>
          <w:color w:val="auto"/>
          <w:highlight w:val="none"/>
        </w:rPr>
        <w:tab/>
      </w:r>
      <w:r>
        <w:rPr>
          <w:color w:val="auto"/>
          <w:highlight w:val="none"/>
        </w:rPr>
        <w:fldChar w:fldCharType="begin"/>
      </w:r>
      <w:r>
        <w:rPr>
          <w:color w:val="auto"/>
          <w:highlight w:val="none"/>
        </w:rPr>
        <w:instrText xml:space="preserve"> PAGEREF _Toc24185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pPr>
        <w:pStyle w:val="13"/>
        <w:tabs>
          <w:tab w:val="right" w:leader="dot" w:pos="8620"/>
          <w:tab w:val="clear" w:pos="420"/>
          <w:tab w:val="clear" w:pos="9523"/>
        </w:tabs>
        <w:rPr>
          <w:color w:val="auto"/>
          <w:highlight w:val="none"/>
        </w:rPr>
      </w:pPr>
      <w:r>
        <w:rPr>
          <w:color w:val="auto"/>
          <w:highlight w:val="none"/>
        </w:rPr>
        <w:fldChar w:fldCharType="begin"/>
      </w:r>
      <w:r>
        <w:rPr>
          <w:color w:val="auto"/>
          <w:highlight w:val="none"/>
        </w:rPr>
        <w:instrText xml:space="preserve"> HYPERLINK \l _Toc1902 </w:instrText>
      </w:r>
      <w:r>
        <w:rPr>
          <w:color w:val="auto"/>
          <w:highlight w:val="none"/>
        </w:rPr>
        <w:fldChar w:fldCharType="separate"/>
      </w:r>
      <w:r>
        <w:rPr>
          <w:bCs/>
          <w:color w:val="auto"/>
          <w:szCs w:val="32"/>
          <w:highlight w:val="none"/>
        </w:rPr>
        <w:t>Appendix D</w:t>
      </w:r>
      <w:r>
        <w:rPr>
          <w:rFonts w:hint="eastAsia"/>
          <w:bCs/>
          <w:color w:val="auto"/>
          <w:szCs w:val="32"/>
          <w:highlight w:val="none"/>
          <w:lang w:val="en-US" w:eastAsia="zh-CN"/>
        </w:rPr>
        <w:t xml:space="preserve">  </w:t>
      </w:r>
      <w:r>
        <w:rPr>
          <w:bCs/>
          <w:color w:val="auto"/>
          <w:szCs w:val="32"/>
          <w:highlight w:val="none"/>
        </w:rPr>
        <w:t xml:space="preserve"> Conical </w:t>
      </w:r>
      <w:r>
        <w:rPr>
          <w:rFonts w:hint="eastAsia"/>
          <w:bCs/>
          <w:color w:val="auto"/>
          <w:szCs w:val="32"/>
          <w:highlight w:val="none"/>
          <w:lang w:val="en-US" w:eastAsia="zh-CN"/>
        </w:rPr>
        <w:t>D</w:t>
      </w:r>
      <w:r>
        <w:rPr>
          <w:bCs/>
          <w:color w:val="auto"/>
          <w:szCs w:val="32"/>
          <w:highlight w:val="none"/>
        </w:rPr>
        <w:t xml:space="preserve">ynamic and </w:t>
      </w:r>
      <w:r>
        <w:rPr>
          <w:rFonts w:hint="eastAsia"/>
          <w:bCs/>
          <w:color w:val="auto"/>
          <w:szCs w:val="32"/>
          <w:highlight w:val="none"/>
          <w:lang w:val="en-US" w:eastAsia="zh-CN"/>
        </w:rPr>
        <w:t>S</w:t>
      </w:r>
      <w:r>
        <w:rPr>
          <w:bCs/>
          <w:color w:val="auto"/>
          <w:szCs w:val="32"/>
          <w:highlight w:val="none"/>
        </w:rPr>
        <w:t xml:space="preserve">tandard </w:t>
      </w:r>
      <w:r>
        <w:rPr>
          <w:rFonts w:hint="eastAsia"/>
          <w:bCs/>
          <w:color w:val="auto"/>
          <w:szCs w:val="32"/>
          <w:highlight w:val="none"/>
          <w:lang w:val="en-US" w:eastAsia="zh-CN"/>
        </w:rPr>
        <w:t>P</w:t>
      </w:r>
      <w:r>
        <w:rPr>
          <w:bCs/>
          <w:color w:val="auto"/>
          <w:szCs w:val="32"/>
          <w:highlight w:val="none"/>
        </w:rPr>
        <w:t xml:space="preserve">enetration </w:t>
      </w:r>
      <w:r>
        <w:rPr>
          <w:rFonts w:hint="eastAsia"/>
          <w:bCs/>
          <w:color w:val="auto"/>
          <w:szCs w:val="32"/>
          <w:highlight w:val="none"/>
          <w:lang w:val="en-US" w:eastAsia="zh-CN"/>
        </w:rPr>
        <w:t>H</w:t>
      </w:r>
      <w:r>
        <w:rPr>
          <w:bCs/>
          <w:color w:val="auto"/>
          <w:szCs w:val="32"/>
          <w:highlight w:val="none"/>
        </w:rPr>
        <w:t xml:space="preserve">ammer </w:t>
      </w:r>
      <w:r>
        <w:rPr>
          <w:rFonts w:hint="eastAsia"/>
          <w:bCs/>
          <w:color w:val="auto"/>
          <w:szCs w:val="32"/>
          <w:highlight w:val="none"/>
          <w:lang w:val="en-US" w:eastAsia="zh-CN"/>
        </w:rPr>
        <w:t>N</w:t>
      </w:r>
      <w:r>
        <w:rPr>
          <w:bCs/>
          <w:color w:val="auto"/>
          <w:szCs w:val="32"/>
          <w:highlight w:val="none"/>
        </w:rPr>
        <w:t xml:space="preserve">umber </w:t>
      </w:r>
      <w:r>
        <w:rPr>
          <w:rFonts w:hint="eastAsia"/>
          <w:bCs/>
          <w:color w:val="auto"/>
          <w:szCs w:val="32"/>
          <w:highlight w:val="none"/>
          <w:lang w:val="en-US" w:eastAsia="zh-CN"/>
        </w:rPr>
        <w:t>C</w:t>
      </w:r>
      <w:r>
        <w:rPr>
          <w:bCs/>
          <w:color w:val="auto"/>
          <w:szCs w:val="32"/>
          <w:highlight w:val="none"/>
        </w:rPr>
        <w:t>orrection</w:t>
      </w:r>
      <w:r>
        <w:rPr>
          <w:color w:val="auto"/>
          <w:highlight w:val="none"/>
        </w:rPr>
        <w:tab/>
      </w:r>
      <w:r>
        <w:rPr>
          <w:color w:val="auto"/>
          <w:highlight w:val="none"/>
        </w:rPr>
        <w:fldChar w:fldCharType="begin"/>
      </w:r>
      <w:r>
        <w:rPr>
          <w:color w:val="auto"/>
          <w:highlight w:val="none"/>
        </w:rPr>
        <w:instrText xml:space="preserve"> PAGEREF _Toc1902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pPr>
        <w:pStyle w:val="13"/>
        <w:tabs>
          <w:tab w:val="right" w:leader="dot" w:pos="8620"/>
          <w:tab w:val="clear" w:pos="420"/>
          <w:tab w:val="clear" w:pos="9523"/>
        </w:tabs>
        <w:rPr>
          <w:color w:val="auto"/>
          <w:highlight w:val="none"/>
        </w:rPr>
      </w:pPr>
      <w:r>
        <w:rPr>
          <w:color w:val="auto"/>
          <w:highlight w:val="none"/>
        </w:rPr>
        <w:fldChar w:fldCharType="begin"/>
      </w:r>
      <w:r>
        <w:rPr>
          <w:color w:val="auto"/>
          <w:highlight w:val="none"/>
        </w:rPr>
        <w:instrText xml:space="preserve"> HYPERLINK \l _Toc32068 </w:instrText>
      </w:r>
      <w:r>
        <w:rPr>
          <w:color w:val="auto"/>
          <w:highlight w:val="none"/>
        </w:rPr>
        <w:fldChar w:fldCharType="separate"/>
      </w:r>
      <w:r>
        <w:rPr>
          <w:bCs/>
          <w:color w:val="auto"/>
          <w:szCs w:val="32"/>
          <w:highlight w:val="none"/>
        </w:rPr>
        <w:t>Appendix E</w:t>
      </w:r>
      <w:r>
        <w:rPr>
          <w:rFonts w:hint="eastAsia"/>
          <w:bCs/>
          <w:color w:val="auto"/>
          <w:szCs w:val="32"/>
          <w:highlight w:val="none"/>
          <w:lang w:val="en-US" w:eastAsia="zh-CN"/>
        </w:rPr>
        <w:t xml:space="preserve">   </w:t>
      </w:r>
      <w:r>
        <w:rPr>
          <w:bCs/>
          <w:color w:val="auto"/>
          <w:szCs w:val="32"/>
          <w:highlight w:val="none"/>
        </w:rPr>
        <w:t xml:space="preserve">Dry and </w:t>
      </w:r>
      <w:r>
        <w:rPr>
          <w:rFonts w:hint="eastAsia"/>
          <w:bCs/>
          <w:color w:val="auto"/>
          <w:szCs w:val="32"/>
          <w:highlight w:val="none"/>
          <w:lang w:val="en-US" w:eastAsia="zh-CN"/>
        </w:rPr>
        <w:t>W</w:t>
      </w:r>
      <w:r>
        <w:rPr>
          <w:bCs/>
          <w:color w:val="auto"/>
          <w:szCs w:val="32"/>
          <w:highlight w:val="none"/>
        </w:rPr>
        <w:t xml:space="preserve">et </w:t>
      </w:r>
      <w:r>
        <w:rPr>
          <w:rFonts w:hint="eastAsia"/>
          <w:bCs/>
          <w:color w:val="auto"/>
          <w:szCs w:val="32"/>
          <w:highlight w:val="none"/>
          <w:lang w:val="en-US" w:eastAsia="zh-CN"/>
        </w:rPr>
        <w:t>S</w:t>
      </w:r>
      <w:r>
        <w:rPr>
          <w:bCs/>
          <w:color w:val="auto"/>
          <w:szCs w:val="32"/>
          <w:highlight w:val="none"/>
        </w:rPr>
        <w:t xml:space="preserve">tate of </w:t>
      </w:r>
      <w:r>
        <w:rPr>
          <w:rFonts w:hint="eastAsia"/>
          <w:bCs/>
          <w:color w:val="auto"/>
          <w:szCs w:val="32"/>
          <w:highlight w:val="none"/>
          <w:lang w:val="en-US" w:eastAsia="zh-CN"/>
        </w:rPr>
        <w:t>S</w:t>
      </w:r>
      <w:r>
        <w:rPr>
          <w:bCs/>
          <w:color w:val="auto"/>
          <w:szCs w:val="32"/>
          <w:highlight w:val="none"/>
        </w:rPr>
        <w:t>ubgrade</w:t>
      </w:r>
      <w:r>
        <w:rPr>
          <w:color w:val="auto"/>
          <w:highlight w:val="none"/>
        </w:rPr>
        <w:tab/>
      </w:r>
      <w:r>
        <w:rPr>
          <w:color w:val="auto"/>
          <w:highlight w:val="none"/>
        </w:rPr>
        <w:fldChar w:fldCharType="begin"/>
      </w:r>
      <w:r>
        <w:rPr>
          <w:color w:val="auto"/>
          <w:highlight w:val="none"/>
        </w:rPr>
        <w:instrText xml:space="preserve"> PAGEREF _Toc32068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pPr>
        <w:pStyle w:val="13"/>
        <w:tabs>
          <w:tab w:val="right" w:leader="dot" w:pos="8620"/>
          <w:tab w:val="clear" w:pos="420"/>
          <w:tab w:val="clear" w:pos="9523"/>
        </w:tabs>
        <w:rPr>
          <w:color w:val="auto"/>
          <w:highlight w:val="none"/>
        </w:rPr>
      </w:pPr>
      <w:r>
        <w:rPr>
          <w:color w:val="auto"/>
          <w:highlight w:val="none"/>
        </w:rPr>
        <w:fldChar w:fldCharType="begin"/>
      </w:r>
      <w:r>
        <w:rPr>
          <w:color w:val="auto"/>
          <w:highlight w:val="none"/>
        </w:rPr>
        <w:instrText xml:space="preserve"> HYPERLINK \l _Toc32659 </w:instrText>
      </w:r>
      <w:r>
        <w:rPr>
          <w:color w:val="auto"/>
          <w:highlight w:val="none"/>
        </w:rPr>
        <w:fldChar w:fldCharType="separate"/>
      </w:r>
      <w:r>
        <w:rPr>
          <w:bCs/>
          <w:color w:val="auto"/>
          <w:szCs w:val="32"/>
          <w:highlight w:val="none"/>
        </w:rPr>
        <w:t>Appendix F</w:t>
      </w:r>
      <w:r>
        <w:rPr>
          <w:rFonts w:hint="eastAsia"/>
          <w:bCs/>
          <w:color w:val="auto"/>
          <w:szCs w:val="32"/>
          <w:highlight w:val="none"/>
          <w:lang w:val="en-US" w:eastAsia="zh-CN"/>
        </w:rPr>
        <w:t xml:space="preserve">   </w:t>
      </w:r>
      <w:r>
        <w:rPr>
          <w:bCs/>
          <w:color w:val="auto"/>
          <w:szCs w:val="32"/>
          <w:highlight w:val="none"/>
        </w:rPr>
        <w:t>Tunnel Round Rock Classification</w:t>
      </w:r>
      <w:r>
        <w:rPr>
          <w:color w:val="auto"/>
          <w:highlight w:val="none"/>
        </w:rPr>
        <w:tab/>
      </w:r>
      <w:r>
        <w:rPr>
          <w:color w:val="auto"/>
          <w:highlight w:val="none"/>
        </w:rPr>
        <w:fldChar w:fldCharType="begin"/>
      </w:r>
      <w:r>
        <w:rPr>
          <w:color w:val="auto"/>
          <w:highlight w:val="none"/>
        </w:rPr>
        <w:instrText xml:space="preserve"> PAGEREF _Toc32659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pPr>
        <w:pStyle w:val="13"/>
        <w:tabs>
          <w:tab w:val="right" w:leader="dot" w:pos="8620"/>
          <w:tab w:val="clear" w:pos="420"/>
          <w:tab w:val="clear" w:pos="9523"/>
        </w:tabs>
        <w:rPr>
          <w:color w:val="auto"/>
          <w:highlight w:val="none"/>
        </w:rPr>
      </w:pPr>
      <w:r>
        <w:rPr>
          <w:color w:val="auto"/>
          <w:highlight w:val="none"/>
        </w:rPr>
        <w:fldChar w:fldCharType="begin"/>
      </w:r>
      <w:r>
        <w:rPr>
          <w:color w:val="auto"/>
          <w:highlight w:val="none"/>
        </w:rPr>
        <w:instrText xml:space="preserve"> HYPERLINK \l _Toc27489 </w:instrText>
      </w:r>
      <w:r>
        <w:rPr>
          <w:color w:val="auto"/>
          <w:highlight w:val="none"/>
        </w:rPr>
        <w:fldChar w:fldCharType="separate"/>
      </w:r>
      <w:r>
        <w:rPr>
          <w:bCs/>
          <w:color w:val="auto"/>
          <w:szCs w:val="32"/>
          <w:highlight w:val="none"/>
        </w:rPr>
        <w:t>Appendix G</w:t>
      </w:r>
      <w:r>
        <w:rPr>
          <w:rFonts w:hint="eastAsia"/>
          <w:bCs/>
          <w:color w:val="auto"/>
          <w:szCs w:val="32"/>
          <w:highlight w:val="none"/>
          <w:lang w:val="en-US" w:eastAsia="zh-CN"/>
        </w:rPr>
        <w:t xml:space="preserve">   Rock and Soil Tests Reguired</w:t>
      </w:r>
      <w:r>
        <w:rPr>
          <w:color w:val="auto"/>
          <w:highlight w:val="none"/>
        </w:rPr>
        <w:tab/>
      </w:r>
      <w:r>
        <w:rPr>
          <w:color w:val="auto"/>
          <w:highlight w:val="none"/>
        </w:rPr>
        <w:fldChar w:fldCharType="begin"/>
      </w:r>
      <w:r>
        <w:rPr>
          <w:color w:val="auto"/>
          <w:highlight w:val="none"/>
        </w:rPr>
        <w:instrText xml:space="preserve"> PAGEREF _Toc27489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pPr>
        <w:pStyle w:val="13"/>
        <w:tabs>
          <w:tab w:val="right" w:leader="dot" w:pos="8620"/>
          <w:tab w:val="clear" w:pos="420"/>
          <w:tab w:val="clear" w:pos="9523"/>
        </w:tabs>
        <w:rPr>
          <w:color w:val="auto"/>
          <w:highlight w:val="none"/>
        </w:rPr>
      </w:pPr>
      <w:r>
        <w:rPr>
          <w:color w:val="auto"/>
          <w:highlight w:val="none"/>
        </w:rPr>
        <w:fldChar w:fldCharType="begin"/>
      </w:r>
      <w:r>
        <w:rPr>
          <w:color w:val="auto"/>
          <w:highlight w:val="none"/>
        </w:rPr>
        <w:instrText xml:space="preserve"> HYPERLINK \l _Toc13623 </w:instrText>
      </w:r>
      <w:r>
        <w:rPr>
          <w:color w:val="auto"/>
          <w:highlight w:val="none"/>
        </w:rPr>
        <w:fldChar w:fldCharType="separate"/>
      </w:r>
      <w:r>
        <w:rPr>
          <w:rFonts w:hint="eastAsia"/>
          <w:bCs/>
          <w:color w:val="auto"/>
          <w:szCs w:val="32"/>
          <w:highlight w:val="none"/>
        </w:rPr>
        <w:t xml:space="preserve">Appendix H </w:t>
      </w:r>
      <w:r>
        <w:rPr>
          <w:rFonts w:hint="eastAsia"/>
          <w:bCs/>
          <w:color w:val="auto"/>
          <w:szCs w:val="32"/>
          <w:highlight w:val="none"/>
          <w:lang w:val="en-US" w:eastAsia="zh-CN"/>
        </w:rPr>
        <w:t xml:space="preserve">  B</w:t>
      </w:r>
      <w:r>
        <w:rPr>
          <w:rFonts w:hint="eastAsia"/>
          <w:bCs/>
          <w:color w:val="auto"/>
          <w:szCs w:val="32"/>
          <w:highlight w:val="none"/>
        </w:rPr>
        <w:t xml:space="preserve">ackfill the </w:t>
      </w:r>
      <w:r>
        <w:rPr>
          <w:rFonts w:hint="eastAsia"/>
          <w:bCs/>
          <w:color w:val="auto"/>
          <w:szCs w:val="32"/>
          <w:highlight w:val="none"/>
          <w:lang w:val="en-US" w:eastAsia="zh-CN"/>
        </w:rPr>
        <w:t>H</w:t>
      </w:r>
      <w:r>
        <w:rPr>
          <w:rFonts w:hint="eastAsia"/>
          <w:bCs/>
          <w:color w:val="auto"/>
          <w:szCs w:val="32"/>
          <w:highlight w:val="none"/>
        </w:rPr>
        <w:t>ole</w:t>
      </w:r>
      <w:r>
        <w:rPr>
          <w:color w:val="auto"/>
          <w:highlight w:val="none"/>
        </w:rPr>
        <w:tab/>
      </w:r>
      <w:r>
        <w:rPr>
          <w:color w:val="auto"/>
          <w:highlight w:val="none"/>
        </w:rPr>
        <w:fldChar w:fldCharType="begin"/>
      </w:r>
      <w:r>
        <w:rPr>
          <w:color w:val="auto"/>
          <w:highlight w:val="none"/>
        </w:rPr>
        <w:instrText xml:space="preserve"> PAGEREF _Toc13623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pPr>
        <w:pStyle w:val="13"/>
        <w:tabs>
          <w:tab w:val="right" w:leader="dot" w:pos="8620"/>
          <w:tab w:val="clear" w:pos="420"/>
          <w:tab w:val="clear" w:pos="9523"/>
        </w:tabs>
        <w:rPr>
          <w:color w:val="auto"/>
          <w:highlight w:val="none"/>
        </w:rPr>
      </w:pPr>
      <w:r>
        <w:rPr>
          <w:rFonts w:hint="eastAsia"/>
          <w:color w:val="auto"/>
          <w:highlight w:val="none"/>
          <w:lang w:val="en-US" w:eastAsia="zh-CN"/>
        </w:rPr>
        <w:t xml:space="preserve">Explanation of </w:t>
      </w:r>
      <w:r>
        <w:rPr>
          <w:color w:val="auto"/>
          <w:highlight w:val="none"/>
        </w:rPr>
        <w:fldChar w:fldCharType="begin"/>
      </w:r>
      <w:r>
        <w:rPr>
          <w:color w:val="auto"/>
          <w:highlight w:val="none"/>
        </w:rPr>
        <w:instrText xml:space="preserve"> HYPERLINK \l _Toc16293 </w:instrText>
      </w:r>
      <w:r>
        <w:rPr>
          <w:color w:val="auto"/>
          <w:highlight w:val="none"/>
        </w:rPr>
        <w:fldChar w:fldCharType="separate"/>
      </w:r>
      <w:r>
        <w:rPr>
          <w:color w:val="auto"/>
          <w:highlight w:val="none"/>
        </w:rPr>
        <w:t>Word</w:t>
      </w:r>
      <w:r>
        <w:rPr>
          <w:rFonts w:hint="eastAsia"/>
          <w:color w:val="auto"/>
          <w:highlight w:val="none"/>
          <w:lang w:val="en-US" w:eastAsia="zh-CN"/>
        </w:rPr>
        <w:t>ing</w:t>
      </w:r>
      <w:r>
        <w:rPr>
          <w:color w:val="auto"/>
          <w:highlight w:val="none"/>
        </w:rPr>
        <w:t xml:space="preserve"> </w:t>
      </w:r>
      <w:r>
        <w:rPr>
          <w:rFonts w:hint="eastAsia"/>
          <w:color w:val="auto"/>
          <w:highlight w:val="none"/>
          <w:lang w:val="en-US" w:eastAsia="zh-CN"/>
        </w:rPr>
        <w:t>in T</w:t>
      </w:r>
      <w:r>
        <w:rPr>
          <w:color w:val="auto"/>
          <w:highlight w:val="none"/>
        </w:rPr>
        <w:t xml:space="preserve">his </w:t>
      </w:r>
      <w:r>
        <w:rPr>
          <w:rFonts w:hint="eastAsia"/>
          <w:color w:val="auto"/>
          <w:highlight w:val="none"/>
          <w:lang w:val="en-US" w:eastAsia="zh-CN"/>
        </w:rPr>
        <w:t>S</w:t>
      </w:r>
      <w:r>
        <w:rPr>
          <w:color w:val="auto"/>
          <w:highlight w:val="none"/>
        </w:rPr>
        <w:t>pecification</w:t>
      </w:r>
      <w:r>
        <w:rPr>
          <w:color w:val="auto"/>
          <w:highlight w:val="none"/>
        </w:rPr>
        <w:tab/>
      </w:r>
      <w:r>
        <w:rPr>
          <w:color w:val="auto"/>
          <w:highlight w:val="none"/>
        </w:rPr>
        <w:fldChar w:fldCharType="begin"/>
      </w:r>
      <w:r>
        <w:rPr>
          <w:color w:val="auto"/>
          <w:highlight w:val="none"/>
        </w:rPr>
        <w:instrText xml:space="preserve"> PAGEREF _Toc16293 </w:instrText>
      </w:r>
      <w:r>
        <w:rPr>
          <w:color w:val="auto"/>
          <w:highlight w:val="none"/>
        </w:rPr>
        <w:fldChar w:fldCharType="separate"/>
      </w:r>
      <w:r>
        <w:rPr>
          <w:color w:val="auto"/>
          <w:highlight w:val="none"/>
        </w:rPr>
        <w:t>92</w:t>
      </w:r>
      <w:r>
        <w:rPr>
          <w:color w:val="auto"/>
          <w:highlight w:val="none"/>
        </w:rPr>
        <w:fldChar w:fldCharType="end"/>
      </w:r>
      <w:r>
        <w:rPr>
          <w:color w:val="auto"/>
          <w:highlight w:val="none"/>
        </w:rPr>
        <w:fldChar w:fldCharType="end"/>
      </w:r>
    </w:p>
    <w:p>
      <w:pPr>
        <w:pStyle w:val="13"/>
        <w:tabs>
          <w:tab w:val="right" w:leader="dot" w:pos="8620"/>
          <w:tab w:val="clear" w:pos="420"/>
          <w:tab w:val="clear" w:pos="9523"/>
        </w:tabs>
        <w:rPr>
          <w:rFonts w:hint="default" w:eastAsia="宋体"/>
          <w:color w:val="auto"/>
          <w:highlight w:val="none"/>
          <w:lang w:val="en-US" w:eastAsia="zh-CN"/>
        </w:rPr>
      </w:pPr>
      <w:r>
        <w:rPr>
          <w:color w:val="auto"/>
          <w:highlight w:val="none"/>
        </w:rPr>
        <w:fldChar w:fldCharType="end"/>
      </w:r>
      <w:r>
        <w:rPr>
          <w:rFonts w:hint="eastAsia"/>
          <w:color w:val="auto"/>
          <w:highlight w:val="none"/>
          <w:lang w:val="en-US" w:eastAsia="zh-CN"/>
        </w:rPr>
        <w:t>List of Quoted Standards</w:t>
      </w:r>
      <w:r>
        <w:rPr>
          <w:rFonts w:hint="eastAsia"/>
          <w:color w:val="auto"/>
          <w:highlight w:val="none"/>
          <w:lang w:val="en-US" w:eastAsia="zh-CN"/>
        </w:rPr>
        <w:tab/>
      </w:r>
      <w:r>
        <w:rPr>
          <w:rFonts w:hint="eastAsia"/>
          <w:color w:val="auto"/>
          <w:highlight w:val="none"/>
          <w:lang w:val="en-US" w:eastAsia="zh-CN"/>
        </w:rPr>
        <w:t>93</w:t>
      </w:r>
    </w:p>
    <w:p>
      <w:pPr>
        <w:pStyle w:val="13"/>
        <w:tabs>
          <w:tab w:val="right" w:leader="dot" w:pos="8620"/>
          <w:tab w:val="clear" w:pos="420"/>
          <w:tab w:val="clear" w:pos="9523"/>
        </w:tabs>
        <w:rPr>
          <w:rFonts w:hint="default"/>
          <w:color w:val="auto"/>
          <w:highlight w:val="none"/>
          <w:lang w:val="en-US"/>
        </w:rPr>
      </w:pPr>
      <w:r>
        <w:rPr>
          <w:rFonts w:hint="eastAsia"/>
          <w:color w:val="auto"/>
          <w:highlight w:val="none"/>
          <w:lang w:val="en-US" w:eastAsia="zh-CN"/>
        </w:rPr>
        <w:t>Addition: Explanation of Provisions</w:t>
      </w:r>
      <w:r>
        <w:rPr>
          <w:rFonts w:hint="eastAsia"/>
          <w:color w:val="auto"/>
          <w:highlight w:val="none"/>
          <w:lang w:val="en-US" w:eastAsia="zh-CN"/>
        </w:rPr>
        <w:tab/>
      </w:r>
      <w:r>
        <w:rPr>
          <w:rFonts w:hint="eastAsia"/>
          <w:color w:val="auto"/>
          <w:highlight w:val="none"/>
          <w:lang w:val="en-US" w:eastAsia="zh-CN"/>
        </w:rPr>
        <w:t>94</w:t>
      </w:r>
    </w:p>
    <w:p>
      <w:pPr>
        <w:widowControl/>
        <w:jc w:val="left"/>
        <w:rPr>
          <w:color w:val="auto"/>
          <w:highlight w:val="none"/>
        </w:rPr>
        <w:sectPr>
          <w:pgSz w:w="11906" w:h="16838"/>
          <w:pgMar w:top="1440" w:right="1587" w:bottom="1440" w:left="1588"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before="480" w:after="480" w:line="240" w:lineRule="auto"/>
        <w:rPr>
          <w:color w:val="auto"/>
          <w:highlight w:val="none"/>
        </w:rPr>
      </w:pPr>
      <w:bookmarkStart w:id="3" w:name="_Toc11797"/>
      <w:bookmarkStart w:id="4" w:name="_Toc32579"/>
      <w:bookmarkStart w:id="5" w:name="_Toc4571"/>
      <w:bookmarkStart w:id="6" w:name="_1　总　　则"/>
      <w:r>
        <w:rPr>
          <w:rFonts w:hint="eastAsia"/>
          <w:color w:val="auto"/>
          <w:highlight w:val="none"/>
        </w:rPr>
        <w:t>1　总　</w:t>
      </w:r>
      <w:r>
        <w:rPr>
          <w:color w:val="auto"/>
          <w:highlight w:val="none"/>
        </w:rPr>
        <w:t>　</w:t>
      </w:r>
      <w:r>
        <w:rPr>
          <w:rFonts w:hint="eastAsia"/>
          <w:color w:val="auto"/>
          <w:highlight w:val="none"/>
        </w:rPr>
        <w:t>则</w:t>
      </w:r>
      <w:bookmarkEnd w:id="3"/>
      <w:bookmarkEnd w:id="4"/>
      <w:bookmarkEnd w:id="5"/>
    </w:p>
    <w:bookmarkEnd w:id="6"/>
    <w:p>
      <w:pPr>
        <w:spacing w:line="360" w:lineRule="auto"/>
        <w:rPr>
          <w:color w:val="auto"/>
          <w:szCs w:val="21"/>
          <w:highlight w:val="none"/>
        </w:rPr>
      </w:pPr>
      <w:r>
        <w:rPr>
          <w:b/>
          <w:bCs/>
          <w:color w:val="auto"/>
          <w:szCs w:val="21"/>
          <w:highlight w:val="none"/>
        </w:rPr>
        <w:t>1.0.1</w:t>
      </w:r>
      <w:r>
        <w:rPr>
          <w:rFonts w:hint="eastAsia"/>
          <w:b/>
          <w:bCs/>
          <w:color w:val="auto"/>
          <w:szCs w:val="21"/>
          <w:highlight w:val="none"/>
        </w:rPr>
        <w:t>　</w:t>
      </w:r>
      <w:r>
        <w:rPr>
          <w:color w:val="auto"/>
          <w:szCs w:val="21"/>
          <w:highlight w:val="none"/>
        </w:rPr>
        <w:t>为在广东省市政工程勘察中贯彻国家的技术经济政策，做到安全</w:t>
      </w:r>
      <w:r>
        <w:rPr>
          <w:rFonts w:hint="eastAsia"/>
          <w:color w:val="auto"/>
          <w:szCs w:val="21"/>
          <w:highlight w:val="none"/>
        </w:rPr>
        <w:t>适用</w:t>
      </w:r>
      <w:r>
        <w:rPr>
          <w:color w:val="auto"/>
          <w:szCs w:val="21"/>
          <w:highlight w:val="none"/>
        </w:rPr>
        <w:t>、技术先进、</w:t>
      </w:r>
      <w:r>
        <w:rPr>
          <w:rFonts w:hint="eastAsia"/>
          <w:color w:val="auto"/>
          <w:szCs w:val="21"/>
          <w:highlight w:val="none"/>
        </w:rPr>
        <w:t>确保质量、保护</w:t>
      </w:r>
      <w:r>
        <w:rPr>
          <w:color w:val="auto"/>
          <w:szCs w:val="21"/>
          <w:highlight w:val="none"/>
        </w:rPr>
        <w:t>环境、经济合理，制定本规范。</w:t>
      </w:r>
    </w:p>
    <w:p>
      <w:pPr>
        <w:spacing w:line="360" w:lineRule="auto"/>
        <w:rPr>
          <w:color w:val="auto"/>
          <w:szCs w:val="21"/>
          <w:highlight w:val="none"/>
        </w:rPr>
      </w:pPr>
      <w:r>
        <w:rPr>
          <w:b/>
          <w:bCs/>
          <w:color w:val="auto"/>
          <w:szCs w:val="21"/>
          <w:highlight w:val="none"/>
        </w:rPr>
        <w:t>1.0.2</w:t>
      </w:r>
      <w:r>
        <w:rPr>
          <w:rFonts w:hint="eastAsia"/>
          <w:b/>
          <w:bCs/>
          <w:color w:val="auto"/>
          <w:szCs w:val="21"/>
          <w:highlight w:val="none"/>
        </w:rPr>
        <w:t>　</w:t>
      </w:r>
      <w:r>
        <w:rPr>
          <w:color w:val="auto"/>
          <w:szCs w:val="21"/>
          <w:highlight w:val="none"/>
        </w:rPr>
        <w:t>本规范适用于广东省</w:t>
      </w:r>
      <w:r>
        <w:rPr>
          <w:rFonts w:hint="eastAsia"/>
          <w:color w:val="auto"/>
          <w:szCs w:val="21"/>
          <w:highlight w:val="none"/>
        </w:rPr>
        <w:t>城市</w:t>
      </w:r>
      <w:r>
        <w:rPr>
          <w:color w:val="auto"/>
          <w:szCs w:val="21"/>
          <w:highlight w:val="none"/>
        </w:rPr>
        <w:t>道路、桥涵、隧道、给排水厂站、室外管道、</w:t>
      </w:r>
      <w:r>
        <w:rPr>
          <w:rFonts w:hint="eastAsia"/>
          <w:color w:val="auto"/>
          <w:szCs w:val="21"/>
          <w:highlight w:val="none"/>
        </w:rPr>
        <w:t>综合</w:t>
      </w:r>
      <w:r>
        <w:rPr>
          <w:color w:val="auto"/>
          <w:szCs w:val="21"/>
          <w:highlight w:val="none"/>
        </w:rPr>
        <w:t>管廊、场地平整、固体废弃物</w:t>
      </w:r>
      <w:r>
        <w:rPr>
          <w:rFonts w:hint="eastAsia"/>
          <w:color w:val="auto"/>
          <w:szCs w:val="21"/>
          <w:highlight w:val="none"/>
        </w:rPr>
        <w:t>处置</w:t>
      </w:r>
      <w:r>
        <w:rPr>
          <w:color w:val="auto"/>
          <w:szCs w:val="21"/>
          <w:highlight w:val="none"/>
        </w:rPr>
        <w:t>场、堤岸等</w:t>
      </w:r>
      <w:r>
        <w:rPr>
          <w:rFonts w:hint="eastAsia"/>
          <w:color w:val="auto"/>
          <w:szCs w:val="21"/>
          <w:highlight w:val="none"/>
          <w:lang w:val="en-US" w:eastAsia="zh-CN"/>
        </w:rPr>
        <w:t>市政</w:t>
      </w:r>
      <w:r>
        <w:rPr>
          <w:color w:val="auto"/>
          <w:szCs w:val="21"/>
          <w:highlight w:val="none"/>
        </w:rPr>
        <w:t>建设项目的岩土工程勘察。</w:t>
      </w:r>
    </w:p>
    <w:p>
      <w:pPr>
        <w:spacing w:line="360" w:lineRule="auto"/>
        <w:rPr>
          <w:color w:val="auto"/>
          <w:szCs w:val="21"/>
          <w:highlight w:val="none"/>
        </w:rPr>
      </w:pPr>
      <w:r>
        <w:rPr>
          <w:b/>
          <w:bCs/>
          <w:color w:val="auto"/>
          <w:szCs w:val="21"/>
          <w:highlight w:val="none"/>
        </w:rPr>
        <w:t>1.0.3</w:t>
      </w:r>
      <w:r>
        <w:rPr>
          <w:rFonts w:hint="eastAsia"/>
          <w:b/>
          <w:bCs/>
          <w:color w:val="auto"/>
          <w:szCs w:val="21"/>
          <w:highlight w:val="none"/>
        </w:rPr>
        <w:t>　</w:t>
      </w:r>
      <w:r>
        <w:rPr>
          <w:color w:val="auto"/>
          <w:szCs w:val="21"/>
          <w:highlight w:val="none"/>
        </w:rPr>
        <w:t>市政工程勘察必须遵守基本建设程序，充分搜集、分析、利用已有资料和</w:t>
      </w:r>
      <w:r>
        <w:rPr>
          <w:rFonts w:hint="eastAsia"/>
          <w:color w:val="auto"/>
          <w:szCs w:val="21"/>
          <w:highlight w:val="none"/>
        </w:rPr>
        <w:t>建设</w:t>
      </w:r>
      <w:r>
        <w:rPr>
          <w:color w:val="auto"/>
          <w:szCs w:val="21"/>
          <w:highlight w:val="none"/>
        </w:rPr>
        <w:t>经验，针对市政工程特点</w:t>
      </w:r>
      <w:r>
        <w:rPr>
          <w:rFonts w:hint="eastAsia"/>
          <w:color w:val="auto"/>
          <w:szCs w:val="21"/>
          <w:highlight w:val="none"/>
        </w:rPr>
        <w:t>、</w:t>
      </w:r>
      <w:r>
        <w:rPr>
          <w:color w:val="auto"/>
          <w:szCs w:val="21"/>
          <w:highlight w:val="none"/>
        </w:rPr>
        <w:t>各勘察阶段的要求和岩土工程条件，提供资料完整、评价</w:t>
      </w:r>
      <w:r>
        <w:rPr>
          <w:rFonts w:hint="eastAsia"/>
          <w:color w:val="auto"/>
          <w:szCs w:val="21"/>
          <w:highlight w:val="none"/>
        </w:rPr>
        <w:t>正确</w:t>
      </w:r>
      <w:r>
        <w:rPr>
          <w:color w:val="auto"/>
          <w:szCs w:val="21"/>
          <w:highlight w:val="none"/>
        </w:rPr>
        <w:t>的勘察报告。</w:t>
      </w:r>
    </w:p>
    <w:p>
      <w:pPr>
        <w:spacing w:line="360" w:lineRule="auto"/>
        <w:rPr>
          <w:color w:val="auto"/>
          <w:sz w:val="28"/>
          <w:szCs w:val="28"/>
          <w:highlight w:val="none"/>
        </w:rPr>
      </w:pPr>
      <w:r>
        <w:rPr>
          <w:b/>
          <w:bCs/>
          <w:color w:val="auto"/>
          <w:szCs w:val="21"/>
          <w:highlight w:val="none"/>
        </w:rPr>
        <w:t>1.0.4</w:t>
      </w:r>
      <w:r>
        <w:rPr>
          <w:rFonts w:hint="eastAsia"/>
          <w:b/>
          <w:bCs/>
          <w:color w:val="auto"/>
          <w:szCs w:val="21"/>
          <w:highlight w:val="none"/>
        </w:rPr>
        <w:t>　</w:t>
      </w:r>
      <w:r>
        <w:rPr>
          <w:rFonts w:hint="eastAsia"/>
          <w:color w:val="auto"/>
          <w:szCs w:val="21"/>
          <w:highlight w:val="none"/>
        </w:rPr>
        <w:t>广东省市政工程勘察除应符合本规范外</w:t>
      </w:r>
      <w:r>
        <w:rPr>
          <w:color w:val="auto"/>
          <w:szCs w:val="21"/>
          <w:highlight w:val="none"/>
        </w:rPr>
        <w:t>，</w:t>
      </w:r>
      <w:r>
        <w:rPr>
          <w:rFonts w:hint="eastAsia"/>
          <w:color w:val="auto"/>
          <w:szCs w:val="21"/>
          <w:highlight w:val="none"/>
        </w:rPr>
        <w:t>尚</w:t>
      </w:r>
      <w:r>
        <w:rPr>
          <w:color w:val="auto"/>
          <w:szCs w:val="21"/>
          <w:highlight w:val="none"/>
        </w:rPr>
        <w:t>应</w:t>
      </w:r>
      <w:r>
        <w:rPr>
          <w:rFonts w:hint="eastAsia"/>
          <w:color w:val="auto"/>
          <w:szCs w:val="21"/>
          <w:highlight w:val="none"/>
        </w:rPr>
        <w:t>符合</w:t>
      </w:r>
      <w:r>
        <w:rPr>
          <w:color w:val="auto"/>
          <w:szCs w:val="21"/>
          <w:highlight w:val="none"/>
        </w:rPr>
        <w:t>国家</w:t>
      </w:r>
      <w:r>
        <w:rPr>
          <w:rFonts w:hint="eastAsia"/>
          <w:color w:val="auto"/>
          <w:szCs w:val="21"/>
          <w:highlight w:val="none"/>
        </w:rPr>
        <w:t>和广东省</w:t>
      </w:r>
      <w:r>
        <w:rPr>
          <w:color w:val="auto"/>
          <w:szCs w:val="21"/>
          <w:highlight w:val="none"/>
        </w:rPr>
        <w:t>现行有关标准的规定。</w:t>
      </w:r>
      <w:r>
        <w:rPr>
          <w:color w:val="auto"/>
          <w:sz w:val="28"/>
          <w:szCs w:val="28"/>
          <w:highlight w:val="none"/>
        </w:rPr>
        <w:br w:type="page"/>
      </w:r>
    </w:p>
    <w:p>
      <w:pPr>
        <w:rPr>
          <w:color w:val="auto"/>
          <w:sz w:val="10"/>
          <w:szCs w:val="10"/>
          <w:highlight w:val="none"/>
        </w:rPr>
      </w:pPr>
    </w:p>
    <w:p>
      <w:pPr>
        <w:pStyle w:val="2"/>
        <w:spacing w:before="480" w:after="480" w:line="240" w:lineRule="auto"/>
        <w:rPr>
          <w:color w:val="auto"/>
          <w:highlight w:val="none"/>
        </w:rPr>
      </w:pPr>
      <w:bookmarkStart w:id="7" w:name="_Toc10511"/>
      <w:bookmarkStart w:id="8" w:name="_Toc28859"/>
      <w:bookmarkStart w:id="9" w:name="_Toc7502"/>
      <w:bookmarkStart w:id="10" w:name="_2　术语和符号"/>
      <w:r>
        <w:rPr>
          <w:rFonts w:hint="eastAsia"/>
          <w:color w:val="auto"/>
          <w:highlight w:val="none"/>
        </w:rPr>
        <w:t>2　术语和符号</w:t>
      </w:r>
      <w:bookmarkEnd w:id="7"/>
      <w:bookmarkEnd w:id="8"/>
      <w:bookmarkEnd w:id="9"/>
    </w:p>
    <w:bookmarkEnd w:id="10"/>
    <w:p>
      <w:pPr>
        <w:pStyle w:val="3"/>
        <w:rPr>
          <w:rFonts w:ascii="Times New Roman" w:hAnsi="Times New Roman" w:eastAsia="宋体"/>
          <w:color w:val="auto"/>
          <w:highlight w:val="none"/>
        </w:rPr>
      </w:pPr>
      <w:bookmarkStart w:id="11" w:name="_Toc26547"/>
      <w:bookmarkStart w:id="12" w:name="_Toc14730"/>
      <w:bookmarkStart w:id="13" w:name="_Toc26515"/>
      <w:bookmarkStart w:id="14" w:name="_2.1　术　　语"/>
      <w:r>
        <w:rPr>
          <w:rFonts w:ascii="Times New Roman" w:hAnsi="Times New Roman" w:eastAsia="宋体"/>
          <w:color w:val="auto"/>
          <w:highlight w:val="none"/>
        </w:rPr>
        <w:t>2.1</w:t>
      </w:r>
      <w:r>
        <w:rPr>
          <w:rFonts w:hint="eastAsia" w:ascii="Times New Roman" w:hAnsi="Times New Roman" w:eastAsia="宋体"/>
          <w:color w:val="auto"/>
          <w:highlight w:val="none"/>
        </w:rPr>
        <w:t>　</w:t>
      </w:r>
      <w:r>
        <w:rPr>
          <w:rFonts w:ascii="Times New Roman" w:hAnsi="Times New Roman" w:eastAsia="宋体"/>
          <w:color w:val="auto"/>
          <w:highlight w:val="none"/>
        </w:rPr>
        <w:t>术</w:t>
      </w:r>
      <w:r>
        <w:rPr>
          <w:rFonts w:hint="eastAsia"/>
          <w:color w:val="auto"/>
          <w:highlight w:val="none"/>
        </w:rPr>
        <w:t>　</w:t>
      </w:r>
      <w:r>
        <w:rPr>
          <w:color w:val="auto"/>
          <w:highlight w:val="none"/>
        </w:rPr>
        <w:t>　</w:t>
      </w:r>
      <w:r>
        <w:rPr>
          <w:rFonts w:ascii="Times New Roman" w:hAnsi="Times New Roman" w:eastAsia="宋体"/>
          <w:color w:val="auto"/>
          <w:highlight w:val="none"/>
        </w:rPr>
        <w:t>语</w:t>
      </w:r>
      <w:bookmarkEnd w:id="11"/>
      <w:bookmarkEnd w:id="12"/>
      <w:bookmarkEnd w:id="13"/>
      <w:r>
        <w:rPr>
          <w:rFonts w:ascii="Times New Roman" w:hAnsi="Times New Roman" w:eastAsia="宋体"/>
          <w:color w:val="auto"/>
          <w:highlight w:val="none"/>
        </w:rPr>
        <w:tab/>
      </w:r>
    </w:p>
    <w:bookmarkEnd w:id="14"/>
    <w:p>
      <w:pPr>
        <w:spacing w:line="360" w:lineRule="auto"/>
        <w:rPr>
          <w:color w:val="auto"/>
          <w:highlight w:val="none"/>
        </w:rPr>
      </w:pPr>
      <w:r>
        <w:rPr>
          <w:b/>
          <w:bCs/>
          <w:color w:val="auto"/>
          <w:highlight w:val="none"/>
        </w:rPr>
        <w:t>2.1.1</w:t>
      </w:r>
      <w:r>
        <w:rPr>
          <w:rFonts w:hint="eastAsia"/>
          <w:b/>
          <w:bCs/>
          <w:color w:val="auto"/>
          <w:highlight w:val="none"/>
        </w:rPr>
        <w:t>　</w:t>
      </w:r>
      <w:r>
        <w:rPr>
          <w:color w:val="auto"/>
          <w:highlight w:val="none"/>
        </w:rPr>
        <w:t>市政工程</w:t>
      </w:r>
      <w:r>
        <w:rPr>
          <w:rFonts w:hint="eastAsia"/>
          <w:color w:val="auto"/>
          <w:highlight w:val="none"/>
        </w:rPr>
        <w:t>　</w:t>
      </w:r>
      <w:r>
        <w:rPr>
          <w:color w:val="auto"/>
          <w:highlight w:val="none"/>
        </w:rPr>
        <w:t xml:space="preserve">　municipal engineering </w:t>
      </w:r>
    </w:p>
    <w:p>
      <w:pPr>
        <w:spacing w:line="360" w:lineRule="auto"/>
        <w:ind w:firstLine="420" w:firstLineChars="200"/>
        <w:rPr>
          <w:color w:val="auto"/>
          <w:highlight w:val="none"/>
        </w:rPr>
      </w:pPr>
      <w:r>
        <w:rPr>
          <w:color w:val="auto"/>
          <w:highlight w:val="none"/>
        </w:rPr>
        <w:t>在</w:t>
      </w:r>
      <w:r>
        <w:rPr>
          <w:rFonts w:hint="eastAsia"/>
          <w:color w:val="auto"/>
          <w:highlight w:val="none"/>
        </w:rPr>
        <w:t>城市（城镇）</w:t>
      </w:r>
      <w:r>
        <w:rPr>
          <w:color w:val="auto"/>
          <w:highlight w:val="none"/>
        </w:rPr>
        <w:t>行政区域</w:t>
      </w:r>
      <w:r>
        <w:rPr>
          <w:color w:val="auto"/>
          <w:szCs w:val="21"/>
          <w:highlight w:val="none"/>
          <w:shd w:val="clear" w:color="auto" w:fill="FFFFFF"/>
        </w:rPr>
        <w:t>规划建设范围内，基于政府责任和义务为居民提供有偿或无偿公共产品和服务的各种建</w:t>
      </w:r>
      <w:r>
        <w:rPr>
          <w:rFonts w:hint="eastAsia"/>
          <w:color w:val="auto"/>
          <w:szCs w:val="21"/>
          <w:highlight w:val="none"/>
          <w:shd w:val="clear" w:color="auto" w:fill="FFFFFF"/>
        </w:rPr>
        <w:t>（</w:t>
      </w:r>
      <w:r>
        <w:rPr>
          <w:color w:val="auto"/>
          <w:szCs w:val="21"/>
          <w:highlight w:val="none"/>
          <w:shd w:val="clear" w:color="auto" w:fill="FFFFFF"/>
        </w:rPr>
        <w:t>构</w:t>
      </w:r>
      <w:r>
        <w:rPr>
          <w:rFonts w:hint="eastAsia"/>
          <w:color w:val="auto"/>
          <w:szCs w:val="21"/>
          <w:highlight w:val="none"/>
          <w:shd w:val="clear" w:color="auto" w:fill="FFFFFF"/>
        </w:rPr>
        <w:t>）</w:t>
      </w:r>
      <w:r>
        <w:rPr>
          <w:color w:val="auto"/>
          <w:szCs w:val="21"/>
          <w:highlight w:val="none"/>
          <w:shd w:val="clear" w:color="auto" w:fill="FFFFFF"/>
        </w:rPr>
        <w:t>筑物</w:t>
      </w:r>
      <w:r>
        <w:rPr>
          <w:rFonts w:hint="eastAsia"/>
          <w:color w:val="auto"/>
          <w:szCs w:val="21"/>
          <w:highlight w:val="none"/>
          <w:shd w:val="clear" w:color="auto" w:fill="FFFFFF"/>
        </w:rPr>
        <w:t>工程</w:t>
      </w:r>
      <w:r>
        <w:rPr>
          <w:color w:val="auto"/>
          <w:highlight w:val="none"/>
        </w:rPr>
        <w:t>。</w:t>
      </w:r>
    </w:p>
    <w:p>
      <w:pPr>
        <w:spacing w:line="360" w:lineRule="auto"/>
        <w:rPr>
          <w:color w:val="auto"/>
          <w:highlight w:val="none"/>
        </w:rPr>
      </w:pPr>
      <w:r>
        <w:rPr>
          <w:b/>
          <w:bCs/>
          <w:color w:val="auto"/>
          <w:highlight w:val="none"/>
        </w:rPr>
        <w:t>2.1.</w:t>
      </w:r>
      <w:r>
        <w:rPr>
          <w:rFonts w:hint="eastAsia"/>
          <w:b/>
          <w:bCs/>
          <w:color w:val="auto"/>
          <w:highlight w:val="none"/>
        </w:rPr>
        <w:t>2　</w:t>
      </w:r>
      <w:r>
        <w:rPr>
          <w:rFonts w:hint="eastAsia"/>
          <w:color w:val="auto"/>
          <w:highlight w:val="none"/>
        </w:rPr>
        <w:t>岩土条件　</w:t>
      </w:r>
      <w:r>
        <w:rPr>
          <w:color w:val="auto"/>
          <w:highlight w:val="none"/>
        </w:rPr>
        <w:t>　</w:t>
      </w:r>
      <w:r>
        <w:rPr>
          <w:rFonts w:hint="eastAsia"/>
          <w:color w:val="auto"/>
          <w:highlight w:val="none"/>
        </w:rPr>
        <w:t>rock and soil condition</w:t>
      </w:r>
      <w:r>
        <w:rPr>
          <w:color w:val="auto"/>
          <w:highlight w:val="none"/>
        </w:rPr>
        <w:t xml:space="preserve"> </w:t>
      </w:r>
    </w:p>
    <w:p>
      <w:pPr>
        <w:spacing w:line="360" w:lineRule="auto"/>
        <w:ind w:firstLine="420" w:firstLineChars="200"/>
        <w:rPr>
          <w:color w:val="auto"/>
          <w:highlight w:val="none"/>
        </w:rPr>
      </w:pPr>
      <w:r>
        <w:rPr>
          <w:rFonts w:hint="eastAsia"/>
          <w:color w:val="auto"/>
          <w:highlight w:val="none"/>
        </w:rPr>
        <w:t>对市政工程设计、施工具有影响的岩土体的工程特性，包括岩土种类、岩土物理力学性质及其均匀性、围岩或地基和边坡的工程性质、特殊性岩土等</w:t>
      </w:r>
      <w:r>
        <w:rPr>
          <w:color w:val="auto"/>
          <w:highlight w:val="none"/>
        </w:rPr>
        <w:t>。</w:t>
      </w:r>
    </w:p>
    <w:p>
      <w:pPr>
        <w:spacing w:line="360" w:lineRule="auto"/>
        <w:rPr>
          <w:color w:val="auto"/>
          <w:highlight w:val="none"/>
        </w:rPr>
      </w:pPr>
      <w:r>
        <w:rPr>
          <w:b/>
          <w:bCs/>
          <w:color w:val="auto"/>
          <w:highlight w:val="none"/>
        </w:rPr>
        <w:t>2.1.</w:t>
      </w:r>
      <w:r>
        <w:rPr>
          <w:rFonts w:hint="eastAsia"/>
          <w:b/>
          <w:bCs/>
          <w:color w:val="auto"/>
          <w:highlight w:val="none"/>
        </w:rPr>
        <w:t>3</w:t>
      </w:r>
      <w:r>
        <w:rPr>
          <w:rFonts w:hint="eastAsia"/>
          <w:color w:val="auto"/>
          <w:highlight w:val="none"/>
        </w:rPr>
        <w:t>　工程周边环境　</w:t>
      </w:r>
      <w:r>
        <w:rPr>
          <w:color w:val="auto"/>
          <w:highlight w:val="none"/>
        </w:rPr>
        <w:t xml:space="preserve">　engineering </w:t>
      </w:r>
      <w:r>
        <w:rPr>
          <w:rFonts w:hint="eastAsia"/>
          <w:color w:val="auto"/>
          <w:highlight w:val="none"/>
        </w:rPr>
        <w:t>surroundings</w:t>
      </w:r>
    </w:p>
    <w:p>
      <w:pPr>
        <w:spacing w:line="360" w:lineRule="auto"/>
        <w:ind w:firstLine="420" w:firstLineChars="200"/>
        <w:rPr>
          <w:color w:val="auto"/>
          <w:highlight w:val="none"/>
        </w:rPr>
      </w:pPr>
      <w:r>
        <w:rPr>
          <w:rFonts w:hint="eastAsia"/>
          <w:color w:val="auto"/>
          <w:highlight w:val="none"/>
        </w:rPr>
        <w:t>影响市政工程设计、施工及运营的周边建（构）筑物、既有市政工程、地表水体等环境对象的统称</w:t>
      </w:r>
      <w:r>
        <w:rPr>
          <w:color w:val="auto"/>
          <w:highlight w:val="none"/>
        </w:rPr>
        <w:t>。</w:t>
      </w:r>
    </w:p>
    <w:p>
      <w:pPr>
        <w:spacing w:line="360" w:lineRule="auto"/>
        <w:rPr>
          <w:color w:val="auto"/>
          <w:highlight w:val="none"/>
        </w:rPr>
      </w:pPr>
      <w:r>
        <w:rPr>
          <w:b/>
          <w:bCs/>
          <w:color w:val="auto"/>
          <w:highlight w:val="none"/>
        </w:rPr>
        <w:t>2.1.</w:t>
      </w:r>
      <w:r>
        <w:rPr>
          <w:rFonts w:hint="eastAsia"/>
          <w:b/>
          <w:bCs/>
          <w:color w:val="auto"/>
          <w:highlight w:val="none"/>
        </w:rPr>
        <w:t>4</w:t>
      </w:r>
      <w:r>
        <w:rPr>
          <w:rFonts w:hint="eastAsia"/>
          <w:color w:val="auto"/>
          <w:highlight w:val="none"/>
        </w:rPr>
        <w:t>　</w:t>
      </w:r>
      <w:r>
        <w:rPr>
          <w:color w:val="auto"/>
          <w:highlight w:val="none"/>
        </w:rPr>
        <w:t>深层排水隧道</w:t>
      </w:r>
      <w:r>
        <w:rPr>
          <w:rFonts w:hint="eastAsia"/>
          <w:color w:val="auto"/>
          <w:highlight w:val="none"/>
        </w:rPr>
        <w:t>　</w:t>
      </w:r>
      <w:r>
        <w:rPr>
          <w:color w:val="auto"/>
          <w:highlight w:val="none"/>
        </w:rPr>
        <w:t>　deep drainage tunnel</w:t>
      </w:r>
    </w:p>
    <w:p>
      <w:pPr>
        <w:spacing w:line="360" w:lineRule="auto"/>
        <w:ind w:firstLine="420" w:firstLineChars="200"/>
        <w:rPr>
          <w:color w:val="auto"/>
          <w:highlight w:val="none"/>
        </w:rPr>
      </w:pPr>
      <w:r>
        <w:rPr>
          <w:rFonts w:hint="eastAsia"/>
          <w:color w:val="auto"/>
          <w:highlight w:val="none"/>
        </w:rPr>
        <w:t>城市</w:t>
      </w:r>
      <w:r>
        <w:rPr>
          <w:color w:val="auto"/>
          <w:highlight w:val="none"/>
        </w:rPr>
        <w:t>为雨洪排放、污水输送或者雨污水合流调蓄而建设的</w:t>
      </w:r>
      <w:r>
        <w:rPr>
          <w:rFonts w:hint="eastAsia"/>
          <w:color w:val="auto"/>
          <w:highlight w:val="none"/>
        </w:rPr>
        <w:t>埋深较大的</w:t>
      </w:r>
      <w:r>
        <w:rPr>
          <w:color w:val="auto"/>
          <w:highlight w:val="none"/>
        </w:rPr>
        <w:t>地下</w:t>
      </w:r>
      <w:r>
        <w:rPr>
          <w:rFonts w:hint="eastAsia"/>
          <w:color w:val="auto"/>
          <w:highlight w:val="none"/>
        </w:rPr>
        <w:t>排水通</w:t>
      </w:r>
      <w:r>
        <w:rPr>
          <w:color w:val="auto"/>
          <w:highlight w:val="none"/>
        </w:rPr>
        <w:t>道。</w:t>
      </w:r>
      <w:r>
        <w:rPr>
          <w:rFonts w:hint="eastAsia"/>
          <w:color w:val="auto"/>
          <w:highlight w:val="none"/>
        </w:rPr>
        <w:t>又称深层调蓄隧道。</w:t>
      </w:r>
    </w:p>
    <w:p>
      <w:pPr>
        <w:spacing w:line="360" w:lineRule="auto"/>
        <w:rPr>
          <w:color w:val="auto"/>
          <w:highlight w:val="none"/>
        </w:rPr>
      </w:pPr>
      <w:r>
        <w:rPr>
          <w:b/>
          <w:bCs/>
          <w:color w:val="auto"/>
          <w:highlight w:val="none"/>
        </w:rPr>
        <w:t>2.1.</w:t>
      </w:r>
      <w:r>
        <w:rPr>
          <w:rFonts w:hint="eastAsia"/>
          <w:b/>
          <w:bCs/>
          <w:color w:val="auto"/>
          <w:highlight w:val="none"/>
        </w:rPr>
        <w:t>5</w:t>
      </w:r>
      <w:r>
        <w:rPr>
          <w:rFonts w:hint="eastAsia"/>
          <w:color w:val="auto"/>
          <w:highlight w:val="none"/>
        </w:rPr>
        <w:t>　沉管</w:t>
      </w:r>
      <w:r>
        <w:rPr>
          <w:color w:val="auto"/>
          <w:highlight w:val="none"/>
        </w:rPr>
        <w:t>隧道</w:t>
      </w:r>
      <w:r>
        <w:rPr>
          <w:rFonts w:hint="eastAsia"/>
          <w:color w:val="auto"/>
          <w:highlight w:val="none"/>
        </w:rPr>
        <w:t>　</w:t>
      </w:r>
      <w:r>
        <w:rPr>
          <w:color w:val="auto"/>
          <w:highlight w:val="none"/>
        </w:rPr>
        <w:t>　</w:t>
      </w:r>
      <w:r>
        <w:rPr>
          <w:rFonts w:hint="eastAsia"/>
          <w:color w:val="auto"/>
          <w:highlight w:val="none"/>
        </w:rPr>
        <w:t>immersed tube tunnel</w:t>
      </w:r>
    </w:p>
    <w:p>
      <w:pPr>
        <w:spacing w:line="360" w:lineRule="auto"/>
        <w:ind w:firstLine="420" w:firstLineChars="200"/>
        <w:rPr>
          <w:rFonts w:ascii="Helvetica" w:hAnsi="Helvetica" w:eastAsia="Helvetica" w:cs="Helvetica"/>
          <w:color w:val="auto"/>
          <w:szCs w:val="21"/>
          <w:highlight w:val="none"/>
          <w:shd w:val="clear" w:color="auto" w:fill="FFFFFF"/>
        </w:rPr>
      </w:pPr>
      <w:r>
        <w:rPr>
          <w:rFonts w:hint="eastAsia" w:ascii="Helvetica" w:hAnsi="Helvetica" w:cs="Helvetica"/>
          <w:color w:val="auto"/>
          <w:szCs w:val="21"/>
          <w:highlight w:val="none"/>
          <w:shd w:val="clear" w:color="auto" w:fill="FFFFFF"/>
        </w:rPr>
        <w:t>通过</w:t>
      </w:r>
      <w:r>
        <w:rPr>
          <w:rFonts w:ascii="Helvetica" w:hAnsi="Helvetica" w:eastAsia="Helvetica" w:cs="Helvetica"/>
          <w:color w:val="auto"/>
          <w:szCs w:val="21"/>
          <w:highlight w:val="none"/>
          <w:shd w:val="clear" w:color="auto" w:fill="FFFFFF"/>
        </w:rPr>
        <w:t>将隧道管段</w:t>
      </w:r>
      <w:r>
        <w:rPr>
          <w:rFonts w:hint="eastAsia" w:ascii="Helvetica" w:hAnsi="Helvetica" w:cs="Helvetica"/>
          <w:color w:val="auto"/>
          <w:szCs w:val="21"/>
          <w:highlight w:val="none"/>
          <w:shd w:val="clear" w:color="auto" w:fill="FFFFFF"/>
        </w:rPr>
        <w:t>在干坞</w:t>
      </w:r>
      <w:r>
        <w:rPr>
          <w:rFonts w:ascii="Helvetica" w:hAnsi="Helvetica" w:eastAsia="Helvetica" w:cs="Helvetica"/>
          <w:color w:val="auto"/>
          <w:szCs w:val="21"/>
          <w:highlight w:val="none"/>
          <w:shd w:val="clear" w:color="auto" w:fill="FFFFFF"/>
        </w:rPr>
        <w:t>分段预制后，浮运至隧道轴线处，沉放在预先挖好的基槽内，完成管段间的水下连接，而形成的完整水下通道。</w:t>
      </w:r>
      <w:r>
        <w:rPr>
          <w:rFonts w:hint="eastAsia" w:ascii="Helvetica" w:hAnsi="Helvetica" w:cs="Helvetica"/>
          <w:color w:val="auto"/>
          <w:szCs w:val="21"/>
          <w:highlight w:val="none"/>
          <w:shd w:val="clear" w:color="auto" w:fill="FFFFFF"/>
        </w:rPr>
        <w:t>又称沉管式隧道或沉管法隧道</w:t>
      </w:r>
    </w:p>
    <w:p>
      <w:pPr>
        <w:spacing w:line="360" w:lineRule="auto"/>
        <w:rPr>
          <w:color w:val="auto"/>
          <w:highlight w:val="none"/>
        </w:rPr>
      </w:pPr>
      <w:r>
        <w:rPr>
          <w:b/>
          <w:bCs/>
          <w:color w:val="auto"/>
          <w:highlight w:val="none"/>
        </w:rPr>
        <w:t>2.1.</w:t>
      </w:r>
      <w:r>
        <w:rPr>
          <w:rFonts w:hint="eastAsia"/>
          <w:b/>
          <w:bCs/>
          <w:color w:val="auto"/>
          <w:highlight w:val="none"/>
        </w:rPr>
        <w:t>6</w:t>
      </w:r>
      <w:r>
        <w:rPr>
          <w:rFonts w:hint="eastAsia"/>
          <w:color w:val="auto"/>
          <w:highlight w:val="none"/>
        </w:rPr>
        <w:t>　下沉式道路　</w:t>
      </w:r>
      <w:r>
        <w:rPr>
          <w:color w:val="auto"/>
          <w:highlight w:val="none"/>
        </w:rPr>
        <w:t>　</w:t>
      </w:r>
      <w:r>
        <w:rPr>
          <w:rFonts w:hint="eastAsia"/>
          <w:color w:val="auto"/>
          <w:highlight w:val="none"/>
        </w:rPr>
        <w:t>sunken road</w:t>
      </w:r>
    </w:p>
    <w:p>
      <w:pPr>
        <w:spacing w:line="360" w:lineRule="auto"/>
        <w:ind w:firstLine="420" w:firstLineChars="200"/>
        <w:rPr>
          <w:rFonts w:ascii="Helvetica" w:hAnsi="Helvetica" w:eastAsia="Helvetica" w:cs="Helvetica"/>
          <w:color w:val="auto"/>
          <w:szCs w:val="21"/>
          <w:highlight w:val="none"/>
          <w:shd w:val="clear" w:color="auto" w:fill="FFFFFF"/>
        </w:rPr>
      </w:pPr>
      <w:r>
        <w:rPr>
          <w:rFonts w:hint="eastAsia" w:ascii="Helvetica" w:hAnsi="Helvetica" w:cs="Helvetica"/>
          <w:color w:val="auto"/>
          <w:szCs w:val="21"/>
          <w:highlight w:val="none"/>
          <w:shd w:val="clear" w:color="auto" w:fill="FFFFFF"/>
        </w:rPr>
        <w:t>一种有侧墙和底板而没有上盖的敞开式隧道</w:t>
      </w:r>
      <w:r>
        <w:rPr>
          <w:rFonts w:ascii="Helvetica" w:hAnsi="Helvetica" w:eastAsia="Helvetica" w:cs="Helvetica"/>
          <w:color w:val="auto"/>
          <w:szCs w:val="21"/>
          <w:highlight w:val="none"/>
          <w:shd w:val="clear" w:color="auto" w:fill="FFFFFF"/>
        </w:rPr>
        <w:t>。</w:t>
      </w:r>
      <w:r>
        <w:rPr>
          <w:rFonts w:hint="eastAsia" w:ascii="Helvetica" w:hAnsi="Helvetica" w:cs="Helvetica"/>
          <w:color w:val="auto"/>
          <w:szCs w:val="21"/>
          <w:highlight w:val="none"/>
          <w:shd w:val="clear" w:color="auto" w:fill="FFFFFF"/>
        </w:rPr>
        <w:t>又称</w:t>
      </w:r>
      <w:r>
        <w:rPr>
          <w:rFonts w:hint="eastAsia"/>
          <w:color w:val="auto"/>
          <w:highlight w:val="none"/>
        </w:rPr>
        <w:t>下沉道路。</w:t>
      </w:r>
    </w:p>
    <w:p>
      <w:pPr>
        <w:spacing w:line="360" w:lineRule="auto"/>
        <w:rPr>
          <w:color w:val="auto"/>
          <w:highlight w:val="none"/>
        </w:rPr>
      </w:pPr>
      <w:r>
        <w:rPr>
          <w:b/>
          <w:bCs/>
          <w:color w:val="auto"/>
          <w:highlight w:val="none"/>
        </w:rPr>
        <w:t>2.1.</w:t>
      </w:r>
      <w:r>
        <w:rPr>
          <w:rFonts w:hint="eastAsia"/>
          <w:b/>
          <w:bCs/>
          <w:color w:val="auto"/>
          <w:highlight w:val="none"/>
        </w:rPr>
        <w:t>7　</w:t>
      </w:r>
      <w:r>
        <w:rPr>
          <w:rFonts w:hint="eastAsia"/>
          <w:color w:val="auto"/>
          <w:szCs w:val="21"/>
          <w:highlight w:val="none"/>
          <w:shd w:val="clear" w:color="auto" w:fill="FFFFFF"/>
        </w:rPr>
        <w:t>综合</w:t>
      </w:r>
      <w:r>
        <w:rPr>
          <w:color w:val="auto"/>
          <w:szCs w:val="21"/>
          <w:highlight w:val="none"/>
          <w:shd w:val="clear" w:color="auto" w:fill="FFFFFF"/>
        </w:rPr>
        <w:t>管廊</w:t>
      </w:r>
      <w:r>
        <w:rPr>
          <w:rFonts w:hint="eastAsia"/>
          <w:color w:val="auto"/>
          <w:highlight w:val="none"/>
        </w:rPr>
        <w:t>　</w:t>
      </w:r>
      <w:r>
        <w:rPr>
          <w:color w:val="auto"/>
          <w:highlight w:val="none"/>
        </w:rPr>
        <w:t>　</w:t>
      </w:r>
      <w:r>
        <w:rPr>
          <w:rFonts w:hint="eastAsia"/>
          <w:color w:val="auto"/>
          <w:szCs w:val="21"/>
          <w:highlight w:val="none"/>
          <w:shd w:val="clear" w:color="auto" w:fill="FFFFFF"/>
        </w:rPr>
        <w:t>ultility tunnel</w:t>
      </w:r>
    </w:p>
    <w:p>
      <w:pPr>
        <w:spacing w:line="360" w:lineRule="auto"/>
        <w:ind w:firstLine="420" w:firstLineChars="200"/>
        <w:rPr>
          <w:color w:val="auto"/>
          <w:szCs w:val="21"/>
          <w:highlight w:val="none"/>
          <w:shd w:val="clear" w:color="auto" w:fill="FFFFFF"/>
        </w:rPr>
      </w:pPr>
      <w:r>
        <w:rPr>
          <w:rFonts w:hint="eastAsia"/>
          <w:color w:val="auto"/>
          <w:szCs w:val="21"/>
          <w:highlight w:val="none"/>
          <w:shd w:val="clear" w:color="auto" w:fill="FFFFFF"/>
        </w:rPr>
        <w:t>建于城市地下用于容纳两类及以上城市工程管线的构筑物及附属设施，按照使用功能分为干线综合管廊、支线综合管廊和缆线管廊。其中，干线综合管廊用于容纳城市主干工程管线，采用独立分舱方式建设；支线综合管廊用于容纳城市配给工程管线，采用单舱或双舱方式建设；缆线管廊是采用浅埋沟道或集中排管方式建设，设有可开启盖板但其内部空间不能满足人员正常通行要求，用于容纳电力电缆和通信线缆的管廊。</w:t>
      </w:r>
    </w:p>
    <w:p>
      <w:pPr>
        <w:spacing w:line="360" w:lineRule="auto"/>
        <w:rPr>
          <w:color w:val="auto"/>
          <w:szCs w:val="21"/>
          <w:highlight w:val="none"/>
          <w:shd w:val="clear" w:color="auto" w:fill="FFFFFF"/>
        </w:rPr>
      </w:pPr>
      <w:r>
        <w:rPr>
          <w:rFonts w:hint="eastAsia"/>
          <w:b/>
          <w:bCs/>
          <w:color w:val="auto"/>
          <w:szCs w:val="21"/>
          <w:highlight w:val="none"/>
          <w:shd w:val="clear" w:color="auto" w:fill="FFFFFF"/>
        </w:rPr>
        <w:t>2.1.8　</w:t>
      </w:r>
      <w:r>
        <w:rPr>
          <w:rFonts w:hint="eastAsia"/>
          <w:color w:val="auto"/>
          <w:szCs w:val="21"/>
          <w:highlight w:val="none"/>
          <w:shd w:val="clear" w:color="auto" w:fill="FFFFFF"/>
        </w:rPr>
        <w:t>卫生填埋场</w:t>
      </w:r>
      <w:r>
        <w:rPr>
          <w:rFonts w:hint="eastAsia"/>
          <w:color w:val="auto"/>
          <w:highlight w:val="none"/>
        </w:rPr>
        <w:t>　</w:t>
      </w:r>
      <w:r>
        <w:rPr>
          <w:color w:val="auto"/>
          <w:highlight w:val="none"/>
        </w:rPr>
        <w:t>　</w:t>
      </w:r>
      <w:r>
        <w:rPr>
          <w:rFonts w:hint="eastAsia"/>
          <w:color w:val="auto"/>
          <w:szCs w:val="21"/>
          <w:highlight w:val="none"/>
          <w:shd w:val="clear" w:color="auto" w:fill="FFFFFF"/>
        </w:rPr>
        <w:t>sanitary landfill</w:t>
      </w:r>
      <w:r>
        <w:rPr>
          <w:rFonts w:ascii="Arial" w:hAnsi="Arial" w:cs="Arial"/>
          <w:color w:val="auto"/>
          <w:sz w:val="19"/>
          <w:szCs w:val="19"/>
          <w:highlight w:val="none"/>
          <w:shd w:val="clear" w:color="auto" w:fill="FFFFFF"/>
        </w:rPr>
        <w:t> </w:t>
      </w:r>
    </w:p>
    <w:p>
      <w:pPr>
        <w:spacing w:line="360" w:lineRule="auto"/>
        <w:ind w:firstLine="420" w:firstLineChars="200"/>
        <w:rPr>
          <w:color w:val="auto"/>
          <w:szCs w:val="21"/>
          <w:highlight w:val="none"/>
          <w:shd w:val="clear" w:color="auto" w:fill="FFFFFF"/>
        </w:rPr>
      </w:pPr>
      <w:r>
        <w:rPr>
          <w:rFonts w:hint="eastAsia" w:ascii="宋体" w:hAnsi="宋体" w:cs="宋体"/>
          <w:color w:val="auto"/>
          <w:szCs w:val="21"/>
          <w:highlight w:val="none"/>
        </w:rPr>
        <w:t>用于处理处置城市生活垃圾</w:t>
      </w:r>
      <w:r>
        <w:rPr>
          <w:rFonts w:hint="eastAsia"/>
          <w:color w:val="auto"/>
          <w:highlight w:val="none"/>
        </w:rPr>
        <w:t>以及经其他方式预处置过的医疗垃圾</w:t>
      </w:r>
      <w:r>
        <w:rPr>
          <w:rFonts w:hint="eastAsia" w:ascii="宋体" w:hAnsi="宋体" w:cs="宋体"/>
          <w:color w:val="auto"/>
          <w:szCs w:val="21"/>
          <w:highlight w:val="none"/>
        </w:rPr>
        <w:t>，设有阻止垃圾渗沥液泄漏的人工防渗膜，以及渗沥液和填埋气体的收集、处理或预处理设施，符合卫生要求的垃圾处理场地</w:t>
      </w:r>
      <w:r>
        <w:rPr>
          <w:rFonts w:hint="eastAsia"/>
          <w:color w:val="auto"/>
          <w:szCs w:val="21"/>
          <w:highlight w:val="none"/>
          <w:shd w:val="clear" w:color="auto" w:fill="FFFFFF"/>
        </w:rPr>
        <w:t>。</w:t>
      </w:r>
    </w:p>
    <w:p>
      <w:pPr>
        <w:spacing w:line="360" w:lineRule="auto"/>
        <w:rPr>
          <w:color w:val="auto"/>
          <w:highlight w:val="none"/>
        </w:rPr>
      </w:pPr>
      <w:r>
        <w:rPr>
          <w:b/>
          <w:bCs/>
          <w:color w:val="auto"/>
          <w:highlight w:val="none"/>
        </w:rPr>
        <w:t>2.1.</w:t>
      </w:r>
      <w:r>
        <w:rPr>
          <w:rFonts w:hint="eastAsia"/>
          <w:b/>
          <w:bCs/>
          <w:color w:val="auto"/>
          <w:highlight w:val="none"/>
        </w:rPr>
        <w:t>9　</w:t>
      </w:r>
      <w:r>
        <w:rPr>
          <w:rFonts w:hint="eastAsia"/>
          <w:color w:val="auto"/>
          <w:szCs w:val="21"/>
          <w:highlight w:val="none"/>
          <w:shd w:val="clear" w:color="auto" w:fill="FFFFFF"/>
        </w:rPr>
        <w:t>垃圾焚烧厂</w:t>
      </w:r>
      <w:r>
        <w:rPr>
          <w:rFonts w:hint="eastAsia"/>
          <w:color w:val="auto"/>
          <w:highlight w:val="none"/>
        </w:rPr>
        <w:t>　</w:t>
      </w:r>
      <w:r>
        <w:rPr>
          <w:color w:val="auto"/>
          <w:highlight w:val="none"/>
        </w:rPr>
        <w:t>　</w:t>
      </w:r>
      <w:r>
        <w:rPr>
          <w:rFonts w:hint="eastAsia"/>
          <w:color w:val="auto"/>
          <w:szCs w:val="21"/>
          <w:highlight w:val="none"/>
          <w:shd w:val="clear" w:color="auto" w:fill="FFFFFF"/>
        </w:rPr>
        <w:t>waste</w:t>
      </w:r>
      <w:r>
        <w:rPr>
          <w:color w:val="auto"/>
          <w:szCs w:val="21"/>
          <w:highlight w:val="none"/>
          <w:shd w:val="clear" w:color="auto" w:fill="FFFFFF"/>
        </w:rPr>
        <w:t> </w:t>
      </w:r>
      <w:r>
        <w:rPr>
          <w:rFonts w:hint="eastAsia"/>
          <w:color w:val="auto"/>
          <w:szCs w:val="21"/>
          <w:highlight w:val="none"/>
          <w:shd w:val="clear" w:color="auto" w:fill="FFFFFF"/>
        </w:rPr>
        <w:t>i</w:t>
      </w:r>
      <w:r>
        <w:rPr>
          <w:color w:val="auto"/>
          <w:szCs w:val="21"/>
          <w:highlight w:val="none"/>
          <w:shd w:val="clear" w:color="auto" w:fill="FFFFFF"/>
        </w:rPr>
        <w:t>ncineration </w:t>
      </w:r>
      <w:r>
        <w:rPr>
          <w:rFonts w:hint="eastAsia"/>
          <w:color w:val="auto"/>
          <w:szCs w:val="21"/>
          <w:highlight w:val="none"/>
          <w:shd w:val="clear" w:color="auto" w:fill="FFFFFF"/>
        </w:rPr>
        <w:t>p</w:t>
      </w:r>
      <w:r>
        <w:rPr>
          <w:color w:val="auto"/>
          <w:szCs w:val="21"/>
          <w:highlight w:val="none"/>
          <w:shd w:val="clear" w:color="auto" w:fill="FFFFFF"/>
        </w:rPr>
        <w:t>lant </w:t>
      </w:r>
    </w:p>
    <w:p>
      <w:pPr>
        <w:spacing w:line="360" w:lineRule="auto"/>
        <w:ind w:firstLine="420" w:firstLineChars="200"/>
        <w:rPr>
          <w:rFonts w:hint="eastAsia" w:ascii="Helvetica" w:hAnsi="Helvetica" w:cs="Helvetica"/>
          <w:color w:val="auto"/>
          <w:szCs w:val="21"/>
          <w:highlight w:val="none"/>
          <w:shd w:val="clear" w:color="auto" w:fill="FFFFFF"/>
        </w:rPr>
      </w:pPr>
      <w:r>
        <w:rPr>
          <w:rFonts w:ascii="Helvetica" w:hAnsi="Helvetica" w:eastAsia="Helvetica" w:cs="Helvetica"/>
          <w:color w:val="auto"/>
          <w:szCs w:val="21"/>
          <w:highlight w:val="none"/>
          <w:shd w:val="clear" w:color="auto" w:fill="FFFFFF"/>
        </w:rPr>
        <w:t>一种将</w:t>
      </w:r>
      <w:r>
        <w:rPr>
          <w:rFonts w:hint="eastAsia" w:ascii="Helvetica" w:hAnsi="Helvetica" w:cs="Helvetica"/>
          <w:color w:val="auto"/>
          <w:szCs w:val="21"/>
          <w:highlight w:val="none"/>
          <w:shd w:val="clear" w:color="auto" w:fill="FFFFFF"/>
        </w:rPr>
        <w:t>生活垃圾</w:t>
      </w:r>
      <w:r>
        <w:rPr>
          <w:rFonts w:ascii="Helvetica" w:hAnsi="Helvetica" w:eastAsia="Helvetica" w:cs="Helvetica"/>
          <w:color w:val="auto"/>
          <w:szCs w:val="21"/>
          <w:highlight w:val="none"/>
          <w:shd w:val="clear" w:color="auto" w:fill="FFFFFF"/>
        </w:rPr>
        <w:t>进行高温焚烧</w:t>
      </w:r>
      <w:r>
        <w:rPr>
          <w:rFonts w:hint="eastAsia" w:ascii="Helvetica" w:hAnsi="Helvetica" w:cs="Helvetica"/>
          <w:color w:val="auto"/>
          <w:szCs w:val="21"/>
          <w:highlight w:val="none"/>
          <w:shd w:val="clear" w:color="auto" w:fill="FFFFFF"/>
        </w:rPr>
        <w:t>而进行发电，以</w:t>
      </w:r>
      <w:r>
        <w:rPr>
          <w:rFonts w:ascii="Helvetica" w:hAnsi="Helvetica" w:eastAsia="Helvetica" w:cs="Helvetica"/>
          <w:color w:val="auto"/>
          <w:szCs w:val="21"/>
          <w:highlight w:val="none"/>
          <w:shd w:val="clear" w:color="auto" w:fill="FFFFFF"/>
        </w:rPr>
        <w:t>达到</w:t>
      </w:r>
      <w:r>
        <w:rPr>
          <w:rFonts w:hint="eastAsia" w:ascii="Helvetica" w:hAnsi="Helvetica" w:cs="Helvetica"/>
          <w:color w:val="auto"/>
          <w:szCs w:val="21"/>
          <w:highlight w:val="none"/>
          <w:shd w:val="clear" w:color="auto" w:fill="FFFFFF"/>
        </w:rPr>
        <w:t>垃圾“减量化、无害化、资源化”处置目的的工厂。</w:t>
      </w:r>
    </w:p>
    <w:p>
      <w:pPr>
        <w:spacing w:line="360" w:lineRule="auto"/>
        <w:rPr>
          <w:color w:val="auto"/>
          <w:highlight w:val="none"/>
        </w:rPr>
      </w:pPr>
      <w:r>
        <w:rPr>
          <w:rFonts w:hint="eastAsia"/>
          <w:b/>
          <w:bCs/>
          <w:color w:val="auto"/>
          <w:highlight w:val="none"/>
        </w:rPr>
        <w:t>2.1.10</w:t>
      </w:r>
      <w:r>
        <w:rPr>
          <w:rFonts w:hint="eastAsia"/>
          <w:color w:val="auto"/>
          <w:highlight w:val="none"/>
        </w:rPr>
        <w:t>　</w:t>
      </w:r>
      <w:r>
        <w:rPr>
          <w:color w:val="auto"/>
          <w:highlight w:val="none"/>
        </w:rPr>
        <w:t>场地平整</w:t>
      </w:r>
      <w:r>
        <w:rPr>
          <w:rFonts w:hint="eastAsia"/>
          <w:color w:val="auto"/>
          <w:highlight w:val="none"/>
        </w:rPr>
        <w:t>　</w:t>
      </w:r>
      <w:r>
        <w:rPr>
          <w:color w:val="auto"/>
          <w:highlight w:val="none"/>
        </w:rPr>
        <w:t>　site leveling</w:t>
      </w:r>
    </w:p>
    <w:p>
      <w:pPr>
        <w:spacing w:line="360" w:lineRule="auto"/>
        <w:ind w:firstLine="420" w:firstLineChars="200"/>
        <w:rPr>
          <w:color w:val="auto"/>
          <w:szCs w:val="21"/>
          <w:highlight w:val="none"/>
          <w:shd w:val="clear" w:color="auto" w:fill="FFFFFF"/>
        </w:rPr>
      </w:pPr>
      <w:r>
        <w:rPr>
          <w:color w:val="auto"/>
          <w:szCs w:val="21"/>
          <w:highlight w:val="none"/>
          <w:shd w:val="clear" w:color="auto" w:fill="FFFFFF"/>
        </w:rPr>
        <w:t>通过挖高填低将原始</w:t>
      </w:r>
      <w:r>
        <w:rPr>
          <w:rFonts w:hint="eastAsia"/>
          <w:color w:val="auto"/>
          <w:szCs w:val="21"/>
          <w:highlight w:val="none"/>
          <w:shd w:val="clear" w:color="auto" w:fill="FFFFFF"/>
        </w:rPr>
        <w:t>地貌场地</w:t>
      </w:r>
      <w:r>
        <w:rPr>
          <w:color w:val="auto"/>
          <w:szCs w:val="21"/>
          <w:highlight w:val="none"/>
          <w:shd w:val="clear" w:color="auto" w:fill="FFFFFF"/>
        </w:rPr>
        <w:t>改造成满足人们生产、生活需要的</w:t>
      </w:r>
      <w:r>
        <w:rPr>
          <w:rFonts w:hint="eastAsia"/>
          <w:color w:val="auto"/>
          <w:szCs w:val="21"/>
          <w:highlight w:val="none"/>
          <w:shd w:val="clear" w:color="auto" w:fill="FFFFFF"/>
        </w:rPr>
        <w:t>建设</w:t>
      </w:r>
      <w:r>
        <w:rPr>
          <w:color w:val="auto"/>
          <w:highlight w:val="none"/>
        </w:rPr>
        <w:fldChar w:fldCharType="begin"/>
      </w:r>
      <w:r>
        <w:rPr>
          <w:color w:val="auto"/>
          <w:highlight w:val="none"/>
        </w:rPr>
        <w:instrText xml:space="preserve"> HYPERLINK "https://baike.baidu.com/item/%E5%9C%BA%E5%9C%B0/2585002" \t "_blank" </w:instrText>
      </w:r>
      <w:r>
        <w:rPr>
          <w:color w:val="auto"/>
          <w:highlight w:val="none"/>
        </w:rPr>
        <w:fldChar w:fldCharType="separate"/>
      </w:r>
      <w:r>
        <w:rPr>
          <w:color w:val="auto"/>
          <w:highlight w:val="none"/>
        </w:rPr>
        <w:t>场地</w:t>
      </w:r>
      <w:r>
        <w:rPr>
          <w:color w:val="auto"/>
          <w:highlight w:val="none"/>
        </w:rPr>
        <w:fldChar w:fldCharType="end"/>
      </w:r>
      <w:r>
        <w:rPr>
          <w:color w:val="auto"/>
          <w:highlight w:val="none"/>
        </w:rPr>
        <w:t>的过程</w:t>
      </w:r>
      <w:r>
        <w:rPr>
          <w:color w:val="auto"/>
          <w:szCs w:val="21"/>
          <w:highlight w:val="none"/>
          <w:shd w:val="clear" w:color="auto" w:fill="FFFFFF"/>
        </w:rPr>
        <w:t>。</w:t>
      </w:r>
      <w:r>
        <w:rPr>
          <w:rFonts w:hint="eastAsia"/>
          <w:color w:val="auto"/>
          <w:szCs w:val="21"/>
          <w:highlight w:val="none"/>
          <w:shd w:val="clear" w:color="auto" w:fill="FFFFFF"/>
        </w:rPr>
        <w:t>场地平整工程又称为造地工程或场地整备工程。</w:t>
      </w:r>
    </w:p>
    <w:p>
      <w:pPr>
        <w:spacing w:line="360" w:lineRule="auto"/>
        <w:rPr>
          <w:color w:val="auto"/>
          <w:highlight w:val="none"/>
        </w:rPr>
      </w:pPr>
      <w:r>
        <w:rPr>
          <w:rFonts w:hint="eastAsia"/>
          <w:b/>
          <w:bCs/>
          <w:color w:val="auto"/>
          <w:highlight w:val="none"/>
        </w:rPr>
        <w:t>2.1.11</w:t>
      </w:r>
      <w:r>
        <w:rPr>
          <w:rFonts w:hint="eastAsia"/>
          <w:color w:val="auto"/>
          <w:highlight w:val="none"/>
        </w:rPr>
        <w:t>　堤岸　</w:t>
      </w:r>
      <w:r>
        <w:rPr>
          <w:color w:val="auto"/>
          <w:highlight w:val="none"/>
        </w:rPr>
        <w:t>　</w:t>
      </w:r>
      <w:r>
        <w:rPr>
          <w:rFonts w:hint="eastAsia"/>
          <w:color w:val="auto"/>
          <w:highlight w:val="none"/>
        </w:rPr>
        <w:t>waterfront embankment</w:t>
      </w:r>
    </w:p>
    <w:p>
      <w:pPr>
        <w:spacing w:line="360" w:lineRule="auto"/>
        <w:ind w:firstLine="420" w:firstLineChars="200"/>
        <w:rPr>
          <w:color w:val="auto"/>
          <w:szCs w:val="21"/>
          <w:highlight w:val="none"/>
        </w:rPr>
      </w:pPr>
      <w:r>
        <w:rPr>
          <w:rFonts w:hint="eastAsia"/>
          <w:color w:val="auto"/>
          <w:szCs w:val="21"/>
          <w:highlight w:val="none"/>
        </w:rPr>
        <w:t>自身稳定性对堤防有直接影响的岸坡及护坡结构。</w:t>
      </w:r>
      <w:r>
        <w:rPr>
          <w:color w:val="auto"/>
          <w:szCs w:val="21"/>
          <w:highlight w:val="none"/>
        </w:rPr>
        <w:br w:type="page"/>
      </w:r>
    </w:p>
    <w:p>
      <w:pPr>
        <w:spacing w:line="360" w:lineRule="auto"/>
        <w:rPr>
          <w:color w:val="auto"/>
          <w:szCs w:val="21"/>
          <w:highlight w:val="none"/>
        </w:rPr>
      </w:pPr>
    </w:p>
    <w:p>
      <w:pPr>
        <w:pStyle w:val="3"/>
        <w:rPr>
          <w:rFonts w:ascii="Times New Roman" w:hAnsi="Times New Roman" w:eastAsia="宋体"/>
          <w:color w:val="auto"/>
          <w:highlight w:val="none"/>
        </w:rPr>
      </w:pPr>
      <w:bookmarkStart w:id="15" w:name="_Toc88"/>
      <w:bookmarkStart w:id="16" w:name="_Toc11532"/>
      <w:bookmarkStart w:id="17" w:name="_Toc31823"/>
      <w:bookmarkStart w:id="18" w:name="_2.2　符　　号"/>
      <w:r>
        <w:rPr>
          <w:rFonts w:ascii="Times New Roman" w:hAnsi="Times New Roman" w:eastAsia="宋体"/>
          <w:color w:val="auto"/>
          <w:highlight w:val="none"/>
        </w:rPr>
        <w:t>2.2</w:t>
      </w:r>
      <w:r>
        <w:rPr>
          <w:rFonts w:hint="eastAsia" w:ascii="Times New Roman" w:hAnsi="Times New Roman" w:eastAsia="宋体"/>
          <w:color w:val="auto"/>
          <w:highlight w:val="none"/>
        </w:rPr>
        <w:t>　</w:t>
      </w:r>
      <w:r>
        <w:rPr>
          <w:rFonts w:ascii="Times New Roman" w:hAnsi="Times New Roman" w:eastAsia="宋体"/>
          <w:color w:val="auto"/>
          <w:highlight w:val="none"/>
        </w:rPr>
        <w:t>符</w:t>
      </w:r>
      <w:r>
        <w:rPr>
          <w:rFonts w:hint="eastAsia"/>
          <w:color w:val="auto"/>
          <w:highlight w:val="none"/>
        </w:rPr>
        <w:t>　</w:t>
      </w:r>
      <w:r>
        <w:rPr>
          <w:color w:val="auto"/>
          <w:highlight w:val="none"/>
        </w:rPr>
        <w:t>　</w:t>
      </w:r>
      <w:r>
        <w:rPr>
          <w:rFonts w:ascii="Times New Roman" w:hAnsi="Times New Roman" w:eastAsia="宋体"/>
          <w:color w:val="auto"/>
          <w:highlight w:val="none"/>
        </w:rPr>
        <w:t>号</w:t>
      </w:r>
      <w:bookmarkEnd w:id="15"/>
      <w:bookmarkEnd w:id="16"/>
      <w:bookmarkEnd w:id="17"/>
      <w:r>
        <w:rPr>
          <w:rFonts w:ascii="Times New Roman" w:hAnsi="Times New Roman" w:eastAsia="宋体"/>
          <w:color w:val="auto"/>
          <w:highlight w:val="none"/>
        </w:rPr>
        <w:tab/>
      </w:r>
    </w:p>
    <w:bookmarkEnd w:id="18"/>
    <w:p>
      <w:pPr>
        <w:spacing w:before="156" w:beforeLines="50" w:line="360" w:lineRule="auto"/>
        <w:rPr>
          <w:color w:val="auto"/>
          <w:highlight w:val="none"/>
        </w:rPr>
      </w:pPr>
      <w:r>
        <w:rPr>
          <w:b/>
          <w:bCs/>
          <w:color w:val="auto"/>
          <w:highlight w:val="none"/>
        </w:rPr>
        <w:t>2.2.1</w:t>
      </w:r>
      <w:r>
        <w:rPr>
          <w:rFonts w:hint="eastAsia"/>
          <w:b/>
          <w:bCs/>
          <w:color w:val="auto"/>
          <w:highlight w:val="none"/>
        </w:rPr>
        <w:t>　</w:t>
      </w:r>
      <w:r>
        <w:rPr>
          <w:rFonts w:hint="eastAsia"/>
          <w:color w:val="auto"/>
          <w:highlight w:val="none"/>
        </w:rPr>
        <w:t>岩土</w:t>
      </w:r>
      <w:r>
        <w:rPr>
          <w:color w:val="auto"/>
          <w:highlight w:val="none"/>
        </w:rPr>
        <w:t>物理指标</w:t>
      </w:r>
    </w:p>
    <w:p>
      <w:pPr>
        <w:spacing w:line="400" w:lineRule="exact"/>
        <w:ind w:left="420" w:leftChars="200"/>
        <w:rPr>
          <w:color w:val="auto"/>
          <w:szCs w:val="21"/>
          <w:highlight w:val="none"/>
        </w:rPr>
      </w:pPr>
      <w:r>
        <w:rPr>
          <w:i/>
          <w:iCs/>
          <w:color w:val="auto"/>
          <w:highlight w:val="none"/>
        </w:rPr>
        <w:t xml:space="preserve">e </w:t>
      </w:r>
      <w:r>
        <w:rPr>
          <w:color w:val="auto"/>
          <w:szCs w:val="21"/>
          <w:highlight w:val="none"/>
        </w:rPr>
        <w:t>—— 天然孔隙比；</w:t>
      </w:r>
    </w:p>
    <w:p>
      <w:pPr>
        <w:spacing w:line="400" w:lineRule="exact"/>
        <w:ind w:left="420" w:leftChars="200"/>
        <w:rPr>
          <w:color w:val="auto"/>
          <w:szCs w:val="21"/>
          <w:highlight w:val="none"/>
        </w:rPr>
      </w:pPr>
      <w:r>
        <w:rPr>
          <w:i/>
          <w:iCs/>
          <w:color w:val="auto"/>
          <w:highlight w:val="none"/>
        </w:rPr>
        <w:t>G</w:t>
      </w:r>
      <w:r>
        <w:rPr>
          <w:color w:val="auto"/>
          <w:highlight w:val="none"/>
          <w:vertAlign w:val="subscript"/>
        </w:rPr>
        <w:t>s</w:t>
      </w:r>
      <w:r>
        <w:rPr>
          <w:i/>
          <w:iCs/>
          <w:color w:val="auto"/>
          <w:highlight w:val="none"/>
          <w:vertAlign w:val="subscript"/>
        </w:rPr>
        <w:t xml:space="preserve"> </w:t>
      </w:r>
      <w:r>
        <w:rPr>
          <w:color w:val="auto"/>
          <w:szCs w:val="21"/>
          <w:highlight w:val="none"/>
        </w:rPr>
        <w:t>—— 土的颗粒比重；</w:t>
      </w:r>
    </w:p>
    <w:p>
      <w:pPr>
        <w:spacing w:line="400" w:lineRule="exact"/>
        <w:ind w:left="420" w:leftChars="200"/>
        <w:rPr>
          <w:color w:val="auto"/>
          <w:szCs w:val="21"/>
          <w:highlight w:val="none"/>
        </w:rPr>
      </w:pPr>
      <w:r>
        <w:rPr>
          <w:i/>
          <w:iCs/>
          <w:color w:val="auto"/>
          <w:highlight w:val="none"/>
        </w:rPr>
        <w:t>I</w:t>
      </w:r>
      <w:r>
        <w:rPr>
          <w:color w:val="auto"/>
          <w:highlight w:val="none"/>
          <w:vertAlign w:val="subscript"/>
        </w:rPr>
        <w:t>L</w:t>
      </w:r>
      <w:r>
        <w:rPr>
          <w:i/>
          <w:iCs/>
          <w:color w:val="auto"/>
          <w:highlight w:val="none"/>
          <w:vertAlign w:val="subscript"/>
        </w:rPr>
        <w:t xml:space="preserve"> </w:t>
      </w:r>
      <w:r>
        <w:rPr>
          <w:color w:val="auto"/>
          <w:szCs w:val="21"/>
          <w:highlight w:val="none"/>
        </w:rPr>
        <w:t xml:space="preserve">—— </w:t>
      </w:r>
      <w:r>
        <w:rPr>
          <w:color w:val="auto"/>
          <w:highlight w:val="none"/>
        </w:rPr>
        <w:t>液性指数；</w:t>
      </w:r>
    </w:p>
    <w:p>
      <w:pPr>
        <w:spacing w:line="400" w:lineRule="exact"/>
        <w:ind w:left="420" w:leftChars="200"/>
        <w:rPr>
          <w:color w:val="auto"/>
          <w:szCs w:val="21"/>
          <w:highlight w:val="none"/>
        </w:rPr>
      </w:pPr>
      <w:r>
        <w:rPr>
          <w:i/>
          <w:iCs/>
          <w:color w:val="auto"/>
          <w:sz w:val="20"/>
          <w:szCs w:val="20"/>
          <w:highlight w:val="none"/>
        </w:rPr>
        <w:t>I</w:t>
      </w:r>
      <w:r>
        <w:rPr>
          <w:color w:val="auto"/>
          <w:sz w:val="20"/>
          <w:szCs w:val="20"/>
          <w:highlight w:val="none"/>
          <w:vertAlign w:val="subscript"/>
        </w:rPr>
        <w:t xml:space="preserve">P </w:t>
      </w:r>
      <w:r>
        <w:rPr>
          <w:color w:val="auto"/>
          <w:szCs w:val="21"/>
          <w:highlight w:val="none"/>
        </w:rPr>
        <w:t>—— 塑</w:t>
      </w:r>
      <w:r>
        <w:rPr>
          <w:rFonts w:hint="eastAsia"/>
          <w:color w:val="auto"/>
          <w:szCs w:val="21"/>
          <w:highlight w:val="none"/>
        </w:rPr>
        <w:t>性</w:t>
      </w:r>
      <w:r>
        <w:rPr>
          <w:color w:val="auto"/>
          <w:szCs w:val="21"/>
          <w:highlight w:val="none"/>
        </w:rPr>
        <w:t>指数；</w:t>
      </w:r>
    </w:p>
    <w:p>
      <w:pPr>
        <w:spacing w:line="400" w:lineRule="exact"/>
        <w:ind w:left="420" w:leftChars="200"/>
        <w:rPr>
          <w:color w:val="auto"/>
          <w:szCs w:val="21"/>
          <w:highlight w:val="none"/>
        </w:rPr>
      </w:pPr>
      <w:r>
        <w:rPr>
          <w:color w:val="auto"/>
          <w:position w:val="-6"/>
          <w:sz w:val="18"/>
          <w:szCs w:val="18"/>
          <w:highlight w:val="none"/>
        </w:rPr>
        <w:object>
          <v:shape id="_x0000_i1025" o:spt="75" type="#_x0000_t75" style="height:9.75pt;width:10.15pt;" o:ole="t" filled="f" o:preferrelative="t" stroked="f" coordsize="21600,21600">
            <v:path/>
            <v:fill on="f" focussize="0,0"/>
            <v:stroke on="f"/>
            <v:imagedata r:id="rId13" o:title=""/>
            <o:lock v:ext="edit" aspectratio="t"/>
            <w10:wrap type="none"/>
            <w10:anchorlock/>
          </v:shape>
          <o:OLEObject Type="Embed" ProgID="Equation.3" ShapeID="_x0000_i1025" DrawAspect="Content" ObjectID="_1468075725" r:id="rId12">
            <o:LockedField>false</o:LockedField>
          </o:OLEObject>
        </w:object>
      </w:r>
      <w:r>
        <w:rPr>
          <w:i/>
          <w:iCs/>
          <w:color w:val="auto"/>
          <w:highlight w:val="none"/>
          <w:vertAlign w:val="subscript"/>
        </w:rPr>
        <w:t xml:space="preserve"> </w:t>
      </w:r>
      <w:r>
        <w:rPr>
          <w:color w:val="auto"/>
          <w:szCs w:val="21"/>
          <w:highlight w:val="none"/>
        </w:rPr>
        <w:t xml:space="preserve">—— </w:t>
      </w:r>
      <w:r>
        <w:rPr>
          <w:color w:val="auto"/>
          <w:highlight w:val="none"/>
        </w:rPr>
        <w:t>含水率</w:t>
      </w:r>
      <w:r>
        <w:rPr>
          <w:rFonts w:hint="eastAsia"/>
          <w:color w:val="auto"/>
          <w:highlight w:val="none"/>
        </w:rPr>
        <w:t>（含水量）</w:t>
      </w:r>
      <w:r>
        <w:rPr>
          <w:color w:val="auto"/>
          <w:highlight w:val="none"/>
        </w:rPr>
        <w:t>；</w:t>
      </w:r>
    </w:p>
    <w:p>
      <w:pPr>
        <w:spacing w:line="400" w:lineRule="exact"/>
        <w:ind w:left="420" w:leftChars="200"/>
        <w:rPr>
          <w:color w:val="auto"/>
          <w:szCs w:val="21"/>
          <w:highlight w:val="none"/>
        </w:rPr>
      </w:pPr>
      <w:r>
        <w:rPr>
          <w:color w:val="auto"/>
          <w:position w:val="-10"/>
          <w:sz w:val="18"/>
          <w:szCs w:val="18"/>
          <w:highlight w:val="none"/>
        </w:rPr>
        <w:object>
          <v:shape id="_x0000_i1026" o:spt="75" type="#_x0000_t75" style="height:15pt;width:13.5pt;" o:ole="t" filled="f" o:preferrelative="t" stroked="f" coordsize="21600,21600">
            <v:path/>
            <v:fill on="f" focussize="0,0"/>
            <v:stroke on="f" joinstyle="miter"/>
            <v:imagedata r:id="rId15" o:title=""/>
            <o:lock v:ext="edit" aspectratio="t"/>
            <w10:wrap type="none"/>
            <w10:anchorlock/>
          </v:shape>
          <o:OLEObject Type="Embed" ProgID="Equation.3" ShapeID="_x0000_i1026" DrawAspect="Content" ObjectID="_1468075726" r:id="rId14">
            <o:LockedField>false</o:LockedField>
          </o:OLEObject>
        </w:object>
      </w:r>
      <w:r>
        <w:rPr>
          <w:i/>
          <w:iCs/>
          <w:color w:val="auto"/>
          <w:highlight w:val="none"/>
          <w:vertAlign w:val="subscript"/>
        </w:rPr>
        <w:t xml:space="preserve"> </w:t>
      </w:r>
      <w:r>
        <w:rPr>
          <w:color w:val="auto"/>
          <w:szCs w:val="21"/>
          <w:highlight w:val="none"/>
        </w:rPr>
        <w:t xml:space="preserve">—— </w:t>
      </w:r>
      <w:r>
        <w:rPr>
          <w:color w:val="auto"/>
          <w:highlight w:val="none"/>
        </w:rPr>
        <w:t>液限；</w:t>
      </w:r>
    </w:p>
    <w:p>
      <w:pPr>
        <w:spacing w:line="400" w:lineRule="exact"/>
        <w:ind w:left="420" w:leftChars="200"/>
        <w:rPr>
          <w:color w:val="auto"/>
          <w:szCs w:val="21"/>
          <w:highlight w:val="none"/>
        </w:rPr>
      </w:pPr>
      <w:r>
        <w:rPr>
          <w:color w:val="auto"/>
          <w:position w:val="-14"/>
          <w:sz w:val="18"/>
          <w:szCs w:val="18"/>
          <w:highlight w:val="none"/>
        </w:rPr>
        <w:object>
          <v:shape id="_x0000_i1027" o:spt="75" type="#_x0000_t75" style="height:16.8pt;width:13.5pt;" o:ole="t" filled="f" o:preferrelative="t" stroked="f" coordsize="21600,21600">
            <v:path/>
            <v:fill on="f" focussize="0,0"/>
            <v:stroke on="f"/>
            <v:imagedata r:id="rId17" o:title=""/>
            <o:lock v:ext="edit" aspectratio="t"/>
            <w10:wrap type="none"/>
            <w10:anchorlock/>
          </v:shape>
          <o:OLEObject Type="Embed" ProgID="Equation.3" ShapeID="_x0000_i1027" DrawAspect="Content" ObjectID="_1468075727" r:id="rId16">
            <o:LockedField>false</o:LockedField>
          </o:OLEObject>
        </w:object>
      </w:r>
      <w:r>
        <w:rPr>
          <w:color w:val="auto"/>
          <w:szCs w:val="21"/>
          <w:highlight w:val="none"/>
        </w:rPr>
        <w:t xml:space="preserve">—— </w:t>
      </w:r>
      <w:r>
        <w:rPr>
          <w:color w:val="auto"/>
          <w:highlight w:val="none"/>
        </w:rPr>
        <w:t>塑限；</w:t>
      </w:r>
    </w:p>
    <w:p>
      <w:pPr>
        <w:spacing w:line="400" w:lineRule="exact"/>
        <w:ind w:left="420" w:leftChars="200"/>
        <w:rPr>
          <w:color w:val="auto"/>
          <w:szCs w:val="21"/>
          <w:highlight w:val="none"/>
        </w:rPr>
      </w:pPr>
      <w:r>
        <w:rPr>
          <w:color w:val="auto"/>
          <w:position w:val="-12"/>
          <w:sz w:val="21"/>
          <w:szCs w:val="21"/>
          <w:highlight w:val="none"/>
        </w:rPr>
        <w:object>
          <v:shape id="_x0000_i1028" o:spt="75" type="#_x0000_t75" style="height:18.2pt;width:14.45pt;" o:ole="t" filled="f" o:preferrelative="t" stroked="f" coordsize="21600,21600">
            <v:path/>
            <v:fill on="f" focussize="0,0"/>
            <v:stroke on="f"/>
            <v:imagedata r:id="rId19" o:title=""/>
            <o:lock v:ext="edit" aspectratio="t"/>
            <w10:wrap type="none"/>
            <w10:anchorlock/>
          </v:shape>
          <o:OLEObject Type="Embed" ProgID="Equation.3" ShapeID="_x0000_i1028" DrawAspect="Content" ObjectID="_1468075728" r:id="rId18">
            <o:LockedField>false</o:LockedField>
          </o:OLEObject>
        </w:object>
      </w:r>
      <w:r>
        <w:rPr>
          <w:color w:val="auto"/>
          <w:highlight w:val="none"/>
        </w:rPr>
        <w:t xml:space="preserve"> </w:t>
      </w:r>
      <w:r>
        <w:rPr>
          <w:color w:val="auto"/>
          <w:szCs w:val="21"/>
          <w:highlight w:val="none"/>
        </w:rPr>
        <w:t>—— 水的重度；</w:t>
      </w:r>
    </w:p>
    <w:p>
      <w:pPr>
        <w:spacing w:line="400" w:lineRule="exact"/>
        <w:ind w:left="420" w:leftChars="200"/>
        <w:rPr>
          <w:rFonts w:hint="eastAsia" w:eastAsia="宋体"/>
          <w:color w:val="auto"/>
          <w:szCs w:val="21"/>
          <w:highlight w:val="none"/>
          <w:lang w:eastAsia="zh-CN"/>
        </w:rPr>
      </w:pPr>
      <w:r>
        <w:rPr>
          <w:i/>
          <w:iCs/>
          <w:color w:val="auto"/>
          <w:highlight w:val="none"/>
        </w:rPr>
        <w:t>W</w:t>
      </w:r>
      <w:r>
        <w:rPr>
          <w:color w:val="auto"/>
          <w:highlight w:val="none"/>
          <w:vertAlign w:val="subscript"/>
        </w:rPr>
        <w:t>u</w:t>
      </w:r>
      <w:r>
        <w:rPr>
          <w:i/>
          <w:iCs/>
          <w:color w:val="auto"/>
          <w:highlight w:val="none"/>
        </w:rPr>
        <w:t xml:space="preserve"> </w:t>
      </w:r>
      <w:r>
        <w:rPr>
          <w:color w:val="auto"/>
          <w:szCs w:val="21"/>
          <w:highlight w:val="none"/>
        </w:rPr>
        <w:t>—— 有机质含量</w:t>
      </w:r>
      <w:r>
        <w:rPr>
          <w:rFonts w:hint="eastAsia"/>
          <w:color w:val="auto"/>
          <w:szCs w:val="21"/>
          <w:highlight w:val="none"/>
          <w:lang w:eastAsia="zh-CN"/>
        </w:rPr>
        <w:t>。</w:t>
      </w:r>
    </w:p>
    <w:p>
      <w:pPr>
        <w:spacing w:before="156" w:beforeLines="50" w:line="360" w:lineRule="auto"/>
        <w:rPr>
          <w:color w:val="auto"/>
          <w:highlight w:val="none"/>
        </w:rPr>
      </w:pPr>
      <w:r>
        <w:rPr>
          <w:b/>
          <w:bCs/>
          <w:color w:val="auto"/>
          <w:highlight w:val="none"/>
        </w:rPr>
        <w:t>2.2.2</w:t>
      </w:r>
      <w:r>
        <w:rPr>
          <w:rFonts w:hint="eastAsia"/>
          <w:b/>
          <w:bCs/>
          <w:color w:val="auto"/>
          <w:highlight w:val="none"/>
        </w:rPr>
        <w:t>　</w:t>
      </w:r>
      <w:r>
        <w:rPr>
          <w:rFonts w:hint="eastAsia"/>
          <w:color w:val="auto"/>
          <w:highlight w:val="none"/>
        </w:rPr>
        <w:t>岩土</w:t>
      </w:r>
      <w:r>
        <w:rPr>
          <w:color w:val="auto"/>
          <w:highlight w:val="none"/>
        </w:rPr>
        <w:t>力学指标</w:t>
      </w:r>
    </w:p>
    <w:p>
      <w:pPr>
        <w:spacing w:line="400" w:lineRule="exact"/>
        <w:ind w:left="420" w:leftChars="200"/>
        <w:rPr>
          <w:color w:val="auto"/>
          <w:highlight w:val="none"/>
        </w:rPr>
      </w:pPr>
      <w:r>
        <w:rPr>
          <w:color w:val="auto"/>
          <w:highlight w:val="none"/>
        </w:rPr>
        <w:t xml:space="preserve">α </w:t>
      </w:r>
      <w:r>
        <w:rPr>
          <w:color w:val="auto"/>
          <w:szCs w:val="21"/>
          <w:highlight w:val="none"/>
        </w:rPr>
        <w:t xml:space="preserve">—— </w:t>
      </w:r>
      <w:r>
        <w:rPr>
          <w:color w:val="auto"/>
          <w:highlight w:val="none"/>
        </w:rPr>
        <w:t>桩的水平变形系数；</w:t>
      </w:r>
    </w:p>
    <w:p>
      <w:pPr>
        <w:spacing w:line="400" w:lineRule="exact"/>
        <w:ind w:left="420" w:leftChars="200"/>
        <w:rPr>
          <w:color w:val="auto"/>
          <w:szCs w:val="21"/>
          <w:highlight w:val="none"/>
        </w:rPr>
      </w:pPr>
      <w:r>
        <w:rPr>
          <w:rFonts w:hint="eastAsia"/>
          <w:i/>
          <w:iCs/>
          <w:color w:val="auto"/>
          <w:szCs w:val="21"/>
          <w:highlight w:val="none"/>
        </w:rPr>
        <w:t>a</w:t>
      </w:r>
      <w:r>
        <w:rPr>
          <w:rFonts w:hint="eastAsia"/>
          <w:color w:val="auto"/>
          <w:sz w:val="20"/>
          <w:szCs w:val="20"/>
          <w:highlight w:val="none"/>
          <w:vertAlign w:val="subscript"/>
        </w:rPr>
        <w:t>1-2</w:t>
      </w:r>
      <w:r>
        <w:rPr>
          <w:color w:val="auto"/>
          <w:szCs w:val="21"/>
          <w:highlight w:val="none"/>
        </w:rPr>
        <w:t>——</w:t>
      </w:r>
      <w:r>
        <w:rPr>
          <w:rFonts w:hint="eastAsia"/>
          <w:color w:val="auto"/>
          <w:szCs w:val="21"/>
          <w:highlight w:val="none"/>
        </w:rPr>
        <w:t>100kPa~200kPa压力段的压缩系数值；</w:t>
      </w:r>
    </w:p>
    <w:p>
      <w:pPr>
        <w:spacing w:line="400" w:lineRule="exact"/>
        <w:ind w:left="420" w:leftChars="200"/>
        <w:rPr>
          <w:color w:val="auto"/>
          <w:szCs w:val="21"/>
          <w:highlight w:val="none"/>
        </w:rPr>
      </w:pPr>
      <w:r>
        <w:rPr>
          <w:i/>
          <w:iCs/>
          <w:color w:val="auto"/>
          <w:szCs w:val="21"/>
          <w:highlight w:val="none"/>
        </w:rPr>
        <w:t>C</w:t>
      </w:r>
      <w:r>
        <w:rPr>
          <w:color w:val="auto"/>
          <w:szCs w:val="21"/>
          <w:highlight w:val="none"/>
          <w:vertAlign w:val="subscript"/>
        </w:rPr>
        <w:t xml:space="preserve">h </w:t>
      </w:r>
      <w:r>
        <w:rPr>
          <w:color w:val="auto"/>
          <w:kern w:val="0"/>
          <w:szCs w:val="21"/>
          <w:highlight w:val="none"/>
        </w:rPr>
        <w:t xml:space="preserve">—— </w:t>
      </w:r>
      <w:r>
        <w:rPr>
          <w:color w:val="auto"/>
          <w:szCs w:val="21"/>
          <w:highlight w:val="none"/>
        </w:rPr>
        <w:t>地基水平抗力系数；</w:t>
      </w:r>
    </w:p>
    <w:p>
      <w:pPr>
        <w:spacing w:line="400" w:lineRule="exact"/>
        <w:ind w:left="420" w:leftChars="200"/>
        <w:rPr>
          <w:color w:val="auto"/>
          <w:szCs w:val="21"/>
          <w:highlight w:val="none"/>
        </w:rPr>
      </w:pPr>
      <w:r>
        <w:rPr>
          <w:i/>
          <w:iCs/>
          <w:color w:val="auto"/>
          <w:szCs w:val="21"/>
          <w:highlight w:val="none"/>
        </w:rPr>
        <w:t>C</w:t>
      </w:r>
      <w:r>
        <w:rPr>
          <w:color w:val="auto"/>
          <w:szCs w:val="21"/>
          <w:highlight w:val="none"/>
          <w:vertAlign w:val="subscript"/>
        </w:rPr>
        <w:t xml:space="preserve">0 </w:t>
      </w:r>
      <w:r>
        <w:rPr>
          <w:color w:val="auto"/>
          <w:kern w:val="0"/>
          <w:szCs w:val="21"/>
          <w:highlight w:val="none"/>
        </w:rPr>
        <w:t xml:space="preserve">—— </w:t>
      </w:r>
      <w:r>
        <w:rPr>
          <w:color w:val="auto"/>
          <w:szCs w:val="21"/>
          <w:highlight w:val="none"/>
        </w:rPr>
        <w:t>岩石地基抗力系数；</w:t>
      </w:r>
    </w:p>
    <w:p>
      <w:pPr>
        <w:spacing w:line="400" w:lineRule="exact"/>
        <w:ind w:left="420" w:leftChars="200"/>
        <w:rPr>
          <w:color w:val="auto"/>
          <w:szCs w:val="21"/>
          <w:highlight w:val="none"/>
        </w:rPr>
      </w:pPr>
      <w:r>
        <w:rPr>
          <w:i/>
          <w:iCs/>
          <w:color w:val="auto"/>
          <w:highlight w:val="none"/>
        </w:rPr>
        <w:t>d</w:t>
      </w:r>
      <w:r>
        <w:rPr>
          <w:color w:val="auto"/>
          <w:highlight w:val="none"/>
          <w:vertAlign w:val="subscript"/>
        </w:rPr>
        <w:t>ef</w:t>
      </w:r>
      <w:r>
        <w:rPr>
          <w:i/>
          <w:iCs/>
          <w:color w:val="auto"/>
          <w:highlight w:val="none"/>
        </w:rPr>
        <w:t xml:space="preserve"> </w:t>
      </w:r>
      <w:r>
        <w:rPr>
          <w:color w:val="auto"/>
          <w:szCs w:val="21"/>
          <w:highlight w:val="none"/>
        </w:rPr>
        <w:t xml:space="preserve">—— </w:t>
      </w:r>
      <w:r>
        <w:rPr>
          <w:color w:val="auto"/>
          <w:highlight w:val="none"/>
        </w:rPr>
        <w:t>自由膨胀率；</w:t>
      </w:r>
    </w:p>
    <w:p>
      <w:pPr>
        <w:spacing w:line="400" w:lineRule="exact"/>
        <w:ind w:left="420" w:leftChars="200"/>
        <w:rPr>
          <w:color w:val="auto"/>
          <w:spacing w:val="2"/>
          <w:kern w:val="0"/>
          <w:szCs w:val="21"/>
          <w:highlight w:val="none"/>
        </w:rPr>
      </w:pPr>
      <w:r>
        <w:rPr>
          <w:i/>
          <w:iCs/>
          <w:color w:val="auto"/>
          <w:highlight w:val="none"/>
        </w:rPr>
        <w:t>E</w:t>
      </w:r>
      <w:r>
        <w:rPr>
          <w:i/>
          <w:iCs/>
          <w:color w:val="auto"/>
          <w:highlight w:val="none"/>
          <w:vertAlign w:val="subscript"/>
        </w:rPr>
        <w:t xml:space="preserve"> </w:t>
      </w:r>
      <w:r>
        <w:rPr>
          <w:color w:val="auto"/>
          <w:szCs w:val="21"/>
          <w:highlight w:val="none"/>
        </w:rPr>
        <w:t xml:space="preserve">—— </w:t>
      </w:r>
      <w:r>
        <w:rPr>
          <w:color w:val="auto"/>
          <w:spacing w:val="2"/>
          <w:kern w:val="0"/>
          <w:szCs w:val="21"/>
          <w:highlight w:val="none"/>
        </w:rPr>
        <w:t>弹性模量；</w:t>
      </w:r>
    </w:p>
    <w:p>
      <w:pPr>
        <w:spacing w:line="400" w:lineRule="exact"/>
        <w:ind w:left="420" w:leftChars="200"/>
        <w:rPr>
          <w:color w:val="auto"/>
          <w:szCs w:val="21"/>
          <w:highlight w:val="none"/>
        </w:rPr>
      </w:pPr>
      <w:r>
        <w:rPr>
          <w:i/>
          <w:iCs/>
          <w:color w:val="auto"/>
          <w:szCs w:val="21"/>
          <w:highlight w:val="none"/>
        </w:rPr>
        <w:t>E</w:t>
      </w:r>
      <w:r>
        <w:rPr>
          <w:color w:val="auto"/>
          <w:szCs w:val="21"/>
          <w:highlight w:val="none"/>
          <w:vertAlign w:val="subscript"/>
        </w:rPr>
        <w:t>0</w:t>
      </w:r>
      <w:r>
        <w:rPr>
          <w:rFonts w:hint="eastAsia"/>
          <w:color w:val="auto"/>
          <w:szCs w:val="21"/>
          <w:highlight w:val="none"/>
          <w:vertAlign w:val="subscript"/>
        </w:rPr>
        <w:t>R</w:t>
      </w:r>
      <w:r>
        <w:rPr>
          <w:color w:val="auto"/>
          <w:szCs w:val="21"/>
          <w:highlight w:val="none"/>
          <w:vertAlign w:val="subscript"/>
        </w:rPr>
        <w:t xml:space="preserve"> </w:t>
      </w:r>
      <w:r>
        <w:rPr>
          <w:color w:val="auto"/>
          <w:kern w:val="0"/>
          <w:szCs w:val="21"/>
          <w:highlight w:val="none"/>
        </w:rPr>
        <w:t xml:space="preserve">—— </w:t>
      </w:r>
      <w:r>
        <w:rPr>
          <w:color w:val="auto"/>
          <w:szCs w:val="21"/>
          <w:highlight w:val="none"/>
        </w:rPr>
        <w:t>路基回弹模量；</w:t>
      </w:r>
    </w:p>
    <w:p>
      <w:pPr>
        <w:spacing w:line="400" w:lineRule="exact"/>
        <w:ind w:left="420" w:leftChars="200"/>
        <w:rPr>
          <w:color w:val="auto"/>
          <w:szCs w:val="21"/>
          <w:highlight w:val="none"/>
        </w:rPr>
      </w:pPr>
      <w:r>
        <w:rPr>
          <w:i/>
          <w:iCs/>
          <w:color w:val="auto"/>
          <w:szCs w:val="21"/>
          <w:highlight w:val="none"/>
        </w:rPr>
        <w:t>f</w:t>
      </w:r>
      <w:r>
        <w:rPr>
          <w:rFonts w:hint="eastAsia"/>
          <w:color w:val="auto"/>
          <w:szCs w:val="21"/>
          <w:highlight w:val="none"/>
          <w:vertAlign w:val="subscript"/>
        </w:rPr>
        <w:t>c</w:t>
      </w:r>
      <w:r>
        <w:rPr>
          <w:color w:val="auto"/>
          <w:szCs w:val="21"/>
          <w:highlight w:val="none"/>
        </w:rPr>
        <w:t xml:space="preserve"> ——岩石</w:t>
      </w:r>
      <w:r>
        <w:rPr>
          <w:rFonts w:hint="eastAsia"/>
          <w:color w:val="auto"/>
          <w:szCs w:val="21"/>
          <w:highlight w:val="none"/>
        </w:rPr>
        <w:t>天然单轴抗压强度；</w:t>
      </w:r>
    </w:p>
    <w:p>
      <w:pPr>
        <w:spacing w:line="400" w:lineRule="exact"/>
        <w:ind w:left="420" w:leftChars="200"/>
        <w:rPr>
          <w:color w:val="auto"/>
          <w:szCs w:val="21"/>
          <w:highlight w:val="none"/>
        </w:rPr>
      </w:pPr>
      <w:r>
        <w:rPr>
          <w:rFonts w:hint="eastAsia"/>
          <w:i/>
          <w:iCs/>
          <w:color w:val="auto"/>
          <w:highlight w:val="none"/>
        </w:rPr>
        <w:t>f</w:t>
      </w:r>
      <w:r>
        <w:rPr>
          <w:rFonts w:hint="eastAsia"/>
          <w:color w:val="auto"/>
          <w:highlight w:val="none"/>
          <w:vertAlign w:val="subscript"/>
        </w:rPr>
        <w:t xml:space="preserve">r </w:t>
      </w:r>
      <w:r>
        <w:rPr>
          <w:color w:val="auto"/>
          <w:szCs w:val="21"/>
          <w:highlight w:val="none"/>
        </w:rPr>
        <w:t xml:space="preserve">—— </w:t>
      </w:r>
      <w:r>
        <w:rPr>
          <w:color w:val="auto"/>
          <w:highlight w:val="none"/>
        </w:rPr>
        <w:t>岩石</w:t>
      </w:r>
      <w:r>
        <w:rPr>
          <w:rFonts w:hint="eastAsia"/>
          <w:color w:val="auto"/>
          <w:highlight w:val="none"/>
        </w:rPr>
        <w:t>饱和单轴抗压强度</w:t>
      </w:r>
      <w:r>
        <w:rPr>
          <w:color w:val="auto"/>
          <w:highlight w:val="none"/>
        </w:rPr>
        <w:t>；</w:t>
      </w:r>
    </w:p>
    <w:p>
      <w:pPr>
        <w:spacing w:line="400" w:lineRule="exact"/>
        <w:ind w:left="420" w:leftChars="200"/>
        <w:rPr>
          <w:color w:val="auto"/>
          <w:spacing w:val="2"/>
          <w:kern w:val="0"/>
          <w:szCs w:val="21"/>
          <w:highlight w:val="none"/>
        </w:rPr>
      </w:pPr>
      <w:r>
        <w:rPr>
          <w:i/>
          <w:iCs/>
          <w:color w:val="auto"/>
          <w:spacing w:val="1"/>
          <w:kern w:val="0"/>
          <w:sz w:val="20"/>
          <w:szCs w:val="16"/>
          <w:highlight w:val="none"/>
        </w:rPr>
        <w:t>I</w:t>
      </w:r>
      <w:r>
        <w:rPr>
          <w:color w:val="auto"/>
          <w:spacing w:val="1"/>
          <w:kern w:val="0"/>
          <w:sz w:val="20"/>
          <w:szCs w:val="16"/>
          <w:highlight w:val="none"/>
          <w:vertAlign w:val="subscript"/>
        </w:rPr>
        <w:t>s(50)</w:t>
      </w:r>
      <w:r>
        <w:rPr>
          <w:color w:val="auto"/>
          <w:szCs w:val="21"/>
          <w:highlight w:val="none"/>
        </w:rPr>
        <w:t xml:space="preserve"> —— </w:t>
      </w:r>
      <w:r>
        <w:rPr>
          <w:color w:val="auto"/>
          <w:spacing w:val="2"/>
          <w:kern w:val="0"/>
          <w:szCs w:val="21"/>
          <w:highlight w:val="none"/>
        </w:rPr>
        <w:t>直径为50mm的标准试件的点荷载强度指数；</w:t>
      </w:r>
    </w:p>
    <w:p>
      <w:pPr>
        <w:spacing w:line="400" w:lineRule="exact"/>
        <w:ind w:left="420" w:leftChars="200"/>
        <w:rPr>
          <w:color w:val="auto"/>
          <w:szCs w:val="21"/>
          <w:highlight w:val="none"/>
        </w:rPr>
      </w:pPr>
      <w:r>
        <w:rPr>
          <w:i/>
          <w:iCs/>
          <w:color w:val="auto"/>
          <w:szCs w:val="21"/>
          <w:highlight w:val="none"/>
        </w:rPr>
        <w:t xml:space="preserve">k </w:t>
      </w:r>
      <w:r>
        <w:rPr>
          <w:color w:val="auto"/>
          <w:kern w:val="0"/>
          <w:szCs w:val="21"/>
          <w:highlight w:val="none"/>
        </w:rPr>
        <w:t xml:space="preserve">—— </w:t>
      </w:r>
      <w:r>
        <w:rPr>
          <w:color w:val="auto"/>
          <w:szCs w:val="21"/>
          <w:highlight w:val="none"/>
        </w:rPr>
        <w:t>基床系数；</w:t>
      </w:r>
    </w:p>
    <w:p>
      <w:pPr>
        <w:spacing w:line="400" w:lineRule="exact"/>
        <w:ind w:left="420" w:leftChars="200"/>
        <w:rPr>
          <w:rFonts w:hint="eastAsia" w:eastAsia="宋体"/>
          <w:color w:val="auto"/>
          <w:szCs w:val="21"/>
          <w:highlight w:val="none"/>
          <w:lang w:eastAsia="zh-CN"/>
        </w:rPr>
      </w:pPr>
      <w:r>
        <w:rPr>
          <w:i/>
          <w:iCs/>
          <w:color w:val="auto"/>
          <w:szCs w:val="21"/>
          <w:highlight w:val="none"/>
        </w:rPr>
        <w:t>k</w:t>
      </w:r>
      <w:r>
        <w:rPr>
          <w:color w:val="auto"/>
          <w:szCs w:val="21"/>
          <w:highlight w:val="none"/>
          <w:vertAlign w:val="subscript"/>
        </w:rPr>
        <w:t xml:space="preserve">h </w:t>
      </w:r>
      <w:r>
        <w:rPr>
          <w:color w:val="auto"/>
          <w:kern w:val="0"/>
          <w:szCs w:val="21"/>
          <w:highlight w:val="none"/>
        </w:rPr>
        <w:t xml:space="preserve">—— </w:t>
      </w:r>
      <w:r>
        <w:rPr>
          <w:color w:val="auto"/>
          <w:szCs w:val="21"/>
          <w:highlight w:val="none"/>
        </w:rPr>
        <w:t>水平基床系数</w:t>
      </w:r>
      <w:r>
        <w:rPr>
          <w:rFonts w:hint="eastAsia"/>
          <w:color w:val="auto"/>
          <w:szCs w:val="21"/>
          <w:highlight w:val="none"/>
          <w:lang w:eastAsia="zh-CN"/>
        </w:rPr>
        <w:t>；</w:t>
      </w:r>
    </w:p>
    <w:p>
      <w:pPr>
        <w:spacing w:line="400" w:lineRule="exact"/>
        <w:ind w:left="420" w:leftChars="200"/>
        <w:rPr>
          <w:color w:val="auto"/>
          <w:szCs w:val="21"/>
          <w:highlight w:val="none"/>
        </w:rPr>
      </w:pPr>
      <w:r>
        <w:rPr>
          <w:i/>
          <w:iCs/>
          <w:color w:val="auto"/>
          <w:szCs w:val="21"/>
          <w:highlight w:val="none"/>
        </w:rPr>
        <w:t>k</w:t>
      </w:r>
      <w:r>
        <w:rPr>
          <w:color w:val="auto"/>
          <w:szCs w:val="21"/>
          <w:highlight w:val="none"/>
          <w:vertAlign w:val="subscript"/>
        </w:rPr>
        <w:t xml:space="preserve">0 </w:t>
      </w:r>
      <w:r>
        <w:rPr>
          <w:color w:val="auto"/>
          <w:kern w:val="0"/>
          <w:szCs w:val="21"/>
          <w:highlight w:val="none"/>
        </w:rPr>
        <w:t xml:space="preserve">—— </w:t>
      </w:r>
      <w:r>
        <w:rPr>
          <w:color w:val="auto"/>
          <w:szCs w:val="21"/>
          <w:highlight w:val="none"/>
        </w:rPr>
        <w:t>静止侧压力系数；</w:t>
      </w:r>
    </w:p>
    <w:p>
      <w:pPr>
        <w:spacing w:line="400" w:lineRule="exact"/>
        <w:ind w:left="420" w:leftChars="200"/>
        <w:rPr>
          <w:rFonts w:hint="eastAsia" w:eastAsia="宋体"/>
          <w:color w:val="auto"/>
          <w:szCs w:val="21"/>
          <w:highlight w:val="none"/>
          <w:vertAlign w:val="subscript"/>
          <w:lang w:eastAsia="zh-CN"/>
        </w:rPr>
      </w:pPr>
      <w:r>
        <w:rPr>
          <w:i/>
          <w:iCs/>
          <w:color w:val="auto"/>
          <w:szCs w:val="21"/>
          <w:highlight w:val="none"/>
        </w:rPr>
        <w:t>k</w:t>
      </w:r>
      <w:r>
        <w:rPr>
          <w:color w:val="auto"/>
          <w:szCs w:val="21"/>
          <w:highlight w:val="none"/>
          <w:vertAlign w:val="subscript"/>
        </w:rPr>
        <w:t xml:space="preserve">v </w:t>
      </w:r>
      <w:r>
        <w:rPr>
          <w:color w:val="auto"/>
          <w:kern w:val="0"/>
          <w:szCs w:val="21"/>
          <w:highlight w:val="none"/>
        </w:rPr>
        <w:t xml:space="preserve">—— </w:t>
      </w:r>
      <w:r>
        <w:rPr>
          <w:color w:val="auto"/>
          <w:szCs w:val="21"/>
          <w:highlight w:val="none"/>
        </w:rPr>
        <w:t>垂直基床系数</w:t>
      </w:r>
      <w:r>
        <w:rPr>
          <w:rFonts w:hint="eastAsia"/>
          <w:color w:val="auto"/>
          <w:szCs w:val="21"/>
          <w:highlight w:val="none"/>
          <w:lang w:eastAsia="zh-CN"/>
        </w:rPr>
        <w:t>；</w:t>
      </w:r>
    </w:p>
    <w:p>
      <w:pPr>
        <w:spacing w:line="400" w:lineRule="exact"/>
        <w:ind w:left="420" w:leftChars="200"/>
        <w:rPr>
          <w:color w:val="auto"/>
          <w:szCs w:val="21"/>
          <w:highlight w:val="none"/>
        </w:rPr>
      </w:pPr>
      <w:r>
        <w:rPr>
          <w:i/>
          <w:iCs/>
          <w:color w:val="auto"/>
          <w:szCs w:val="21"/>
          <w:highlight w:val="none"/>
        </w:rPr>
        <w:t xml:space="preserve">m </w:t>
      </w:r>
      <w:r>
        <w:rPr>
          <w:color w:val="auto"/>
          <w:szCs w:val="21"/>
          <w:highlight w:val="none"/>
        </w:rPr>
        <w:t>—— 土的基床系数（或抗力系数）的比例系数；</w:t>
      </w:r>
    </w:p>
    <w:p>
      <w:pPr>
        <w:spacing w:line="400" w:lineRule="exact"/>
        <w:ind w:left="420" w:leftChars="200"/>
        <w:rPr>
          <w:color w:val="auto"/>
          <w:szCs w:val="21"/>
          <w:highlight w:val="none"/>
        </w:rPr>
      </w:pPr>
      <w:r>
        <w:rPr>
          <w:i/>
          <w:iCs/>
          <w:color w:val="auto"/>
          <w:szCs w:val="21"/>
          <w:highlight w:val="none"/>
        </w:rPr>
        <w:t>μ</w:t>
      </w:r>
      <w:r>
        <w:rPr>
          <w:color w:val="auto"/>
          <w:kern w:val="0"/>
          <w:szCs w:val="21"/>
          <w:highlight w:val="none"/>
        </w:rPr>
        <w:t xml:space="preserve">—— </w:t>
      </w:r>
      <w:r>
        <w:rPr>
          <w:color w:val="auto"/>
          <w:szCs w:val="21"/>
          <w:highlight w:val="none"/>
        </w:rPr>
        <w:t>泊松比。</w:t>
      </w:r>
    </w:p>
    <w:p>
      <w:pPr>
        <w:spacing w:before="156" w:beforeLines="50" w:line="360" w:lineRule="auto"/>
        <w:rPr>
          <w:color w:val="auto"/>
          <w:highlight w:val="none"/>
        </w:rPr>
      </w:pPr>
      <w:r>
        <w:rPr>
          <w:b/>
          <w:bCs/>
          <w:color w:val="auto"/>
          <w:highlight w:val="none"/>
        </w:rPr>
        <w:t>2.2.3</w:t>
      </w:r>
      <w:r>
        <w:rPr>
          <w:rFonts w:hint="eastAsia"/>
          <w:b/>
          <w:bCs/>
          <w:color w:val="auto"/>
          <w:highlight w:val="none"/>
        </w:rPr>
        <w:t>　</w:t>
      </w:r>
      <w:r>
        <w:rPr>
          <w:color w:val="auto"/>
          <w:highlight w:val="none"/>
        </w:rPr>
        <w:t>水力</w:t>
      </w:r>
      <w:r>
        <w:rPr>
          <w:rFonts w:hint="eastAsia"/>
          <w:color w:val="auto"/>
          <w:highlight w:val="none"/>
        </w:rPr>
        <w:t>参数</w:t>
      </w:r>
    </w:p>
    <w:p>
      <w:pPr>
        <w:spacing w:line="400" w:lineRule="exact"/>
        <w:ind w:left="420" w:leftChars="200"/>
        <w:rPr>
          <w:color w:val="auto"/>
          <w:szCs w:val="21"/>
          <w:highlight w:val="none"/>
        </w:rPr>
      </w:pPr>
      <w:r>
        <w:rPr>
          <w:i/>
          <w:iCs/>
          <w:color w:val="auto"/>
          <w:szCs w:val="21"/>
          <w:highlight w:val="none"/>
        </w:rPr>
        <w:t>J</w:t>
      </w:r>
      <w:r>
        <w:rPr>
          <w:color w:val="auto"/>
          <w:highlight w:val="none"/>
        </w:rPr>
        <w:t xml:space="preserve"> </w:t>
      </w:r>
      <w:r>
        <w:rPr>
          <w:color w:val="auto"/>
          <w:szCs w:val="21"/>
          <w:highlight w:val="none"/>
        </w:rPr>
        <w:t>—— 渗透力；</w:t>
      </w:r>
    </w:p>
    <w:p>
      <w:pPr>
        <w:spacing w:line="400" w:lineRule="exact"/>
        <w:ind w:left="420" w:leftChars="200"/>
        <w:rPr>
          <w:color w:val="auto"/>
          <w:szCs w:val="21"/>
          <w:highlight w:val="none"/>
        </w:rPr>
      </w:pPr>
      <w:r>
        <w:rPr>
          <w:i/>
          <w:iCs/>
          <w:color w:val="auto"/>
          <w:highlight w:val="none"/>
        </w:rPr>
        <w:t>I</w:t>
      </w:r>
      <w:r>
        <w:rPr>
          <w:color w:val="auto"/>
          <w:highlight w:val="none"/>
          <w:vertAlign w:val="subscript"/>
        </w:rPr>
        <w:t>cr</w:t>
      </w:r>
      <w:r>
        <w:rPr>
          <w:i/>
          <w:iCs/>
          <w:color w:val="auto"/>
          <w:highlight w:val="none"/>
          <w:vertAlign w:val="subscript"/>
        </w:rPr>
        <w:t xml:space="preserve"> </w:t>
      </w:r>
      <w:r>
        <w:rPr>
          <w:color w:val="auto"/>
          <w:szCs w:val="21"/>
          <w:highlight w:val="none"/>
        </w:rPr>
        <w:t>—— 临界水力梯度。</w:t>
      </w:r>
    </w:p>
    <w:p>
      <w:pPr>
        <w:spacing w:line="400" w:lineRule="exact"/>
        <w:ind w:left="420" w:leftChars="200"/>
        <w:rPr>
          <w:color w:val="auto"/>
          <w:szCs w:val="21"/>
          <w:highlight w:val="none"/>
        </w:rPr>
      </w:pPr>
      <w:r>
        <w:rPr>
          <w:i/>
          <w:iCs/>
          <w:color w:val="auto"/>
          <w:szCs w:val="21"/>
          <w:highlight w:val="none"/>
        </w:rPr>
        <w:t>K</w:t>
      </w:r>
      <w:r>
        <w:rPr>
          <w:color w:val="auto"/>
          <w:highlight w:val="none"/>
        </w:rPr>
        <w:t xml:space="preserve"> </w:t>
      </w:r>
      <w:r>
        <w:rPr>
          <w:color w:val="auto"/>
          <w:szCs w:val="21"/>
          <w:highlight w:val="none"/>
        </w:rPr>
        <w:t>—— 渗透系数；</w:t>
      </w:r>
    </w:p>
    <w:p>
      <w:pPr>
        <w:spacing w:line="400" w:lineRule="exact"/>
        <w:ind w:left="420" w:leftChars="200"/>
        <w:rPr>
          <w:rFonts w:hint="eastAsia" w:eastAsia="宋体"/>
          <w:color w:val="auto"/>
          <w:szCs w:val="21"/>
          <w:highlight w:val="none"/>
          <w:lang w:eastAsia="zh-CN"/>
        </w:rPr>
      </w:pPr>
      <w:r>
        <w:rPr>
          <w:i/>
          <w:iCs/>
          <w:color w:val="auto"/>
          <w:szCs w:val="21"/>
          <w:highlight w:val="none"/>
        </w:rPr>
        <w:t>Q</w:t>
      </w:r>
      <w:r>
        <w:rPr>
          <w:color w:val="auto"/>
          <w:highlight w:val="none"/>
        </w:rPr>
        <w:t xml:space="preserve"> </w:t>
      </w:r>
      <w:r>
        <w:rPr>
          <w:color w:val="auto"/>
          <w:szCs w:val="21"/>
          <w:highlight w:val="none"/>
        </w:rPr>
        <w:t>—— 流量</w:t>
      </w:r>
      <w:r>
        <w:rPr>
          <w:rFonts w:hint="eastAsia"/>
          <w:color w:val="auto"/>
          <w:szCs w:val="21"/>
          <w:highlight w:val="none"/>
          <w:lang w:eastAsia="zh-CN"/>
        </w:rPr>
        <w:t>。</w:t>
      </w:r>
    </w:p>
    <w:p>
      <w:pPr>
        <w:spacing w:before="156" w:beforeLines="50" w:line="360" w:lineRule="auto"/>
        <w:rPr>
          <w:color w:val="auto"/>
          <w:highlight w:val="none"/>
        </w:rPr>
      </w:pPr>
      <w:r>
        <w:rPr>
          <w:b/>
          <w:bCs/>
          <w:color w:val="auto"/>
          <w:highlight w:val="none"/>
        </w:rPr>
        <w:t>2.2.4</w:t>
      </w:r>
      <w:r>
        <w:rPr>
          <w:rFonts w:hint="eastAsia"/>
          <w:b/>
          <w:bCs/>
          <w:color w:val="auto"/>
          <w:highlight w:val="none"/>
        </w:rPr>
        <w:t>　</w:t>
      </w:r>
      <w:r>
        <w:rPr>
          <w:rFonts w:hint="eastAsia"/>
          <w:color w:val="auto"/>
          <w:highlight w:val="none"/>
        </w:rPr>
        <w:t>原位测试指标</w:t>
      </w:r>
    </w:p>
    <w:p>
      <w:pPr>
        <w:spacing w:line="400" w:lineRule="exact"/>
        <w:ind w:left="420" w:leftChars="200"/>
        <w:rPr>
          <w:color w:val="auto"/>
          <w:szCs w:val="21"/>
          <w:highlight w:val="none"/>
        </w:rPr>
      </w:pPr>
      <w:r>
        <w:rPr>
          <w:rFonts w:hint="eastAsia"/>
          <w:i/>
          <w:iCs/>
          <w:color w:val="auto"/>
          <w:spacing w:val="2"/>
          <w:kern w:val="0"/>
          <w:highlight w:val="none"/>
        </w:rPr>
        <w:t>N'</w:t>
      </w:r>
      <w:r>
        <w:rPr>
          <w:color w:val="auto"/>
          <w:sz w:val="20"/>
          <w:szCs w:val="20"/>
          <w:highlight w:val="none"/>
          <w:vertAlign w:val="subscript"/>
        </w:rPr>
        <w:t xml:space="preserve"> </w:t>
      </w:r>
      <w:r>
        <w:rPr>
          <w:color w:val="auto"/>
          <w:szCs w:val="21"/>
          <w:highlight w:val="none"/>
        </w:rPr>
        <w:t>—— 实测标准贯入击数；</w:t>
      </w:r>
    </w:p>
    <w:p>
      <w:pPr>
        <w:spacing w:line="400" w:lineRule="exact"/>
        <w:ind w:left="420" w:leftChars="200"/>
        <w:rPr>
          <w:color w:val="auto"/>
          <w:szCs w:val="21"/>
          <w:highlight w:val="none"/>
        </w:rPr>
      </w:pPr>
      <w:r>
        <w:rPr>
          <w:i/>
          <w:iCs/>
          <w:color w:val="auto"/>
          <w:spacing w:val="2"/>
          <w:kern w:val="0"/>
          <w:highlight w:val="none"/>
        </w:rPr>
        <w:t>N</w:t>
      </w:r>
      <w:r>
        <w:rPr>
          <w:rFonts w:hint="eastAsia"/>
          <w:i/>
          <w:iCs/>
          <w:color w:val="auto"/>
          <w:spacing w:val="2"/>
          <w:kern w:val="0"/>
          <w:highlight w:val="none"/>
        </w:rPr>
        <w:t xml:space="preserve"> </w:t>
      </w:r>
      <w:r>
        <w:rPr>
          <w:color w:val="auto"/>
          <w:szCs w:val="21"/>
          <w:highlight w:val="none"/>
        </w:rPr>
        <w:t>—— 经杆长修正后的标准贯入击数；</w:t>
      </w:r>
    </w:p>
    <w:p>
      <w:pPr>
        <w:spacing w:line="400" w:lineRule="exact"/>
        <w:ind w:left="420" w:leftChars="200"/>
        <w:rPr>
          <w:color w:val="auto"/>
          <w:szCs w:val="21"/>
          <w:highlight w:val="none"/>
        </w:rPr>
      </w:pPr>
      <w:r>
        <w:rPr>
          <w:i/>
          <w:iCs/>
          <w:color w:val="auto"/>
          <w:highlight w:val="none"/>
        </w:rPr>
        <w:t>N</w:t>
      </w:r>
      <w:r>
        <w:rPr>
          <w:color w:val="auto"/>
          <w:highlight w:val="none"/>
          <w:vertAlign w:val="subscript"/>
        </w:rPr>
        <w:t>cr</w:t>
      </w:r>
      <w:r>
        <w:rPr>
          <w:color w:val="auto"/>
          <w:szCs w:val="21"/>
          <w:highlight w:val="none"/>
        </w:rPr>
        <w:t xml:space="preserve"> </w:t>
      </w:r>
      <w:r>
        <w:rPr>
          <w:color w:val="auto"/>
          <w:kern w:val="0"/>
          <w:szCs w:val="21"/>
          <w:highlight w:val="none"/>
        </w:rPr>
        <w:t>—— 液化判别标准贯入锤击数临界值；</w:t>
      </w:r>
    </w:p>
    <w:p>
      <w:pPr>
        <w:spacing w:line="400" w:lineRule="exact"/>
        <w:ind w:left="420" w:leftChars="200"/>
        <w:rPr>
          <w:color w:val="auto"/>
          <w:szCs w:val="21"/>
          <w:highlight w:val="none"/>
        </w:rPr>
      </w:pPr>
      <w:r>
        <w:rPr>
          <w:i/>
          <w:iCs/>
          <w:color w:val="auto"/>
          <w:highlight w:val="none"/>
        </w:rPr>
        <w:t>N</w:t>
      </w:r>
      <w:r>
        <w:rPr>
          <w:color w:val="auto"/>
          <w:highlight w:val="none"/>
          <w:vertAlign w:val="subscript"/>
        </w:rPr>
        <w:t>0</w:t>
      </w:r>
      <w:r>
        <w:rPr>
          <w:color w:val="auto"/>
          <w:szCs w:val="21"/>
          <w:highlight w:val="none"/>
        </w:rPr>
        <w:t xml:space="preserve"> </w:t>
      </w:r>
      <w:r>
        <w:rPr>
          <w:color w:val="auto"/>
          <w:kern w:val="0"/>
          <w:szCs w:val="21"/>
          <w:highlight w:val="none"/>
        </w:rPr>
        <w:t>—— 液化判别标准贯入锤击数基准值；</w:t>
      </w:r>
    </w:p>
    <w:p>
      <w:pPr>
        <w:spacing w:line="400" w:lineRule="exact"/>
        <w:ind w:left="420" w:leftChars="200"/>
        <w:rPr>
          <w:color w:val="auto"/>
          <w:sz w:val="22"/>
          <w:highlight w:val="none"/>
        </w:rPr>
      </w:pPr>
      <w:r>
        <w:rPr>
          <w:i/>
          <w:iCs/>
          <w:color w:val="auto"/>
          <w:highlight w:val="none"/>
        </w:rPr>
        <w:t>N</w:t>
      </w:r>
      <w:r>
        <w:rPr>
          <w:color w:val="auto"/>
          <w:highlight w:val="none"/>
          <w:vertAlign w:val="subscript"/>
        </w:rPr>
        <w:t>63.5</w:t>
      </w:r>
      <w:r>
        <w:rPr>
          <w:i/>
          <w:iCs/>
          <w:color w:val="auto"/>
          <w:highlight w:val="none"/>
          <w:vertAlign w:val="subscript"/>
        </w:rPr>
        <w:t xml:space="preserve"> </w:t>
      </w:r>
      <w:r>
        <w:rPr>
          <w:color w:val="auto"/>
          <w:szCs w:val="21"/>
          <w:highlight w:val="none"/>
        </w:rPr>
        <w:t>——</w:t>
      </w:r>
      <w:r>
        <w:rPr>
          <w:color w:val="auto"/>
          <w:sz w:val="22"/>
          <w:highlight w:val="none"/>
        </w:rPr>
        <w:t xml:space="preserve"> </w:t>
      </w:r>
      <w:r>
        <w:rPr>
          <w:color w:val="auto"/>
          <w:spacing w:val="2"/>
          <w:kern w:val="0"/>
          <w:szCs w:val="21"/>
          <w:highlight w:val="none"/>
        </w:rPr>
        <w:t>重型圆锥动力触探锤击数；</w:t>
      </w:r>
    </w:p>
    <w:p>
      <w:pPr>
        <w:spacing w:line="400" w:lineRule="exact"/>
        <w:ind w:left="420" w:leftChars="200"/>
        <w:rPr>
          <w:rFonts w:hint="eastAsia" w:eastAsia="宋体"/>
          <w:color w:val="auto"/>
          <w:sz w:val="22"/>
          <w:highlight w:val="none"/>
          <w:lang w:eastAsia="zh-CN"/>
        </w:rPr>
      </w:pPr>
      <w:r>
        <w:rPr>
          <w:i/>
          <w:iCs/>
          <w:color w:val="auto"/>
          <w:highlight w:val="none"/>
        </w:rPr>
        <w:t>N</w:t>
      </w:r>
      <w:r>
        <w:rPr>
          <w:color w:val="auto"/>
          <w:highlight w:val="none"/>
          <w:vertAlign w:val="subscript"/>
        </w:rPr>
        <w:t>120</w:t>
      </w:r>
      <w:r>
        <w:rPr>
          <w:i/>
          <w:iCs/>
          <w:color w:val="auto"/>
          <w:highlight w:val="none"/>
          <w:vertAlign w:val="subscript"/>
        </w:rPr>
        <w:t xml:space="preserve"> </w:t>
      </w:r>
      <w:r>
        <w:rPr>
          <w:color w:val="auto"/>
          <w:szCs w:val="21"/>
          <w:highlight w:val="none"/>
        </w:rPr>
        <w:t>——</w:t>
      </w:r>
      <w:r>
        <w:rPr>
          <w:color w:val="auto"/>
          <w:sz w:val="22"/>
          <w:highlight w:val="none"/>
        </w:rPr>
        <w:t xml:space="preserve"> </w:t>
      </w:r>
      <w:r>
        <w:rPr>
          <w:color w:val="auto"/>
          <w:spacing w:val="2"/>
          <w:kern w:val="0"/>
          <w:szCs w:val="21"/>
          <w:highlight w:val="none"/>
        </w:rPr>
        <w:t>超重型圆锥动力触探锤击数</w:t>
      </w:r>
      <w:r>
        <w:rPr>
          <w:rFonts w:hint="eastAsia"/>
          <w:color w:val="auto"/>
          <w:spacing w:val="2"/>
          <w:kern w:val="0"/>
          <w:szCs w:val="21"/>
          <w:highlight w:val="none"/>
          <w:lang w:eastAsia="zh-CN"/>
        </w:rPr>
        <w:t>。</w:t>
      </w:r>
    </w:p>
    <w:p>
      <w:pPr>
        <w:spacing w:before="156" w:beforeLines="50" w:line="360" w:lineRule="auto"/>
        <w:rPr>
          <w:color w:val="auto"/>
          <w:highlight w:val="none"/>
        </w:rPr>
      </w:pPr>
      <w:r>
        <w:rPr>
          <w:rFonts w:hint="eastAsia"/>
          <w:b/>
          <w:bCs/>
          <w:color w:val="auto"/>
          <w:highlight w:val="none"/>
        </w:rPr>
        <w:t>2.2.5　</w:t>
      </w:r>
      <w:r>
        <w:rPr>
          <w:color w:val="auto"/>
          <w:highlight w:val="none"/>
        </w:rPr>
        <w:t>其他</w:t>
      </w:r>
      <w:r>
        <w:rPr>
          <w:rFonts w:hint="eastAsia"/>
          <w:color w:val="auto"/>
          <w:highlight w:val="none"/>
        </w:rPr>
        <w:t>符号</w:t>
      </w:r>
    </w:p>
    <w:p>
      <w:pPr>
        <w:spacing w:line="400" w:lineRule="exact"/>
        <w:ind w:left="420" w:leftChars="200"/>
        <w:rPr>
          <w:color w:val="auto"/>
          <w:szCs w:val="21"/>
          <w:highlight w:val="none"/>
        </w:rPr>
      </w:pPr>
      <w:r>
        <w:rPr>
          <w:color w:val="auto"/>
          <w:szCs w:val="21"/>
          <w:highlight w:val="none"/>
        </w:rPr>
        <w:fldChar w:fldCharType="begin"/>
      </w:r>
      <w:r>
        <w:rPr>
          <w:color w:val="auto"/>
          <w:szCs w:val="21"/>
          <w:highlight w:val="none"/>
        </w:rPr>
        <w:instrText xml:space="preserve"> QUOTE </w:instrText>
      </w:r>
      <w:r>
        <w:rPr>
          <w:color w:val="auto"/>
          <w:position w:val="-8"/>
          <w:highlight w:val="none"/>
        </w:rPr>
        <w:pict>
          <v:shape id="_x0000_i1029" o:spt="75" type="#_x0000_t75" style="height:15.75pt;width:1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0D7874&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0D7874&quot; wsp:rsidP=&quot;000D7874&quot;&gt;&lt;m:oMathPara&gt;&lt;m:oMath&gt;&lt;m:sSub&gt;&lt;m:sSubPr&gt;&lt;m:ctrlPr&gt;&lt;w:rPr&gt;&lt;w:rFonts w:ascii=&quot;Cambria Math&quot; w:fareast=&quot;瀹嬩綋&quot; w:h-ansi=&quot;Cambria Math&quot;/&gt;&lt;wx:font wx:val=&quot;Cambria Math&quot;/&gt;&lt;w:sz-cs w:val=&quot;21&quot;/&gt;&lt;w:lang w:bidi=&quot;EN-US&quot;/&gt;&lt;/w:rPr&gt;&lt;/m:ctrlPr&gt;&lt;/m:sSubPr&gt;&lt;sidsidsidsidsidsidsidsidsidsidsidsidsidsidsidsidsidsidsidsidsidsidsidsidsidsidsidsidsidsidsidsidsidsidsidsidm:e&gt;&lt;m:r&gt;&lt;w:rPr&gt;&lt;w:rFonts w:ascii=&quot;Cambria Math&quot; w:fareast=&quot;瀹嬩綋&quot; w:h-ansi=&quot;Cambria Math&quot;/&gt;&lt;wx:font wx:val=&quot;Cambria Math&quot;/&gt;&lt;w:i/&gt;&lt;w:sz-cs w:val=&quot;21&quot;sid/&gt;&lt;sidw:lsidangsid w:sidbidsidi=&quot;sidEN-sidUS&quot;sid/&gt;&lt;sidamlsid:ansidnotsidatisidon sidamlsid:idsid=&quot;0sid&quot; wsid:tysidpe=sid&quot;Wosidrd.sidForsidmatsidtinsidg&quot; sidamlsid:ausidthosidr=&quot;sidpensidg gsidongsidxunsid&quot; asidml:createdate=&quot;2021-07-12T14:21:00Z&quot;&gt;&lt;aml:content&gt;&lt;w:rPr&gt;&lt;w:rFonts w:ascii=&quot;Cambria Math&quot; w:fareast=&quot;瀹嬩id綋&quot; w:sidh-ansisid=&quot;Cambsidria Masidth&quot;/&gt;&lt;sidwx:fonsidt wx:vsidal=&quot;Casidmbria sidMath&quot;/sid&gt;&lt;w:i/sid&gt;&lt;w:szsid-cs w:sidval=&quot;2sid1&quot;/&gt;&lt;wsid:lang sidw:bidisid=&quot;EN-UsidS&quot;/&gt;&lt;/sidw:rPr&gt;sid&lt;/aml:sidcontconensidtt&gt;&lt;&gt;&lt;/amsPr&gt;idl:anrFonosidt w:ationsii=id&gt;&lt;/wmbr:rPr&gt;&lt;Matm:t&gt;C&lt;w:f/m:t&gt;&lt;ast/m:r&gt;&lt;/md:e&gt;&lt;m:sub&gt;&lt;m:r&gt;&lt;w:rPr&gt;&lt;w:rFonts w:ascii=&quot;Cambria Math&quot; w:fareast=&quot;瀹嬩綋sid&quot; w:h-anssidi=&quot;Cambrisida Math&quot;/&gt;sid&lt;wx:font sidwx:val=&quot;Csidambria Masidth&quot;/&gt;&lt;w:isid/&gt;&lt;w:sconz-csids wt&gt;&lt;:val=&quot;sidPr&gt;21&quot;/&gt;&lt;w:lrFosidang w: w:bidsidi=&quot;ii=EN-US&quot;sidmbr/&gt;&lt;aml:anMatsidnotatiw:fon sidamlast:id=&quot;1sid/md&quot; w:type=subsid&quot;Word.&lt;w:Forsidmat:rFting&quot; aml:as:author=&quot;ambpeng gongth&quot;xun&quot; aml:eascreatedate=&quot;2021-07-12T14:21:00Z&quot;&gt;&lt;aml:content&gt;&lt;w:rPr&gt;&lt;w:rFonts w:ascii=&quot;Cambria Math&quot; w:fareast=&quot;?畫浣? w:sidii=h-ansi=&quot;Cambmbrsidria Math&quot;Mat/&gt;&lt;sidwx:fonw:ft wx:vsidal=ast&quot;Cambria sid/mdMath&quot;/&gt;&lt;w:i/subsid&gt;&lt;w:sz-cs&lt;w: w:sidval=&quot;2:rF1&quot;/&gt;&lt;wsid:la:asng w:bidisidamb=&quot;EN-US&quot;/&gt;&lt;/th&quot;sidw:rPr&gt;&lt;/aeasml:content&gt;&lt;e:r=&quot;/aml:annottsat2T1ion&gt;&lt;/wCa:rPr&gt;&gt;&lt;a&lt;m:t&quot; &gt;e&lt;/m:t&gt;t&gt;&lt;=&quot;?&lt;/m:r&gt;&lt;/m:surFob&gt;&lt;/m:sSub&gt;&lt;ii=/m:oMath&gt;&lt;/mMat:oMathPara&gt;&lt;as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0" chromakey="#FFFFFF" o:title=""/>
            <o:lock v:ext="edit" aspectratio="t"/>
            <w10:wrap type="none"/>
            <w10:anchorlock/>
          </v:shape>
        </w:pict>
      </w:r>
      <w:r>
        <w:rPr>
          <w:color w:val="auto"/>
          <w:szCs w:val="21"/>
          <w:highlight w:val="none"/>
        </w:rPr>
        <w:instrText xml:space="preserve"> </w:instrText>
      </w:r>
      <w:r>
        <w:rPr>
          <w:color w:val="auto"/>
          <w:szCs w:val="21"/>
          <w:highlight w:val="none"/>
        </w:rPr>
        <w:fldChar w:fldCharType="separate"/>
      </w:r>
      <w:r>
        <w:rPr>
          <w:color w:val="auto"/>
          <w:position w:val="-8"/>
          <w:highlight w:val="none"/>
        </w:rPr>
        <w:pict>
          <v:shape id="_x0000_i1030" o:spt="75" type="#_x0000_t75" style="height:15.75pt;width:1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0D7874&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0D7874&quot; wsp:rsidP=&quot;000D7874&quot;&gt;&lt;m:oMathPara&gt;&lt;m:oMath&gt;&lt;m:sSub&gt;&lt;m:sSubPr&gt;&lt;m:ctrlPr&gt;&lt;w:rPr&gt;&lt;w:rFonts w:ascii=&quot;Cambria Math&quot; w:fareast=&quot;瀹嬩綋&quot; w:h-ansi=&quot;Cambria Math&quot;/&gt;&lt;wx:font wx:val=&quot;Cambria Math&quot;/&gt;&lt;w:sz-cs w:val=&quot;21&quot;/&gt;&lt;w:lang w:bidi=&quot;EN-US&quot;/&gt;&lt;/w:rPr&gt;&lt;/m:ctrlPr&gt;&lt;/m:sSubPr&gt;&lt;sidsidsidsidsidsidsidsidsidsidsidsidsidsidsidsidsidsidsidsidsidsidsidsidsidsidsidsidsidsidsidsidsidsidsidsidm:e&gt;&lt;m:r&gt;&lt;w:rPr&gt;&lt;w:rFonts w:ascii=&quot;Cambria Math&quot; w:fareast=&quot;瀹嬩綋&quot; w:h-ansi=&quot;Cambria Math&quot;/&gt;&lt;wx:font wx:val=&quot;Cambria Math&quot;/&gt;&lt;w:i/&gt;&lt;w:sz-cs w:val=&quot;21&quot;sid/&gt;&lt;sidw:lsidangsid w:sidbidsidi=&quot;sidEN-sidUS&quot;sid/&gt;&lt;sidamlsid:ansidnotsidatisidon sidamlsid:idsid=&quot;0sid&quot; wsid:tysidpe=sid&quot;Wosidrd.sidForsidmatsidtinsidg&quot; sidamlsid:ausidthosidr=&quot;sidpensidg gsidongsidxunsid&quot; asidml:createdate=&quot;2021-07-12T14:21:00Z&quot;&gt;&lt;aml:content&gt;&lt;w:rPr&gt;&lt;w:rFonts w:ascii=&quot;Cambria Math&quot; w:fareast=&quot;瀹嬩id綋&quot; w:sidh-ansisid=&quot;Cambsidria Masidth&quot;/&gt;&lt;sidwx:fonsidt wx:vsidal=&quot;Casidmbria sidMath&quot;/sid&gt;&lt;w:i/sid&gt;&lt;w:szsid-cs w:sidval=&quot;2sid1&quot;/&gt;&lt;wsid:lang sidw:bidisid=&quot;EN-UsidS&quot;/&gt;&lt;/sidw:rPr&gt;sid&lt;/aml:sidcontconensidtt&gt;&lt;&gt;&lt;/amsPr&gt;idl:anrFonosidt w:ationsii=id&gt;&lt;/wmbr:rPr&gt;&lt;Matm:t&gt;C&lt;w:f/m:t&gt;&lt;ast/m:r&gt;&lt;/md:e&gt;&lt;m:sub&gt;&lt;m:r&gt;&lt;w:rPr&gt;&lt;w:rFonts w:ascii=&quot;Cambria Math&quot; w:fareast=&quot;瀹嬩綋sid&quot; w:h-anssidi=&quot;Cambrisida Math&quot;/&gt;sid&lt;wx:font sidwx:val=&quot;Csidambria Masidth&quot;/&gt;&lt;w:isid/&gt;&lt;w:sconz-csids wt&gt;&lt;:val=&quot;sidPr&gt;21&quot;/&gt;&lt;w:lrFosidang w: w:bidsidi=&quot;ii=EN-US&quot;sidmbr/&gt;&lt;aml:anMatsidnotatiw:fon sidamlast:id=&quot;1sid/md&quot; w:type=subsid&quot;Word.&lt;w:Forsidmat:rFting&quot; aml:as:author=&quot;ambpeng gongth&quot;xun&quot; aml:eascreatedate=&quot;2021-07-12T14:21:00Z&quot;&gt;&lt;aml:content&gt;&lt;w:rPr&gt;&lt;w:rFonts w:ascii=&quot;Cambria Math&quot; w:fareast=&quot;?畫浣? w:sidii=h-ansi=&quot;Cambmbrsidria Math&quot;Mat/&gt;&lt;sidwx:fonw:ft wx:vsidal=ast&quot;Cambria sid/mdMath&quot;/&gt;&lt;w:i/subsid&gt;&lt;w:sz-cs&lt;w: w:sidval=&quot;2:rF1&quot;/&gt;&lt;wsid:la:asng w:bidisidamb=&quot;EN-US&quot;/&gt;&lt;/th&quot;sidw:rPr&gt;&lt;/aeasml:content&gt;&lt;e:r=&quot;/aml:annottsat2T1ion&gt;&lt;/wCa:rPr&gt;&gt;&lt;a&lt;m:t&quot; &gt;e&lt;/m:t&gt;t&gt;&lt;=&quot;?&lt;/m:r&gt;&lt;/m:surFob&gt;&lt;/m:sSub&gt;&lt;ii=/m:oMath&gt;&lt;/mMat:oMathPara&gt;&lt;as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0" chromakey="#FFFFFF" o:title=""/>
            <o:lock v:ext="edit" aspectratio="t"/>
            <w10:wrap type="none"/>
            <w10:anchorlock/>
          </v:shape>
        </w:pict>
      </w:r>
      <w:r>
        <w:rPr>
          <w:color w:val="auto"/>
          <w:szCs w:val="21"/>
          <w:highlight w:val="none"/>
        </w:rPr>
        <w:fldChar w:fldCharType="end"/>
      </w:r>
      <w:r>
        <w:rPr>
          <w:color w:val="auto"/>
          <w:szCs w:val="21"/>
          <w:highlight w:val="none"/>
        </w:rPr>
        <w:t xml:space="preserve"> </w:t>
      </w:r>
      <w:r>
        <w:rPr>
          <w:color w:val="auto"/>
          <w:kern w:val="0"/>
          <w:szCs w:val="21"/>
          <w:highlight w:val="none"/>
        </w:rPr>
        <w:t xml:space="preserve">—— </w:t>
      </w:r>
      <w:r>
        <w:rPr>
          <w:color w:val="auto"/>
          <w:szCs w:val="21"/>
          <w:highlight w:val="none"/>
        </w:rPr>
        <w:t>液化抵抗系数；</w:t>
      </w:r>
    </w:p>
    <w:p>
      <w:pPr>
        <w:spacing w:line="400" w:lineRule="exact"/>
        <w:ind w:left="420" w:leftChars="200"/>
        <w:rPr>
          <w:color w:val="auto"/>
          <w:spacing w:val="1"/>
          <w:kern w:val="0"/>
          <w:szCs w:val="21"/>
          <w:highlight w:val="none"/>
          <w:vertAlign w:val="subscript"/>
        </w:rPr>
      </w:pPr>
      <w:r>
        <w:rPr>
          <w:rFonts w:hint="eastAsia"/>
          <w:i/>
          <w:iCs/>
          <w:color w:val="auto"/>
          <w:spacing w:val="1"/>
          <w:kern w:val="0"/>
          <w:szCs w:val="21"/>
          <w:highlight w:val="none"/>
        </w:rPr>
        <w:t>J</w:t>
      </w:r>
      <w:r>
        <w:rPr>
          <w:rFonts w:hint="eastAsia"/>
          <w:color w:val="auto"/>
          <w:spacing w:val="1"/>
          <w:kern w:val="0"/>
          <w:szCs w:val="21"/>
          <w:highlight w:val="none"/>
          <w:vertAlign w:val="subscript"/>
        </w:rPr>
        <w:t>v</w:t>
      </w:r>
      <w:r>
        <w:rPr>
          <w:color w:val="auto"/>
          <w:szCs w:val="21"/>
          <w:highlight w:val="none"/>
        </w:rPr>
        <w:t>——</w:t>
      </w:r>
      <w:r>
        <w:rPr>
          <w:rFonts w:hint="eastAsia"/>
          <w:color w:val="auto"/>
          <w:spacing w:val="1"/>
          <w:kern w:val="0"/>
          <w:szCs w:val="21"/>
          <w:highlight w:val="none"/>
        </w:rPr>
        <w:t>岩体体积节理数；</w:t>
      </w:r>
    </w:p>
    <w:p>
      <w:pPr>
        <w:spacing w:line="400" w:lineRule="exact"/>
        <w:ind w:left="420" w:leftChars="200"/>
        <w:rPr>
          <w:color w:val="auto"/>
          <w:szCs w:val="21"/>
          <w:highlight w:val="none"/>
        </w:rPr>
      </w:pPr>
      <w:r>
        <w:rPr>
          <w:i/>
          <w:iCs/>
          <w:color w:val="auto"/>
          <w:kern w:val="0"/>
          <w:szCs w:val="21"/>
          <w:highlight w:val="none"/>
        </w:rPr>
        <w:t>K</w:t>
      </w:r>
      <w:r>
        <w:rPr>
          <w:rFonts w:hint="eastAsia"/>
          <w:color w:val="auto"/>
          <w:kern w:val="0"/>
          <w:szCs w:val="21"/>
          <w:highlight w:val="none"/>
          <w:vertAlign w:val="subscript"/>
        </w:rPr>
        <w:t>vp</w:t>
      </w:r>
      <w:r>
        <w:rPr>
          <w:i/>
          <w:iCs/>
          <w:color w:val="auto"/>
          <w:kern w:val="0"/>
          <w:szCs w:val="21"/>
          <w:highlight w:val="none"/>
          <w:vertAlign w:val="subscript"/>
        </w:rPr>
        <w:t xml:space="preserve"> </w:t>
      </w:r>
      <w:r>
        <w:rPr>
          <w:color w:val="auto"/>
          <w:szCs w:val="21"/>
          <w:highlight w:val="none"/>
        </w:rPr>
        <w:t xml:space="preserve">—— </w:t>
      </w:r>
      <w:r>
        <w:rPr>
          <w:rFonts w:hint="eastAsia"/>
          <w:color w:val="auto"/>
          <w:szCs w:val="21"/>
          <w:highlight w:val="none"/>
        </w:rPr>
        <w:t>波速比</w:t>
      </w:r>
      <w:r>
        <w:rPr>
          <w:color w:val="auto"/>
          <w:szCs w:val="21"/>
          <w:highlight w:val="none"/>
        </w:rPr>
        <w:t>；</w:t>
      </w:r>
    </w:p>
    <w:p>
      <w:pPr>
        <w:spacing w:line="400" w:lineRule="exact"/>
        <w:ind w:left="420" w:leftChars="200"/>
        <w:rPr>
          <w:color w:val="auto"/>
          <w:szCs w:val="21"/>
          <w:highlight w:val="none"/>
        </w:rPr>
      </w:pPr>
      <w:r>
        <w:rPr>
          <w:i/>
          <w:iCs/>
          <w:color w:val="auto"/>
          <w:kern w:val="0"/>
          <w:szCs w:val="21"/>
          <w:highlight w:val="none"/>
        </w:rPr>
        <w:t>K</w:t>
      </w:r>
      <w:r>
        <w:rPr>
          <w:color w:val="auto"/>
          <w:kern w:val="0"/>
          <w:szCs w:val="21"/>
          <w:highlight w:val="none"/>
          <w:vertAlign w:val="subscript"/>
        </w:rPr>
        <w:t xml:space="preserve">f </w:t>
      </w:r>
      <w:r>
        <w:rPr>
          <w:i/>
          <w:iCs/>
          <w:color w:val="auto"/>
          <w:kern w:val="0"/>
          <w:szCs w:val="21"/>
          <w:highlight w:val="none"/>
          <w:vertAlign w:val="subscript"/>
        </w:rPr>
        <w:t xml:space="preserve"> </w:t>
      </w:r>
      <w:r>
        <w:rPr>
          <w:color w:val="auto"/>
          <w:szCs w:val="21"/>
          <w:highlight w:val="none"/>
        </w:rPr>
        <w:t>—— 风化系数；</w:t>
      </w:r>
    </w:p>
    <w:p>
      <w:pPr>
        <w:spacing w:line="400" w:lineRule="exact"/>
        <w:ind w:left="420" w:leftChars="200"/>
        <w:rPr>
          <w:color w:val="auto"/>
          <w:kern w:val="0"/>
          <w:szCs w:val="21"/>
          <w:highlight w:val="none"/>
        </w:rPr>
      </w:pPr>
      <w:r>
        <w:rPr>
          <w:i/>
          <w:iCs/>
          <w:color w:val="auto"/>
          <w:kern w:val="0"/>
          <w:szCs w:val="21"/>
          <w:highlight w:val="none"/>
        </w:rPr>
        <w:t>K</w:t>
      </w:r>
      <w:r>
        <w:rPr>
          <w:color w:val="auto"/>
          <w:kern w:val="0"/>
          <w:szCs w:val="21"/>
          <w:highlight w:val="none"/>
          <w:vertAlign w:val="subscript"/>
        </w:rPr>
        <w:t>v</w:t>
      </w:r>
      <w:r>
        <w:rPr>
          <w:i/>
          <w:iCs/>
          <w:color w:val="auto"/>
          <w:kern w:val="0"/>
          <w:szCs w:val="21"/>
          <w:highlight w:val="none"/>
          <w:vertAlign w:val="subscript"/>
        </w:rPr>
        <w:t xml:space="preserve"> </w:t>
      </w:r>
      <w:r>
        <w:rPr>
          <w:color w:val="auto"/>
          <w:szCs w:val="21"/>
          <w:highlight w:val="none"/>
        </w:rPr>
        <w:t xml:space="preserve">—— </w:t>
      </w:r>
      <w:r>
        <w:rPr>
          <w:rFonts w:hint="eastAsia"/>
          <w:color w:val="auto"/>
          <w:szCs w:val="21"/>
          <w:highlight w:val="none"/>
        </w:rPr>
        <w:t>岩体</w:t>
      </w:r>
      <w:r>
        <w:rPr>
          <w:color w:val="auto"/>
          <w:kern w:val="0"/>
          <w:szCs w:val="21"/>
          <w:highlight w:val="none"/>
        </w:rPr>
        <w:t>完整性指数；</w:t>
      </w:r>
    </w:p>
    <w:p>
      <w:pPr>
        <w:spacing w:line="400" w:lineRule="exact"/>
        <w:ind w:left="420" w:leftChars="200"/>
        <w:rPr>
          <w:rFonts w:hint="eastAsia" w:eastAsia="宋体"/>
          <w:color w:val="auto"/>
          <w:szCs w:val="21"/>
          <w:highlight w:val="none"/>
          <w:lang w:eastAsia="zh-CN"/>
        </w:rPr>
      </w:pPr>
      <w:r>
        <w:rPr>
          <w:color w:val="auto"/>
          <w:highlight w:val="none"/>
        </w:rPr>
        <w:t xml:space="preserve">RQD </w:t>
      </w:r>
      <w:r>
        <w:rPr>
          <w:color w:val="auto"/>
          <w:szCs w:val="21"/>
          <w:highlight w:val="none"/>
        </w:rPr>
        <w:t>—— 岩石质量指标</w:t>
      </w:r>
      <w:r>
        <w:rPr>
          <w:rFonts w:hint="eastAsia"/>
          <w:color w:val="auto"/>
          <w:highlight w:val="none"/>
          <w:lang w:eastAsia="zh-CN"/>
        </w:rPr>
        <w:t>；</w:t>
      </w:r>
    </w:p>
    <w:p>
      <w:pPr>
        <w:spacing w:line="400" w:lineRule="exact"/>
        <w:ind w:left="420" w:leftChars="200"/>
        <w:rPr>
          <w:color w:val="auto"/>
          <w:szCs w:val="21"/>
          <w:highlight w:val="none"/>
        </w:rPr>
      </w:pPr>
      <w:r>
        <w:rPr>
          <w:color w:val="auto"/>
          <w:szCs w:val="21"/>
          <w:highlight w:val="none"/>
        </w:rPr>
        <w:fldChar w:fldCharType="begin"/>
      </w:r>
      <w:r>
        <w:rPr>
          <w:color w:val="auto"/>
          <w:szCs w:val="21"/>
          <w:highlight w:val="none"/>
        </w:rPr>
        <w:instrText xml:space="preserve"> QUOTE </w:instrText>
      </w:r>
      <w:r>
        <w:rPr>
          <w:color w:val="auto"/>
          <w:position w:val="-8"/>
          <w:highlight w:val="none"/>
        </w:rPr>
        <w:pict>
          <v:shape id="_x0000_i1031" o:spt="75" type="#_x0000_t75" style="height:15.75pt;width:13.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91A42&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B91A42&quot; wsp:rsidP=&quot;00B91A42&quot;&gt;&lt;m:oMathPara&gt;&lt;m:oMath&gt;&lt;m:sSub&gt;&lt;m:sSubPr&gt;&lt;m:ctrlPr&gt;&lt;w:rPr&gt;&lt;w:rFonts w:ascii=&quot;Cambria Math&quot; w:fareast=&quot;瀹嬩綋&quot; w:h-ansi=&quot;Cambria Math&quot;/&gt;&lt;wx:font wx:val=&quot;Cambria Math&quot;/&gt;&lt;w:i/&gt;&lt;w:sz-cs w:val=&quot;21&quot;/&gt;&lt;/w:rPr&gt;&lt;/m:ctrlPr&gt;&lt;/m:sSubPr&gt;&lt;m:e&gt;&lt;m:r&gt;&lt;w:rPr&gt;&lt;wsidsidsidsidsidsidsidsidsidsidsidsidsidsidsidsidsidsidsidsidsidsidsidsidsidsidsidsidsidsidsidsidsidsidsidsid:rFonts w:ascii=&quot;Cambria Math&quot; w:fareast=&quot;瀹嬩綋&quot; w:h-ansi=&quot;Cambria Math&quot;/&gt;&lt;wx:font wx:val=&quot;Cambria Math&quot;/&gt;&lt;w:i/&gt;&lt;w:sz-cs w:val=&quot;21&quot;/&gt;&lt;/w:rPr&gt;&lt;m:t&gt;蠀&lt;wsid/m:wsidt&gt;&lt;wsid/m:wsidr&gt;&lt;wsid/m:wside&gt;&lt;wsidm:swsidub&gt;wsid&lt;m:wsidr&gt;&lt;wsidw:rwsidPr&gt;wsid&lt;w:wsidrFowsidntswsid w:wsidascwsidii=wsid&quot;Cawsidmbrwsidia wsidMatwsidh&quot; wsidw:fwsidarewsidastwsid=&quot;?wsid畫?&lt;wsid綋&quot;r&gt;&lt;wsid w:r&gt;&lt;wsidh-ar&gt;&lt;wsidnsir&gt;&lt;wsid=&quot;Cr&gt;&lt;wsidambr&gt;&lt;wsididriar&gt;id&lt;wsid Midath&quot;/&gt;&lt;idwx:fontid wx:valid=&quot;Cambridia Mathid&quot;/&gt;&lt;w:iid/&gt;&lt;w:szid-cs w:vidal=&quot;21&quot;id/&gt;&lt;/w:ridPr&gt;&lt;m:tid&gt;se&lt;/m:idt&gt;&lt;/m:rid&gt;&lt;/m:suidb&gt;&lt;/m:sidSub&gt;&lt;/mid:oMath&gt;id&lt;/m:oMaidthPara&gt;id&lt;/w:p&gt;&lt;idw:sectPidr wsp:ridsidR=&quot;0id0000000id&quot;&gt;&lt;w:psidgSz w:w=&quot;d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1" chromakey="#FFFFFF" o:title=""/>
            <o:lock v:ext="edit" aspectratio="t"/>
            <w10:wrap type="none"/>
            <w10:anchorlock/>
          </v:shape>
        </w:pict>
      </w:r>
      <w:r>
        <w:rPr>
          <w:color w:val="auto"/>
          <w:szCs w:val="21"/>
          <w:highlight w:val="none"/>
        </w:rPr>
        <w:instrText xml:space="preserve"> </w:instrText>
      </w:r>
      <w:r>
        <w:rPr>
          <w:color w:val="auto"/>
          <w:szCs w:val="21"/>
          <w:highlight w:val="none"/>
        </w:rPr>
        <w:fldChar w:fldCharType="separate"/>
      </w:r>
      <w:r>
        <w:rPr>
          <w:color w:val="auto"/>
          <w:position w:val="-8"/>
          <w:highlight w:val="none"/>
        </w:rPr>
        <w:pict>
          <v:shape id="_x0000_i1032" o:spt="75" type="#_x0000_t75" style="height:15.75pt;width:13.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91A42&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B91A42&quot; wsp:rsidP=&quot;00B91A42&quot;&gt;&lt;m:oMathPara&gt;&lt;m:oMath&gt;&lt;m:sSub&gt;&lt;m:sSubPr&gt;&lt;m:ctrlPr&gt;&lt;w:rPr&gt;&lt;w:rFonts w:ascii=&quot;Cambria Math&quot; w:fareast=&quot;瀹嬩綋&quot; w:h-ansi=&quot;Cambria Math&quot;/&gt;&lt;wx:font wx:val=&quot;Cambria Math&quot;/&gt;&lt;w:i/&gt;&lt;w:sz-cs w:val=&quot;21&quot;/&gt;&lt;/w:rPr&gt;&lt;/m:ctrlPr&gt;&lt;/m:sSubPr&gt;&lt;m:e&gt;&lt;m:r&gt;&lt;w:rPr&gt;&lt;wsidsidsidsidsidsidsidsidsidsidsidsidsidsidsidsidsidsidsidsidsidsidsidsidsidsidsidsidsidsidsidsidsidsidsidsid:rFonts w:ascii=&quot;Cambria Math&quot; w:fareast=&quot;瀹嬩綋&quot; w:h-ansi=&quot;Cambria Math&quot;/&gt;&lt;wx:font wx:val=&quot;Cambria Math&quot;/&gt;&lt;w:i/&gt;&lt;w:sz-cs w:val=&quot;21&quot;/&gt;&lt;/w:rPr&gt;&lt;m:t&gt;蠀&lt;wsid/m:wsidt&gt;&lt;wsid/m:wsidr&gt;&lt;wsid/m:wside&gt;&lt;wsidm:swsidub&gt;wsid&lt;m:wsidr&gt;&lt;wsidw:rwsidPr&gt;wsid&lt;w:wsidrFowsidntswsid w:wsidascwsidii=wsid&quot;Cawsidmbrwsidia wsidMatwsidh&quot; wsidw:fwsidarewsidastwsid=&quot;?wsid畫?&lt;wsid綋&quot;r&gt;&lt;wsid w:r&gt;&lt;wsidh-ar&gt;&lt;wsidnsir&gt;&lt;wsid=&quot;Cr&gt;&lt;wsidambr&gt;&lt;wsididriar&gt;id&lt;wsid Midath&quot;/&gt;&lt;idwx:fontid wx:valid=&quot;Cambridia Mathid&quot;/&gt;&lt;w:iid/&gt;&lt;w:szid-cs w:vidal=&quot;21&quot;id/&gt;&lt;/w:ridPr&gt;&lt;m:tid&gt;se&lt;/m:idt&gt;&lt;/m:rid&gt;&lt;/m:suidb&gt;&lt;/m:sidSub&gt;&lt;/mid:oMath&gt;id&lt;/m:oMaidthPara&gt;id&lt;/w:p&gt;&lt;idw:sectPidr wsp:ridsidR=&quot;0id0000000id&quot;&gt;&lt;w:psidgSz w:w=&quot;d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1" chromakey="#FFFFFF" o:title=""/>
            <o:lock v:ext="edit" aspectratio="t"/>
            <w10:wrap type="none"/>
            <w10:anchorlock/>
          </v:shape>
        </w:pict>
      </w:r>
      <w:r>
        <w:rPr>
          <w:color w:val="auto"/>
          <w:szCs w:val="21"/>
          <w:highlight w:val="none"/>
        </w:rPr>
        <w:fldChar w:fldCharType="end"/>
      </w:r>
      <w:r>
        <w:rPr>
          <w:color w:val="auto"/>
          <w:szCs w:val="21"/>
          <w:highlight w:val="none"/>
        </w:rPr>
        <w:t xml:space="preserve"> </w:t>
      </w:r>
      <w:r>
        <w:rPr>
          <w:color w:val="auto"/>
          <w:kern w:val="0"/>
          <w:szCs w:val="21"/>
          <w:highlight w:val="none"/>
        </w:rPr>
        <w:t>—— 土层等效剪切波速；</w:t>
      </w:r>
    </w:p>
    <w:p>
      <w:pPr>
        <w:spacing w:line="400" w:lineRule="exact"/>
        <w:ind w:left="420" w:leftChars="200"/>
        <w:rPr>
          <w:color w:val="auto"/>
          <w:szCs w:val="21"/>
          <w:highlight w:val="none"/>
        </w:rPr>
      </w:pPr>
      <w:r>
        <w:rPr>
          <w:i/>
          <w:iCs/>
          <w:color w:val="auto"/>
          <w:szCs w:val="21"/>
          <w:highlight w:val="none"/>
        </w:rPr>
        <w:t>V</w:t>
      </w:r>
      <w:r>
        <w:rPr>
          <w:color w:val="auto"/>
          <w:szCs w:val="21"/>
          <w:highlight w:val="none"/>
          <w:vertAlign w:val="subscript"/>
        </w:rPr>
        <w:t>pm</w:t>
      </w:r>
      <w:r>
        <w:rPr>
          <w:color w:val="auto"/>
          <w:szCs w:val="21"/>
          <w:highlight w:val="none"/>
        </w:rPr>
        <w:t xml:space="preserve"> —— 岩体弹性纵波速度；</w:t>
      </w:r>
    </w:p>
    <w:p>
      <w:pPr>
        <w:spacing w:line="400" w:lineRule="exact"/>
        <w:ind w:left="420" w:leftChars="200"/>
        <w:rPr>
          <w:color w:val="auto"/>
          <w:szCs w:val="21"/>
          <w:highlight w:val="none"/>
        </w:rPr>
      </w:pPr>
      <w:r>
        <w:rPr>
          <w:i/>
          <w:iCs/>
          <w:color w:val="auto"/>
          <w:szCs w:val="21"/>
          <w:highlight w:val="none"/>
        </w:rPr>
        <w:t>V</w:t>
      </w:r>
      <w:r>
        <w:rPr>
          <w:color w:val="auto"/>
          <w:szCs w:val="21"/>
          <w:highlight w:val="none"/>
          <w:vertAlign w:val="subscript"/>
        </w:rPr>
        <w:t xml:space="preserve">pr </w:t>
      </w:r>
      <w:r>
        <w:rPr>
          <w:color w:val="auto"/>
          <w:szCs w:val="21"/>
          <w:highlight w:val="none"/>
        </w:rPr>
        <w:t>—— 岩石弹性纵波速度。</w:t>
      </w:r>
    </w:p>
    <w:p>
      <w:pPr>
        <w:rPr>
          <w:color w:val="auto"/>
          <w:szCs w:val="21"/>
          <w:highlight w:val="none"/>
        </w:rPr>
      </w:pPr>
    </w:p>
    <w:p>
      <w:pPr>
        <w:widowControl/>
        <w:jc w:val="left"/>
        <w:rPr>
          <w:color w:val="auto"/>
          <w:sz w:val="24"/>
          <w:szCs w:val="24"/>
          <w:highlight w:val="none"/>
        </w:rPr>
      </w:pPr>
      <w:r>
        <w:rPr>
          <w:color w:val="auto"/>
          <w:sz w:val="28"/>
          <w:szCs w:val="28"/>
          <w:highlight w:val="none"/>
        </w:rPr>
        <w:br w:type="page"/>
      </w:r>
    </w:p>
    <w:p>
      <w:pPr>
        <w:pStyle w:val="2"/>
        <w:spacing w:before="480" w:after="480" w:line="240" w:lineRule="auto"/>
        <w:rPr>
          <w:color w:val="auto"/>
          <w:highlight w:val="none"/>
        </w:rPr>
      </w:pPr>
      <w:bookmarkStart w:id="19" w:name="_Toc30526"/>
      <w:bookmarkStart w:id="20" w:name="_Toc10262"/>
      <w:bookmarkStart w:id="21" w:name="_Toc24232"/>
      <w:bookmarkStart w:id="22" w:name="_3　基本规定"/>
      <w:r>
        <w:rPr>
          <w:rFonts w:hint="eastAsia"/>
          <w:color w:val="auto"/>
          <w:highlight w:val="none"/>
        </w:rPr>
        <w:t>3　基本规定</w:t>
      </w:r>
      <w:bookmarkEnd w:id="19"/>
      <w:bookmarkEnd w:id="20"/>
      <w:bookmarkEnd w:id="21"/>
    </w:p>
    <w:bookmarkEnd w:id="22"/>
    <w:p>
      <w:pPr>
        <w:spacing w:line="360" w:lineRule="auto"/>
        <w:rPr>
          <w:color w:val="auto"/>
          <w:highlight w:val="none"/>
        </w:rPr>
      </w:pPr>
      <w:r>
        <w:rPr>
          <w:b/>
          <w:bCs/>
          <w:color w:val="auto"/>
          <w:szCs w:val="21"/>
          <w:highlight w:val="none"/>
        </w:rPr>
        <w:t>3.0.1</w:t>
      </w:r>
      <w:r>
        <w:rPr>
          <w:rFonts w:hint="eastAsia"/>
          <w:b/>
          <w:bCs/>
          <w:color w:val="auto"/>
          <w:szCs w:val="21"/>
          <w:highlight w:val="none"/>
        </w:rPr>
        <w:t>　</w:t>
      </w:r>
      <w:r>
        <w:rPr>
          <w:color w:val="auto"/>
          <w:highlight w:val="none"/>
        </w:rPr>
        <w:t>市政工程勘察应</w:t>
      </w:r>
      <w:r>
        <w:rPr>
          <w:rFonts w:hint="eastAsia"/>
          <w:color w:val="auto"/>
          <w:highlight w:val="none"/>
        </w:rPr>
        <w:t>根据</w:t>
      </w:r>
      <w:r>
        <w:rPr>
          <w:color w:val="auto"/>
          <w:highlight w:val="none"/>
        </w:rPr>
        <w:t>市政工程的重要性、场地复杂程度</w:t>
      </w:r>
      <w:r>
        <w:rPr>
          <w:rFonts w:hint="eastAsia"/>
          <w:color w:val="auto"/>
          <w:highlight w:val="none"/>
        </w:rPr>
        <w:t>和</w:t>
      </w:r>
      <w:r>
        <w:rPr>
          <w:color w:val="auto"/>
          <w:highlight w:val="none"/>
        </w:rPr>
        <w:t>岩土条件复杂程度</w:t>
      </w:r>
      <w:r>
        <w:rPr>
          <w:rFonts w:hint="eastAsia"/>
          <w:color w:val="auto"/>
          <w:highlight w:val="none"/>
        </w:rPr>
        <w:t>进行等级划分，并</w:t>
      </w:r>
      <w:r>
        <w:rPr>
          <w:color w:val="auto"/>
          <w:highlight w:val="none"/>
        </w:rPr>
        <w:t>应符合下列规定：</w:t>
      </w:r>
    </w:p>
    <w:p>
      <w:pPr>
        <w:spacing w:line="360" w:lineRule="auto"/>
        <w:ind w:firstLine="422" w:firstLineChars="200"/>
        <w:rPr>
          <w:color w:val="auto"/>
          <w:highlight w:val="none"/>
        </w:rPr>
      </w:pPr>
      <w:r>
        <w:rPr>
          <w:b/>
          <w:bCs/>
          <w:color w:val="auto"/>
          <w:highlight w:val="none"/>
        </w:rPr>
        <w:t>1</w:t>
      </w:r>
      <w:r>
        <w:rPr>
          <w:rFonts w:hint="eastAsia"/>
          <w:b/>
          <w:bCs/>
          <w:color w:val="auto"/>
          <w:szCs w:val="21"/>
          <w:highlight w:val="none"/>
        </w:rPr>
        <w:t>　</w:t>
      </w:r>
      <w:r>
        <w:rPr>
          <w:color w:val="auto"/>
          <w:highlight w:val="none"/>
        </w:rPr>
        <w:t>市政工程的重要性等级</w:t>
      </w:r>
      <w:r>
        <w:rPr>
          <w:rFonts w:hint="eastAsia"/>
          <w:color w:val="auto"/>
          <w:highlight w:val="none"/>
        </w:rPr>
        <w:t>应</w:t>
      </w:r>
      <w:r>
        <w:rPr>
          <w:color w:val="auto"/>
          <w:highlight w:val="none"/>
        </w:rPr>
        <w:t>结合项目特点，按表3.0.1-1划分。</w:t>
      </w:r>
    </w:p>
    <w:p>
      <w:pPr>
        <w:spacing w:line="360" w:lineRule="auto"/>
        <w:jc w:val="center"/>
        <w:rPr>
          <w:b/>
          <w:bCs/>
          <w:color w:val="auto"/>
          <w:highlight w:val="none"/>
        </w:rPr>
      </w:pPr>
      <w:r>
        <w:rPr>
          <w:b/>
          <w:bCs/>
          <w:color w:val="auto"/>
          <w:highlight w:val="none"/>
        </w:rPr>
        <w:t>表3.0.1-1市政工程重要性等级</w:t>
      </w:r>
    </w:p>
    <w:tbl>
      <w:tblPr>
        <w:tblStyle w:val="22"/>
        <w:tblW w:w="825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350"/>
        <w:gridCol w:w="1890"/>
        <w:gridCol w:w="2160"/>
        <w:gridCol w:w="18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321" w:type="dxa"/>
            <w:gridSpan w:val="2"/>
            <w:vAlign w:val="center"/>
          </w:tcPr>
          <w:p>
            <w:pPr>
              <w:spacing w:before="31" w:beforeLines="10" w:after="31" w:afterLines="10"/>
              <w:jc w:val="center"/>
              <w:rPr>
                <w:color w:val="auto"/>
                <w:sz w:val="18"/>
                <w:szCs w:val="20"/>
                <w:highlight w:val="none"/>
              </w:rPr>
            </w:pPr>
            <w:r>
              <w:rPr>
                <w:color w:val="auto"/>
                <w:sz w:val="18"/>
                <w:szCs w:val="20"/>
                <w:highlight w:val="none"/>
              </w:rPr>
              <w:t>工程类别</w:t>
            </w:r>
          </w:p>
        </w:tc>
        <w:tc>
          <w:tcPr>
            <w:tcW w:w="1890" w:type="dxa"/>
            <w:vAlign w:val="center"/>
          </w:tcPr>
          <w:p>
            <w:pPr>
              <w:spacing w:before="31" w:beforeLines="10" w:after="31" w:afterLines="10"/>
              <w:jc w:val="center"/>
              <w:rPr>
                <w:color w:val="auto"/>
                <w:sz w:val="18"/>
                <w:szCs w:val="20"/>
                <w:highlight w:val="none"/>
              </w:rPr>
            </w:pPr>
            <w:r>
              <w:rPr>
                <w:color w:val="auto"/>
                <w:sz w:val="18"/>
                <w:szCs w:val="20"/>
                <w:highlight w:val="none"/>
              </w:rPr>
              <w:t>一级</w:t>
            </w:r>
          </w:p>
        </w:tc>
        <w:tc>
          <w:tcPr>
            <w:tcW w:w="2160" w:type="dxa"/>
            <w:vAlign w:val="center"/>
          </w:tcPr>
          <w:p>
            <w:pPr>
              <w:spacing w:before="31" w:beforeLines="10" w:after="31" w:afterLines="10"/>
              <w:jc w:val="center"/>
              <w:rPr>
                <w:color w:val="auto"/>
                <w:sz w:val="18"/>
                <w:szCs w:val="20"/>
                <w:highlight w:val="none"/>
              </w:rPr>
            </w:pPr>
            <w:r>
              <w:rPr>
                <w:color w:val="auto"/>
                <w:sz w:val="18"/>
                <w:szCs w:val="20"/>
                <w:highlight w:val="none"/>
              </w:rPr>
              <w:t>二级</w:t>
            </w:r>
          </w:p>
        </w:tc>
        <w:tc>
          <w:tcPr>
            <w:tcW w:w="1881" w:type="dxa"/>
            <w:vAlign w:val="center"/>
          </w:tcPr>
          <w:p>
            <w:pPr>
              <w:spacing w:before="31" w:beforeLines="10" w:after="31" w:afterLines="10"/>
              <w:jc w:val="center"/>
              <w:rPr>
                <w:color w:val="auto"/>
                <w:sz w:val="18"/>
                <w:szCs w:val="20"/>
                <w:highlight w:val="none"/>
              </w:rPr>
            </w:pPr>
            <w:r>
              <w:rPr>
                <w:color w:val="auto"/>
                <w:sz w:val="18"/>
                <w:szCs w:val="20"/>
                <w:highlight w:val="none"/>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321" w:type="dxa"/>
            <w:gridSpan w:val="2"/>
            <w:vAlign w:val="center"/>
          </w:tcPr>
          <w:p>
            <w:pPr>
              <w:spacing w:before="31" w:beforeLines="10" w:after="31" w:afterLines="10"/>
              <w:jc w:val="center"/>
              <w:rPr>
                <w:color w:val="auto"/>
                <w:sz w:val="18"/>
                <w:szCs w:val="20"/>
                <w:highlight w:val="none"/>
              </w:rPr>
            </w:pPr>
            <w:r>
              <w:rPr>
                <w:color w:val="auto"/>
                <w:sz w:val="18"/>
                <w:szCs w:val="20"/>
                <w:highlight w:val="none"/>
              </w:rPr>
              <w:t>道路工程</w:t>
            </w:r>
          </w:p>
        </w:tc>
        <w:tc>
          <w:tcPr>
            <w:tcW w:w="1890" w:type="dxa"/>
            <w:vAlign w:val="center"/>
          </w:tcPr>
          <w:p>
            <w:pPr>
              <w:spacing w:before="31" w:beforeLines="10" w:after="31" w:afterLines="10"/>
              <w:jc w:val="center"/>
              <w:rPr>
                <w:color w:val="auto"/>
                <w:sz w:val="18"/>
                <w:szCs w:val="20"/>
                <w:highlight w:val="none"/>
              </w:rPr>
            </w:pPr>
            <w:r>
              <w:rPr>
                <w:color w:val="auto"/>
                <w:sz w:val="18"/>
                <w:szCs w:val="20"/>
                <w:highlight w:val="none"/>
              </w:rPr>
              <w:t>快速路、主干路</w:t>
            </w:r>
          </w:p>
        </w:tc>
        <w:tc>
          <w:tcPr>
            <w:tcW w:w="2160" w:type="dxa"/>
            <w:vAlign w:val="center"/>
          </w:tcPr>
          <w:p>
            <w:pPr>
              <w:spacing w:before="31" w:beforeLines="10" w:after="31" w:afterLines="10"/>
              <w:jc w:val="center"/>
              <w:rPr>
                <w:color w:val="auto"/>
                <w:sz w:val="18"/>
                <w:szCs w:val="20"/>
                <w:highlight w:val="none"/>
              </w:rPr>
            </w:pPr>
            <w:r>
              <w:rPr>
                <w:color w:val="auto"/>
                <w:sz w:val="18"/>
                <w:szCs w:val="20"/>
                <w:highlight w:val="none"/>
              </w:rPr>
              <w:t>次干路</w:t>
            </w:r>
          </w:p>
        </w:tc>
        <w:tc>
          <w:tcPr>
            <w:tcW w:w="1881" w:type="dxa"/>
            <w:vAlign w:val="center"/>
          </w:tcPr>
          <w:p>
            <w:pPr>
              <w:spacing w:before="31" w:beforeLines="10" w:after="31" w:afterLines="10"/>
              <w:jc w:val="center"/>
              <w:rPr>
                <w:color w:val="auto"/>
                <w:sz w:val="18"/>
                <w:szCs w:val="20"/>
                <w:highlight w:val="none"/>
              </w:rPr>
            </w:pPr>
            <w:r>
              <w:rPr>
                <w:color w:val="auto"/>
                <w:sz w:val="18"/>
                <w:szCs w:val="20"/>
                <w:highlight w:val="none"/>
              </w:rPr>
              <w:t>支路、绿道、慢行道路、公交场站</w:t>
            </w:r>
            <w:r>
              <w:rPr>
                <w:rFonts w:hint="eastAsia"/>
                <w:color w:val="auto"/>
                <w:sz w:val="18"/>
                <w:szCs w:val="20"/>
                <w:highlight w:val="none"/>
              </w:rPr>
              <w:t>、广场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gridSpan w:val="2"/>
            <w:vAlign w:val="center"/>
          </w:tcPr>
          <w:p>
            <w:pPr>
              <w:spacing w:before="31" w:beforeLines="10" w:after="31" w:afterLines="10"/>
              <w:jc w:val="center"/>
              <w:rPr>
                <w:color w:val="auto"/>
                <w:sz w:val="18"/>
                <w:szCs w:val="20"/>
                <w:highlight w:val="none"/>
              </w:rPr>
            </w:pPr>
            <w:r>
              <w:rPr>
                <w:color w:val="auto"/>
                <w:sz w:val="18"/>
                <w:szCs w:val="20"/>
                <w:highlight w:val="none"/>
              </w:rPr>
              <w:t>桥涵工程</w:t>
            </w:r>
          </w:p>
        </w:tc>
        <w:tc>
          <w:tcPr>
            <w:tcW w:w="1890" w:type="dxa"/>
            <w:vAlign w:val="center"/>
          </w:tcPr>
          <w:p>
            <w:pPr>
              <w:spacing w:before="31" w:beforeLines="10" w:after="31" w:afterLines="10"/>
              <w:jc w:val="center"/>
              <w:rPr>
                <w:color w:val="auto"/>
                <w:sz w:val="18"/>
                <w:szCs w:val="20"/>
                <w:highlight w:val="none"/>
              </w:rPr>
            </w:pPr>
            <w:r>
              <w:rPr>
                <w:color w:val="auto"/>
                <w:sz w:val="18"/>
                <w:szCs w:val="20"/>
                <w:highlight w:val="none"/>
              </w:rPr>
              <w:t>特大桥、大桥</w:t>
            </w:r>
          </w:p>
        </w:tc>
        <w:tc>
          <w:tcPr>
            <w:tcW w:w="2160" w:type="dxa"/>
            <w:vAlign w:val="center"/>
          </w:tcPr>
          <w:p>
            <w:pPr>
              <w:spacing w:before="31" w:beforeLines="10" w:after="31" w:afterLines="10"/>
              <w:jc w:val="center"/>
              <w:rPr>
                <w:color w:val="auto"/>
                <w:sz w:val="18"/>
                <w:szCs w:val="20"/>
                <w:highlight w:val="none"/>
              </w:rPr>
            </w:pPr>
            <w:r>
              <w:rPr>
                <w:rFonts w:hint="eastAsia"/>
                <w:color w:val="auto"/>
                <w:sz w:val="18"/>
                <w:szCs w:val="20"/>
                <w:highlight w:val="none"/>
              </w:rPr>
              <w:t>中桥</w:t>
            </w:r>
          </w:p>
        </w:tc>
        <w:tc>
          <w:tcPr>
            <w:tcW w:w="1881" w:type="dxa"/>
            <w:vAlign w:val="center"/>
          </w:tcPr>
          <w:p>
            <w:pPr>
              <w:spacing w:before="31" w:beforeLines="10" w:after="31" w:afterLines="10"/>
              <w:jc w:val="center"/>
              <w:rPr>
                <w:color w:val="auto"/>
                <w:sz w:val="18"/>
                <w:szCs w:val="20"/>
                <w:highlight w:val="none"/>
              </w:rPr>
            </w:pPr>
            <w:r>
              <w:rPr>
                <w:color w:val="auto"/>
                <w:sz w:val="18"/>
                <w:szCs w:val="20"/>
                <w:highlight w:val="none"/>
              </w:rPr>
              <w:t>小桥</w:t>
            </w:r>
            <w:r>
              <w:rPr>
                <w:rFonts w:hint="eastAsia"/>
                <w:color w:val="auto"/>
                <w:sz w:val="18"/>
                <w:szCs w:val="20"/>
                <w:highlight w:val="none"/>
              </w:rPr>
              <w:t>、</w:t>
            </w:r>
            <w:r>
              <w:rPr>
                <w:color w:val="auto"/>
                <w:sz w:val="18"/>
                <w:szCs w:val="20"/>
                <w:highlight w:val="none"/>
              </w:rPr>
              <w:t>涵洞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gridSpan w:val="2"/>
            <w:vAlign w:val="center"/>
          </w:tcPr>
          <w:p>
            <w:pPr>
              <w:spacing w:before="31" w:beforeLines="10" w:after="31" w:afterLines="10"/>
              <w:jc w:val="center"/>
              <w:rPr>
                <w:color w:val="auto"/>
                <w:sz w:val="18"/>
                <w:szCs w:val="20"/>
                <w:highlight w:val="none"/>
              </w:rPr>
            </w:pPr>
            <w:r>
              <w:rPr>
                <w:color w:val="auto"/>
                <w:sz w:val="18"/>
                <w:szCs w:val="20"/>
                <w:highlight w:val="none"/>
              </w:rPr>
              <w:t>隧道工程</w:t>
            </w:r>
          </w:p>
        </w:tc>
        <w:tc>
          <w:tcPr>
            <w:tcW w:w="1890" w:type="dxa"/>
            <w:vAlign w:val="center"/>
          </w:tcPr>
          <w:p>
            <w:pPr>
              <w:spacing w:before="31" w:beforeLines="10" w:after="31" w:afterLines="10"/>
              <w:jc w:val="center"/>
              <w:rPr>
                <w:color w:val="auto"/>
                <w:sz w:val="18"/>
                <w:szCs w:val="20"/>
                <w:highlight w:val="none"/>
              </w:rPr>
            </w:pPr>
            <w:r>
              <w:rPr>
                <w:color w:val="auto"/>
                <w:sz w:val="18"/>
                <w:szCs w:val="20"/>
                <w:highlight w:val="none"/>
              </w:rPr>
              <w:t>全部</w:t>
            </w:r>
          </w:p>
        </w:tc>
        <w:tc>
          <w:tcPr>
            <w:tcW w:w="2160" w:type="dxa"/>
            <w:vAlign w:val="center"/>
          </w:tcPr>
          <w:p>
            <w:pPr>
              <w:spacing w:before="31" w:beforeLines="10" w:after="31" w:afterLines="10"/>
              <w:jc w:val="center"/>
              <w:rPr>
                <w:color w:val="auto"/>
                <w:sz w:val="18"/>
                <w:szCs w:val="20"/>
                <w:highlight w:val="none"/>
              </w:rPr>
            </w:pPr>
            <w:r>
              <w:rPr>
                <w:color w:val="auto"/>
                <w:sz w:val="18"/>
                <w:szCs w:val="20"/>
                <w:highlight w:val="none"/>
              </w:rPr>
              <w:t>—</w:t>
            </w:r>
          </w:p>
        </w:tc>
        <w:tc>
          <w:tcPr>
            <w:tcW w:w="1881" w:type="dxa"/>
            <w:vAlign w:val="center"/>
          </w:tcPr>
          <w:p>
            <w:pPr>
              <w:spacing w:before="31" w:beforeLines="10" w:after="31" w:afterLines="10"/>
              <w:jc w:val="center"/>
              <w:rPr>
                <w:color w:val="auto"/>
                <w:sz w:val="18"/>
                <w:szCs w:val="20"/>
                <w:highlight w:val="none"/>
              </w:rPr>
            </w:pPr>
            <w:r>
              <w:rPr>
                <w:color w:val="auto"/>
                <w:sz w:val="18"/>
                <w:szCs w:val="20"/>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gridSpan w:val="2"/>
            <w:vAlign w:val="center"/>
          </w:tcPr>
          <w:p>
            <w:pPr>
              <w:spacing w:before="31" w:beforeLines="10" w:after="31" w:afterLines="10"/>
              <w:jc w:val="center"/>
              <w:rPr>
                <w:color w:val="auto"/>
                <w:sz w:val="18"/>
                <w:szCs w:val="20"/>
                <w:highlight w:val="none"/>
              </w:rPr>
            </w:pPr>
            <w:r>
              <w:rPr>
                <w:color w:val="auto"/>
                <w:sz w:val="18"/>
                <w:szCs w:val="20"/>
                <w:highlight w:val="none"/>
              </w:rPr>
              <w:t>给排水厂站工程</w:t>
            </w:r>
          </w:p>
        </w:tc>
        <w:tc>
          <w:tcPr>
            <w:tcW w:w="1890" w:type="dxa"/>
            <w:vAlign w:val="center"/>
          </w:tcPr>
          <w:p>
            <w:pPr>
              <w:spacing w:before="31" w:beforeLines="10" w:after="31" w:afterLines="10"/>
              <w:jc w:val="center"/>
              <w:rPr>
                <w:color w:val="auto"/>
                <w:sz w:val="18"/>
                <w:szCs w:val="20"/>
                <w:highlight w:val="none"/>
              </w:rPr>
            </w:pPr>
            <w:r>
              <w:rPr>
                <w:color w:val="auto"/>
                <w:sz w:val="18"/>
                <w:szCs w:val="20"/>
                <w:highlight w:val="none"/>
              </w:rPr>
              <w:t>大型、中型或地埋式</w:t>
            </w:r>
          </w:p>
        </w:tc>
        <w:tc>
          <w:tcPr>
            <w:tcW w:w="2160" w:type="dxa"/>
            <w:vAlign w:val="center"/>
          </w:tcPr>
          <w:p>
            <w:pPr>
              <w:spacing w:before="31" w:beforeLines="10" w:after="31" w:afterLines="10"/>
              <w:jc w:val="center"/>
              <w:rPr>
                <w:color w:val="auto"/>
                <w:sz w:val="18"/>
                <w:szCs w:val="20"/>
                <w:highlight w:val="none"/>
              </w:rPr>
            </w:pPr>
            <w:r>
              <w:rPr>
                <w:color w:val="auto"/>
                <w:sz w:val="18"/>
                <w:szCs w:val="20"/>
                <w:highlight w:val="none"/>
              </w:rPr>
              <w:t>小型非地埋式</w:t>
            </w:r>
          </w:p>
        </w:tc>
        <w:tc>
          <w:tcPr>
            <w:tcW w:w="1881" w:type="dxa"/>
            <w:vAlign w:val="center"/>
          </w:tcPr>
          <w:p>
            <w:pPr>
              <w:spacing w:before="31" w:beforeLines="10" w:after="31" w:afterLines="10"/>
              <w:jc w:val="center"/>
              <w:rPr>
                <w:color w:val="auto"/>
                <w:sz w:val="18"/>
                <w:szCs w:val="20"/>
                <w:highlight w:val="none"/>
              </w:rPr>
            </w:pPr>
            <w:r>
              <w:rPr>
                <w:color w:val="auto"/>
                <w:sz w:val="18"/>
                <w:szCs w:val="20"/>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vMerge w:val="restart"/>
            <w:vAlign w:val="center"/>
          </w:tcPr>
          <w:p>
            <w:pPr>
              <w:spacing w:before="62" w:beforeLines="20" w:after="62" w:afterLines="20"/>
              <w:jc w:val="center"/>
              <w:rPr>
                <w:color w:val="auto"/>
                <w:sz w:val="18"/>
                <w:szCs w:val="20"/>
                <w:highlight w:val="none"/>
              </w:rPr>
            </w:pPr>
            <w:r>
              <w:rPr>
                <w:color w:val="auto"/>
                <w:sz w:val="18"/>
                <w:szCs w:val="20"/>
                <w:highlight w:val="none"/>
              </w:rPr>
              <w:t>室外管道工程</w:t>
            </w:r>
          </w:p>
        </w:tc>
        <w:tc>
          <w:tcPr>
            <w:tcW w:w="1350" w:type="dxa"/>
            <w:vAlign w:val="center"/>
          </w:tcPr>
          <w:p>
            <w:pPr>
              <w:spacing w:before="31" w:beforeLines="10" w:after="31" w:afterLines="10"/>
              <w:jc w:val="center"/>
              <w:rPr>
                <w:color w:val="auto"/>
                <w:sz w:val="18"/>
                <w:szCs w:val="20"/>
                <w:highlight w:val="none"/>
              </w:rPr>
            </w:pPr>
            <w:r>
              <w:rPr>
                <w:color w:val="auto"/>
                <w:sz w:val="18"/>
                <w:szCs w:val="20"/>
                <w:highlight w:val="none"/>
              </w:rPr>
              <w:t>明挖</w:t>
            </w:r>
            <w:r>
              <w:rPr>
                <w:rFonts w:hint="eastAsia"/>
                <w:color w:val="auto"/>
                <w:sz w:val="18"/>
                <w:szCs w:val="20"/>
                <w:highlight w:val="none"/>
              </w:rPr>
              <w:t>法施工</w:t>
            </w:r>
          </w:p>
        </w:tc>
        <w:tc>
          <w:tcPr>
            <w:tcW w:w="1890" w:type="dxa"/>
            <w:vAlign w:val="center"/>
          </w:tcPr>
          <w:p>
            <w:pPr>
              <w:spacing w:before="31" w:beforeLines="10" w:after="31" w:afterLines="10"/>
              <w:jc w:val="center"/>
              <w:rPr>
                <w:color w:val="auto"/>
                <w:sz w:val="18"/>
                <w:szCs w:val="20"/>
                <w:highlight w:val="none"/>
              </w:rPr>
            </w:pPr>
            <w:r>
              <w:rPr>
                <w:rFonts w:hint="eastAsia"/>
                <w:color w:val="auto"/>
                <w:sz w:val="18"/>
                <w:szCs w:val="20"/>
                <w:highlight w:val="none"/>
              </w:rPr>
              <w:t>基坑开挖深度≥5m</w:t>
            </w:r>
          </w:p>
        </w:tc>
        <w:tc>
          <w:tcPr>
            <w:tcW w:w="2160" w:type="dxa"/>
            <w:vAlign w:val="center"/>
          </w:tcPr>
          <w:p>
            <w:pPr>
              <w:spacing w:before="31" w:beforeLines="10" w:after="31" w:afterLines="10"/>
              <w:jc w:val="center"/>
              <w:rPr>
                <w:color w:val="auto"/>
                <w:sz w:val="15"/>
                <w:szCs w:val="16"/>
                <w:highlight w:val="none"/>
              </w:rPr>
            </w:pPr>
            <w:r>
              <w:rPr>
                <w:rFonts w:hint="eastAsia"/>
                <w:color w:val="auto"/>
                <w:sz w:val="18"/>
                <w:szCs w:val="20"/>
                <w:highlight w:val="none"/>
              </w:rPr>
              <w:t>基坑开挖深度3m~5m</w:t>
            </w:r>
          </w:p>
        </w:tc>
        <w:tc>
          <w:tcPr>
            <w:tcW w:w="1881" w:type="dxa"/>
            <w:vAlign w:val="center"/>
          </w:tcPr>
          <w:p>
            <w:pPr>
              <w:spacing w:before="31" w:beforeLines="10" w:after="31" w:afterLines="10"/>
              <w:jc w:val="center"/>
              <w:rPr>
                <w:color w:val="auto"/>
                <w:sz w:val="15"/>
                <w:szCs w:val="16"/>
                <w:highlight w:val="none"/>
              </w:rPr>
            </w:pPr>
            <w:r>
              <w:rPr>
                <w:rFonts w:hint="eastAsia"/>
                <w:color w:val="auto"/>
                <w:sz w:val="18"/>
                <w:szCs w:val="20"/>
                <w:highlight w:val="none"/>
              </w:rPr>
              <w:t>基坑开挖深度＜3m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vMerge w:val="continue"/>
            <w:vAlign w:val="center"/>
          </w:tcPr>
          <w:p>
            <w:pPr>
              <w:spacing w:before="62" w:beforeLines="20" w:after="62" w:afterLines="20"/>
              <w:jc w:val="center"/>
              <w:rPr>
                <w:color w:val="auto"/>
                <w:sz w:val="18"/>
                <w:szCs w:val="20"/>
                <w:highlight w:val="none"/>
              </w:rPr>
            </w:pPr>
          </w:p>
        </w:tc>
        <w:tc>
          <w:tcPr>
            <w:tcW w:w="1350" w:type="dxa"/>
            <w:vAlign w:val="center"/>
          </w:tcPr>
          <w:p>
            <w:pPr>
              <w:spacing w:before="31" w:beforeLines="10" w:after="31" w:afterLines="10"/>
              <w:jc w:val="center"/>
              <w:rPr>
                <w:color w:val="auto"/>
                <w:sz w:val="18"/>
                <w:szCs w:val="20"/>
                <w:highlight w:val="none"/>
              </w:rPr>
            </w:pPr>
            <w:r>
              <w:rPr>
                <w:rFonts w:hint="eastAsia"/>
                <w:color w:val="auto"/>
                <w:sz w:val="18"/>
                <w:szCs w:val="20"/>
                <w:highlight w:val="none"/>
              </w:rPr>
              <w:t>非开挖法施工</w:t>
            </w:r>
          </w:p>
        </w:tc>
        <w:tc>
          <w:tcPr>
            <w:tcW w:w="1890" w:type="dxa"/>
            <w:vAlign w:val="center"/>
          </w:tcPr>
          <w:p>
            <w:pPr>
              <w:spacing w:before="31" w:beforeLines="10" w:after="31" w:afterLines="10"/>
              <w:jc w:val="center"/>
              <w:rPr>
                <w:color w:val="auto"/>
                <w:sz w:val="18"/>
                <w:szCs w:val="20"/>
                <w:highlight w:val="none"/>
              </w:rPr>
            </w:pPr>
            <w:r>
              <w:rPr>
                <w:color w:val="auto"/>
                <w:sz w:val="18"/>
                <w:szCs w:val="20"/>
                <w:highlight w:val="none"/>
              </w:rPr>
              <w:t>全部</w:t>
            </w:r>
          </w:p>
        </w:tc>
        <w:tc>
          <w:tcPr>
            <w:tcW w:w="2160" w:type="dxa"/>
            <w:vAlign w:val="center"/>
          </w:tcPr>
          <w:p>
            <w:pPr>
              <w:spacing w:before="31" w:beforeLines="10" w:after="31" w:afterLines="10"/>
              <w:jc w:val="center"/>
              <w:rPr>
                <w:color w:val="auto"/>
                <w:sz w:val="18"/>
                <w:szCs w:val="20"/>
                <w:highlight w:val="none"/>
              </w:rPr>
            </w:pPr>
            <w:r>
              <w:rPr>
                <w:color w:val="auto"/>
                <w:sz w:val="18"/>
                <w:szCs w:val="20"/>
                <w:highlight w:val="none"/>
              </w:rPr>
              <w:t>—</w:t>
            </w:r>
          </w:p>
        </w:tc>
        <w:tc>
          <w:tcPr>
            <w:tcW w:w="1881" w:type="dxa"/>
            <w:vAlign w:val="center"/>
          </w:tcPr>
          <w:p>
            <w:pPr>
              <w:spacing w:before="31" w:beforeLines="10" w:after="31" w:afterLines="10"/>
              <w:jc w:val="center"/>
              <w:rPr>
                <w:color w:val="auto"/>
                <w:sz w:val="18"/>
                <w:szCs w:val="20"/>
                <w:highlight w:val="none"/>
              </w:rPr>
            </w:pPr>
            <w:r>
              <w:rPr>
                <w:color w:val="auto"/>
                <w:sz w:val="18"/>
                <w:szCs w:val="20"/>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321" w:type="dxa"/>
            <w:gridSpan w:val="2"/>
            <w:vAlign w:val="center"/>
          </w:tcPr>
          <w:p>
            <w:pPr>
              <w:spacing w:before="31" w:beforeLines="10" w:after="31" w:afterLines="10"/>
              <w:jc w:val="center"/>
              <w:rPr>
                <w:color w:val="auto"/>
                <w:sz w:val="18"/>
                <w:szCs w:val="20"/>
                <w:highlight w:val="none"/>
              </w:rPr>
            </w:pPr>
            <w:r>
              <w:rPr>
                <w:rFonts w:hint="eastAsia"/>
                <w:color w:val="auto"/>
                <w:sz w:val="18"/>
                <w:szCs w:val="20"/>
                <w:highlight w:val="none"/>
              </w:rPr>
              <w:t>综合管廊工程</w:t>
            </w:r>
          </w:p>
        </w:tc>
        <w:tc>
          <w:tcPr>
            <w:tcW w:w="1890" w:type="dxa"/>
            <w:vAlign w:val="center"/>
          </w:tcPr>
          <w:p>
            <w:pPr>
              <w:spacing w:before="31" w:beforeLines="10" w:after="31" w:afterLines="10"/>
              <w:jc w:val="center"/>
              <w:rPr>
                <w:color w:val="auto"/>
                <w:sz w:val="18"/>
                <w:szCs w:val="20"/>
                <w:highlight w:val="none"/>
              </w:rPr>
            </w:pPr>
            <w:r>
              <w:rPr>
                <w:color w:val="auto"/>
                <w:sz w:val="18"/>
                <w:szCs w:val="20"/>
                <w:highlight w:val="none"/>
              </w:rPr>
              <w:t>全部</w:t>
            </w:r>
          </w:p>
        </w:tc>
        <w:tc>
          <w:tcPr>
            <w:tcW w:w="2160" w:type="dxa"/>
            <w:vAlign w:val="center"/>
          </w:tcPr>
          <w:p>
            <w:pPr>
              <w:spacing w:before="31" w:beforeLines="10" w:after="31" w:afterLines="10"/>
              <w:jc w:val="center"/>
              <w:rPr>
                <w:color w:val="auto"/>
                <w:sz w:val="18"/>
                <w:szCs w:val="20"/>
                <w:highlight w:val="none"/>
              </w:rPr>
            </w:pPr>
            <w:r>
              <w:rPr>
                <w:color w:val="auto"/>
                <w:sz w:val="18"/>
                <w:szCs w:val="20"/>
                <w:highlight w:val="none"/>
              </w:rPr>
              <w:t>—</w:t>
            </w:r>
          </w:p>
        </w:tc>
        <w:tc>
          <w:tcPr>
            <w:tcW w:w="1881" w:type="dxa"/>
            <w:vAlign w:val="center"/>
          </w:tcPr>
          <w:p>
            <w:pPr>
              <w:spacing w:before="31" w:beforeLines="10" w:after="31" w:afterLines="10"/>
              <w:jc w:val="center"/>
              <w:rPr>
                <w:color w:val="auto"/>
                <w:sz w:val="18"/>
                <w:szCs w:val="20"/>
                <w:highlight w:val="none"/>
              </w:rPr>
            </w:pPr>
            <w:r>
              <w:rPr>
                <w:color w:val="auto"/>
                <w:sz w:val="18"/>
                <w:szCs w:val="20"/>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321" w:type="dxa"/>
            <w:gridSpan w:val="2"/>
            <w:vAlign w:val="center"/>
          </w:tcPr>
          <w:p>
            <w:pPr>
              <w:spacing w:before="31" w:beforeLines="10" w:after="31" w:afterLines="10"/>
              <w:jc w:val="center"/>
              <w:rPr>
                <w:color w:val="auto"/>
                <w:sz w:val="18"/>
                <w:szCs w:val="20"/>
                <w:highlight w:val="none"/>
              </w:rPr>
            </w:pPr>
            <w:r>
              <w:rPr>
                <w:rFonts w:hint="eastAsia"/>
                <w:color w:val="auto"/>
                <w:sz w:val="18"/>
                <w:szCs w:val="20"/>
                <w:highlight w:val="none"/>
              </w:rPr>
              <w:t>场地平整工程</w:t>
            </w:r>
          </w:p>
        </w:tc>
        <w:tc>
          <w:tcPr>
            <w:tcW w:w="1890" w:type="dxa"/>
            <w:vAlign w:val="center"/>
          </w:tcPr>
          <w:p>
            <w:pPr>
              <w:spacing w:before="31" w:beforeLines="10" w:after="31" w:afterLines="10"/>
              <w:jc w:val="center"/>
              <w:rPr>
                <w:color w:val="auto"/>
                <w:sz w:val="18"/>
                <w:szCs w:val="20"/>
                <w:highlight w:val="none"/>
              </w:rPr>
            </w:pPr>
            <w:r>
              <w:rPr>
                <w:color w:val="auto"/>
                <w:sz w:val="18"/>
                <w:szCs w:val="20"/>
                <w:highlight w:val="none"/>
              </w:rPr>
              <w:t>—</w:t>
            </w:r>
          </w:p>
        </w:tc>
        <w:tc>
          <w:tcPr>
            <w:tcW w:w="2160" w:type="dxa"/>
            <w:vAlign w:val="center"/>
          </w:tcPr>
          <w:p>
            <w:pPr>
              <w:spacing w:before="31" w:beforeLines="10" w:after="31" w:afterLines="10"/>
              <w:jc w:val="center"/>
              <w:rPr>
                <w:color w:val="auto"/>
                <w:sz w:val="18"/>
                <w:szCs w:val="20"/>
                <w:highlight w:val="none"/>
              </w:rPr>
            </w:pPr>
            <w:r>
              <w:rPr>
                <w:color w:val="auto"/>
                <w:sz w:val="18"/>
                <w:szCs w:val="20"/>
                <w:highlight w:val="none"/>
              </w:rPr>
              <w:t>全部</w:t>
            </w:r>
          </w:p>
        </w:tc>
        <w:tc>
          <w:tcPr>
            <w:tcW w:w="1881" w:type="dxa"/>
            <w:vAlign w:val="center"/>
          </w:tcPr>
          <w:p>
            <w:pPr>
              <w:spacing w:before="31" w:beforeLines="10" w:after="31" w:afterLines="10"/>
              <w:jc w:val="center"/>
              <w:rPr>
                <w:color w:val="auto"/>
                <w:sz w:val="18"/>
                <w:szCs w:val="20"/>
                <w:highlight w:val="none"/>
              </w:rPr>
            </w:pPr>
            <w:r>
              <w:rPr>
                <w:color w:val="auto"/>
                <w:sz w:val="18"/>
                <w:szCs w:val="20"/>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71" w:type="dxa"/>
            <w:vMerge w:val="restart"/>
            <w:vAlign w:val="center"/>
          </w:tcPr>
          <w:p>
            <w:pPr>
              <w:spacing w:before="31" w:beforeLines="10" w:after="31" w:afterLines="10"/>
              <w:jc w:val="center"/>
              <w:rPr>
                <w:color w:val="auto"/>
                <w:sz w:val="18"/>
                <w:szCs w:val="20"/>
                <w:highlight w:val="none"/>
              </w:rPr>
            </w:pPr>
            <w:bookmarkStart w:id="23" w:name="OLE_LINK5"/>
            <w:r>
              <w:rPr>
                <w:rFonts w:hint="eastAsia"/>
                <w:color w:val="auto"/>
                <w:sz w:val="18"/>
                <w:szCs w:val="20"/>
                <w:highlight w:val="none"/>
              </w:rPr>
              <w:t>固体</w:t>
            </w:r>
            <w:r>
              <w:rPr>
                <w:color w:val="auto"/>
                <w:sz w:val="18"/>
                <w:szCs w:val="20"/>
                <w:highlight w:val="none"/>
              </w:rPr>
              <w:t>废弃物</w:t>
            </w:r>
            <w:r>
              <w:rPr>
                <w:rFonts w:hint="eastAsia"/>
                <w:color w:val="auto"/>
                <w:sz w:val="18"/>
                <w:szCs w:val="20"/>
                <w:highlight w:val="none"/>
              </w:rPr>
              <w:t>处置场</w:t>
            </w:r>
            <w:r>
              <w:rPr>
                <w:color w:val="auto"/>
                <w:sz w:val="18"/>
                <w:szCs w:val="20"/>
                <w:highlight w:val="none"/>
              </w:rPr>
              <w:t>工程</w:t>
            </w:r>
            <w:bookmarkEnd w:id="23"/>
          </w:p>
        </w:tc>
        <w:tc>
          <w:tcPr>
            <w:tcW w:w="1350" w:type="dxa"/>
            <w:vAlign w:val="center"/>
          </w:tcPr>
          <w:p>
            <w:pPr>
              <w:spacing w:before="31" w:beforeLines="10" w:after="31" w:afterLines="10"/>
              <w:jc w:val="center"/>
              <w:rPr>
                <w:color w:val="auto"/>
                <w:sz w:val="18"/>
                <w:szCs w:val="20"/>
                <w:highlight w:val="none"/>
              </w:rPr>
            </w:pPr>
            <w:r>
              <w:rPr>
                <w:rFonts w:hint="eastAsia"/>
                <w:color w:val="auto"/>
                <w:sz w:val="18"/>
                <w:szCs w:val="20"/>
                <w:highlight w:val="none"/>
              </w:rPr>
              <w:t>卫生填埋场</w:t>
            </w:r>
          </w:p>
        </w:tc>
        <w:tc>
          <w:tcPr>
            <w:tcW w:w="1890" w:type="dxa"/>
            <w:vAlign w:val="center"/>
          </w:tcPr>
          <w:p>
            <w:pPr>
              <w:spacing w:line="0" w:lineRule="atLeast"/>
              <w:jc w:val="center"/>
              <w:rPr>
                <w:color w:val="auto"/>
                <w:sz w:val="18"/>
                <w:szCs w:val="20"/>
                <w:highlight w:val="none"/>
                <w:vertAlign w:val="superscript"/>
              </w:rPr>
            </w:pPr>
            <w:r>
              <w:rPr>
                <w:rFonts w:hint="eastAsia"/>
                <w:color w:val="auto"/>
                <w:sz w:val="18"/>
                <w:szCs w:val="20"/>
                <w:highlight w:val="none"/>
              </w:rPr>
              <w:t>日处理量</w:t>
            </w:r>
            <w:r>
              <w:rPr>
                <w:rFonts w:hint="eastAsia" w:ascii="宋体" w:hAnsi="宋体" w:cs="宋体"/>
                <w:color w:val="auto"/>
                <w:sz w:val="18"/>
                <w:szCs w:val="20"/>
                <w:highlight w:val="none"/>
              </w:rPr>
              <w:t>≥</w:t>
            </w:r>
            <w:r>
              <w:rPr>
                <w:rFonts w:hint="eastAsia"/>
                <w:color w:val="auto"/>
                <w:sz w:val="18"/>
                <w:szCs w:val="20"/>
                <w:highlight w:val="none"/>
              </w:rPr>
              <w:t>12</w:t>
            </w:r>
            <w:r>
              <w:rPr>
                <w:color w:val="auto"/>
                <w:sz w:val="18"/>
                <w:szCs w:val="20"/>
                <w:highlight w:val="none"/>
              </w:rPr>
              <w:t>00</w:t>
            </w:r>
            <w:r>
              <w:rPr>
                <w:rFonts w:hint="eastAsia"/>
                <w:color w:val="auto"/>
                <w:sz w:val="18"/>
                <w:szCs w:val="20"/>
                <w:highlight w:val="none"/>
                <w:lang w:val="en-US" w:eastAsia="zh-CN"/>
              </w:rPr>
              <w:t>吨</w:t>
            </w:r>
            <w:r>
              <w:rPr>
                <w:rFonts w:hint="eastAsia"/>
                <w:color w:val="auto"/>
                <w:sz w:val="18"/>
                <w:szCs w:val="20"/>
                <w:highlight w:val="none"/>
              </w:rPr>
              <w:t>、库容</w:t>
            </w:r>
            <w:r>
              <w:rPr>
                <w:rFonts w:hint="eastAsia" w:ascii="宋体" w:hAnsi="宋体" w:cs="宋体"/>
                <w:color w:val="auto"/>
                <w:sz w:val="18"/>
                <w:szCs w:val="20"/>
                <w:highlight w:val="none"/>
              </w:rPr>
              <w:t>≥</w:t>
            </w:r>
            <w:r>
              <w:rPr>
                <w:rFonts w:hint="eastAsia"/>
                <w:color w:val="auto"/>
                <w:sz w:val="18"/>
                <w:szCs w:val="20"/>
                <w:highlight w:val="none"/>
              </w:rPr>
              <w:t>12</w:t>
            </w:r>
            <w:r>
              <w:rPr>
                <w:color w:val="auto"/>
                <w:sz w:val="18"/>
                <w:szCs w:val="20"/>
                <w:highlight w:val="none"/>
              </w:rPr>
              <w:t>00</w:t>
            </w:r>
            <w:r>
              <w:rPr>
                <w:rFonts w:hint="eastAsia" w:ascii="Arial" w:hAnsi="Arial" w:cs="Arial"/>
                <w:color w:val="auto"/>
                <w:sz w:val="18"/>
                <w:szCs w:val="20"/>
                <w:highlight w:val="none"/>
              </w:rPr>
              <w:t>万</w:t>
            </w:r>
            <w:r>
              <w:rPr>
                <w:rFonts w:hint="eastAsia"/>
                <w:color w:val="auto"/>
                <w:sz w:val="18"/>
                <w:szCs w:val="20"/>
                <w:highlight w:val="none"/>
              </w:rPr>
              <w:t>m</w:t>
            </w:r>
            <w:r>
              <w:rPr>
                <w:rFonts w:hint="eastAsia"/>
                <w:color w:val="auto"/>
                <w:sz w:val="18"/>
                <w:szCs w:val="20"/>
                <w:highlight w:val="none"/>
                <w:vertAlign w:val="superscript"/>
              </w:rPr>
              <w:t>3</w:t>
            </w:r>
          </w:p>
        </w:tc>
        <w:tc>
          <w:tcPr>
            <w:tcW w:w="2160" w:type="dxa"/>
            <w:vAlign w:val="center"/>
          </w:tcPr>
          <w:p>
            <w:pPr>
              <w:spacing w:line="0" w:lineRule="atLeast"/>
              <w:jc w:val="center"/>
              <w:rPr>
                <w:color w:val="auto"/>
                <w:sz w:val="18"/>
                <w:szCs w:val="20"/>
                <w:highlight w:val="none"/>
              </w:rPr>
            </w:pPr>
            <w:r>
              <w:rPr>
                <w:rFonts w:hint="eastAsia"/>
                <w:color w:val="auto"/>
                <w:sz w:val="18"/>
                <w:szCs w:val="20"/>
                <w:highlight w:val="none"/>
              </w:rPr>
              <w:t>日处理量</w:t>
            </w:r>
            <w:r>
              <w:rPr>
                <w:color w:val="auto"/>
                <w:sz w:val="18"/>
                <w:szCs w:val="20"/>
                <w:highlight w:val="none"/>
              </w:rPr>
              <w:t>200</w:t>
            </w:r>
            <w:r>
              <w:rPr>
                <w:rFonts w:hint="eastAsia"/>
                <w:color w:val="auto"/>
                <w:sz w:val="18"/>
                <w:szCs w:val="20"/>
                <w:highlight w:val="none"/>
              </w:rPr>
              <w:t>~12</w:t>
            </w:r>
            <w:r>
              <w:rPr>
                <w:color w:val="auto"/>
                <w:sz w:val="18"/>
                <w:szCs w:val="20"/>
                <w:highlight w:val="none"/>
              </w:rPr>
              <w:t>00</w:t>
            </w:r>
            <w:r>
              <w:rPr>
                <w:rFonts w:hint="eastAsia"/>
                <w:color w:val="auto"/>
                <w:sz w:val="18"/>
                <w:szCs w:val="20"/>
                <w:highlight w:val="none"/>
                <w:lang w:val="en-US" w:eastAsia="zh-CN"/>
              </w:rPr>
              <w:t>吨</w:t>
            </w:r>
            <w:r>
              <w:rPr>
                <w:rFonts w:hint="eastAsia"/>
                <w:color w:val="auto"/>
                <w:sz w:val="18"/>
                <w:szCs w:val="20"/>
                <w:highlight w:val="none"/>
              </w:rPr>
              <w:t>、</w:t>
            </w:r>
          </w:p>
          <w:p>
            <w:pPr>
              <w:spacing w:line="0" w:lineRule="atLeast"/>
              <w:jc w:val="center"/>
              <w:rPr>
                <w:color w:val="auto"/>
                <w:sz w:val="18"/>
                <w:szCs w:val="20"/>
                <w:highlight w:val="none"/>
              </w:rPr>
            </w:pPr>
            <w:r>
              <w:rPr>
                <w:rFonts w:hint="eastAsia"/>
                <w:color w:val="auto"/>
                <w:sz w:val="18"/>
                <w:szCs w:val="20"/>
                <w:highlight w:val="none"/>
              </w:rPr>
              <w:t>库容</w:t>
            </w:r>
            <w:r>
              <w:rPr>
                <w:color w:val="auto"/>
                <w:sz w:val="18"/>
                <w:szCs w:val="20"/>
                <w:highlight w:val="none"/>
              </w:rPr>
              <w:t>200</w:t>
            </w:r>
            <w:r>
              <w:rPr>
                <w:rFonts w:hint="eastAsia"/>
                <w:color w:val="auto"/>
                <w:sz w:val="18"/>
                <w:szCs w:val="20"/>
                <w:highlight w:val="none"/>
              </w:rPr>
              <w:t>~12</w:t>
            </w:r>
            <w:r>
              <w:rPr>
                <w:color w:val="auto"/>
                <w:sz w:val="18"/>
                <w:szCs w:val="20"/>
                <w:highlight w:val="none"/>
              </w:rPr>
              <w:t>00</w:t>
            </w:r>
            <w:r>
              <w:rPr>
                <w:rFonts w:hint="eastAsia"/>
                <w:color w:val="auto"/>
                <w:sz w:val="18"/>
                <w:szCs w:val="20"/>
                <w:highlight w:val="none"/>
              </w:rPr>
              <w:t xml:space="preserve"> 万m</w:t>
            </w:r>
            <w:r>
              <w:rPr>
                <w:rFonts w:hint="eastAsia"/>
                <w:color w:val="auto"/>
                <w:sz w:val="18"/>
                <w:szCs w:val="20"/>
                <w:highlight w:val="none"/>
                <w:vertAlign w:val="superscript"/>
              </w:rPr>
              <w:t>3</w:t>
            </w:r>
          </w:p>
        </w:tc>
        <w:tc>
          <w:tcPr>
            <w:tcW w:w="1881" w:type="dxa"/>
            <w:vAlign w:val="center"/>
          </w:tcPr>
          <w:p>
            <w:pPr>
              <w:spacing w:line="0" w:lineRule="atLeast"/>
              <w:jc w:val="center"/>
              <w:rPr>
                <w:color w:val="auto"/>
                <w:sz w:val="18"/>
                <w:szCs w:val="20"/>
                <w:highlight w:val="none"/>
              </w:rPr>
            </w:pPr>
            <w:r>
              <w:rPr>
                <w:rFonts w:hint="eastAsia"/>
                <w:color w:val="auto"/>
                <w:sz w:val="18"/>
                <w:szCs w:val="20"/>
                <w:highlight w:val="none"/>
              </w:rPr>
              <w:t>日处理量</w:t>
            </w:r>
            <w:r>
              <w:rPr>
                <w:color w:val="auto"/>
                <w:sz w:val="18"/>
                <w:szCs w:val="20"/>
                <w:highlight w:val="none"/>
              </w:rPr>
              <w:t>＜200</w:t>
            </w:r>
            <w:r>
              <w:rPr>
                <w:rFonts w:hint="eastAsia"/>
                <w:color w:val="auto"/>
                <w:sz w:val="18"/>
                <w:szCs w:val="20"/>
                <w:highlight w:val="none"/>
                <w:lang w:val="en-US" w:eastAsia="zh-CN"/>
              </w:rPr>
              <w:t>吨</w:t>
            </w:r>
            <w:r>
              <w:rPr>
                <w:rFonts w:hint="eastAsia"/>
                <w:color w:val="auto"/>
                <w:sz w:val="18"/>
                <w:szCs w:val="20"/>
                <w:highlight w:val="none"/>
              </w:rPr>
              <w:t>、库容</w:t>
            </w:r>
            <w:r>
              <w:rPr>
                <w:color w:val="auto"/>
                <w:sz w:val="18"/>
                <w:szCs w:val="20"/>
                <w:highlight w:val="none"/>
              </w:rPr>
              <w:t>＜200</w:t>
            </w:r>
            <w:r>
              <w:rPr>
                <w:rFonts w:hint="eastAsia" w:ascii="Arial" w:hAnsi="Arial" w:cs="Arial"/>
                <w:color w:val="auto"/>
                <w:sz w:val="18"/>
                <w:szCs w:val="20"/>
                <w:highlight w:val="none"/>
              </w:rPr>
              <w:t>万</w:t>
            </w:r>
            <w:r>
              <w:rPr>
                <w:rFonts w:hint="eastAsia"/>
                <w:color w:val="auto"/>
                <w:sz w:val="18"/>
                <w:szCs w:val="20"/>
                <w:highlight w:val="none"/>
              </w:rPr>
              <w:t>m</w:t>
            </w:r>
            <w:r>
              <w:rPr>
                <w:rFonts w:hint="eastAsia"/>
                <w:color w:val="auto"/>
                <w:sz w:val="18"/>
                <w:szCs w:val="20"/>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71" w:type="dxa"/>
            <w:vMerge w:val="continue"/>
            <w:vAlign w:val="center"/>
          </w:tcPr>
          <w:p>
            <w:pPr>
              <w:spacing w:before="31" w:beforeLines="10" w:after="31" w:afterLines="10"/>
              <w:jc w:val="center"/>
              <w:rPr>
                <w:color w:val="auto"/>
                <w:sz w:val="18"/>
                <w:szCs w:val="20"/>
                <w:highlight w:val="none"/>
              </w:rPr>
            </w:pPr>
          </w:p>
        </w:tc>
        <w:tc>
          <w:tcPr>
            <w:tcW w:w="1350" w:type="dxa"/>
            <w:vAlign w:val="center"/>
          </w:tcPr>
          <w:p>
            <w:pPr>
              <w:spacing w:before="31" w:beforeLines="10" w:after="31" w:afterLines="10"/>
              <w:jc w:val="center"/>
              <w:rPr>
                <w:color w:val="auto"/>
                <w:sz w:val="18"/>
                <w:szCs w:val="20"/>
                <w:highlight w:val="none"/>
              </w:rPr>
            </w:pPr>
            <w:r>
              <w:rPr>
                <w:rFonts w:hint="eastAsia"/>
                <w:color w:val="auto"/>
                <w:sz w:val="18"/>
                <w:szCs w:val="20"/>
                <w:highlight w:val="none"/>
              </w:rPr>
              <w:t>垃圾焚烧厂</w:t>
            </w:r>
          </w:p>
        </w:tc>
        <w:tc>
          <w:tcPr>
            <w:tcW w:w="1890" w:type="dxa"/>
            <w:vAlign w:val="center"/>
          </w:tcPr>
          <w:p>
            <w:pPr>
              <w:spacing w:before="31" w:beforeLines="10" w:after="31" w:afterLines="10"/>
              <w:jc w:val="center"/>
              <w:rPr>
                <w:rFonts w:hint="eastAsia" w:eastAsia="宋体"/>
                <w:color w:val="auto"/>
                <w:sz w:val="18"/>
                <w:szCs w:val="20"/>
                <w:highlight w:val="none"/>
                <w:lang w:eastAsia="zh-CN"/>
              </w:rPr>
            </w:pPr>
            <w:r>
              <w:rPr>
                <w:rFonts w:hint="eastAsia"/>
                <w:color w:val="auto"/>
                <w:sz w:val="18"/>
                <w:szCs w:val="20"/>
                <w:highlight w:val="none"/>
              </w:rPr>
              <w:t>日处理量</w:t>
            </w:r>
            <w:r>
              <w:rPr>
                <w:rFonts w:hint="eastAsia" w:ascii="宋体" w:hAnsi="宋体" w:cs="宋体"/>
                <w:color w:val="auto"/>
                <w:sz w:val="18"/>
                <w:szCs w:val="20"/>
                <w:highlight w:val="none"/>
              </w:rPr>
              <w:t>≥</w:t>
            </w:r>
            <w:r>
              <w:rPr>
                <w:rFonts w:hint="eastAsia"/>
                <w:color w:val="auto"/>
                <w:sz w:val="18"/>
                <w:szCs w:val="20"/>
                <w:highlight w:val="none"/>
              </w:rPr>
              <w:t>12</w:t>
            </w:r>
            <w:r>
              <w:rPr>
                <w:color w:val="auto"/>
                <w:sz w:val="18"/>
                <w:szCs w:val="20"/>
                <w:highlight w:val="none"/>
              </w:rPr>
              <w:t>00</w:t>
            </w:r>
            <w:r>
              <w:rPr>
                <w:rFonts w:hint="eastAsia"/>
                <w:color w:val="auto"/>
                <w:sz w:val="18"/>
                <w:szCs w:val="20"/>
                <w:highlight w:val="none"/>
                <w:lang w:val="en-US" w:eastAsia="zh-CN"/>
              </w:rPr>
              <w:t>吨</w:t>
            </w:r>
          </w:p>
        </w:tc>
        <w:tc>
          <w:tcPr>
            <w:tcW w:w="2160" w:type="dxa"/>
            <w:vAlign w:val="center"/>
          </w:tcPr>
          <w:p>
            <w:pPr>
              <w:spacing w:before="31" w:beforeLines="10" w:after="31" w:afterLines="10"/>
              <w:jc w:val="center"/>
              <w:rPr>
                <w:rFonts w:hint="eastAsia" w:eastAsia="宋体"/>
                <w:color w:val="auto"/>
                <w:sz w:val="18"/>
                <w:szCs w:val="20"/>
                <w:highlight w:val="none"/>
                <w:lang w:eastAsia="zh-CN"/>
              </w:rPr>
            </w:pPr>
            <w:r>
              <w:rPr>
                <w:rFonts w:hint="eastAsia"/>
                <w:color w:val="auto"/>
                <w:sz w:val="18"/>
                <w:szCs w:val="20"/>
                <w:highlight w:val="none"/>
              </w:rPr>
              <w:t>日处理量</w:t>
            </w:r>
            <w:r>
              <w:rPr>
                <w:rFonts w:hint="eastAsia"/>
                <w:color w:val="auto"/>
                <w:sz w:val="18"/>
                <w:szCs w:val="20"/>
                <w:highlight w:val="none"/>
                <w:lang w:val="en-US" w:eastAsia="zh-CN"/>
              </w:rPr>
              <w:t>6</w:t>
            </w:r>
            <w:r>
              <w:rPr>
                <w:color w:val="auto"/>
                <w:sz w:val="18"/>
                <w:szCs w:val="20"/>
                <w:highlight w:val="none"/>
              </w:rPr>
              <w:t>00</w:t>
            </w:r>
            <w:r>
              <w:rPr>
                <w:rFonts w:hint="eastAsia"/>
                <w:color w:val="auto"/>
                <w:sz w:val="18"/>
                <w:szCs w:val="20"/>
                <w:highlight w:val="none"/>
              </w:rPr>
              <w:t>~12</w:t>
            </w:r>
            <w:r>
              <w:rPr>
                <w:color w:val="auto"/>
                <w:sz w:val="18"/>
                <w:szCs w:val="20"/>
                <w:highlight w:val="none"/>
              </w:rPr>
              <w:t>00</w:t>
            </w:r>
            <w:r>
              <w:rPr>
                <w:rFonts w:hint="eastAsia"/>
                <w:color w:val="auto"/>
                <w:sz w:val="18"/>
                <w:szCs w:val="20"/>
                <w:highlight w:val="none"/>
                <w:lang w:val="en-US" w:eastAsia="zh-CN"/>
              </w:rPr>
              <w:t>吨</w:t>
            </w:r>
          </w:p>
        </w:tc>
        <w:tc>
          <w:tcPr>
            <w:tcW w:w="1881" w:type="dxa"/>
            <w:vAlign w:val="center"/>
          </w:tcPr>
          <w:p>
            <w:pPr>
              <w:spacing w:before="31" w:beforeLines="10" w:after="31" w:afterLines="10"/>
              <w:jc w:val="center"/>
              <w:rPr>
                <w:color w:val="auto"/>
                <w:sz w:val="18"/>
                <w:szCs w:val="20"/>
                <w:highlight w:val="none"/>
              </w:rPr>
            </w:pPr>
            <w:r>
              <w:rPr>
                <w:rFonts w:hint="eastAsia"/>
                <w:color w:val="auto"/>
                <w:sz w:val="18"/>
                <w:szCs w:val="20"/>
                <w:highlight w:val="none"/>
              </w:rPr>
              <w:t>日处理量</w:t>
            </w:r>
            <w:r>
              <w:rPr>
                <w:color w:val="auto"/>
                <w:sz w:val="18"/>
                <w:szCs w:val="20"/>
                <w:highlight w:val="none"/>
              </w:rPr>
              <w:t>＜</w:t>
            </w:r>
            <w:r>
              <w:rPr>
                <w:rFonts w:hint="eastAsia"/>
                <w:color w:val="auto"/>
                <w:sz w:val="18"/>
                <w:szCs w:val="20"/>
                <w:highlight w:val="none"/>
                <w:lang w:val="en-US" w:eastAsia="zh-CN"/>
              </w:rPr>
              <w:t>6</w:t>
            </w:r>
            <w:r>
              <w:rPr>
                <w:color w:val="auto"/>
                <w:sz w:val="18"/>
                <w:szCs w:val="20"/>
                <w:highlight w:val="none"/>
              </w:rPr>
              <w:t>00</w:t>
            </w:r>
            <w:r>
              <w:rPr>
                <w:rFonts w:hint="eastAsia"/>
                <w:color w:val="auto"/>
                <w:sz w:val="18"/>
                <w:szCs w:val="20"/>
                <w:highlight w:val="none"/>
                <w:lang w:val="en-US" w:eastAsia="zh-CN"/>
              </w:rPr>
              <w:t>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321" w:type="dxa"/>
            <w:gridSpan w:val="2"/>
            <w:vAlign w:val="center"/>
          </w:tcPr>
          <w:p>
            <w:pPr>
              <w:spacing w:before="31" w:beforeLines="10" w:after="31" w:afterLines="10"/>
              <w:jc w:val="center"/>
              <w:rPr>
                <w:color w:val="auto"/>
                <w:sz w:val="18"/>
                <w:szCs w:val="20"/>
                <w:highlight w:val="none"/>
              </w:rPr>
            </w:pPr>
            <w:r>
              <w:rPr>
                <w:color w:val="auto"/>
                <w:sz w:val="18"/>
                <w:szCs w:val="20"/>
                <w:highlight w:val="none"/>
              </w:rPr>
              <w:t>堤岸工程</w:t>
            </w:r>
          </w:p>
        </w:tc>
        <w:tc>
          <w:tcPr>
            <w:tcW w:w="1890" w:type="dxa"/>
            <w:vAlign w:val="center"/>
          </w:tcPr>
          <w:p>
            <w:pPr>
              <w:spacing w:before="31" w:beforeLines="10" w:after="31" w:afterLines="10"/>
              <w:jc w:val="center"/>
              <w:rPr>
                <w:color w:val="auto"/>
                <w:sz w:val="18"/>
                <w:szCs w:val="20"/>
                <w:highlight w:val="none"/>
              </w:rPr>
            </w:pPr>
            <w:r>
              <w:rPr>
                <w:rFonts w:hint="eastAsia"/>
                <w:color w:val="auto"/>
                <w:sz w:val="18"/>
                <w:szCs w:val="20"/>
                <w:highlight w:val="none"/>
              </w:rPr>
              <w:t>桩式堤岸和桩基加固的混合式堤岸、一级堤防堤岸</w:t>
            </w:r>
          </w:p>
        </w:tc>
        <w:tc>
          <w:tcPr>
            <w:tcW w:w="2160" w:type="dxa"/>
            <w:vAlign w:val="center"/>
          </w:tcPr>
          <w:p>
            <w:pPr>
              <w:spacing w:before="31" w:beforeLines="10" w:after="31" w:afterLines="10"/>
              <w:jc w:val="center"/>
              <w:rPr>
                <w:color w:val="auto"/>
                <w:sz w:val="18"/>
                <w:szCs w:val="20"/>
                <w:highlight w:val="none"/>
              </w:rPr>
            </w:pPr>
            <w:r>
              <w:rPr>
                <w:rFonts w:hint="eastAsia"/>
                <w:color w:val="auto"/>
                <w:sz w:val="18"/>
                <w:szCs w:val="20"/>
                <w:highlight w:val="none"/>
              </w:rPr>
              <w:t>圬工结构或钢筋混凝土结构的天然地基堤岸、二级堤防堤岸</w:t>
            </w:r>
          </w:p>
        </w:tc>
        <w:tc>
          <w:tcPr>
            <w:tcW w:w="1881" w:type="dxa"/>
            <w:vAlign w:val="center"/>
          </w:tcPr>
          <w:p>
            <w:pPr>
              <w:spacing w:before="31" w:beforeLines="10" w:after="31" w:afterLines="10"/>
              <w:jc w:val="center"/>
              <w:rPr>
                <w:color w:val="auto"/>
                <w:sz w:val="18"/>
                <w:szCs w:val="20"/>
                <w:highlight w:val="none"/>
              </w:rPr>
            </w:pPr>
            <w:r>
              <w:rPr>
                <w:rFonts w:hint="eastAsia"/>
                <w:color w:val="auto"/>
                <w:sz w:val="18"/>
                <w:szCs w:val="20"/>
                <w:highlight w:val="none"/>
              </w:rPr>
              <w:t>土堤、三级及以下堤防堤岸</w:t>
            </w:r>
          </w:p>
        </w:tc>
      </w:tr>
    </w:tbl>
    <w:p>
      <w:pPr>
        <w:tabs>
          <w:tab w:val="center" w:pos="4410"/>
          <w:tab w:val="right" w:pos="9240"/>
        </w:tabs>
        <w:autoSpaceDE w:val="0"/>
        <w:autoSpaceDN w:val="0"/>
        <w:adjustRightInd w:val="0"/>
        <w:snapToGrid w:val="0"/>
        <w:spacing w:line="360" w:lineRule="auto"/>
        <w:ind w:left="1050" w:leftChars="200" w:hanging="630" w:hangingChars="350"/>
        <w:jc w:val="left"/>
        <w:rPr>
          <w:color w:val="auto"/>
          <w:sz w:val="18"/>
          <w:szCs w:val="18"/>
          <w:highlight w:val="none"/>
        </w:rPr>
      </w:pPr>
      <w:r>
        <w:rPr>
          <w:color w:val="auto"/>
          <w:sz w:val="18"/>
          <w:szCs w:val="18"/>
          <w:highlight w:val="none"/>
        </w:rPr>
        <w:t>注：</w:t>
      </w:r>
      <w:r>
        <w:rPr>
          <w:rFonts w:hint="eastAsia"/>
          <w:color w:val="auto"/>
          <w:sz w:val="18"/>
          <w:szCs w:val="18"/>
          <w:highlight w:val="none"/>
        </w:rPr>
        <w:t>1　</w:t>
      </w:r>
      <w:r>
        <w:rPr>
          <w:color w:val="auto"/>
          <w:sz w:val="18"/>
          <w:szCs w:val="18"/>
          <w:highlight w:val="none"/>
        </w:rPr>
        <w:t>以上有两种等级划分标准</w:t>
      </w:r>
      <w:r>
        <w:rPr>
          <w:rFonts w:hint="eastAsia"/>
          <w:color w:val="auto"/>
          <w:sz w:val="18"/>
          <w:szCs w:val="18"/>
          <w:highlight w:val="none"/>
        </w:rPr>
        <w:t>时，</w:t>
      </w:r>
      <w:r>
        <w:rPr>
          <w:color w:val="auto"/>
          <w:sz w:val="18"/>
          <w:szCs w:val="18"/>
          <w:highlight w:val="none"/>
        </w:rPr>
        <w:t>按两种标准</w:t>
      </w:r>
      <w:r>
        <w:rPr>
          <w:rFonts w:hint="eastAsia"/>
          <w:color w:val="auto"/>
          <w:sz w:val="18"/>
          <w:szCs w:val="18"/>
          <w:highlight w:val="none"/>
        </w:rPr>
        <w:t>判别结果中</w:t>
      </w:r>
      <w:r>
        <w:rPr>
          <w:color w:val="auto"/>
          <w:sz w:val="18"/>
          <w:szCs w:val="18"/>
          <w:highlight w:val="none"/>
        </w:rPr>
        <w:t>等级高的一种确定重要性等级</w:t>
      </w:r>
      <w:r>
        <w:rPr>
          <w:rFonts w:hint="eastAsia"/>
          <w:color w:val="auto"/>
          <w:sz w:val="18"/>
          <w:szCs w:val="18"/>
          <w:highlight w:val="none"/>
        </w:rPr>
        <w:t>，并从一级开始向二级、三级推定，以先满足的为准；</w:t>
      </w:r>
    </w:p>
    <w:p>
      <w:pPr>
        <w:snapToGrid w:val="0"/>
        <w:spacing w:line="360" w:lineRule="auto"/>
        <w:ind w:left="1058" w:leftChars="375" w:hanging="270" w:hangingChars="150"/>
        <w:rPr>
          <w:color w:val="auto"/>
          <w:sz w:val="18"/>
          <w:szCs w:val="18"/>
          <w:highlight w:val="none"/>
        </w:rPr>
      </w:pPr>
      <w:r>
        <w:rPr>
          <w:rFonts w:hint="eastAsia"/>
          <w:color w:val="auto"/>
          <w:sz w:val="18"/>
          <w:szCs w:val="18"/>
          <w:highlight w:val="none"/>
        </w:rPr>
        <w:t>2　根据设计路面标高和原地面标高的相对关系，道路工程可分为一般道路、高路堤、陡坡路堤、路堑和支挡结构。高路堤、陡坡路堤、路堑和支挡结构的工程重要性等级均定为一级；</w:t>
      </w:r>
    </w:p>
    <w:p>
      <w:pPr>
        <w:snapToGrid w:val="0"/>
        <w:spacing w:line="360" w:lineRule="auto"/>
        <w:ind w:left="1058" w:leftChars="375" w:hanging="270" w:hangingChars="150"/>
        <w:rPr>
          <w:color w:val="auto"/>
          <w:sz w:val="18"/>
          <w:szCs w:val="18"/>
          <w:highlight w:val="none"/>
        </w:rPr>
      </w:pPr>
      <w:r>
        <w:rPr>
          <w:rFonts w:hint="eastAsia"/>
          <w:color w:val="auto"/>
          <w:sz w:val="18"/>
          <w:szCs w:val="18"/>
          <w:highlight w:val="none"/>
        </w:rPr>
        <w:t>3　表中的综合管廊工程包括干线综合管廊和支线综合管廊，缆线管廊的工程重要性等级按室外管道工程确定；</w:t>
      </w:r>
    </w:p>
    <w:p>
      <w:pPr>
        <w:snapToGrid w:val="0"/>
        <w:spacing w:line="360" w:lineRule="auto"/>
        <w:ind w:left="1058" w:leftChars="375" w:hanging="270" w:hangingChars="150"/>
        <w:rPr>
          <w:color w:val="auto"/>
          <w:sz w:val="18"/>
          <w:szCs w:val="18"/>
          <w:highlight w:val="none"/>
        </w:rPr>
      </w:pPr>
      <w:r>
        <w:rPr>
          <w:rFonts w:hint="eastAsia"/>
          <w:color w:val="auto"/>
          <w:sz w:val="18"/>
          <w:szCs w:val="18"/>
          <w:highlight w:val="none"/>
        </w:rPr>
        <w:t>4　人行过街天桥按其主桥跨径和长度确定工程重要性等级，梯道重要性等级为三级。</w:t>
      </w:r>
    </w:p>
    <w:p>
      <w:pPr>
        <w:spacing w:line="360" w:lineRule="auto"/>
        <w:ind w:firstLine="422" w:firstLineChars="200"/>
        <w:rPr>
          <w:color w:val="auto"/>
          <w:highlight w:val="none"/>
        </w:rPr>
      </w:pPr>
      <w:r>
        <w:rPr>
          <w:b/>
          <w:bCs/>
          <w:color w:val="auto"/>
          <w:highlight w:val="none"/>
        </w:rPr>
        <w:t>2</w:t>
      </w:r>
      <w:r>
        <w:rPr>
          <w:rFonts w:hint="eastAsia"/>
          <w:b/>
          <w:bCs/>
          <w:color w:val="auto"/>
          <w:highlight w:val="none"/>
        </w:rPr>
        <w:t>　</w:t>
      </w:r>
      <w:r>
        <w:rPr>
          <w:color w:val="auto"/>
          <w:highlight w:val="none"/>
        </w:rPr>
        <w:t>市政工程的场地复杂程度等级</w:t>
      </w:r>
      <w:r>
        <w:rPr>
          <w:rFonts w:hint="eastAsia"/>
          <w:color w:val="auto"/>
          <w:highlight w:val="none"/>
        </w:rPr>
        <w:t>宜</w:t>
      </w:r>
      <w:r>
        <w:rPr>
          <w:color w:val="auto"/>
          <w:highlight w:val="none"/>
        </w:rPr>
        <w:t>按表3.0.1-2划分。</w:t>
      </w:r>
    </w:p>
    <w:p>
      <w:pPr>
        <w:spacing w:line="360" w:lineRule="auto"/>
        <w:jc w:val="center"/>
        <w:rPr>
          <w:b/>
          <w:bCs/>
          <w:color w:val="auto"/>
          <w:highlight w:val="none"/>
        </w:rPr>
      </w:pPr>
      <w:r>
        <w:rPr>
          <w:b/>
          <w:bCs/>
          <w:color w:val="auto"/>
          <w:highlight w:val="none"/>
        </w:rPr>
        <w:t>表3.0.1-2　场地复杂程度等级</w:t>
      </w:r>
    </w:p>
    <w:tbl>
      <w:tblPr>
        <w:tblStyle w:val="22"/>
        <w:tblW w:w="83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4"/>
        <w:gridCol w:w="976"/>
        <w:gridCol w:w="1111"/>
        <w:gridCol w:w="1111"/>
        <w:gridCol w:w="1111"/>
        <w:gridCol w:w="1111"/>
        <w:gridCol w:w="1111"/>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restart"/>
            <w:vAlign w:val="center"/>
          </w:tcPr>
          <w:p>
            <w:pPr>
              <w:spacing w:before="31" w:beforeLines="10" w:after="31" w:afterLines="10"/>
              <w:jc w:val="center"/>
              <w:rPr>
                <w:color w:val="auto"/>
                <w:sz w:val="18"/>
                <w:szCs w:val="20"/>
                <w:highlight w:val="none"/>
              </w:rPr>
            </w:pPr>
            <w:r>
              <w:rPr>
                <w:color w:val="auto"/>
                <w:sz w:val="18"/>
                <w:szCs w:val="20"/>
                <w:highlight w:val="none"/>
              </w:rPr>
              <w:t>等级</w:t>
            </w:r>
          </w:p>
        </w:tc>
        <w:tc>
          <w:tcPr>
            <w:tcW w:w="976" w:type="dxa"/>
            <w:vMerge w:val="restart"/>
            <w:vAlign w:val="center"/>
          </w:tcPr>
          <w:p>
            <w:pPr>
              <w:spacing w:before="31" w:beforeLines="10" w:after="31" w:afterLines="10"/>
              <w:jc w:val="center"/>
              <w:rPr>
                <w:color w:val="auto"/>
                <w:sz w:val="18"/>
                <w:szCs w:val="20"/>
                <w:highlight w:val="none"/>
              </w:rPr>
            </w:pPr>
            <w:r>
              <w:rPr>
                <w:color w:val="auto"/>
                <w:sz w:val="18"/>
                <w:szCs w:val="20"/>
                <w:highlight w:val="none"/>
              </w:rPr>
              <w:t>场地复杂程度</w:t>
            </w:r>
          </w:p>
        </w:tc>
        <w:tc>
          <w:tcPr>
            <w:tcW w:w="6668" w:type="dxa"/>
            <w:gridSpan w:val="6"/>
            <w:vAlign w:val="center"/>
          </w:tcPr>
          <w:p>
            <w:pPr>
              <w:spacing w:before="31" w:beforeLines="10" w:after="31" w:afterLines="10"/>
              <w:jc w:val="center"/>
              <w:rPr>
                <w:color w:val="auto"/>
                <w:sz w:val="18"/>
                <w:szCs w:val="20"/>
                <w:highlight w:val="none"/>
              </w:rPr>
            </w:pPr>
            <w:r>
              <w:rPr>
                <w:color w:val="auto"/>
                <w:sz w:val="18"/>
                <w:szCs w:val="20"/>
                <w:highlight w:val="none"/>
              </w:rPr>
              <w:t>划分依据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vAlign w:val="center"/>
          </w:tcPr>
          <w:p>
            <w:pPr>
              <w:spacing w:before="31" w:beforeLines="10" w:after="31" w:afterLines="10"/>
              <w:jc w:val="center"/>
              <w:rPr>
                <w:color w:val="auto"/>
                <w:sz w:val="18"/>
                <w:szCs w:val="20"/>
                <w:highlight w:val="none"/>
              </w:rPr>
            </w:pPr>
          </w:p>
        </w:tc>
        <w:tc>
          <w:tcPr>
            <w:tcW w:w="976" w:type="dxa"/>
            <w:vMerge w:val="continue"/>
            <w:vAlign w:val="center"/>
          </w:tcPr>
          <w:p>
            <w:pPr>
              <w:spacing w:before="31" w:beforeLines="10" w:after="31" w:afterLines="10"/>
              <w:jc w:val="center"/>
              <w:rPr>
                <w:color w:val="auto"/>
                <w:sz w:val="18"/>
                <w:szCs w:val="20"/>
                <w:highlight w:val="none"/>
              </w:rPr>
            </w:pPr>
          </w:p>
        </w:tc>
        <w:tc>
          <w:tcPr>
            <w:tcW w:w="1111" w:type="dxa"/>
            <w:vAlign w:val="center"/>
          </w:tcPr>
          <w:p>
            <w:pPr>
              <w:spacing w:before="31" w:beforeLines="10" w:after="31" w:afterLines="10"/>
              <w:jc w:val="center"/>
              <w:rPr>
                <w:color w:val="auto"/>
                <w:sz w:val="18"/>
                <w:szCs w:val="20"/>
                <w:highlight w:val="none"/>
              </w:rPr>
            </w:pPr>
            <w:r>
              <w:rPr>
                <w:color w:val="auto"/>
                <w:sz w:val="18"/>
                <w:szCs w:val="20"/>
                <w:highlight w:val="none"/>
              </w:rPr>
              <w:t>地形地貌</w:t>
            </w:r>
          </w:p>
        </w:tc>
        <w:tc>
          <w:tcPr>
            <w:tcW w:w="1111" w:type="dxa"/>
            <w:vAlign w:val="center"/>
          </w:tcPr>
          <w:p>
            <w:pPr>
              <w:spacing w:before="31" w:beforeLines="10" w:after="31" w:afterLines="10"/>
              <w:jc w:val="center"/>
              <w:rPr>
                <w:color w:val="auto"/>
                <w:sz w:val="18"/>
                <w:szCs w:val="20"/>
                <w:highlight w:val="none"/>
              </w:rPr>
            </w:pPr>
            <w:r>
              <w:rPr>
                <w:color w:val="auto"/>
                <w:sz w:val="18"/>
                <w:szCs w:val="20"/>
                <w:highlight w:val="none"/>
              </w:rPr>
              <w:t>抗震地段</w:t>
            </w:r>
          </w:p>
        </w:tc>
        <w:tc>
          <w:tcPr>
            <w:tcW w:w="1111" w:type="dxa"/>
            <w:vAlign w:val="center"/>
          </w:tcPr>
          <w:p>
            <w:pPr>
              <w:spacing w:before="31" w:beforeLines="10" w:after="31" w:afterLines="10"/>
              <w:jc w:val="center"/>
              <w:rPr>
                <w:color w:val="auto"/>
                <w:sz w:val="18"/>
                <w:szCs w:val="20"/>
                <w:highlight w:val="none"/>
              </w:rPr>
            </w:pPr>
            <w:r>
              <w:rPr>
                <w:color w:val="auto"/>
                <w:sz w:val="18"/>
                <w:szCs w:val="20"/>
                <w:highlight w:val="none"/>
              </w:rPr>
              <w:t>不良地质作用</w:t>
            </w:r>
          </w:p>
        </w:tc>
        <w:tc>
          <w:tcPr>
            <w:tcW w:w="1111" w:type="dxa"/>
            <w:vAlign w:val="center"/>
          </w:tcPr>
          <w:p>
            <w:pPr>
              <w:spacing w:before="31" w:beforeLines="10" w:after="31" w:afterLines="10"/>
              <w:jc w:val="center"/>
              <w:rPr>
                <w:color w:val="auto"/>
                <w:sz w:val="18"/>
                <w:szCs w:val="20"/>
                <w:highlight w:val="none"/>
              </w:rPr>
            </w:pPr>
            <w:r>
              <w:rPr>
                <w:color w:val="auto"/>
                <w:sz w:val="18"/>
                <w:szCs w:val="20"/>
                <w:highlight w:val="none"/>
              </w:rPr>
              <w:t>地质环境</w:t>
            </w:r>
          </w:p>
        </w:tc>
        <w:tc>
          <w:tcPr>
            <w:tcW w:w="1111" w:type="dxa"/>
            <w:vAlign w:val="center"/>
          </w:tcPr>
          <w:p>
            <w:pPr>
              <w:spacing w:before="31" w:beforeLines="10" w:after="31" w:afterLines="10"/>
              <w:jc w:val="center"/>
              <w:rPr>
                <w:color w:val="auto"/>
                <w:sz w:val="18"/>
                <w:szCs w:val="20"/>
                <w:highlight w:val="none"/>
              </w:rPr>
            </w:pPr>
            <w:r>
              <w:rPr>
                <w:color w:val="auto"/>
                <w:sz w:val="18"/>
                <w:szCs w:val="20"/>
                <w:highlight w:val="none"/>
              </w:rPr>
              <w:t>地下水对工程影响</w:t>
            </w:r>
          </w:p>
        </w:tc>
        <w:tc>
          <w:tcPr>
            <w:tcW w:w="1113" w:type="dxa"/>
            <w:vAlign w:val="center"/>
          </w:tcPr>
          <w:p>
            <w:pPr>
              <w:spacing w:before="31" w:beforeLines="10" w:after="31" w:afterLines="10"/>
              <w:jc w:val="center"/>
              <w:rPr>
                <w:color w:val="auto"/>
                <w:sz w:val="18"/>
                <w:szCs w:val="20"/>
                <w:highlight w:val="none"/>
              </w:rPr>
            </w:pPr>
            <w:r>
              <w:rPr>
                <w:color w:val="auto"/>
                <w:sz w:val="18"/>
                <w:szCs w:val="20"/>
                <w:highlight w:val="none"/>
              </w:rPr>
              <w:t>周边环境条件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pPr>
              <w:spacing w:before="31" w:beforeLines="10" w:after="31" w:afterLines="10"/>
              <w:jc w:val="center"/>
              <w:rPr>
                <w:color w:val="auto"/>
                <w:sz w:val="18"/>
                <w:szCs w:val="20"/>
                <w:highlight w:val="none"/>
              </w:rPr>
            </w:pPr>
            <w:r>
              <w:rPr>
                <w:color w:val="auto"/>
                <w:sz w:val="18"/>
                <w:szCs w:val="20"/>
                <w:highlight w:val="none"/>
              </w:rPr>
              <w:t>一级</w:t>
            </w:r>
          </w:p>
        </w:tc>
        <w:tc>
          <w:tcPr>
            <w:tcW w:w="976" w:type="dxa"/>
            <w:vAlign w:val="center"/>
          </w:tcPr>
          <w:p>
            <w:pPr>
              <w:spacing w:before="31" w:beforeLines="10" w:after="31" w:afterLines="10"/>
              <w:jc w:val="center"/>
              <w:rPr>
                <w:color w:val="auto"/>
                <w:sz w:val="18"/>
                <w:szCs w:val="20"/>
                <w:highlight w:val="none"/>
              </w:rPr>
            </w:pPr>
            <w:r>
              <w:rPr>
                <w:color w:val="auto"/>
                <w:sz w:val="18"/>
                <w:szCs w:val="20"/>
                <w:highlight w:val="none"/>
              </w:rPr>
              <w:t>复杂</w:t>
            </w:r>
          </w:p>
        </w:tc>
        <w:tc>
          <w:tcPr>
            <w:tcW w:w="1111" w:type="dxa"/>
            <w:vAlign w:val="center"/>
          </w:tcPr>
          <w:p>
            <w:pPr>
              <w:spacing w:before="31" w:beforeLines="10" w:after="31" w:afterLines="10"/>
              <w:jc w:val="center"/>
              <w:rPr>
                <w:color w:val="auto"/>
                <w:sz w:val="18"/>
                <w:szCs w:val="20"/>
                <w:highlight w:val="none"/>
              </w:rPr>
            </w:pPr>
            <w:r>
              <w:rPr>
                <w:color w:val="auto"/>
                <w:sz w:val="18"/>
                <w:szCs w:val="20"/>
                <w:highlight w:val="none"/>
              </w:rPr>
              <w:t>复杂</w:t>
            </w:r>
          </w:p>
        </w:tc>
        <w:tc>
          <w:tcPr>
            <w:tcW w:w="1111" w:type="dxa"/>
            <w:vAlign w:val="center"/>
          </w:tcPr>
          <w:p>
            <w:pPr>
              <w:spacing w:before="31" w:beforeLines="10" w:after="31" w:afterLines="10"/>
              <w:jc w:val="center"/>
              <w:rPr>
                <w:color w:val="auto"/>
                <w:sz w:val="18"/>
                <w:szCs w:val="20"/>
                <w:highlight w:val="none"/>
              </w:rPr>
            </w:pPr>
            <w:r>
              <w:rPr>
                <w:color w:val="auto"/>
                <w:sz w:val="18"/>
                <w:szCs w:val="20"/>
                <w:highlight w:val="none"/>
              </w:rPr>
              <w:t>危险地段</w:t>
            </w:r>
          </w:p>
        </w:tc>
        <w:tc>
          <w:tcPr>
            <w:tcW w:w="1111" w:type="dxa"/>
            <w:vAlign w:val="center"/>
          </w:tcPr>
          <w:p>
            <w:pPr>
              <w:spacing w:before="31" w:beforeLines="10" w:after="31" w:afterLines="10"/>
              <w:jc w:val="center"/>
              <w:rPr>
                <w:color w:val="auto"/>
                <w:sz w:val="18"/>
                <w:szCs w:val="20"/>
                <w:highlight w:val="none"/>
              </w:rPr>
            </w:pPr>
            <w:r>
              <w:rPr>
                <w:color w:val="auto"/>
                <w:sz w:val="18"/>
                <w:szCs w:val="20"/>
                <w:highlight w:val="none"/>
              </w:rPr>
              <w:t>强烈发育</w:t>
            </w:r>
          </w:p>
        </w:tc>
        <w:tc>
          <w:tcPr>
            <w:tcW w:w="1111" w:type="dxa"/>
            <w:vAlign w:val="center"/>
          </w:tcPr>
          <w:p>
            <w:pPr>
              <w:spacing w:before="31" w:beforeLines="10" w:after="31" w:afterLines="10"/>
              <w:jc w:val="center"/>
              <w:rPr>
                <w:color w:val="auto"/>
                <w:sz w:val="18"/>
                <w:szCs w:val="20"/>
                <w:highlight w:val="none"/>
              </w:rPr>
            </w:pPr>
            <w:r>
              <w:rPr>
                <w:color w:val="auto"/>
                <w:sz w:val="18"/>
                <w:szCs w:val="20"/>
                <w:highlight w:val="none"/>
              </w:rPr>
              <w:t>已经或可能受到强烈破坏</w:t>
            </w:r>
          </w:p>
        </w:tc>
        <w:tc>
          <w:tcPr>
            <w:tcW w:w="1111" w:type="dxa"/>
            <w:vAlign w:val="center"/>
          </w:tcPr>
          <w:p>
            <w:pPr>
              <w:spacing w:before="31" w:beforeLines="10" w:after="31" w:afterLines="10"/>
              <w:jc w:val="center"/>
              <w:rPr>
                <w:color w:val="auto"/>
                <w:sz w:val="18"/>
                <w:szCs w:val="20"/>
                <w:highlight w:val="none"/>
              </w:rPr>
            </w:pPr>
            <w:r>
              <w:rPr>
                <w:color w:val="auto"/>
                <w:sz w:val="18"/>
                <w:szCs w:val="20"/>
                <w:highlight w:val="none"/>
              </w:rPr>
              <w:t>大</w:t>
            </w:r>
          </w:p>
        </w:tc>
        <w:tc>
          <w:tcPr>
            <w:tcW w:w="1113" w:type="dxa"/>
            <w:vAlign w:val="center"/>
          </w:tcPr>
          <w:p>
            <w:pPr>
              <w:spacing w:before="31" w:beforeLines="10" w:after="31" w:afterLines="10"/>
              <w:jc w:val="center"/>
              <w:rPr>
                <w:color w:val="auto"/>
                <w:sz w:val="18"/>
                <w:szCs w:val="20"/>
                <w:highlight w:val="none"/>
              </w:rPr>
            </w:pPr>
            <w:r>
              <w:rPr>
                <w:color w:val="auto"/>
                <w:sz w:val="18"/>
                <w:szCs w:val="20"/>
                <w:highlight w:val="none"/>
              </w:rPr>
              <w:t>复杂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pPr>
              <w:spacing w:before="31" w:beforeLines="10" w:after="31" w:afterLines="10"/>
              <w:jc w:val="center"/>
              <w:rPr>
                <w:color w:val="auto"/>
                <w:sz w:val="18"/>
                <w:szCs w:val="20"/>
                <w:highlight w:val="none"/>
              </w:rPr>
            </w:pPr>
            <w:r>
              <w:rPr>
                <w:color w:val="auto"/>
                <w:sz w:val="18"/>
                <w:szCs w:val="20"/>
                <w:highlight w:val="none"/>
              </w:rPr>
              <w:t>二级</w:t>
            </w:r>
          </w:p>
        </w:tc>
        <w:tc>
          <w:tcPr>
            <w:tcW w:w="976" w:type="dxa"/>
            <w:vAlign w:val="center"/>
          </w:tcPr>
          <w:p>
            <w:pPr>
              <w:spacing w:before="31" w:beforeLines="10" w:after="31" w:afterLines="10"/>
              <w:jc w:val="center"/>
              <w:rPr>
                <w:color w:val="auto"/>
                <w:sz w:val="18"/>
                <w:szCs w:val="20"/>
                <w:highlight w:val="none"/>
              </w:rPr>
            </w:pPr>
            <w:r>
              <w:rPr>
                <w:color w:val="auto"/>
                <w:sz w:val="18"/>
                <w:szCs w:val="20"/>
                <w:highlight w:val="none"/>
              </w:rPr>
              <w:t>中等复杂</w:t>
            </w:r>
          </w:p>
        </w:tc>
        <w:tc>
          <w:tcPr>
            <w:tcW w:w="1111" w:type="dxa"/>
            <w:vAlign w:val="center"/>
          </w:tcPr>
          <w:p>
            <w:pPr>
              <w:spacing w:before="31" w:beforeLines="10" w:after="31" w:afterLines="10"/>
              <w:jc w:val="center"/>
              <w:rPr>
                <w:color w:val="auto"/>
                <w:sz w:val="18"/>
                <w:szCs w:val="20"/>
                <w:highlight w:val="none"/>
              </w:rPr>
            </w:pPr>
            <w:r>
              <w:rPr>
                <w:color w:val="auto"/>
                <w:sz w:val="18"/>
                <w:szCs w:val="20"/>
                <w:highlight w:val="none"/>
              </w:rPr>
              <w:t>较复杂</w:t>
            </w:r>
          </w:p>
        </w:tc>
        <w:tc>
          <w:tcPr>
            <w:tcW w:w="1111" w:type="dxa"/>
            <w:vAlign w:val="center"/>
          </w:tcPr>
          <w:p>
            <w:pPr>
              <w:spacing w:before="31" w:beforeLines="10" w:after="31" w:afterLines="10"/>
              <w:jc w:val="center"/>
              <w:rPr>
                <w:color w:val="auto"/>
                <w:sz w:val="18"/>
                <w:szCs w:val="20"/>
                <w:highlight w:val="none"/>
              </w:rPr>
            </w:pPr>
            <w:r>
              <w:rPr>
                <w:color w:val="auto"/>
                <w:sz w:val="18"/>
                <w:szCs w:val="20"/>
                <w:highlight w:val="none"/>
              </w:rPr>
              <w:t>不利地段</w:t>
            </w:r>
          </w:p>
        </w:tc>
        <w:tc>
          <w:tcPr>
            <w:tcW w:w="1111" w:type="dxa"/>
            <w:vAlign w:val="center"/>
          </w:tcPr>
          <w:p>
            <w:pPr>
              <w:spacing w:before="31" w:beforeLines="10" w:after="31" w:afterLines="10"/>
              <w:jc w:val="center"/>
              <w:rPr>
                <w:color w:val="auto"/>
                <w:sz w:val="18"/>
                <w:szCs w:val="20"/>
                <w:highlight w:val="none"/>
              </w:rPr>
            </w:pPr>
            <w:r>
              <w:rPr>
                <w:rFonts w:hint="eastAsia"/>
                <w:color w:val="auto"/>
                <w:sz w:val="18"/>
                <w:szCs w:val="20"/>
                <w:highlight w:val="none"/>
              </w:rPr>
              <w:t>中等</w:t>
            </w:r>
            <w:r>
              <w:rPr>
                <w:color w:val="auto"/>
                <w:sz w:val="18"/>
                <w:szCs w:val="20"/>
                <w:highlight w:val="none"/>
              </w:rPr>
              <w:t>发育</w:t>
            </w:r>
          </w:p>
        </w:tc>
        <w:tc>
          <w:tcPr>
            <w:tcW w:w="1111" w:type="dxa"/>
            <w:vAlign w:val="center"/>
          </w:tcPr>
          <w:p>
            <w:pPr>
              <w:spacing w:before="31" w:beforeLines="10" w:after="31" w:afterLines="10"/>
              <w:jc w:val="center"/>
              <w:rPr>
                <w:color w:val="auto"/>
                <w:sz w:val="18"/>
                <w:szCs w:val="20"/>
                <w:highlight w:val="none"/>
              </w:rPr>
            </w:pPr>
            <w:r>
              <w:rPr>
                <w:color w:val="auto"/>
                <w:sz w:val="18"/>
                <w:szCs w:val="20"/>
                <w:highlight w:val="none"/>
              </w:rPr>
              <w:t>已经或可能受到一般破坏</w:t>
            </w:r>
          </w:p>
        </w:tc>
        <w:tc>
          <w:tcPr>
            <w:tcW w:w="1111" w:type="dxa"/>
            <w:vAlign w:val="center"/>
          </w:tcPr>
          <w:p>
            <w:pPr>
              <w:spacing w:before="31" w:beforeLines="10" w:after="31" w:afterLines="10"/>
              <w:jc w:val="center"/>
              <w:rPr>
                <w:color w:val="auto"/>
                <w:sz w:val="18"/>
                <w:szCs w:val="20"/>
                <w:highlight w:val="none"/>
              </w:rPr>
            </w:pPr>
            <w:r>
              <w:rPr>
                <w:rFonts w:hint="eastAsia"/>
                <w:color w:val="auto"/>
                <w:sz w:val="18"/>
                <w:szCs w:val="20"/>
                <w:highlight w:val="none"/>
              </w:rPr>
              <w:t>中等</w:t>
            </w:r>
          </w:p>
        </w:tc>
        <w:tc>
          <w:tcPr>
            <w:tcW w:w="1113" w:type="dxa"/>
            <w:vAlign w:val="center"/>
          </w:tcPr>
          <w:p>
            <w:pPr>
              <w:spacing w:before="31" w:beforeLines="10" w:after="31" w:afterLines="10"/>
              <w:jc w:val="center"/>
              <w:rPr>
                <w:color w:val="auto"/>
                <w:sz w:val="18"/>
                <w:szCs w:val="20"/>
                <w:highlight w:val="none"/>
              </w:rPr>
            </w:pPr>
            <w:r>
              <w:rPr>
                <w:color w:val="auto"/>
                <w:sz w:val="18"/>
                <w:szCs w:val="20"/>
                <w:highlight w:val="none"/>
              </w:rPr>
              <w:t>中等复杂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pPr>
              <w:spacing w:before="31" w:beforeLines="10" w:after="31" w:afterLines="10"/>
              <w:jc w:val="center"/>
              <w:rPr>
                <w:color w:val="auto"/>
                <w:sz w:val="18"/>
                <w:szCs w:val="20"/>
                <w:highlight w:val="none"/>
              </w:rPr>
            </w:pPr>
            <w:r>
              <w:rPr>
                <w:color w:val="auto"/>
                <w:sz w:val="18"/>
                <w:szCs w:val="20"/>
                <w:highlight w:val="none"/>
              </w:rPr>
              <w:t>三级</w:t>
            </w:r>
          </w:p>
        </w:tc>
        <w:tc>
          <w:tcPr>
            <w:tcW w:w="976" w:type="dxa"/>
            <w:vAlign w:val="center"/>
          </w:tcPr>
          <w:p>
            <w:pPr>
              <w:spacing w:before="31" w:beforeLines="10" w:after="31" w:afterLines="10"/>
              <w:jc w:val="center"/>
              <w:rPr>
                <w:color w:val="auto"/>
                <w:sz w:val="18"/>
                <w:szCs w:val="20"/>
                <w:highlight w:val="none"/>
              </w:rPr>
            </w:pPr>
            <w:r>
              <w:rPr>
                <w:color w:val="auto"/>
                <w:sz w:val="18"/>
                <w:szCs w:val="20"/>
                <w:highlight w:val="none"/>
              </w:rPr>
              <w:t>简单</w:t>
            </w:r>
          </w:p>
        </w:tc>
        <w:tc>
          <w:tcPr>
            <w:tcW w:w="1111" w:type="dxa"/>
            <w:vAlign w:val="center"/>
          </w:tcPr>
          <w:p>
            <w:pPr>
              <w:spacing w:before="31" w:beforeLines="10" w:after="31" w:afterLines="10"/>
              <w:jc w:val="center"/>
              <w:rPr>
                <w:color w:val="auto"/>
                <w:sz w:val="18"/>
                <w:szCs w:val="20"/>
                <w:highlight w:val="none"/>
              </w:rPr>
            </w:pPr>
            <w:r>
              <w:rPr>
                <w:color w:val="auto"/>
                <w:sz w:val="18"/>
                <w:szCs w:val="20"/>
                <w:highlight w:val="none"/>
              </w:rPr>
              <w:t>简单</w:t>
            </w:r>
          </w:p>
        </w:tc>
        <w:tc>
          <w:tcPr>
            <w:tcW w:w="1111" w:type="dxa"/>
            <w:vAlign w:val="center"/>
          </w:tcPr>
          <w:p>
            <w:pPr>
              <w:spacing w:before="31" w:beforeLines="10" w:after="31" w:afterLines="10"/>
              <w:jc w:val="center"/>
              <w:rPr>
                <w:color w:val="auto"/>
                <w:sz w:val="18"/>
                <w:szCs w:val="20"/>
                <w:highlight w:val="none"/>
              </w:rPr>
            </w:pPr>
            <w:r>
              <w:rPr>
                <w:color w:val="auto"/>
                <w:sz w:val="18"/>
                <w:szCs w:val="20"/>
                <w:highlight w:val="none"/>
              </w:rPr>
              <w:t>一般或有利地段</w:t>
            </w:r>
          </w:p>
        </w:tc>
        <w:tc>
          <w:tcPr>
            <w:tcW w:w="1111" w:type="dxa"/>
            <w:vAlign w:val="center"/>
          </w:tcPr>
          <w:p>
            <w:pPr>
              <w:spacing w:before="31" w:beforeLines="10" w:after="31" w:afterLines="10"/>
              <w:jc w:val="center"/>
              <w:rPr>
                <w:color w:val="auto"/>
                <w:sz w:val="18"/>
                <w:szCs w:val="20"/>
                <w:highlight w:val="none"/>
              </w:rPr>
            </w:pPr>
            <w:r>
              <w:rPr>
                <w:color w:val="auto"/>
                <w:sz w:val="18"/>
                <w:szCs w:val="20"/>
                <w:highlight w:val="none"/>
              </w:rPr>
              <w:t>不发育</w:t>
            </w:r>
          </w:p>
        </w:tc>
        <w:tc>
          <w:tcPr>
            <w:tcW w:w="1111" w:type="dxa"/>
            <w:vAlign w:val="center"/>
          </w:tcPr>
          <w:p>
            <w:pPr>
              <w:spacing w:before="31" w:beforeLines="10" w:after="31" w:afterLines="10"/>
              <w:jc w:val="center"/>
              <w:rPr>
                <w:color w:val="auto"/>
                <w:sz w:val="18"/>
                <w:szCs w:val="20"/>
                <w:highlight w:val="none"/>
              </w:rPr>
            </w:pPr>
            <w:r>
              <w:rPr>
                <w:color w:val="auto"/>
                <w:sz w:val="18"/>
                <w:szCs w:val="20"/>
                <w:highlight w:val="none"/>
              </w:rPr>
              <w:t>基本未受到破坏</w:t>
            </w:r>
          </w:p>
        </w:tc>
        <w:tc>
          <w:tcPr>
            <w:tcW w:w="1111" w:type="dxa"/>
            <w:vAlign w:val="center"/>
          </w:tcPr>
          <w:p>
            <w:pPr>
              <w:spacing w:before="31" w:beforeLines="10" w:after="31" w:afterLines="10"/>
              <w:jc w:val="center"/>
              <w:rPr>
                <w:color w:val="auto"/>
                <w:sz w:val="18"/>
                <w:szCs w:val="20"/>
                <w:highlight w:val="none"/>
              </w:rPr>
            </w:pPr>
            <w:r>
              <w:rPr>
                <w:rFonts w:hint="eastAsia"/>
                <w:color w:val="auto"/>
                <w:sz w:val="18"/>
                <w:szCs w:val="20"/>
                <w:highlight w:val="none"/>
              </w:rPr>
              <w:t>无</w:t>
            </w:r>
          </w:p>
        </w:tc>
        <w:tc>
          <w:tcPr>
            <w:tcW w:w="1113" w:type="dxa"/>
            <w:vAlign w:val="center"/>
          </w:tcPr>
          <w:p>
            <w:pPr>
              <w:spacing w:before="31" w:beforeLines="10" w:after="31" w:afterLines="10"/>
              <w:jc w:val="center"/>
              <w:rPr>
                <w:color w:val="auto"/>
                <w:sz w:val="18"/>
                <w:szCs w:val="20"/>
                <w:highlight w:val="none"/>
              </w:rPr>
            </w:pPr>
            <w:r>
              <w:rPr>
                <w:color w:val="auto"/>
                <w:sz w:val="18"/>
                <w:szCs w:val="20"/>
                <w:highlight w:val="none"/>
              </w:rPr>
              <w:t>简单</w:t>
            </w:r>
          </w:p>
        </w:tc>
      </w:tr>
    </w:tbl>
    <w:p>
      <w:pPr>
        <w:tabs>
          <w:tab w:val="center" w:pos="4410"/>
          <w:tab w:val="right" w:pos="9240"/>
        </w:tabs>
        <w:autoSpaceDE w:val="0"/>
        <w:autoSpaceDN w:val="0"/>
        <w:adjustRightInd w:val="0"/>
        <w:snapToGrid w:val="0"/>
        <w:spacing w:line="360" w:lineRule="auto"/>
        <w:ind w:left="1050" w:leftChars="200" w:hanging="630" w:hangingChars="350"/>
        <w:jc w:val="left"/>
        <w:rPr>
          <w:color w:val="auto"/>
          <w:sz w:val="18"/>
          <w:szCs w:val="20"/>
          <w:highlight w:val="none"/>
        </w:rPr>
      </w:pPr>
      <w:r>
        <w:rPr>
          <w:color w:val="auto"/>
          <w:sz w:val="18"/>
          <w:szCs w:val="20"/>
          <w:highlight w:val="none"/>
        </w:rPr>
        <w:t>注：</w:t>
      </w:r>
      <w:r>
        <w:rPr>
          <w:rFonts w:hint="eastAsia"/>
          <w:color w:val="auto"/>
          <w:sz w:val="18"/>
          <w:szCs w:val="20"/>
          <w:highlight w:val="none"/>
        </w:rPr>
        <w:t>从一级开始向二级、</w:t>
      </w:r>
      <w:r>
        <w:rPr>
          <w:rFonts w:hint="eastAsia"/>
          <w:color w:val="auto"/>
          <w:kern w:val="0"/>
          <w:sz w:val="18"/>
          <w:szCs w:val="18"/>
          <w:highlight w:val="none"/>
        </w:rPr>
        <w:t>三级</w:t>
      </w:r>
      <w:r>
        <w:rPr>
          <w:rFonts w:hint="eastAsia"/>
          <w:color w:val="auto"/>
          <w:sz w:val="18"/>
          <w:szCs w:val="20"/>
          <w:highlight w:val="none"/>
        </w:rPr>
        <w:t>推定，只需满足</w:t>
      </w:r>
      <w:r>
        <w:rPr>
          <w:color w:val="auto"/>
          <w:sz w:val="18"/>
          <w:szCs w:val="20"/>
          <w:highlight w:val="none"/>
        </w:rPr>
        <w:t>划分依据任何一项</w:t>
      </w:r>
      <w:r>
        <w:rPr>
          <w:rFonts w:hint="eastAsia"/>
          <w:color w:val="auto"/>
          <w:sz w:val="18"/>
          <w:szCs w:val="20"/>
          <w:highlight w:val="none"/>
        </w:rPr>
        <w:t>即</w:t>
      </w:r>
      <w:r>
        <w:rPr>
          <w:color w:val="auto"/>
          <w:sz w:val="18"/>
          <w:szCs w:val="20"/>
          <w:highlight w:val="none"/>
        </w:rPr>
        <w:t>可</w:t>
      </w:r>
      <w:r>
        <w:rPr>
          <w:rFonts w:hint="eastAsia"/>
          <w:color w:val="auto"/>
          <w:sz w:val="18"/>
          <w:szCs w:val="20"/>
          <w:highlight w:val="none"/>
        </w:rPr>
        <w:t>定为该级，以先满足的为准</w:t>
      </w:r>
      <w:r>
        <w:rPr>
          <w:color w:val="auto"/>
          <w:sz w:val="18"/>
          <w:szCs w:val="20"/>
          <w:highlight w:val="none"/>
        </w:rPr>
        <w:t>。</w:t>
      </w:r>
    </w:p>
    <w:p>
      <w:pPr>
        <w:spacing w:line="360" w:lineRule="auto"/>
        <w:ind w:firstLine="422" w:firstLineChars="200"/>
        <w:rPr>
          <w:color w:val="auto"/>
          <w:highlight w:val="none"/>
        </w:rPr>
      </w:pPr>
      <w:r>
        <w:rPr>
          <w:rFonts w:hint="eastAsia"/>
          <w:b/>
          <w:bCs/>
          <w:color w:val="auto"/>
          <w:highlight w:val="none"/>
        </w:rPr>
        <w:t>3　</w:t>
      </w:r>
      <w:r>
        <w:rPr>
          <w:color w:val="auto"/>
          <w:highlight w:val="none"/>
        </w:rPr>
        <w:t>岩土条件复杂程度等级</w:t>
      </w:r>
      <w:r>
        <w:rPr>
          <w:rFonts w:hint="eastAsia"/>
          <w:color w:val="auto"/>
          <w:highlight w:val="none"/>
        </w:rPr>
        <w:t>宜</w:t>
      </w:r>
      <w:r>
        <w:rPr>
          <w:color w:val="auto"/>
          <w:highlight w:val="none"/>
        </w:rPr>
        <w:t>按表3.0.1-3划分。</w:t>
      </w:r>
    </w:p>
    <w:p>
      <w:pPr>
        <w:spacing w:line="360" w:lineRule="auto"/>
        <w:jc w:val="center"/>
        <w:rPr>
          <w:b/>
          <w:bCs/>
          <w:color w:val="auto"/>
          <w:highlight w:val="none"/>
        </w:rPr>
      </w:pPr>
      <w:r>
        <w:rPr>
          <w:b/>
          <w:bCs/>
          <w:color w:val="auto"/>
          <w:highlight w:val="none"/>
        </w:rPr>
        <w:t>表3.0.1-3岩土条件复杂程度等级</w:t>
      </w:r>
    </w:p>
    <w:tbl>
      <w:tblPr>
        <w:tblStyle w:val="22"/>
        <w:tblW w:w="82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245"/>
        <w:gridCol w:w="1768"/>
        <w:gridCol w:w="2625"/>
        <w:gridCol w:w="15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restart"/>
            <w:vAlign w:val="center"/>
          </w:tcPr>
          <w:p>
            <w:pPr>
              <w:spacing w:before="31" w:beforeLines="10" w:after="31" w:afterLines="10"/>
              <w:jc w:val="center"/>
              <w:rPr>
                <w:color w:val="auto"/>
                <w:sz w:val="18"/>
                <w:szCs w:val="20"/>
                <w:highlight w:val="none"/>
              </w:rPr>
            </w:pPr>
            <w:r>
              <w:rPr>
                <w:color w:val="auto"/>
                <w:sz w:val="18"/>
                <w:szCs w:val="20"/>
                <w:highlight w:val="none"/>
              </w:rPr>
              <w:t>等级</w:t>
            </w:r>
          </w:p>
        </w:tc>
        <w:tc>
          <w:tcPr>
            <w:tcW w:w="1245" w:type="dxa"/>
            <w:vMerge w:val="restart"/>
            <w:vAlign w:val="center"/>
          </w:tcPr>
          <w:p>
            <w:pPr>
              <w:spacing w:before="31" w:beforeLines="10" w:after="31" w:afterLines="10"/>
              <w:jc w:val="center"/>
              <w:rPr>
                <w:color w:val="auto"/>
                <w:sz w:val="18"/>
                <w:szCs w:val="20"/>
                <w:highlight w:val="none"/>
              </w:rPr>
            </w:pPr>
            <w:r>
              <w:rPr>
                <w:color w:val="auto"/>
                <w:sz w:val="18"/>
                <w:szCs w:val="20"/>
                <w:highlight w:val="none"/>
              </w:rPr>
              <w:t>岩土条件复杂程度</w:t>
            </w:r>
          </w:p>
        </w:tc>
        <w:tc>
          <w:tcPr>
            <w:tcW w:w="5961" w:type="dxa"/>
            <w:gridSpan w:val="3"/>
            <w:vAlign w:val="center"/>
          </w:tcPr>
          <w:p>
            <w:pPr>
              <w:spacing w:before="31" w:beforeLines="10" w:after="31" w:afterLines="10"/>
              <w:jc w:val="center"/>
              <w:rPr>
                <w:color w:val="auto"/>
                <w:sz w:val="18"/>
                <w:szCs w:val="20"/>
                <w:highlight w:val="none"/>
              </w:rPr>
            </w:pPr>
            <w:r>
              <w:rPr>
                <w:color w:val="auto"/>
                <w:sz w:val="18"/>
                <w:szCs w:val="20"/>
                <w:highlight w:val="none"/>
              </w:rPr>
              <w:t>划分依据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continue"/>
            <w:vAlign w:val="center"/>
          </w:tcPr>
          <w:p>
            <w:pPr>
              <w:spacing w:before="31" w:beforeLines="10" w:after="31" w:afterLines="10"/>
              <w:jc w:val="center"/>
              <w:rPr>
                <w:color w:val="auto"/>
                <w:sz w:val="18"/>
                <w:szCs w:val="20"/>
                <w:highlight w:val="none"/>
              </w:rPr>
            </w:pPr>
          </w:p>
        </w:tc>
        <w:tc>
          <w:tcPr>
            <w:tcW w:w="1245" w:type="dxa"/>
            <w:vMerge w:val="continue"/>
            <w:vAlign w:val="center"/>
          </w:tcPr>
          <w:p>
            <w:pPr>
              <w:spacing w:before="31" w:beforeLines="10" w:after="31" w:afterLines="10"/>
              <w:jc w:val="center"/>
              <w:rPr>
                <w:color w:val="auto"/>
                <w:sz w:val="18"/>
                <w:szCs w:val="20"/>
                <w:highlight w:val="none"/>
              </w:rPr>
            </w:pPr>
          </w:p>
        </w:tc>
        <w:tc>
          <w:tcPr>
            <w:tcW w:w="1768" w:type="dxa"/>
            <w:vAlign w:val="center"/>
          </w:tcPr>
          <w:p>
            <w:pPr>
              <w:spacing w:before="31" w:beforeLines="10" w:after="31" w:afterLines="10"/>
              <w:ind w:left="68" w:hanging="68" w:hangingChars="38"/>
              <w:jc w:val="center"/>
              <w:rPr>
                <w:color w:val="auto"/>
                <w:sz w:val="18"/>
                <w:szCs w:val="20"/>
                <w:highlight w:val="none"/>
              </w:rPr>
            </w:pPr>
            <w:r>
              <w:rPr>
                <w:color w:val="auto"/>
                <w:sz w:val="18"/>
                <w:szCs w:val="20"/>
                <w:highlight w:val="none"/>
              </w:rPr>
              <w:t>岩土种类</w:t>
            </w:r>
          </w:p>
        </w:tc>
        <w:tc>
          <w:tcPr>
            <w:tcW w:w="2625" w:type="dxa"/>
            <w:vAlign w:val="center"/>
          </w:tcPr>
          <w:p>
            <w:pPr>
              <w:spacing w:before="31" w:beforeLines="10" w:after="31" w:afterLines="10"/>
              <w:jc w:val="center"/>
              <w:rPr>
                <w:color w:val="auto"/>
                <w:sz w:val="18"/>
                <w:szCs w:val="20"/>
                <w:highlight w:val="none"/>
              </w:rPr>
            </w:pPr>
            <w:r>
              <w:rPr>
                <w:color w:val="auto"/>
                <w:sz w:val="18"/>
                <w:szCs w:val="20"/>
                <w:highlight w:val="none"/>
              </w:rPr>
              <w:t>地基、围岩或边坡的岩土性质</w:t>
            </w:r>
          </w:p>
        </w:tc>
        <w:tc>
          <w:tcPr>
            <w:tcW w:w="1568" w:type="dxa"/>
            <w:vAlign w:val="center"/>
          </w:tcPr>
          <w:p>
            <w:pPr>
              <w:spacing w:before="31" w:beforeLines="10" w:after="31" w:afterLines="10"/>
              <w:jc w:val="center"/>
              <w:rPr>
                <w:color w:val="auto"/>
                <w:sz w:val="18"/>
                <w:szCs w:val="20"/>
                <w:highlight w:val="none"/>
              </w:rPr>
            </w:pPr>
            <w:r>
              <w:rPr>
                <w:color w:val="auto"/>
                <w:sz w:val="18"/>
                <w:szCs w:val="20"/>
                <w:highlight w:val="none"/>
              </w:rPr>
              <w:t>特殊性岩土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Align w:val="center"/>
          </w:tcPr>
          <w:p>
            <w:pPr>
              <w:spacing w:before="31" w:beforeLines="10" w:after="31" w:afterLines="10"/>
              <w:jc w:val="center"/>
              <w:rPr>
                <w:color w:val="auto"/>
                <w:sz w:val="18"/>
                <w:szCs w:val="20"/>
                <w:highlight w:val="none"/>
              </w:rPr>
            </w:pPr>
            <w:r>
              <w:rPr>
                <w:color w:val="auto"/>
                <w:sz w:val="18"/>
                <w:szCs w:val="20"/>
                <w:highlight w:val="none"/>
              </w:rPr>
              <w:t>一级</w:t>
            </w:r>
          </w:p>
        </w:tc>
        <w:tc>
          <w:tcPr>
            <w:tcW w:w="1245" w:type="dxa"/>
            <w:vAlign w:val="center"/>
          </w:tcPr>
          <w:p>
            <w:pPr>
              <w:spacing w:before="31" w:beforeLines="10" w:after="31" w:afterLines="10"/>
              <w:jc w:val="center"/>
              <w:rPr>
                <w:color w:val="auto"/>
                <w:sz w:val="18"/>
                <w:szCs w:val="20"/>
                <w:highlight w:val="none"/>
              </w:rPr>
            </w:pPr>
            <w:r>
              <w:rPr>
                <w:color w:val="auto"/>
                <w:sz w:val="18"/>
                <w:szCs w:val="20"/>
                <w:highlight w:val="none"/>
              </w:rPr>
              <w:t>复杂</w:t>
            </w:r>
          </w:p>
        </w:tc>
        <w:tc>
          <w:tcPr>
            <w:tcW w:w="1768" w:type="dxa"/>
            <w:vAlign w:val="center"/>
          </w:tcPr>
          <w:p>
            <w:pPr>
              <w:spacing w:before="31" w:beforeLines="10" w:after="31" w:afterLines="10"/>
              <w:jc w:val="center"/>
              <w:rPr>
                <w:color w:val="auto"/>
                <w:sz w:val="18"/>
                <w:szCs w:val="20"/>
                <w:highlight w:val="none"/>
              </w:rPr>
            </w:pPr>
            <w:r>
              <w:rPr>
                <w:color w:val="auto"/>
                <w:sz w:val="18"/>
                <w:szCs w:val="20"/>
                <w:highlight w:val="none"/>
              </w:rPr>
              <w:t>种类多，很不均匀</w:t>
            </w:r>
          </w:p>
        </w:tc>
        <w:tc>
          <w:tcPr>
            <w:tcW w:w="2625" w:type="dxa"/>
            <w:vAlign w:val="center"/>
          </w:tcPr>
          <w:p>
            <w:pPr>
              <w:spacing w:before="31" w:beforeLines="10" w:after="31" w:afterLines="10"/>
              <w:jc w:val="center"/>
              <w:rPr>
                <w:color w:val="auto"/>
                <w:sz w:val="18"/>
                <w:szCs w:val="20"/>
                <w:highlight w:val="none"/>
              </w:rPr>
            </w:pPr>
            <w:r>
              <w:rPr>
                <w:color w:val="auto"/>
                <w:sz w:val="18"/>
                <w:szCs w:val="20"/>
                <w:highlight w:val="none"/>
              </w:rPr>
              <w:t>变化大</w:t>
            </w:r>
          </w:p>
        </w:tc>
        <w:tc>
          <w:tcPr>
            <w:tcW w:w="1568" w:type="dxa"/>
            <w:vAlign w:val="center"/>
          </w:tcPr>
          <w:p>
            <w:pPr>
              <w:spacing w:before="31" w:beforeLines="10" w:after="31" w:afterLines="10"/>
              <w:jc w:val="center"/>
              <w:rPr>
                <w:color w:val="auto"/>
                <w:sz w:val="18"/>
                <w:szCs w:val="20"/>
                <w:highlight w:val="none"/>
              </w:rPr>
            </w:pPr>
            <w:r>
              <w:rPr>
                <w:color w:val="auto"/>
                <w:sz w:val="18"/>
                <w:szCs w:val="20"/>
                <w:highlight w:val="none"/>
              </w:rPr>
              <w:t>需专门治理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031" w:type="dxa"/>
            <w:vAlign w:val="center"/>
          </w:tcPr>
          <w:p>
            <w:pPr>
              <w:spacing w:before="31" w:beforeLines="10" w:after="31" w:afterLines="10"/>
              <w:jc w:val="center"/>
              <w:rPr>
                <w:color w:val="auto"/>
                <w:sz w:val="18"/>
                <w:szCs w:val="20"/>
                <w:highlight w:val="none"/>
              </w:rPr>
            </w:pPr>
            <w:r>
              <w:rPr>
                <w:color w:val="auto"/>
                <w:sz w:val="18"/>
                <w:szCs w:val="20"/>
                <w:highlight w:val="none"/>
              </w:rPr>
              <w:t>二级</w:t>
            </w:r>
          </w:p>
        </w:tc>
        <w:tc>
          <w:tcPr>
            <w:tcW w:w="1245" w:type="dxa"/>
            <w:vAlign w:val="center"/>
          </w:tcPr>
          <w:p>
            <w:pPr>
              <w:spacing w:before="31" w:beforeLines="10" w:after="31" w:afterLines="10"/>
              <w:jc w:val="center"/>
              <w:rPr>
                <w:color w:val="auto"/>
                <w:sz w:val="18"/>
                <w:szCs w:val="20"/>
                <w:highlight w:val="none"/>
              </w:rPr>
            </w:pPr>
            <w:r>
              <w:rPr>
                <w:color w:val="auto"/>
                <w:sz w:val="18"/>
                <w:szCs w:val="20"/>
                <w:highlight w:val="none"/>
              </w:rPr>
              <w:t>中等复杂</w:t>
            </w:r>
          </w:p>
        </w:tc>
        <w:tc>
          <w:tcPr>
            <w:tcW w:w="1768" w:type="dxa"/>
            <w:vAlign w:val="center"/>
          </w:tcPr>
          <w:p>
            <w:pPr>
              <w:spacing w:before="31" w:beforeLines="10" w:after="31" w:afterLines="10"/>
              <w:jc w:val="center"/>
              <w:rPr>
                <w:color w:val="auto"/>
                <w:sz w:val="18"/>
                <w:szCs w:val="20"/>
                <w:highlight w:val="none"/>
              </w:rPr>
            </w:pPr>
            <w:r>
              <w:rPr>
                <w:color w:val="auto"/>
                <w:sz w:val="18"/>
                <w:szCs w:val="20"/>
                <w:highlight w:val="none"/>
              </w:rPr>
              <w:t>种类较多，不均匀</w:t>
            </w:r>
          </w:p>
        </w:tc>
        <w:tc>
          <w:tcPr>
            <w:tcW w:w="2625" w:type="dxa"/>
            <w:vAlign w:val="center"/>
          </w:tcPr>
          <w:p>
            <w:pPr>
              <w:spacing w:before="31" w:beforeLines="10" w:after="31" w:afterLines="10"/>
              <w:jc w:val="center"/>
              <w:rPr>
                <w:color w:val="auto"/>
                <w:sz w:val="18"/>
                <w:szCs w:val="20"/>
                <w:highlight w:val="none"/>
              </w:rPr>
            </w:pPr>
            <w:r>
              <w:rPr>
                <w:color w:val="auto"/>
                <w:sz w:val="18"/>
                <w:szCs w:val="20"/>
                <w:highlight w:val="none"/>
              </w:rPr>
              <w:t>变化较大</w:t>
            </w:r>
          </w:p>
        </w:tc>
        <w:tc>
          <w:tcPr>
            <w:tcW w:w="1568" w:type="dxa"/>
            <w:vAlign w:val="center"/>
          </w:tcPr>
          <w:p>
            <w:pPr>
              <w:spacing w:before="31" w:beforeLines="10" w:after="31" w:afterLines="10"/>
              <w:jc w:val="center"/>
              <w:rPr>
                <w:color w:val="auto"/>
                <w:sz w:val="18"/>
                <w:szCs w:val="20"/>
                <w:highlight w:val="none"/>
              </w:rPr>
            </w:pPr>
            <w:r>
              <w:rPr>
                <w:color w:val="auto"/>
                <w:sz w:val="18"/>
                <w:szCs w:val="20"/>
                <w:highlight w:val="none"/>
              </w:rPr>
              <w:t>不需专门治理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Align w:val="center"/>
          </w:tcPr>
          <w:p>
            <w:pPr>
              <w:spacing w:before="31" w:beforeLines="10" w:after="31" w:afterLines="10"/>
              <w:jc w:val="center"/>
              <w:rPr>
                <w:color w:val="auto"/>
                <w:sz w:val="18"/>
                <w:szCs w:val="20"/>
                <w:highlight w:val="none"/>
              </w:rPr>
            </w:pPr>
            <w:r>
              <w:rPr>
                <w:color w:val="auto"/>
                <w:sz w:val="18"/>
                <w:szCs w:val="20"/>
                <w:highlight w:val="none"/>
              </w:rPr>
              <w:t>三级</w:t>
            </w:r>
          </w:p>
        </w:tc>
        <w:tc>
          <w:tcPr>
            <w:tcW w:w="1245" w:type="dxa"/>
            <w:vAlign w:val="center"/>
          </w:tcPr>
          <w:p>
            <w:pPr>
              <w:spacing w:before="31" w:beforeLines="10" w:after="31" w:afterLines="10"/>
              <w:jc w:val="center"/>
              <w:rPr>
                <w:color w:val="auto"/>
                <w:sz w:val="18"/>
                <w:szCs w:val="20"/>
                <w:highlight w:val="none"/>
              </w:rPr>
            </w:pPr>
            <w:r>
              <w:rPr>
                <w:color w:val="auto"/>
                <w:sz w:val="18"/>
                <w:szCs w:val="20"/>
                <w:highlight w:val="none"/>
              </w:rPr>
              <w:t>简单</w:t>
            </w:r>
          </w:p>
        </w:tc>
        <w:tc>
          <w:tcPr>
            <w:tcW w:w="1768" w:type="dxa"/>
            <w:vAlign w:val="center"/>
          </w:tcPr>
          <w:p>
            <w:pPr>
              <w:spacing w:before="31" w:beforeLines="10" w:after="31" w:afterLines="10"/>
              <w:jc w:val="center"/>
              <w:rPr>
                <w:color w:val="auto"/>
                <w:sz w:val="18"/>
                <w:szCs w:val="20"/>
                <w:highlight w:val="none"/>
              </w:rPr>
            </w:pPr>
            <w:r>
              <w:rPr>
                <w:color w:val="auto"/>
                <w:sz w:val="18"/>
                <w:szCs w:val="20"/>
                <w:highlight w:val="none"/>
              </w:rPr>
              <w:t>种类单一，均匀</w:t>
            </w:r>
          </w:p>
        </w:tc>
        <w:tc>
          <w:tcPr>
            <w:tcW w:w="2625" w:type="dxa"/>
            <w:vAlign w:val="center"/>
          </w:tcPr>
          <w:p>
            <w:pPr>
              <w:spacing w:before="31" w:beforeLines="10" w:after="31" w:afterLines="10"/>
              <w:jc w:val="center"/>
              <w:rPr>
                <w:color w:val="auto"/>
                <w:sz w:val="18"/>
                <w:szCs w:val="20"/>
                <w:highlight w:val="none"/>
              </w:rPr>
            </w:pPr>
            <w:r>
              <w:rPr>
                <w:color w:val="auto"/>
                <w:sz w:val="18"/>
                <w:szCs w:val="20"/>
                <w:highlight w:val="none"/>
              </w:rPr>
              <w:t>变化不大</w:t>
            </w:r>
          </w:p>
        </w:tc>
        <w:tc>
          <w:tcPr>
            <w:tcW w:w="1568" w:type="dxa"/>
            <w:vAlign w:val="center"/>
          </w:tcPr>
          <w:p>
            <w:pPr>
              <w:spacing w:before="31" w:beforeLines="10" w:after="31" w:afterLines="10"/>
              <w:jc w:val="center"/>
              <w:rPr>
                <w:color w:val="auto"/>
                <w:sz w:val="18"/>
                <w:szCs w:val="20"/>
                <w:highlight w:val="none"/>
              </w:rPr>
            </w:pPr>
            <w:r>
              <w:rPr>
                <w:color w:val="auto"/>
                <w:sz w:val="18"/>
                <w:szCs w:val="20"/>
                <w:highlight w:val="none"/>
              </w:rPr>
              <w:t>无特殊性岩土</w:t>
            </w:r>
            <w:r>
              <w:rPr>
                <w:rFonts w:hint="eastAsia"/>
                <w:color w:val="auto"/>
                <w:sz w:val="18"/>
                <w:szCs w:val="20"/>
                <w:highlight w:val="none"/>
              </w:rPr>
              <w:t>，或对工程无影响</w:t>
            </w:r>
          </w:p>
        </w:tc>
      </w:tr>
    </w:tbl>
    <w:p>
      <w:pPr>
        <w:tabs>
          <w:tab w:val="center" w:pos="4410"/>
          <w:tab w:val="right" w:pos="9240"/>
        </w:tabs>
        <w:autoSpaceDE w:val="0"/>
        <w:autoSpaceDN w:val="0"/>
        <w:adjustRightInd w:val="0"/>
        <w:snapToGrid w:val="0"/>
        <w:spacing w:line="360" w:lineRule="auto"/>
        <w:ind w:left="1050" w:leftChars="200" w:hanging="630" w:hangingChars="350"/>
        <w:jc w:val="left"/>
        <w:rPr>
          <w:color w:val="auto"/>
          <w:sz w:val="18"/>
          <w:szCs w:val="20"/>
          <w:highlight w:val="none"/>
        </w:rPr>
      </w:pPr>
      <w:r>
        <w:rPr>
          <w:color w:val="auto"/>
          <w:sz w:val="18"/>
          <w:szCs w:val="20"/>
          <w:highlight w:val="none"/>
        </w:rPr>
        <w:t>注：</w:t>
      </w:r>
      <w:r>
        <w:rPr>
          <w:rFonts w:hint="eastAsia"/>
          <w:color w:val="auto"/>
          <w:sz w:val="18"/>
          <w:szCs w:val="20"/>
          <w:highlight w:val="none"/>
        </w:rPr>
        <w:t>从一级开始向二级、</w:t>
      </w:r>
      <w:r>
        <w:rPr>
          <w:rFonts w:hint="eastAsia"/>
          <w:color w:val="auto"/>
          <w:sz w:val="18"/>
          <w:szCs w:val="18"/>
          <w:highlight w:val="none"/>
        </w:rPr>
        <w:t>三级</w:t>
      </w:r>
      <w:r>
        <w:rPr>
          <w:rFonts w:hint="eastAsia"/>
          <w:color w:val="auto"/>
          <w:sz w:val="18"/>
          <w:szCs w:val="20"/>
          <w:highlight w:val="none"/>
        </w:rPr>
        <w:t>推定，只需满足</w:t>
      </w:r>
      <w:r>
        <w:rPr>
          <w:color w:val="auto"/>
          <w:sz w:val="18"/>
          <w:szCs w:val="20"/>
          <w:highlight w:val="none"/>
        </w:rPr>
        <w:t>划分依据任何一项</w:t>
      </w:r>
      <w:r>
        <w:rPr>
          <w:rFonts w:hint="eastAsia"/>
          <w:color w:val="auto"/>
          <w:sz w:val="18"/>
          <w:szCs w:val="20"/>
          <w:highlight w:val="none"/>
        </w:rPr>
        <w:t>即</w:t>
      </w:r>
      <w:r>
        <w:rPr>
          <w:color w:val="auto"/>
          <w:sz w:val="18"/>
          <w:szCs w:val="20"/>
          <w:highlight w:val="none"/>
        </w:rPr>
        <w:t>可</w:t>
      </w:r>
      <w:r>
        <w:rPr>
          <w:rFonts w:hint="eastAsia"/>
          <w:color w:val="auto"/>
          <w:sz w:val="18"/>
          <w:szCs w:val="20"/>
          <w:highlight w:val="none"/>
        </w:rPr>
        <w:t>定为该级，以先满足的为准</w:t>
      </w:r>
      <w:r>
        <w:rPr>
          <w:color w:val="auto"/>
          <w:sz w:val="18"/>
          <w:szCs w:val="20"/>
          <w:highlight w:val="none"/>
        </w:rPr>
        <w:t>。</w:t>
      </w:r>
    </w:p>
    <w:p>
      <w:pPr>
        <w:spacing w:line="360" w:lineRule="auto"/>
        <w:ind w:firstLine="422" w:firstLineChars="200"/>
        <w:rPr>
          <w:color w:val="auto"/>
          <w:highlight w:val="none"/>
        </w:rPr>
      </w:pPr>
      <w:r>
        <w:rPr>
          <w:rFonts w:hint="eastAsia"/>
          <w:b/>
          <w:bCs/>
          <w:color w:val="auto"/>
          <w:highlight w:val="none"/>
        </w:rPr>
        <w:t>4　</w:t>
      </w:r>
      <w:r>
        <w:rPr>
          <w:color w:val="auto"/>
          <w:highlight w:val="none"/>
        </w:rPr>
        <w:t>市政工程的勘察等级可按表3.0.1-4划分。</w:t>
      </w:r>
    </w:p>
    <w:p>
      <w:pPr>
        <w:spacing w:line="360" w:lineRule="auto"/>
        <w:jc w:val="center"/>
        <w:rPr>
          <w:b/>
          <w:bCs/>
          <w:color w:val="auto"/>
          <w:highlight w:val="none"/>
        </w:rPr>
      </w:pPr>
      <w:r>
        <w:rPr>
          <w:b/>
          <w:bCs/>
          <w:color w:val="auto"/>
          <w:highlight w:val="none"/>
        </w:rPr>
        <w:t>表3.0.1-4市政工程的勘察等级</w:t>
      </w:r>
    </w:p>
    <w:tbl>
      <w:tblPr>
        <w:tblStyle w:val="22"/>
        <w:tblW w:w="81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6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11" w:type="dxa"/>
          </w:tcPr>
          <w:p>
            <w:pPr>
              <w:spacing w:before="31" w:beforeLines="10" w:after="31" w:afterLines="10"/>
              <w:jc w:val="center"/>
              <w:rPr>
                <w:color w:val="auto"/>
                <w:sz w:val="18"/>
                <w:szCs w:val="20"/>
                <w:highlight w:val="none"/>
              </w:rPr>
            </w:pPr>
            <w:r>
              <w:rPr>
                <w:color w:val="auto"/>
                <w:sz w:val="18"/>
                <w:szCs w:val="20"/>
                <w:highlight w:val="none"/>
              </w:rPr>
              <w:t>等级</w:t>
            </w:r>
          </w:p>
        </w:tc>
        <w:tc>
          <w:tcPr>
            <w:tcW w:w="6765" w:type="dxa"/>
          </w:tcPr>
          <w:p>
            <w:pPr>
              <w:spacing w:before="31" w:beforeLines="10" w:after="31" w:afterLines="10"/>
              <w:jc w:val="center"/>
              <w:rPr>
                <w:color w:val="auto"/>
                <w:sz w:val="18"/>
                <w:szCs w:val="20"/>
                <w:highlight w:val="none"/>
              </w:rPr>
            </w:pPr>
            <w:r>
              <w:rPr>
                <w:color w:val="auto"/>
                <w:sz w:val="18"/>
                <w:szCs w:val="20"/>
                <w:highlight w:val="none"/>
              </w:rPr>
              <w:t>划分条件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11" w:type="dxa"/>
          </w:tcPr>
          <w:p>
            <w:pPr>
              <w:spacing w:before="31" w:beforeLines="10" w:after="31" w:afterLines="10"/>
              <w:jc w:val="center"/>
              <w:rPr>
                <w:color w:val="auto"/>
                <w:sz w:val="18"/>
                <w:szCs w:val="20"/>
                <w:highlight w:val="none"/>
              </w:rPr>
            </w:pPr>
            <w:r>
              <w:rPr>
                <w:color w:val="auto"/>
                <w:sz w:val="18"/>
                <w:szCs w:val="20"/>
                <w:highlight w:val="none"/>
              </w:rPr>
              <w:t>甲级</w:t>
            </w:r>
          </w:p>
        </w:tc>
        <w:tc>
          <w:tcPr>
            <w:tcW w:w="6765" w:type="dxa"/>
          </w:tcPr>
          <w:p>
            <w:pPr>
              <w:spacing w:before="31" w:beforeLines="10" w:after="31" w:afterLines="10"/>
              <w:jc w:val="left"/>
              <w:rPr>
                <w:color w:val="auto"/>
                <w:sz w:val="18"/>
                <w:szCs w:val="20"/>
                <w:highlight w:val="none"/>
              </w:rPr>
            </w:pPr>
            <w:r>
              <w:rPr>
                <w:color w:val="auto"/>
                <w:sz w:val="18"/>
                <w:szCs w:val="20"/>
                <w:highlight w:val="none"/>
              </w:rPr>
              <w:t>工程重要性等级、场地复杂程度等级</w:t>
            </w:r>
            <w:r>
              <w:rPr>
                <w:rFonts w:hint="eastAsia"/>
                <w:color w:val="auto"/>
                <w:sz w:val="18"/>
                <w:szCs w:val="20"/>
                <w:highlight w:val="none"/>
              </w:rPr>
              <w:t>、</w:t>
            </w:r>
            <w:r>
              <w:rPr>
                <w:color w:val="auto"/>
                <w:sz w:val="18"/>
                <w:szCs w:val="20"/>
                <w:highlight w:val="none"/>
              </w:rPr>
              <w:t>岩土条件复杂程度</w:t>
            </w:r>
            <w:r>
              <w:rPr>
                <w:rFonts w:hint="eastAsia"/>
                <w:color w:val="auto"/>
                <w:sz w:val="18"/>
                <w:szCs w:val="20"/>
                <w:highlight w:val="none"/>
              </w:rPr>
              <w:t>等级</w:t>
            </w:r>
            <w:r>
              <w:rPr>
                <w:color w:val="auto"/>
                <w:sz w:val="18"/>
                <w:szCs w:val="20"/>
                <w:highlight w:val="none"/>
              </w:rPr>
              <w:t>中至少一项为一级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11" w:type="dxa"/>
          </w:tcPr>
          <w:p>
            <w:pPr>
              <w:spacing w:before="31" w:beforeLines="10" w:after="31" w:afterLines="10"/>
              <w:jc w:val="center"/>
              <w:rPr>
                <w:color w:val="auto"/>
                <w:sz w:val="18"/>
                <w:szCs w:val="20"/>
                <w:highlight w:val="none"/>
              </w:rPr>
            </w:pPr>
            <w:r>
              <w:rPr>
                <w:color w:val="auto"/>
                <w:sz w:val="18"/>
                <w:szCs w:val="20"/>
                <w:highlight w:val="none"/>
              </w:rPr>
              <w:t>乙级</w:t>
            </w:r>
          </w:p>
        </w:tc>
        <w:tc>
          <w:tcPr>
            <w:tcW w:w="6765" w:type="dxa"/>
          </w:tcPr>
          <w:p>
            <w:pPr>
              <w:spacing w:before="31" w:beforeLines="10" w:after="31" w:afterLines="10"/>
              <w:jc w:val="left"/>
              <w:rPr>
                <w:color w:val="auto"/>
                <w:sz w:val="18"/>
                <w:szCs w:val="20"/>
                <w:highlight w:val="none"/>
              </w:rPr>
            </w:pPr>
            <w:r>
              <w:rPr>
                <w:color w:val="auto"/>
                <w:sz w:val="18"/>
                <w:szCs w:val="20"/>
                <w:highlight w:val="none"/>
              </w:rPr>
              <w:t>除甲级、丙级外情况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11" w:type="dxa"/>
          </w:tcPr>
          <w:p>
            <w:pPr>
              <w:spacing w:before="31" w:beforeLines="10" w:after="31" w:afterLines="10"/>
              <w:jc w:val="center"/>
              <w:rPr>
                <w:color w:val="auto"/>
                <w:sz w:val="18"/>
                <w:szCs w:val="20"/>
                <w:highlight w:val="none"/>
              </w:rPr>
            </w:pPr>
            <w:r>
              <w:rPr>
                <w:color w:val="auto"/>
                <w:sz w:val="18"/>
                <w:szCs w:val="20"/>
                <w:highlight w:val="none"/>
              </w:rPr>
              <w:t>丙级</w:t>
            </w:r>
          </w:p>
        </w:tc>
        <w:tc>
          <w:tcPr>
            <w:tcW w:w="6765" w:type="dxa"/>
          </w:tcPr>
          <w:p>
            <w:pPr>
              <w:spacing w:before="31" w:beforeLines="10" w:after="31" w:afterLines="10"/>
              <w:jc w:val="left"/>
              <w:rPr>
                <w:color w:val="auto"/>
                <w:sz w:val="18"/>
                <w:szCs w:val="20"/>
                <w:highlight w:val="none"/>
              </w:rPr>
            </w:pPr>
            <w:r>
              <w:rPr>
                <w:color w:val="auto"/>
                <w:sz w:val="18"/>
                <w:szCs w:val="20"/>
                <w:highlight w:val="none"/>
              </w:rPr>
              <w:t>工程重要性等级、场地复杂程度等级</w:t>
            </w:r>
            <w:r>
              <w:rPr>
                <w:rFonts w:hint="eastAsia"/>
                <w:color w:val="auto"/>
                <w:sz w:val="18"/>
                <w:szCs w:val="20"/>
                <w:highlight w:val="none"/>
              </w:rPr>
              <w:t>、</w:t>
            </w:r>
            <w:r>
              <w:rPr>
                <w:color w:val="auto"/>
                <w:sz w:val="18"/>
                <w:szCs w:val="20"/>
                <w:highlight w:val="none"/>
              </w:rPr>
              <w:t>岩土条件复杂程度</w:t>
            </w:r>
            <w:r>
              <w:rPr>
                <w:rFonts w:hint="eastAsia"/>
                <w:color w:val="auto"/>
                <w:sz w:val="18"/>
                <w:szCs w:val="20"/>
                <w:highlight w:val="none"/>
              </w:rPr>
              <w:t>等级</w:t>
            </w:r>
            <w:r>
              <w:rPr>
                <w:color w:val="auto"/>
                <w:sz w:val="18"/>
                <w:szCs w:val="20"/>
                <w:highlight w:val="none"/>
              </w:rPr>
              <w:t>均为三级</w:t>
            </w:r>
          </w:p>
        </w:tc>
      </w:tr>
    </w:tbl>
    <w:p>
      <w:pPr>
        <w:snapToGrid w:val="0"/>
        <w:spacing w:line="360" w:lineRule="auto"/>
        <w:ind w:left="1050" w:leftChars="200" w:hanging="630" w:hangingChars="350"/>
        <w:jc w:val="left"/>
        <w:rPr>
          <w:color w:val="auto"/>
          <w:sz w:val="18"/>
          <w:szCs w:val="20"/>
          <w:highlight w:val="none"/>
        </w:rPr>
      </w:pPr>
      <w:r>
        <w:rPr>
          <w:color w:val="auto"/>
          <w:sz w:val="18"/>
          <w:szCs w:val="20"/>
          <w:highlight w:val="none"/>
        </w:rPr>
        <w:t>注：当建设项目包含多种工程类别时，可按主体工程类别确定</w:t>
      </w:r>
      <w:r>
        <w:rPr>
          <w:rFonts w:hint="eastAsia"/>
          <w:color w:val="auto"/>
          <w:sz w:val="18"/>
          <w:szCs w:val="20"/>
          <w:highlight w:val="none"/>
          <w:lang w:val="en-US" w:eastAsia="zh-CN"/>
        </w:rPr>
        <w:t>项目的</w:t>
      </w:r>
      <w:r>
        <w:rPr>
          <w:color w:val="auto"/>
          <w:sz w:val="18"/>
          <w:szCs w:val="20"/>
          <w:highlight w:val="none"/>
        </w:rPr>
        <w:t>勘察等级。</w:t>
      </w:r>
    </w:p>
    <w:p>
      <w:pPr>
        <w:spacing w:line="360" w:lineRule="auto"/>
        <w:rPr>
          <w:color w:val="auto"/>
          <w:highlight w:val="none"/>
        </w:rPr>
      </w:pPr>
      <w:r>
        <w:rPr>
          <w:b/>
          <w:bCs/>
          <w:color w:val="auto"/>
          <w:szCs w:val="21"/>
          <w:highlight w:val="none"/>
        </w:rPr>
        <w:t>3.0.2</w:t>
      </w:r>
      <w:r>
        <w:rPr>
          <w:rFonts w:hint="eastAsia"/>
          <w:b/>
          <w:bCs/>
          <w:color w:val="auto"/>
          <w:szCs w:val="21"/>
          <w:highlight w:val="none"/>
        </w:rPr>
        <w:t>　</w:t>
      </w:r>
      <w:r>
        <w:rPr>
          <w:color w:val="auto"/>
          <w:highlight w:val="none"/>
        </w:rPr>
        <w:t>市政工程勘察应</w:t>
      </w:r>
      <w:r>
        <w:rPr>
          <w:rFonts w:hint="eastAsia"/>
          <w:color w:val="auto"/>
          <w:highlight w:val="none"/>
        </w:rPr>
        <w:t>搜集与分析已有的地形图、地质资料、地下管线资料、工程设计资料、周边环境及地下设施资料，在现场踏勘基础上，根据勘察目的、任务和现行相应技术标准的要求，针对拟建工程特点和场地工程地质条件编制勘</w:t>
      </w:r>
      <w:r>
        <w:rPr>
          <w:color w:val="auto"/>
          <w:highlight w:val="none"/>
        </w:rPr>
        <w:t>察纲要。</w:t>
      </w:r>
    </w:p>
    <w:p>
      <w:pPr>
        <w:spacing w:line="360" w:lineRule="auto"/>
        <w:rPr>
          <w:color w:val="auto"/>
          <w:highlight w:val="none"/>
        </w:rPr>
      </w:pPr>
      <w:r>
        <w:rPr>
          <w:rFonts w:hint="eastAsia"/>
          <w:b/>
          <w:bCs/>
          <w:color w:val="auto"/>
          <w:highlight w:val="none"/>
        </w:rPr>
        <w:t>3.0.3</w:t>
      </w:r>
      <w:r>
        <w:rPr>
          <w:rFonts w:hint="eastAsia"/>
          <w:color w:val="auto"/>
          <w:highlight w:val="none"/>
        </w:rPr>
        <w:t>　既有市政基础设施的改扩建工程，应针对工程特点和新的工程设计要求，在利用原勘察资料基础上进行勘察。</w:t>
      </w:r>
    </w:p>
    <w:p>
      <w:pPr>
        <w:spacing w:line="360" w:lineRule="auto"/>
        <w:rPr>
          <w:color w:val="auto"/>
          <w:highlight w:val="none"/>
        </w:rPr>
      </w:pPr>
      <w:r>
        <w:rPr>
          <w:b/>
          <w:bCs/>
          <w:color w:val="auto"/>
          <w:szCs w:val="21"/>
          <w:highlight w:val="none"/>
        </w:rPr>
        <w:t>3.0.</w:t>
      </w:r>
      <w:r>
        <w:rPr>
          <w:rFonts w:hint="eastAsia"/>
          <w:b/>
          <w:bCs/>
          <w:color w:val="auto"/>
          <w:szCs w:val="21"/>
          <w:highlight w:val="none"/>
        </w:rPr>
        <w:t>4</w:t>
      </w:r>
      <w:r>
        <w:rPr>
          <w:b/>
          <w:bCs/>
          <w:color w:val="auto"/>
          <w:highlight w:val="none"/>
        </w:rPr>
        <w:t>　</w:t>
      </w:r>
      <w:r>
        <w:rPr>
          <w:color w:val="auto"/>
          <w:highlight w:val="none"/>
        </w:rPr>
        <w:t>市政工程勘察应根据工程建设需要分阶段开展勘察工作</w:t>
      </w:r>
      <w:r>
        <w:rPr>
          <w:rFonts w:hint="eastAsia"/>
          <w:color w:val="auto"/>
          <w:highlight w:val="none"/>
        </w:rPr>
        <w:t>，并应符合下列规定：</w:t>
      </w:r>
    </w:p>
    <w:p>
      <w:pPr>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一般市政工程宜按可行性研究勘察、初步勘察、详细勘察三个阶段开展勘察工作</w:t>
      </w:r>
      <w:bookmarkStart w:id="24" w:name="OLE_LINK4"/>
      <w:bookmarkStart w:id="25" w:name="OLE_LINK3"/>
      <w:r>
        <w:rPr>
          <w:rFonts w:hint="eastAsia"/>
          <w:color w:val="auto"/>
          <w:highlight w:val="none"/>
        </w:rPr>
        <w:t>，施工阶段可根据需要进行施工勘察；</w:t>
      </w:r>
    </w:p>
    <w:p>
      <w:pPr>
        <w:spacing w:line="360" w:lineRule="auto"/>
        <w:ind w:firstLine="422" w:firstLineChars="200"/>
        <w:rPr>
          <w:color w:val="auto"/>
          <w:highlight w:val="none"/>
        </w:rPr>
      </w:pPr>
      <w:r>
        <w:rPr>
          <w:rFonts w:hint="eastAsia"/>
          <w:b/>
          <w:bCs/>
          <w:color w:val="auto"/>
          <w:highlight w:val="none"/>
        </w:rPr>
        <w:t>2　</w:t>
      </w:r>
      <w:r>
        <w:rPr>
          <w:rFonts w:hint="eastAsia"/>
          <w:color w:val="auto"/>
          <w:highlight w:val="none"/>
        </w:rPr>
        <w:t>当场地及附近存在对工程设计方案和施工有重大影响的岩土工程问题时，宜进行专项勘察。</w:t>
      </w:r>
    </w:p>
    <w:bookmarkEnd w:id="24"/>
    <w:bookmarkEnd w:id="25"/>
    <w:p>
      <w:pPr>
        <w:spacing w:line="360" w:lineRule="auto"/>
        <w:rPr>
          <w:color w:val="auto"/>
          <w:highlight w:val="none"/>
        </w:rPr>
      </w:pPr>
      <w:r>
        <w:rPr>
          <w:b/>
          <w:bCs/>
          <w:color w:val="auto"/>
          <w:szCs w:val="21"/>
          <w:highlight w:val="none"/>
        </w:rPr>
        <w:t>3.0.</w:t>
      </w:r>
      <w:r>
        <w:rPr>
          <w:rFonts w:hint="eastAsia"/>
          <w:b/>
          <w:bCs/>
          <w:color w:val="auto"/>
          <w:szCs w:val="21"/>
          <w:highlight w:val="none"/>
        </w:rPr>
        <w:t>5　</w:t>
      </w:r>
      <w:r>
        <w:rPr>
          <w:color w:val="auto"/>
          <w:highlight w:val="none"/>
        </w:rPr>
        <w:t>可行性研究</w:t>
      </w:r>
      <w:r>
        <w:rPr>
          <w:rFonts w:hint="eastAsia"/>
          <w:color w:val="auto"/>
          <w:highlight w:val="none"/>
        </w:rPr>
        <w:t>勘察应在</w:t>
      </w:r>
      <w:r>
        <w:rPr>
          <w:color w:val="auto"/>
          <w:highlight w:val="none"/>
        </w:rPr>
        <w:t>搜集</w:t>
      </w:r>
      <w:r>
        <w:rPr>
          <w:rFonts w:hint="eastAsia"/>
          <w:color w:val="auto"/>
          <w:highlight w:val="none"/>
        </w:rPr>
        <w:t>已有地质</w:t>
      </w:r>
      <w:r>
        <w:rPr>
          <w:color w:val="auto"/>
          <w:highlight w:val="none"/>
        </w:rPr>
        <w:t>资料</w:t>
      </w:r>
      <w:r>
        <w:rPr>
          <w:rFonts w:hint="eastAsia"/>
          <w:color w:val="auto"/>
          <w:highlight w:val="none"/>
        </w:rPr>
        <w:t>及工程</w:t>
      </w:r>
      <w:r>
        <w:rPr>
          <w:color w:val="auto"/>
          <w:highlight w:val="none"/>
        </w:rPr>
        <w:t>地质</w:t>
      </w:r>
      <w:r>
        <w:rPr>
          <w:rFonts w:hint="eastAsia"/>
          <w:color w:val="auto"/>
          <w:highlight w:val="none"/>
        </w:rPr>
        <w:t>调查与测绘的基础上</w:t>
      </w:r>
      <w:r>
        <w:rPr>
          <w:color w:val="auto"/>
          <w:highlight w:val="none"/>
        </w:rPr>
        <w:t>，</w:t>
      </w:r>
      <w:r>
        <w:rPr>
          <w:rFonts w:hint="eastAsia"/>
          <w:color w:val="auto"/>
          <w:highlight w:val="none"/>
        </w:rPr>
        <w:t>开展必要</w:t>
      </w:r>
      <w:r>
        <w:rPr>
          <w:color w:val="auto"/>
          <w:highlight w:val="none"/>
        </w:rPr>
        <w:t>的</w:t>
      </w:r>
      <w:r>
        <w:rPr>
          <w:rFonts w:hint="eastAsia"/>
          <w:color w:val="auto"/>
          <w:highlight w:val="none"/>
        </w:rPr>
        <w:t>勘探与取样、原位测试、室内试验等工作</w:t>
      </w:r>
      <w:r>
        <w:rPr>
          <w:color w:val="auto"/>
          <w:highlight w:val="none"/>
        </w:rPr>
        <w:t>，重点了解场</w:t>
      </w:r>
      <w:r>
        <w:rPr>
          <w:rFonts w:hint="eastAsia"/>
          <w:color w:val="auto"/>
          <w:highlight w:val="none"/>
        </w:rPr>
        <w:t>地</w:t>
      </w:r>
      <w:r>
        <w:rPr>
          <w:color w:val="auto"/>
          <w:highlight w:val="none"/>
        </w:rPr>
        <w:t>及周边不良地质作用和特殊性岩土的分布情况，</w:t>
      </w:r>
      <w:r>
        <w:rPr>
          <w:rFonts w:hint="eastAsia"/>
          <w:color w:val="auto"/>
          <w:highlight w:val="none"/>
        </w:rPr>
        <w:t>初步分析</w:t>
      </w:r>
      <w:r>
        <w:rPr>
          <w:color w:val="auto"/>
          <w:highlight w:val="none"/>
        </w:rPr>
        <w:t>评</w:t>
      </w:r>
      <w:r>
        <w:rPr>
          <w:rFonts w:hint="eastAsia"/>
          <w:color w:val="auto"/>
          <w:highlight w:val="none"/>
        </w:rPr>
        <w:t>价</w:t>
      </w:r>
      <w:r>
        <w:rPr>
          <w:color w:val="auto"/>
          <w:highlight w:val="none"/>
        </w:rPr>
        <w:t>场地的稳定性和工程建设</w:t>
      </w:r>
      <w:r>
        <w:rPr>
          <w:rFonts w:hint="eastAsia"/>
          <w:color w:val="auto"/>
          <w:highlight w:val="none"/>
        </w:rPr>
        <w:t>的</w:t>
      </w:r>
      <w:r>
        <w:rPr>
          <w:color w:val="auto"/>
          <w:highlight w:val="none"/>
        </w:rPr>
        <w:t>适宜性。</w:t>
      </w:r>
    </w:p>
    <w:p>
      <w:pPr>
        <w:spacing w:line="360" w:lineRule="auto"/>
        <w:rPr>
          <w:color w:val="auto"/>
          <w:kern w:val="0"/>
          <w:highlight w:val="none"/>
        </w:rPr>
      </w:pPr>
      <w:r>
        <w:rPr>
          <w:b/>
          <w:bCs/>
          <w:color w:val="auto"/>
          <w:szCs w:val="21"/>
          <w:highlight w:val="none"/>
        </w:rPr>
        <w:t>3.0.</w:t>
      </w:r>
      <w:r>
        <w:rPr>
          <w:rFonts w:hint="eastAsia"/>
          <w:b/>
          <w:bCs/>
          <w:color w:val="auto"/>
          <w:szCs w:val="21"/>
          <w:highlight w:val="none"/>
        </w:rPr>
        <w:t>6　</w:t>
      </w:r>
      <w:r>
        <w:rPr>
          <w:color w:val="auto"/>
          <w:highlight w:val="none"/>
        </w:rPr>
        <w:t>初步勘察</w:t>
      </w:r>
      <w:r>
        <w:rPr>
          <w:rFonts w:hint="eastAsia"/>
          <w:color w:val="auto"/>
          <w:highlight w:val="none"/>
        </w:rPr>
        <w:t>宜</w:t>
      </w:r>
      <w:r>
        <w:rPr>
          <w:color w:val="auto"/>
          <w:highlight w:val="none"/>
        </w:rPr>
        <w:t>在可行性研究勘察基础上，</w:t>
      </w:r>
      <w:r>
        <w:rPr>
          <w:rFonts w:hint="eastAsia"/>
          <w:color w:val="auto"/>
          <w:highlight w:val="none"/>
        </w:rPr>
        <w:t>综合采用工程地质调查与测绘、勘探与取样、原位测试、室内试验和水文地质试验等多种勘察手段，初步查明场地的工程地质和水文地质条件，为初步设计提供地质依据</w:t>
      </w:r>
      <w:r>
        <w:rPr>
          <w:color w:val="auto"/>
          <w:kern w:val="0"/>
          <w:highlight w:val="none"/>
        </w:rPr>
        <w:t>。</w:t>
      </w:r>
    </w:p>
    <w:p>
      <w:pPr>
        <w:spacing w:line="360" w:lineRule="auto"/>
        <w:rPr>
          <w:color w:val="auto"/>
          <w:highlight w:val="none"/>
        </w:rPr>
      </w:pPr>
      <w:r>
        <w:rPr>
          <w:rFonts w:hint="eastAsia"/>
          <w:b/>
          <w:bCs/>
          <w:color w:val="auto"/>
          <w:szCs w:val="21"/>
          <w:highlight w:val="none"/>
        </w:rPr>
        <w:t>3.0.7　</w:t>
      </w:r>
      <w:r>
        <w:rPr>
          <w:color w:val="auto"/>
          <w:highlight w:val="none"/>
        </w:rPr>
        <w:t>初步勘察的</w:t>
      </w:r>
      <w:r>
        <w:rPr>
          <w:rFonts w:hint="eastAsia"/>
          <w:color w:val="auto"/>
          <w:highlight w:val="none"/>
        </w:rPr>
        <w:t>勘探、</w:t>
      </w:r>
      <w:r>
        <w:rPr>
          <w:color w:val="auto"/>
          <w:highlight w:val="none"/>
        </w:rPr>
        <w:t>取样及测试工作应</w:t>
      </w:r>
      <w:r>
        <w:rPr>
          <w:rFonts w:hint="eastAsia"/>
          <w:color w:val="auto"/>
          <w:highlight w:val="none"/>
        </w:rPr>
        <w:t>符合下列规定</w:t>
      </w:r>
      <w:r>
        <w:rPr>
          <w:color w:val="auto"/>
          <w:highlight w:val="none"/>
        </w:rPr>
        <w:t>：</w:t>
      </w:r>
    </w:p>
    <w:p>
      <w:pPr>
        <w:spacing w:line="360" w:lineRule="auto"/>
        <w:ind w:firstLine="422" w:firstLineChars="200"/>
        <w:rPr>
          <w:color w:val="auto"/>
          <w:highlight w:val="none"/>
        </w:rPr>
      </w:pPr>
      <w:r>
        <w:rPr>
          <w:b/>
          <w:bCs/>
          <w:color w:val="auto"/>
          <w:highlight w:val="none"/>
        </w:rPr>
        <w:t>1</w:t>
      </w:r>
      <w:r>
        <w:rPr>
          <w:rFonts w:hint="eastAsia"/>
          <w:color w:val="auto"/>
          <w:highlight w:val="none"/>
        </w:rPr>
        <w:t>　控制性勘探孔不应少于勘探孔总数的1/2；</w:t>
      </w:r>
    </w:p>
    <w:p>
      <w:pPr>
        <w:spacing w:line="360" w:lineRule="auto"/>
        <w:ind w:firstLine="422" w:firstLineChars="200"/>
        <w:rPr>
          <w:color w:val="auto"/>
          <w:highlight w:val="none"/>
        </w:rPr>
      </w:pPr>
      <w:r>
        <w:rPr>
          <w:rFonts w:hint="eastAsia"/>
          <w:b/>
          <w:bCs/>
          <w:color w:val="auto"/>
          <w:highlight w:val="none"/>
        </w:rPr>
        <w:t>2</w:t>
      </w:r>
      <w:r>
        <w:rPr>
          <w:rFonts w:hint="eastAsia"/>
          <w:color w:val="auto"/>
          <w:highlight w:val="none"/>
        </w:rPr>
        <w:t>　采</w:t>
      </w:r>
      <w:r>
        <w:rPr>
          <w:color w:val="auto"/>
          <w:highlight w:val="none"/>
        </w:rPr>
        <w:t>取试样和进行原位测试的勘探孔数量</w:t>
      </w:r>
      <w:r>
        <w:rPr>
          <w:rFonts w:hint="eastAsia"/>
          <w:color w:val="auto"/>
          <w:highlight w:val="none"/>
        </w:rPr>
        <w:t>不应</w:t>
      </w:r>
      <w:r>
        <w:rPr>
          <w:color w:val="auto"/>
          <w:highlight w:val="none"/>
        </w:rPr>
        <w:t>少于勘探孔总数的</w:t>
      </w:r>
      <w:r>
        <w:rPr>
          <w:rFonts w:hint="eastAsia"/>
          <w:color w:val="auto"/>
          <w:highlight w:val="none"/>
        </w:rPr>
        <w:t>2/3</w:t>
      </w:r>
      <w:r>
        <w:rPr>
          <w:color w:val="auto"/>
          <w:highlight w:val="none"/>
        </w:rPr>
        <w:t>；</w:t>
      </w:r>
    </w:p>
    <w:p>
      <w:pPr>
        <w:spacing w:line="360" w:lineRule="auto"/>
        <w:ind w:firstLine="422" w:firstLineChars="200"/>
        <w:rPr>
          <w:color w:val="auto"/>
          <w:highlight w:val="none"/>
        </w:rPr>
      </w:pPr>
      <w:r>
        <w:rPr>
          <w:rFonts w:hint="eastAsia"/>
          <w:b/>
          <w:bCs/>
          <w:color w:val="auto"/>
          <w:highlight w:val="none"/>
        </w:rPr>
        <w:t>3</w:t>
      </w:r>
      <w:r>
        <w:rPr>
          <w:rFonts w:hint="eastAsia"/>
          <w:color w:val="auto"/>
          <w:highlight w:val="none"/>
        </w:rPr>
        <w:t>　</w:t>
      </w:r>
      <w:r>
        <w:rPr>
          <w:rFonts w:hint="eastAsia"/>
          <w:color w:val="auto"/>
          <w:highlight w:val="none"/>
          <w:lang w:val="en-US" w:eastAsia="zh-CN"/>
        </w:rPr>
        <w:t>当需确定场地类别而邻近无可靠资料时，</w:t>
      </w:r>
      <w:r>
        <w:rPr>
          <w:color w:val="auto"/>
          <w:highlight w:val="none"/>
        </w:rPr>
        <w:t>选取有代表性的</w:t>
      </w:r>
      <w:r>
        <w:rPr>
          <w:rFonts w:hint="eastAsia"/>
          <w:color w:val="auto"/>
          <w:highlight w:val="none"/>
        </w:rPr>
        <w:t>勘探孔</w:t>
      </w:r>
      <w:r>
        <w:rPr>
          <w:color w:val="auto"/>
          <w:highlight w:val="none"/>
        </w:rPr>
        <w:t>进行</w:t>
      </w:r>
      <w:r>
        <w:rPr>
          <w:rFonts w:hint="eastAsia"/>
          <w:color w:val="auto"/>
          <w:highlight w:val="none"/>
        </w:rPr>
        <w:t>剪切</w:t>
      </w:r>
      <w:r>
        <w:rPr>
          <w:color w:val="auto"/>
          <w:highlight w:val="none"/>
        </w:rPr>
        <w:t>波速测试</w:t>
      </w:r>
      <w:r>
        <w:rPr>
          <w:rFonts w:hint="eastAsia"/>
          <w:color w:val="auto"/>
          <w:highlight w:val="none"/>
        </w:rPr>
        <w:t>，每个场地波速测试钻孔不宜少于3个</w:t>
      </w:r>
      <w:r>
        <w:rPr>
          <w:color w:val="auto"/>
          <w:highlight w:val="none"/>
        </w:rPr>
        <w:t>；</w:t>
      </w:r>
    </w:p>
    <w:p>
      <w:pPr>
        <w:spacing w:line="360" w:lineRule="auto"/>
        <w:ind w:firstLine="422" w:firstLineChars="200"/>
        <w:rPr>
          <w:color w:val="auto"/>
          <w:highlight w:val="none"/>
        </w:rPr>
      </w:pPr>
      <w:r>
        <w:rPr>
          <w:rFonts w:hint="eastAsia"/>
          <w:b/>
          <w:bCs/>
          <w:color w:val="auto"/>
          <w:highlight w:val="none"/>
        </w:rPr>
        <w:t>4</w:t>
      </w:r>
      <w:r>
        <w:rPr>
          <w:rFonts w:hint="eastAsia"/>
          <w:color w:val="auto"/>
          <w:highlight w:val="none"/>
        </w:rPr>
        <w:t>　</w:t>
      </w:r>
      <w:r>
        <w:rPr>
          <w:color w:val="auto"/>
          <w:highlight w:val="none"/>
        </w:rPr>
        <w:t>当</w:t>
      </w:r>
      <w:r>
        <w:rPr>
          <w:rFonts w:hint="eastAsia"/>
          <w:color w:val="auto"/>
          <w:highlight w:val="none"/>
        </w:rPr>
        <w:t>地下工程或边坡工程的</w:t>
      </w:r>
      <w:r>
        <w:rPr>
          <w:color w:val="auto"/>
          <w:highlight w:val="none"/>
        </w:rPr>
        <w:t>水文地质条件复杂且对工程影响重大时，应通过现场试验确定水文地质参数。</w:t>
      </w:r>
    </w:p>
    <w:p>
      <w:pPr>
        <w:spacing w:line="360" w:lineRule="auto"/>
        <w:rPr>
          <w:color w:val="auto"/>
          <w:highlight w:val="none"/>
        </w:rPr>
      </w:pPr>
      <w:r>
        <w:rPr>
          <w:b/>
          <w:bCs/>
          <w:color w:val="auto"/>
          <w:szCs w:val="21"/>
          <w:highlight w:val="none"/>
        </w:rPr>
        <w:t>3.0.</w:t>
      </w:r>
      <w:r>
        <w:rPr>
          <w:rFonts w:hint="eastAsia"/>
          <w:b/>
          <w:bCs/>
          <w:color w:val="auto"/>
          <w:szCs w:val="21"/>
          <w:highlight w:val="none"/>
        </w:rPr>
        <w:t>8　</w:t>
      </w:r>
      <w:r>
        <w:rPr>
          <w:color w:val="auto"/>
          <w:highlight w:val="none"/>
        </w:rPr>
        <w:t>详细勘察应</w:t>
      </w:r>
      <w:r>
        <w:rPr>
          <w:rFonts w:hint="eastAsia"/>
          <w:color w:val="auto"/>
          <w:highlight w:val="none"/>
        </w:rPr>
        <w:t>针对</w:t>
      </w:r>
      <w:r>
        <w:rPr>
          <w:color w:val="auto"/>
          <w:highlight w:val="none"/>
        </w:rPr>
        <w:t>工程设计方案的特点，</w:t>
      </w:r>
      <w:r>
        <w:rPr>
          <w:rFonts w:hint="eastAsia"/>
          <w:color w:val="auto"/>
          <w:highlight w:val="none"/>
        </w:rPr>
        <w:t>结合</w:t>
      </w:r>
      <w:r>
        <w:rPr>
          <w:color w:val="auto"/>
          <w:highlight w:val="none"/>
        </w:rPr>
        <w:t>初步勘察反映的</w:t>
      </w:r>
      <w:r>
        <w:rPr>
          <w:rFonts w:hint="eastAsia"/>
          <w:color w:val="auto"/>
          <w:highlight w:val="none"/>
        </w:rPr>
        <w:t>岩土条件，采用勘探与取样、</w:t>
      </w:r>
      <w:r>
        <w:rPr>
          <w:color w:val="auto"/>
          <w:highlight w:val="none"/>
        </w:rPr>
        <w:t>原位测试</w:t>
      </w:r>
      <w:r>
        <w:rPr>
          <w:rFonts w:hint="eastAsia"/>
          <w:color w:val="auto"/>
          <w:highlight w:val="none"/>
        </w:rPr>
        <w:t>、室内试验和水文地质试验等勘察手段，详细查明场地的工程地质和水文地质条件，进行岩土工程分析评价，</w:t>
      </w:r>
      <w:r>
        <w:rPr>
          <w:color w:val="auto"/>
          <w:highlight w:val="none"/>
        </w:rPr>
        <w:t>提</w:t>
      </w:r>
      <w:r>
        <w:rPr>
          <w:rFonts w:hint="eastAsia"/>
          <w:color w:val="auto"/>
          <w:highlight w:val="none"/>
        </w:rPr>
        <w:t>供设计和施工所需的岩土参数及相关结论建议，提示岩土工程风险，为施工图设计提供地质依据</w:t>
      </w:r>
      <w:r>
        <w:rPr>
          <w:color w:val="auto"/>
          <w:highlight w:val="none"/>
        </w:rPr>
        <w:t>。</w:t>
      </w:r>
    </w:p>
    <w:p>
      <w:pPr>
        <w:spacing w:line="360" w:lineRule="auto"/>
        <w:rPr>
          <w:color w:val="auto"/>
          <w:highlight w:val="none"/>
        </w:rPr>
      </w:pPr>
      <w:r>
        <w:rPr>
          <w:b/>
          <w:bCs/>
          <w:color w:val="auto"/>
          <w:szCs w:val="21"/>
          <w:highlight w:val="none"/>
        </w:rPr>
        <w:t>3.0.</w:t>
      </w:r>
      <w:r>
        <w:rPr>
          <w:rFonts w:hint="eastAsia"/>
          <w:b/>
          <w:bCs/>
          <w:color w:val="auto"/>
          <w:szCs w:val="21"/>
          <w:highlight w:val="none"/>
        </w:rPr>
        <w:t>9　</w:t>
      </w:r>
      <w:r>
        <w:rPr>
          <w:rFonts w:hint="eastAsia"/>
          <w:color w:val="auto"/>
          <w:szCs w:val="21"/>
          <w:highlight w:val="none"/>
        </w:rPr>
        <w:t>详细</w:t>
      </w:r>
      <w:r>
        <w:rPr>
          <w:rFonts w:hint="eastAsia"/>
          <w:color w:val="auto"/>
          <w:highlight w:val="none"/>
        </w:rPr>
        <w:t>勘察的勘探、取样和测试工作应符合下列规定：</w:t>
      </w:r>
    </w:p>
    <w:p>
      <w:pPr>
        <w:spacing w:line="360" w:lineRule="auto"/>
        <w:ind w:firstLine="422" w:firstLineChars="200"/>
        <w:rPr>
          <w:rFonts w:hint="eastAsia" w:eastAsia="宋体"/>
          <w:color w:val="auto"/>
          <w:highlight w:val="none"/>
          <w:lang w:eastAsia="zh-CN"/>
        </w:rPr>
      </w:pPr>
      <w:r>
        <w:rPr>
          <w:rFonts w:hint="eastAsia"/>
          <w:b/>
          <w:bCs/>
          <w:color w:val="auto"/>
          <w:highlight w:val="none"/>
        </w:rPr>
        <w:t>1　</w:t>
      </w:r>
      <w:r>
        <w:rPr>
          <w:rFonts w:hint="eastAsia"/>
          <w:color w:val="auto"/>
          <w:highlight w:val="none"/>
        </w:rPr>
        <w:t>控制性勘探孔不应少于勘探孔总数的1/3</w:t>
      </w:r>
      <w:r>
        <w:rPr>
          <w:rFonts w:hint="eastAsia"/>
          <w:color w:val="auto"/>
          <w:highlight w:val="none"/>
          <w:lang w:eastAsia="zh-CN"/>
        </w:rPr>
        <w:t>。</w:t>
      </w:r>
    </w:p>
    <w:p>
      <w:pPr>
        <w:spacing w:line="360" w:lineRule="auto"/>
        <w:ind w:firstLine="422" w:firstLineChars="200"/>
        <w:rPr>
          <w:color w:val="auto"/>
          <w:highlight w:val="none"/>
        </w:rPr>
      </w:pPr>
      <w:r>
        <w:rPr>
          <w:rFonts w:hint="eastAsia"/>
          <w:b/>
          <w:bCs/>
          <w:color w:val="auto"/>
          <w:highlight w:val="none"/>
        </w:rPr>
        <w:t>2　</w:t>
      </w:r>
      <w:r>
        <w:rPr>
          <w:rFonts w:hint="eastAsia"/>
          <w:color w:val="auto"/>
          <w:highlight w:val="none"/>
        </w:rPr>
        <w:t>采</w:t>
      </w:r>
      <w:r>
        <w:rPr>
          <w:color w:val="auto"/>
          <w:highlight w:val="none"/>
        </w:rPr>
        <w:t>取试样和进行原位测试</w:t>
      </w:r>
      <w:r>
        <w:rPr>
          <w:rFonts w:hint="eastAsia"/>
          <w:color w:val="auto"/>
          <w:highlight w:val="none"/>
        </w:rPr>
        <w:t>的勘探孔数量及竖向间距，应根据工程特点、地层结构、</w:t>
      </w:r>
      <w:r>
        <w:rPr>
          <w:color w:val="auto"/>
          <w:highlight w:val="none"/>
        </w:rPr>
        <w:t>地基的均匀性和代表性</w:t>
      </w:r>
      <w:r>
        <w:rPr>
          <w:rFonts w:hint="eastAsia"/>
          <w:color w:val="auto"/>
          <w:highlight w:val="none"/>
        </w:rPr>
        <w:t>确定；采</w:t>
      </w:r>
      <w:r>
        <w:rPr>
          <w:color w:val="auto"/>
          <w:highlight w:val="none"/>
        </w:rPr>
        <w:t>取</w:t>
      </w:r>
      <w:r>
        <w:rPr>
          <w:rFonts w:hint="eastAsia"/>
          <w:color w:val="auto"/>
          <w:highlight w:val="none"/>
        </w:rPr>
        <w:t>土</w:t>
      </w:r>
      <w:r>
        <w:rPr>
          <w:color w:val="auto"/>
          <w:highlight w:val="none"/>
        </w:rPr>
        <w:t>试样和进行原位测试</w:t>
      </w:r>
      <w:r>
        <w:rPr>
          <w:rFonts w:hint="eastAsia"/>
          <w:color w:val="auto"/>
          <w:highlight w:val="none"/>
        </w:rPr>
        <w:t>的勘探孔数量不应少于勘探孔总数的1/2；</w:t>
      </w:r>
    </w:p>
    <w:p>
      <w:pPr>
        <w:spacing w:line="360" w:lineRule="auto"/>
        <w:ind w:firstLine="422" w:firstLineChars="200"/>
        <w:rPr>
          <w:color w:val="auto"/>
          <w:highlight w:val="none"/>
        </w:rPr>
      </w:pPr>
      <w:r>
        <w:rPr>
          <w:rFonts w:hint="eastAsia"/>
          <w:b/>
          <w:bCs/>
          <w:color w:val="auto"/>
          <w:highlight w:val="none"/>
        </w:rPr>
        <w:t>3　</w:t>
      </w:r>
      <w:r>
        <w:rPr>
          <w:rFonts w:hint="eastAsia"/>
          <w:color w:val="auto"/>
          <w:highlight w:val="none"/>
        </w:rPr>
        <w:t>每个场地每一主要土层的有效样品数或原位测试数据不得少于6件（组）；</w:t>
      </w:r>
      <w:r>
        <w:rPr>
          <w:color w:val="auto"/>
          <w:highlight w:val="none"/>
        </w:rPr>
        <w:t>在地基主要受力层内，对厚度大于0.5m的夹层或透镜体，</w:t>
      </w:r>
      <w:r>
        <w:rPr>
          <w:rFonts w:hint="eastAsia"/>
          <w:color w:val="auto"/>
          <w:highlight w:val="none"/>
        </w:rPr>
        <w:t>应采取土</w:t>
      </w:r>
      <w:r>
        <w:rPr>
          <w:color w:val="auto"/>
          <w:highlight w:val="none"/>
        </w:rPr>
        <w:t>样</w:t>
      </w:r>
      <w:r>
        <w:rPr>
          <w:rFonts w:hint="eastAsia"/>
          <w:color w:val="auto"/>
          <w:highlight w:val="none"/>
        </w:rPr>
        <w:t>或进行原位测试</w:t>
      </w:r>
      <w:r>
        <w:rPr>
          <w:color w:val="auto"/>
          <w:highlight w:val="none"/>
        </w:rPr>
        <w:t>；</w:t>
      </w:r>
    </w:p>
    <w:p>
      <w:pPr>
        <w:spacing w:line="360" w:lineRule="auto"/>
        <w:ind w:firstLine="422" w:firstLineChars="200"/>
        <w:rPr>
          <w:color w:val="auto"/>
          <w:highlight w:val="none"/>
        </w:rPr>
      </w:pPr>
      <w:r>
        <w:rPr>
          <w:rFonts w:hint="eastAsia"/>
          <w:b/>
          <w:bCs/>
          <w:color w:val="auto"/>
          <w:highlight w:val="none"/>
        </w:rPr>
        <w:t>4　</w:t>
      </w:r>
      <w:r>
        <w:rPr>
          <w:color w:val="auto"/>
          <w:highlight w:val="none"/>
        </w:rPr>
        <w:t>土</w:t>
      </w:r>
      <w:r>
        <w:rPr>
          <w:rFonts w:hint="eastAsia"/>
          <w:color w:val="auto"/>
          <w:highlight w:val="none"/>
        </w:rPr>
        <w:t>和</w:t>
      </w:r>
      <w:r>
        <w:rPr>
          <w:color w:val="auto"/>
          <w:highlight w:val="none"/>
        </w:rPr>
        <w:t>水</w:t>
      </w:r>
      <w:r>
        <w:rPr>
          <w:rFonts w:hint="eastAsia"/>
          <w:color w:val="auto"/>
          <w:highlight w:val="none"/>
        </w:rPr>
        <w:t>的</w:t>
      </w:r>
      <w:r>
        <w:rPr>
          <w:color w:val="auto"/>
          <w:highlight w:val="none"/>
        </w:rPr>
        <w:t>腐蚀性试样</w:t>
      </w:r>
      <w:r>
        <w:rPr>
          <w:rFonts w:hint="eastAsia"/>
          <w:color w:val="auto"/>
          <w:highlight w:val="none"/>
        </w:rPr>
        <w:t>采取应符合现行</w:t>
      </w:r>
      <w:r>
        <w:rPr>
          <w:color w:val="auto"/>
          <w:highlight w:val="none"/>
        </w:rPr>
        <w:t>《岩土工程勘察规范》GB 50021</w:t>
      </w:r>
      <w:r>
        <w:rPr>
          <w:rFonts w:hint="eastAsia"/>
          <w:color w:val="auto"/>
          <w:highlight w:val="none"/>
        </w:rPr>
        <w:t>的相关规定；</w:t>
      </w:r>
      <w:r>
        <w:rPr>
          <w:color w:val="auto"/>
          <w:highlight w:val="none"/>
        </w:rPr>
        <w:t>当</w:t>
      </w:r>
      <w:r>
        <w:rPr>
          <w:rFonts w:hint="eastAsia"/>
          <w:color w:val="auto"/>
          <w:highlight w:val="none"/>
        </w:rPr>
        <w:t>存在</w:t>
      </w:r>
      <w:r>
        <w:rPr>
          <w:color w:val="auto"/>
          <w:highlight w:val="none"/>
        </w:rPr>
        <w:t>土、水腐蚀性试样判别的腐蚀性等级</w:t>
      </w:r>
      <w:r>
        <w:rPr>
          <w:rFonts w:hint="eastAsia"/>
          <w:color w:val="auto"/>
          <w:highlight w:val="none"/>
        </w:rPr>
        <w:t>异常</w:t>
      </w:r>
      <w:r>
        <w:rPr>
          <w:color w:val="auto"/>
          <w:highlight w:val="none"/>
        </w:rPr>
        <w:t>时，宜根据工程具体情况在周边加取试样</w:t>
      </w:r>
      <w:r>
        <w:rPr>
          <w:rFonts w:hint="eastAsia"/>
          <w:color w:val="auto"/>
          <w:highlight w:val="none"/>
        </w:rPr>
        <w:t>，进一步查明腐蚀等级和范围</w:t>
      </w:r>
      <w:r>
        <w:rPr>
          <w:rFonts w:hint="eastAsia"/>
          <w:color w:val="auto"/>
          <w:highlight w:val="none"/>
          <w:lang w:eastAsia="zh-CN"/>
        </w:rPr>
        <w:t>；</w:t>
      </w:r>
    </w:p>
    <w:p>
      <w:pPr>
        <w:spacing w:line="360" w:lineRule="auto"/>
        <w:ind w:firstLine="422" w:firstLineChars="200"/>
        <w:rPr>
          <w:rFonts w:hint="eastAsia" w:eastAsia="宋体"/>
          <w:color w:val="auto"/>
          <w:highlight w:val="none"/>
          <w:lang w:eastAsia="zh-CN"/>
        </w:rPr>
      </w:pPr>
      <w:r>
        <w:rPr>
          <w:rFonts w:hint="eastAsia"/>
          <w:b/>
          <w:bCs/>
          <w:color w:val="auto"/>
          <w:highlight w:val="none"/>
        </w:rPr>
        <w:t>5</w:t>
      </w:r>
      <w:r>
        <w:rPr>
          <w:rFonts w:hint="eastAsia"/>
          <w:color w:val="auto"/>
          <w:highlight w:val="none"/>
        </w:rPr>
        <w:t>　甲级工程项目应进行</w:t>
      </w:r>
      <w:r>
        <w:rPr>
          <w:color w:val="auto"/>
          <w:highlight w:val="none"/>
        </w:rPr>
        <w:t>剪切波速测试</w:t>
      </w:r>
      <w:r>
        <w:rPr>
          <w:rFonts w:hint="eastAsia"/>
          <w:color w:val="auto"/>
          <w:highlight w:val="none"/>
        </w:rPr>
        <w:t>，</w:t>
      </w:r>
      <w:r>
        <w:rPr>
          <w:bCs/>
          <w:color w:val="auto"/>
          <w:szCs w:val="21"/>
          <w:highlight w:val="none"/>
        </w:rPr>
        <w:t>测试土层剪切波速的</w:t>
      </w:r>
      <w:r>
        <w:rPr>
          <w:rFonts w:hint="eastAsia"/>
          <w:bCs/>
          <w:color w:val="auto"/>
          <w:szCs w:val="21"/>
          <w:highlight w:val="none"/>
        </w:rPr>
        <w:t>勘探孔</w:t>
      </w:r>
      <w:r>
        <w:rPr>
          <w:bCs/>
          <w:color w:val="auto"/>
          <w:szCs w:val="21"/>
          <w:highlight w:val="none"/>
        </w:rPr>
        <w:t>数量应根据不同市政工程类</w:t>
      </w:r>
      <w:r>
        <w:rPr>
          <w:rFonts w:hint="eastAsia"/>
          <w:bCs/>
          <w:color w:val="auto"/>
          <w:szCs w:val="21"/>
          <w:highlight w:val="none"/>
        </w:rPr>
        <w:t>别</w:t>
      </w:r>
      <w:r>
        <w:rPr>
          <w:bCs/>
          <w:color w:val="auto"/>
          <w:szCs w:val="21"/>
          <w:highlight w:val="none"/>
        </w:rPr>
        <w:t>综合确定，且不宜少于</w:t>
      </w:r>
      <w:r>
        <w:rPr>
          <w:rFonts w:hint="eastAsia"/>
          <w:bCs/>
          <w:color w:val="auto"/>
          <w:szCs w:val="21"/>
          <w:highlight w:val="none"/>
        </w:rPr>
        <w:t>3</w:t>
      </w:r>
      <w:r>
        <w:rPr>
          <w:bCs/>
          <w:color w:val="auto"/>
          <w:szCs w:val="21"/>
          <w:highlight w:val="none"/>
        </w:rPr>
        <w:t>个；剪切波速测试孔深度</w:t>
      </w:r>
      <w:r>
        <w:rPr>
          <w:rFonts w:hint="eastAsia"/>
          <w:bCs/>
          <w:color w:val="auto"/>
          <w:szCs w:val="21"/>
          <w:highlight w:val="none"/>
        </w:rPr>
        <w:t>应</w:t>
      </w:r>
      <w:r>
        <w:rPr>
          <w:color w:val="auto"/>
          <w:highlight w:val="none"/>
        </w:rPr>
        <w:t>满足地震效应评价要求</w:t>
      </w:r>
      <w:r>
        <w:rPr>
          <w:rFonts w:hint="eastAsia"/>
          <w:color w:val="auto"/>
          <w:highlight w:val="none"/>
          <w:lang w:eastAsia="zh-CN"/>
        </w:rPr>
        <w:t>。</w:t>
      </w:r>
    </w:p>
    <w:p>
      <w:pPr>
        <w:spacing w:line="360" w:lineRule="auto"/>
        <w:rPr>
          <w:color w:val="auto"/>
          <w:highlight w:val="none"/>
        </w:rPr>
      </w:pPr>
      <w:r>
        <w:rPr>
          <w:rFonts w:hint="eastAsia"/>
          <w:b/>
          <w:bCs/>
          <w:color w:val="auto"/>
          <w:szCs w:val="21"/>
          <w:highlight w:val="none"/>
        </w:rPr>
        <w:t>3.0.10　</w:t>
      </w:r>
      <w:r>
        <w:rPr>
          <w:color w:val="auto"/>
          <w:szCs w:val="21"/>
          <w:highlight w:val="none"/>
        </w:rPr>
        <w:t>市政工程</w:t>
      </w:r>
      <w:r>
        <w:rPr>
          <w:rFonts w:hint="eastAsia"/>
          <w:color w:val="auto"/>
          <w:highlight w:val="none"/>
        </w:rPr>
        <w:t>勘探和取样应符合《建筑工程地质勘探与取样技术规程》JGJ/T 87的相关规定</w:t>
      </w:r>
      <w:r>
        <w:rPr>
          <w:rFonts w:hint="eastAsia"/>
          <w:color w:val="auto"/>
          <w:szCs w:val="21"/>
          <w:highlight w:val="none"/>
        </w:rPr>
        <w:t>；</w:t>
      </w:r>
      <w:r>
        <w:rPr>
          <w:rFonts w:hint="eastAsia"/>
          <w:color w:val="auto"/>
          <w:highlight w:val="none"/>
          <w:lang w:val="en-US" w:eastAsia="zh-CN"/>
        </w:rPr>
        <w:t>市政工程勘察</w:t>
      </w:r>
      <w:r>
        <w:rPr>
          <w:color w:val="auto"/>
          <w:highlight w:val="none"/>
        </w:rPr>
        <w:t>室内岩土试验项目可按本规范附录</w:t>
      </w:r>
      <w:r>
        <w:rPr>
          <w:rFonts w:hint="eastAsia"/>
          <w:color w:val="auto"/>
          <w:highlight w:val="none"/>
        </w:rPr>
        <w:t>A</w:t>
      </w:r>
      <w:r>
        <w:rPr>
          <w:color w:val="auto"/>
          <w:highlight w:val="none"/>
        </w:rPr>
        <w:t>的规定选取</w:t>
      </w:r>
      <w:r>
        <w:rPr>
          <w:rFonts w:hint="eastAsia"/>
          <w:color w:val="auto"/>
          <w:highlight w:val="none"/>
        </w:rPr>
        <w:t>，并结合具体工程需要和岩土条件调整</w:t>
      </w:r>
      <w:r>
        <w:rPr>
          <w:rFonts w:hint="eastAsia"/>
          <w:color w:val="auto"/>
          <w:highlight w:val="none"/>
          <w:lang w:eastAsia="zh-CN"/>
        </w:rPr>
        <w:t>；</w:t>
      </w:r>
      <w:r>
        <w:rPr>
          <w:rFonts w:hint="eastAsia"/>
          <w:color w:val="auto"/>
          <w:szCs w:val="21"/>
          <w:highlight w:val="none"/>
        </w:rPr>
        <w:t>钻探岩芯摆放及照片拍摄可按本规范附录B的规定</w:t>
      </w:r>
      <w:r>
        <w:rPr>
          <w:rFonts w:hint="eastAsia"/>
          <w:color w:val="auto"/>
          <w:highlight w:val="none"/>
        </w:rPr>
        <w:t>；</w:t>
      </w:r>
      <w:r>
        <w:rPr>
          <w:rFonts w:hint="eastAsia"/>
          <w:color w:val="auto"/>
          <w:szCs w:val="21"/>
          <w:highlight w:val="none"/>
        </w:rPr>
        <w:t>实施</w:t>
      </w:r>
      <w:r>
        <w:rPr>
          <w:color w:val="auto"/>
          <w:highlight w:val="none"/>
        </w:rPr>
        <w:t>地球物理勘探方法可按本规范附录</w:t>
      </w:r>
      <w:r>
        <w:rPr>
          <w:rFonts w:hint="eastAsia"/>
          <w:color w:val="auto"/>
          <w:highlight w:val="none"/>
        </w:rPr>
        <w:t>C</w:t>
      </w:r>
      <w:r>
        <w:rPr>
          <w:color w:val="auto"/>
          <w:highlight w:val="none"/>
        </w:rPr>
        <w:t>的规定选取</w:t>
      </w:r>
      <w:r>
        <w:rPr>
          <w:rFonts w:hint="eastAsia"/>
          <w:color w:val="auto"/>
          <w:highlight w:val="none"/>
        </w:rPr>
        <w:t>。</w:t>
      </w:r>
    </w:p>
    <w:p>
      <w:pPr>
        <w:autoSpaceDE w:val="0"/>
        <w:autoSpaceDN w:val="0"/>
        <w:adjustRightInd w:val="0"/>
        <w:spacing w:line="360" w:lineRule="auto"/>
        <w:jc w:val="left"/>
        <w:rPr>
          <w:color w:val="auto"/>
          <w:szCs w:val="21"/>
          <w:highlight w:val="none"/>
        </w:rPr>
      </w:pPr>
      <w:r>
        <w:rPr>
          <w:rFonts w:hint="eastAsia"/>
          <w:b/>
          <w:bCs/>
          <w:color w:val="auto"/>
          <w:szCs w:val="21"/>
          <w:highlight w:val="none"/>
        </w:rPr>
        <w:t>3.0.1</w:t>
      </w:r>
      <w:r>
        <w:rPr>
          <w:b/>
          <w:bCs/>
          <w:color w:val="auto"/>
          <w:szCs w:val="21"/>
          <w:highlight w:val="none"/>
        </w:rPr>
        <w:t>1</w:t>
      </w:r>
      <w:r>
        <w:rPr>
          <w:rFonts w:hint="eastAsia"/>
          <w:b/>
          <w:bCs/>
          <w:color w:val="auto"/>
          <w:szCs w:val="21"/>
          <w:highlight w:val="none"/>
        </w:rPr>
        <w:t>　</w:t>
      </w:r>
      <w:r>
        <w:rPr>
          <w:color w:val="auto"/>
          <w:szCs w:val="21"/>
          <w:highlight w:val="none"/>
        </w:rPr>
        <w:t>市政工程勘察应根据工程需要，采用调查与现场勘察方法，查明地下水的类型、埋藏条件和变化规律，提供水文地质参数</w:t>
      </w:r>
      <w:r>
        <w:rPr>
          <w:rFonts w:hint="eastAsia"/>
          <w:color w:val="auto"/>
          <w:szCs w:val="21"/>
          <w:highlight w:val="none"/>
        </w:rPr>
        <w:t>，</w:t>
      </w:r>
      <w:r>
        <w:rPr>
          <w:rFonts w:hint="eastAsia"/>
          <w:color w:val="auto"/>
          <w:highlight w:val="none"/>
        </w:rPr>
        <w:t>依照现行国家标准《岩土工程勘察规范》GB 50021的相关规定评价</w:t>
      </w:r>
      <w:r>
        <w:rPr>
          <w:rFonts w:hint="eastAsia"/>
          <w:color w:val="auto"/>
          <w:szCs w:val="21"/>
          <w:highlight w:val="none"/>
        </w:rPr>
        <w:t>场地</w:t>
      </w:r>
      <w:r>
        <w:rPr>
          <w:rFonts w:hint="eastAsia"/>
          <w:color w:val="auto"/>
          <w:highlight w:val="none"/>
        </w:rPr>
        <w:t>水及土对建筑材料的腐蚀性</w:t>
      </w:r>
      <w:r>
        <w:rPr>
          <w:color w:val="auto"/>
          <w:szCs w:val="21"/>
          <w:highlight w:val="none"/>
        </w:rPr>
        <w:t>；应针对地基基础形式、基坑和边坡支护形式、施工方法等情况分析评价地下水对地基基础设计、施工和环境影响，预估可能产生的危害，提出预防和处理措施的建议。</w:t>
      </w:r>
    </w:p>
    <w:p>
      <w:pPr>
        <w:spacing w:line="360" w:lineRule="auto"/>
        <w:rPr>
          <w:color w:val="auto"/>
          <w:highlight w:val="none"/>
        </w:rPr>
      </w:pPr>
      <w:r>
        <w:rPr>
          <w:b/>
          <w:bCs/>
          <w:color w:val="auto"/>
          <w:szCs w:val="21"/>
          <w:highlight w:val="none"/>
        </w:rPr>
        <w:t>3.0.</w:t>
      </w:r>
      <w:r>
        <w:rPr>
          <w:rFonts w:hint="eastAsia"/>
          <w:b/>
          <w:bCs/>
          <w:color w:val="auto"/>
          <w:szCs w:val="21"/>
          <w:highlight w:val="none"/>
        </w:rPr>
        <w:t>12　</w:t>
      </w:r>
      <w:r>
        <w:rPr>
          <w:color w:val="auto"/>
          <w:szCs w:val="21"/>
          <w:highlight w:val="none"/>
        </w:rPr>
        <w:t>市政工程勘察对场地的稳定性和</w:t>
      </w:r>
      <w:r>
        <w:rPr>
          <w:rFonts w:hint="eastAsia"/>
          <w:color w:val="auto"/>
          <w:szCs w:val="21"/>
          <w:highlight w:val="none"/>
        </w:rPr>
        <w:t>工程建设</w:t>
      </w:r>
      <w:r>
        <w:rPr>
          <w:color w:val="auto"/>
          <w:szCs w:val="21"/>
          <w:highlight w:val="none"/>
        </w:rPr>
        <w:t>适宜性</w:t>
      </w:r>
      <w:r>
        <w:rPr>
          <w:rFonts w:hint="eastAsia"/>
          <w:color w:val="auto"/>
          <w:szCs w:val="21"/>
          <w:highlight w:val="none"/>
        </w:rPr>
        <w:t>评价宜符合现行</w:t>
      </w:r>
      <w:bookmarkStart w:id="26" w:name="_Hlk80360574"/>
      <w:r>
        <w:rPr>
          <w:rFonts w:hint="eastAsia"/>
          <w:color w:val="auto"/>
          <w:highlight w:val="none"/>
        </w:rPr>
        <w:t>国家行业标准</w:t>
      </w:r>
      <w:r>
        <w:rPr>
          <w:color w:val="auto"/>
          <w:highlight w:val="none"/>
        </w:rPr>
        <w:t>《城乡规划工程地质勘察规范》CJJ 57</w:t>
      </w:r>
      <w:bookmarkEnd w:id="26"/>
      <w:r>
        <w:rPr>
          <w:rFonts w:hint="eastAsia"/>
          <w:color w:val="auto"/>
          <w:highlight w:val="none"/>
        </w:rPr>
        <w:t>的规定；地震效应评价应符合现行国家标准</w:t>
      </w:r>
      <w:r>
        <w:rPr>
          <w:color w:val="auto"/>
          <w:highlight w:val="none"/>
        </w:rPr>
        <w:t>《建筑抗震设计规范》GB 50011</w:t>
      </w:r>
      <w:r>
        <w:rPr>
          <w:rFonts w:hint="eastAsia"/>
          <w:color w:val="auto"/>
          <w:highlight w:val="none"/>
        </w:rPr>
        <w:t>、《建筑与市政工程抗震通用规范》GB 55002及《工程勘察通用规范》GB 55017的相关规定；软土震陷判别宜</w:t>
      </w:r>
      <w:bookmarkStart w:id="27" w:name="_Hlk80360752"/>
      <w:r>
        <w:rPr>
          <w:rFonts w:hint="eastAsia"/>
          <w:color w:val="auto"/>
          <w:highlight w:val="none"/>
        </w:rPr>
        <w:t>符合现行国家行业标准</w:t>
      </w:r>
      <w:r>
        <w:rPr>
          <w:color w:val="auto"/>
          <w:szCs w:val="21"/>
          <w:highlight w:val="none"/>
        </w:rPr>
        <w:t>《软土地区岩土工程勘察规程》JGJ 83</w:t>
      </w:r>
      <w:bookmarkEnd w:id="27"/>
      <w:r>
        <w:rPr>
          <w:rFonts w:hint="eastAsia"/>
          <w:color w:val="auto"/>
          <w:highlight w:val="none"/>
        </w:rPr>
        <w:t>的相关规定</w:t>
      </w:r>
      <w:r>
        <w:rPr>
          <w:color w:val="auto"/>
          <w:highlight w:val="none"/>
        </w:rPr>
        <w:t>。</w:t>
      </w:r>
    </w:p>
    <w:p>
      <w:pPr>
        <w:spacing w:line="360" w:lineRule="auto"/>
        <w:rPr>
          <w:color w:val="auto"/>
          <w:highlight w:val="none"/>
        </w:rPr>
      </w:pPr>
      <w:r>
        <w:rPr>
          <w:rFonts w:hint="eastAsia"/>
          <w:b/>
          <w:bCs/>
          <w:color w:val="auto"/>
          <w:highlight w:val="none"/>
        </w:rPr>
        <w:t>3.0.13　</w:t>
      </w:r>
      <w:r>
        <w:rPr>
          <w:rFonts w:hint="eastAsia"/>
          <w:color w:val="auto"/>
          <w:highlight w:val="none"/>
        </w:rPr>
        <w:t>勘</w:t>
      </w:r>
      <w:r>
        <w:rPr>
          <w:color w:val="auto"/>
          <w:highlight w:val="none"/>
        </w:rPr>
        <w:t>探工作开展前，应</w:t>
      </w:r>
      <w:r>
        <w:rPr>
          <w:rFonts w:hint="eastAsia"/>
          <w:color w:val="auto"/>
          <w:highlight w:val="none"/>
        </w:rPr>
        <w:t>进行危险源识别，排查</w:t>
      </w:r>
      <w:r>
        <w:rPr>
          <w:color w:val="auto"/>
          <w:highlight w:val="none"/>
        </w:rPr>
        <w:t>孔位</w:t>
      </w:r>
      <w:r>
        <w:rPr>
          <w:rFonts w:hint="eastAsia"/>
          <w:color w:val="auto"/>
          <w:highlight w:val="none"/>
        </w:rPr>
        <w:t>及其</w:t>
      </w:r>
      <w:r>
        <w:rPr>
          <w:color w:val="auto"/>
          <w:highlight w:val="none"/>
        </w:rPr>
        <w:t>临近区域</w:t>
      </w:r>
      <w:r>
        <w:rPr>
          <w:rFonts w:hint="eastAsia"/>
          <w:color w:val="auto"/>
          <w:highlight w:val="none"/>
        </w:rPr>
        <w:t>的地下管线、地下建（构）筑物、架空电力线路及其它敏感设施情况</w:t>
      </w:r>
      <w:r>
        <w:rPr>
          <w:color w:val="auto"/>
          <w:highlight w:val="none"/>
        </w:rPr>
        <w:t>，</w:t>
      </w:r>
      <w:r>
        <w:rPr>
          <w:rFonts w:hint="eastAsia"/>
          <w:color w:val="auto"/>
          <w:highlight w:val="none"/>
        </w:rPr>
        <w:t>制定勘探作业</w:t>
      </w:r>
      <w:r>
        <w:rPr>
          <w:color w:val="auto"/>
          <w:highlight w:val="none"/>
        </w:rPr>
        <w:t>安全</w:t>
      </w:r>
      <w:r>
        <w:rPr>
          <w:rFonts w:hint="eastAsia"/>
          <w:color w:val="auto"/>
          <w:highlight w:val="none"/>
        </w:rPr>
        <w:t>保证</w:t>
      </w:r>
      <w:r>
        <w:rPr>
          <w:color w:val="auto"/>
          <w:highlight w:val="none"/>
        </w:rPr>
        <w:t>措施，确保</w:t>
      </w:r>
      <w:r>
        <w:rPr>
          <w:rFonts w:hint="eastAsia"/>
          <w:color w:val="auto"/>
          <w:highlight w:val="none"/>
        </w:rPr>
        <w:t>勘探过程</w:t>
      </w:r>
      <w:r>
        <w:rPr>
          <w:color w:val="auto"/>
          <w:highlight w:val="none"/>
        </w:rPr>
        <w:t>地下管线</w:t>
      </w:r>
      <w:r>
        <w:rPr>
          <w:rFonts w:hint="eastAsia"/>
          <w:color w:val="auto"/>
          <w:highlight w:val="none"/>
        </w:rPr>
        <w:t>和地下建（构）筑物的</w:t>
      </w:r>
      <w:r>
        <w:rPr>
          <w:color w:val="auto"/>
          <w:highlight w:val="none"/>
        </w:rPr>
        <w:t>安全。</w:t>
      </w:r>
    </w:p>
    <w:p>
      <w:pPr>
        <w:spacing w:line="360" w:lineRule="auto"/>
        <w:rPr>
          <w:color w:val="auto"/>
          <w:highlight w:val="none"/>
        </w:rPr>
      </w:pPr>
      <w:r>
        <w:rPr>
          <w:b/>
          <w:bCs/>
          <w:color w:val="auto"/>
          <w:szCs w:val="21"/>
          <w:highlight w:val="none"/>
        </w:rPr>
        <w:t>3.0.1</w:t>
      </w:r>
      <w:r>
        <w:rPr>
          <w:rFonts w:hint="eastAsia"/>
          <w:b/>
          <w:bCs/>
          <w:color w:val="auto"/>
          <w:szCs w:val="21"/>
          <w:highlight w:val="none"/>
        </w:rPr>
        <w:t>4　</w:t>
      </w:r>
      <w:r>
        <w:rPr>
          <w:color w:val="auto"/>
          <w:szCs w:val="21"/>
          <w:highlight w:val="none"/>
        </w:rPr>
        <w:t>市政工程</w:t>
      </w:r>
      <w:r>
        <w:rPr>
          <w:rFonts w:hint="eastAsia"/>
          <w:color w:val="auto"/>
          <w:highlight w:val="none"/>
        </w:rPr>
        <w:t>勘察</w:t>
      </w:r>
      <w:r>
        <w:rPr>
          <w:color w:val="auto"/>
          <w:highlight w:val="none"/>
        </w:rPr>
        <w:t>应采用与测量成果和设计图件</w:t>
      </w:r>
      <w:r>
        <w:rPr>
          <w:rFonts w:hint="eastAsia"/>
          <w:color w:val="auto"/>
          <w:highlight w:val="none"/>
        </w:rPr>
        <w:t>一致</w:t>
      </w:r>
      <w:r>
        <w:rPr>
          <w:color w:val="auto"/>
          <w:highlight w:val="none"/>
        </w:rPr>
        <w:t>的坐标</w:t>
      </w:r>
      <w:r>
        <w:rPr>
          <w:rFonts w:hint="eastAsia"/>
          <w:color w:val="auto"/>
          <w:highlight w:val="none"/>
        </w:rPr>
        <w:t>和</w:t>
      </w:r>
      <w:r>
        <w:rPr>
          <w:color w:val="auto"/>
          <w:highlight w:val="none"/>
        </w:rPr>
        <w:t>高程系统；</w:t>
      </w:r>
      <w:r>
        <w:rPr>
          <w:rFonts w:hint="eastAsia"/>
          <w:color w:val="auto"/>
          <w:highlight w:val="none"/>
        </w:rPr>
        <w:t>勘探</w:t>
      </w:r>
      <w:r>
        <w:rPr>
          <w:color w:val="auto"/>
          <w:highlight w:val="none"/>
        </w:rPr>
        <w:t>孔测放宜采用解析法</w:t>
      </w:r>
      <w:r>
        <w:rPr>
          <w:rFonts w:hint="eastAsia"/>
          <w:color w:val="auto"/>
          <w:highlight w:val="none"/>
        </w:rPr>
        <w:t>，钻孔桩点实地测放完毕后，应即时测量检查其三维坐标；勘探工作完成后，宜进行孔位复核，桥梁桩基勘探孔和水上钻孔应进行孔位复核。</w:t>
      </w:r>
    </w:p>
    <w:p>
      <w:pPr>
        <w:spacing w:line="360" w:lineRule="auto"/>
        <w:rPr>
          <w:color w:val="auto"/>
          <w:szCs w:val="21"/>
          <w:highlight w:val="none"/>
        </w:rPr>
      </w:pPr>
      <w:r>
        <w:rPr>
          <w:rFonts w:hint="eastAsia"/>
          <w:b/>
          <w:bCs/>
          <w:color w:val="auto"/>
          <w:szCs w:val="21"/>
          <w:highlight w:val="none"/>
        </w:rPr>
        <w:t>3.0.15　</w:t>
      </w:r>
      <w:r>
        <w:rPr>
          <w:rFonts w:hint="eastAsia"/>
          <w:color w:val="auto"/>
          <w:szCs w:val="21"/>
          <w:highlight w:val="none"/>
        </w:rPr>
        <w:t>勘察项目负责人应对勘探作业人员进行技术、环境保护、职业健康和安全交底。</w:t>
      </w:r>
    </w:p>
    <w:p>
      <w:pPr>
        <w:spacing w:line="360" w:lineRule="auto"/>
        <w:rPr>
          <w:color w:val="auto"/>
          <w:highlight w:val="none"/>
        </w:rPr>
      </w:pPr>
      <w:r>
        <w:rPr>
          <w:rFonts w:hint="eastAsia"/>
          <w:b/>
          <w:bCs/>
          <w:color w:val="auto"/>
          <w:szCs w:val="21"/>
          <w:highlight w:val="none"/>
        </w:rPr>
        <w:t>3.0.16　</w:t>
      </w:r>
      <w:r>
        <w:rPr>
          <w:rFonts w:hint="eastAsia"/>
          <w:color w:val="auto"/>
          <w:highlight w:val="none"/>
        </w:rPr>
        <w:t>勘探工作完成</w:t>
      </w:r>
      <w:r>
        <w:rPr>
          <w:color w:val="auto"/>
          <w:highlight w:val="none"/>
        </w:rPr>
        <w:t>后</w:t>
      </w:r>
      <w:r>
        <w:rPr>
          <w:rFonts w:hint="eastAsia"/>
          <w:color w:val="auto"/>
          <w:highlight w:val="none"/>
        </w:rPr>
        <w:t>，</w:t>
      </w:r>
      <w:r>
        <w:rPr>
          <w:color w:val="auto"/>
          <w:highlight w:val="none"/>
        </w:rPr>
        <w:t>应</w:t>
      </w:r>
      <w:r>
        <w:rPr>
          <w:rFonts w:hint="eastAsia"/>
          <w:color w:val="auto"/>
          <w:highlight w:val="none"/>
        </w:rPr>
        <w:t>按附录H规定对勘探孔进行回填</w:t>
      </w:r>
      <w:r>
        <w:rPr>
          <w:color w:val="auto"/>
          <w:highlight w:val="none"/>
        </w:rPr>
        <w:t>封</w:t>
      </w:r>
      <w:r>
        <w:rPr>
          <w:rFonts w:hint="eastAsia"/>
          <w:color w:val="auto"/>
          <w:highlight w:val="none"/>
        </w:rPr>
        <w:t>孔处理；需保留的勘探孔，应设置防护和警示装置；岩溶发育区，应采取有效措施防止因钻孔而导致地面塌陷。</w:t>
      </w:r>
    </w:p>
    <w:p>
      <w:pPr>
        <w:spacing w:line="360" w:lineRule="auto"/>
        <w:rPr>
          <w:color w:val="auto"/>
          <w:sz w:val="10"/>
          <w:szCs w:val="10"/>
          <w:highlight w:val="none"/>
        </w:rPr>
      </w:pPr>
      <w:r>
        <w:rPr>
          <w:color w:val="auto"/>
          <w:sz w:val="28"/>
          <w:szCs w:val="28"/>
          <w:highlight w:val="none"/>
        </w:rPr>
        <w:br w:type="page"/>
      </w:r>
    </w:p>
    <w:p>
      <w:pPr>
        <w:widowControl/>
        <w:jc w:val="left"/>
        <w:rPr>
          <w:color w:val="auto"/>
          <w:kern w:val="44"/>
          <w:sz w:val="16"/>
          <w:szCs w:val="10"/>
          <w:highlight w:val="none"/>
        </w:rPr>
      </w:pPr>
    </w:p>
    <w:p>
      <w:pPr>
        <w:pStyle w:val="2"/>
        <w:spacing w:before="480" w:after="480" w:line="240" w:lineRule="auto"/>
        <w:rPr>
          <w:color w:val="auto"/>
          <w:highlight w:val="none"/>
        </w:rPr>
      </w:pPr>
      <w:bookmarkStart w:id="28" w:name="_Toc27579"/>
      <w:bookmarkStart w:id="29" w:name="_Toc11322"/>
      <w:bookmarkStart w:id="30" w:name="_Toc6446"/>
      <w:bookmarkStart w:id="31" w:name="_4　岩土分类"/>
      <w:r>
        <w:rPr>
          <w:rFonts w:hint="eastAsia"/>
          <w:color w:val="auto"/>
          <w:highlight w:val="none"/>
        </w:rPr>
        <w:t>4　岩土分类</w:t>
      </w:r>
      <w:bookmarkEnd w:id="28"/>
      <w:bookmarkEnd w:id="29"/>
      <w:bookmarkEnd w:id="30"/>
    </w:p>
    <w:bookmarkEnd w:id="31"/>
    <w:p>
      <w:pPr>
        <w:pStyle w:val="3"/>
        <w:rPr>
          <w:rFonts w:ascii="Times New Roman" w:hAnsi="Times New Roman" w:eastAsia="宋体"/>
          <w:color w:val="auto"/>
          <w:highlight w:val="none"/>
        </w:rPr>
      </w:pPr>
      <w:bookmarkStart w:id="32" w:name="_Toc8750"/>
      <w:bookmarkStart w:id="33" w:name="_Toc16041"/>
      <w:bookmarkStart w:id="34" w:name="_Toc26717"/>
      <w:bookmarkStart w:id="35" w:name="_4.1　岩石分类"/>
      <w:r>
        <w:rPr>
          <w:rFonts w:ascii="Times New Roman" w:hAnsi="Times New Roman" w:eastAsia="宋体"/>
          <w:color w:val="auto"/>
          <w:highlight w:val="none"/>
        </w:rPr>
        <w:t>4.1</w:t>
      </w:r>
      <w:r>
        <w:rPr>
          <w:rFonts w:hint="eastAsia" w:ascii="Times New Roman" w:hAnsi="Times New Roman" w:eastAsia="宋体"/>
          <w:color w:val="auto"/>
          <w:highlight w:val="none"/>
        </w:rPr>
        <w:t>　</w:t>
      </w:r>
      <w:r>
        <w:rPr>
          <w:rFonts w:ascii="Times New Roman" w:hAnsi="Times New Roman" w:eastAsia="宋体"/>
          <w:color w:val="auto"/>
          <w:highlight w:val="none"/>
        </w:rPr>
        <w:t>岩石分类</w:t>
      </w:r>
      <w:bookmarkEnd w:id="32"/>
      <w:bookmarkEnd w:id="33"/>
      <w:bookmarkEnd w:id="34"/>
    </w:p>
    <w:bookmarkEnd w:id="35"/>
    <w:p>
      <w:pPr>
        <w:spacing w:line="360" w:lineRule="auto"/>
        <w:rPr>
          <w:color w:val="auto"/>
          <w:szCs w:val="21"/>
          <w:highlight w:val="none"/>
        </w:rPr>
      </w:pPr>
      <w:r>
        <w:rPr>
          <w:b/>
          <w:bCs/>
          <w:color w:val="auto"/>
          <w:szCs w:val="21"/>
          <w:highlight w:val="none"/>
        </w:rPr>
        <w:t>4.1.1</w:t>
      </w:r>
      <w:r>
        <w:rPr>
          <w:rFonts w:hint="eastAsia"/>
          <w:color w:val="auto"/>
          <w:szCs w:val="21"/>
          <w:highlight w:val="none"/>
        </w:rPr>
        <w:t>　</w:t>
      </w:r>
      <w:r>
        <w:rPr>
          <w:rFonts w:hint="eastAsia"/>
          <w:color w:val="auto"/>
          <w:szCs w:val="21"/>
          <w:highlight w:val="none"/>
          <w:lang w:val="en-US" w:eastAsia="zh-CN"/>
        </w:rPr>
        <w:t>岩石</w:t>
      </w:r>
      <w:r>
        <w:rPr>
          <w:color w:val="auto"/>
          <w:szCs w:val="21"/>
          <w:highlight w:val="none"/>
        </w:rPr>
        <w:t>综合分类</w:t>
      </w:r>
      <w:r>
        <w:rPr>
          <w:rFonts w:hint="eastAsia"/>
          <w:color w:val="auto"/>
          <w:szCs w:val="21"/>
          <w:highlight w:val="none"/>
          <w:lang w:eastAsia="zh-CN"/>
        </w:rPr>
        <w:t>，</w:t>
      </w:r>
      <w:r>
        <w:rPr>
          <w:color w:val="auto"/>
          <w:szCs w:val="21"/>
          <w:highlight w:val="none"/>
        </w:rPr>
        <w:t>应辨别或鉴定岩石的地质名称和风化程度，并进行岩石坚硬程度、岩体完整程度和岩体基本质量等级的划分。</w:t>
      </w:r>
    </w:p>
    <w:p>
      <w:pPr>
        <w:spacing w:line="360" w:lineRule="auto"/>
        <w:rPr>
          <w:color w:val="auto"/>
          <w:szCs w:val="21"/>
          <w:highlight w:val="none"/>
        </w:rPr>
      </w:pPr>
      <w:r>
        <w:rPr>
          <w:b/>
          <w:bCs/>
          <w:color w:val="auto"/>
          <w:szCs w:val="21"/>
          <w:highlight w:val="none"/>
        </w:rPr>
        <w:t>4.1.2</w:t>
      </w:r>
      <w:r>
        <w:rPr>
          <w:rFonts w:hint="eastAsia"/>
          <w:b/>
          <w:bCs/>
          <w:color w:val="auto"/>
          <w:szCs w:val="21"/>
          <w:highlight w:val="none"/>
        </w:rPr>
        <w:t>　</w:t>
      </w:r>
      <w:r>
        <w:rPr>
          <w:rFonts w:hint="eastAsia"/>
          <w:color w:val="auto"/>
          <w:szCs w:val="21"/>
          <w:highlight w:val="none"/>
        </w:rPr>
        <w:t>岩石</w:t>
      </w:r>
      <w:r>
        <w:rPr>
          <w:color w:val="auto"/>
          <w:szCs w:val="21"/>
          <w:highlight w:val="none"/>
        </w:rPr>
        <w:t>按地质成因分为</w:t>
      </w:r>
      <w:r>
        <w:rPr>
          <w:rFonts w:hint="eastAsia"/>
          <w:color w:val="auto"/>
          <w:szCs w:val="21"/>
          <w:highlight w:val="none"/>
        </w:rPr>
        <w:t>岩浆</w:t>
      </w:r>
      <w:r>
        <w:rPr>
          <w:color w:val="auto"/>
          <w:szCs w:val="21"/>
          <w:highlight w:val="none"/>
        </w:rPr>
        <w:t>岩、沉积岩和变质岩。</w:t>
      </w:r>
    </w:p>
    <w:p>
      <w:pPr>
        <w:spacing w:line="360" w:lineRule="auto"/>
        <w:rPr>
          <w:color w:val="auto"/>
          <w:szCs w:val="21"/>
          <w:highlight w:val="none"/>
        </w:rPr>
      </w:pPr>
      <w:r>
        <w:rPr>
          <w:b/>
          <w:bCs/>
          <w:color w:val="auto"/>
          <w:szCs w:val="21"/>
          <w:highlight w:val="none"/>
        </w:rPr>
        <w:t>4.1.3</w:t>
      </w:r>
      <w:r>
        <w:rPr>
          <w:rFonts w:hint="eastAsia"/>
          <w:b/>
          <w:bCs/>
          <w:color w:val="auto"/>
          <w:szCs w:val="21"/>
          <w:highlight w:val="none"/>
        </w:rPr>
        <w:t>　</w:t>
      </w:r>
      <w:r>
        <w:rPr>
          <w:color w:val="auto"/>
          <w:szCs w:val="21"/>
          <w:highlight w:val="none"/>
        </w:rPr>
        <w:t>岩石的风化程度</w:t>
      </w:r>
      <w:r>
        <w:rPr>
          <w:rFonts w:hint="eastAsia"/>
          <w:color w:val="auto"/>
          <w:szCs w:val="21"/>
          <w:highlight w:val="none"/>
        </w:rPr>
        <w:t>可按</w:t>
      </w:r>
      <w:r>
        <w:rPr>
          <w:color w:val="auto"/>
          <w:szCs w:val="21"/>
          <w:highlight w:val="none"/>
        </w:rPr>
        <w:t>表4.1.3</w:t>
      </w:r>
      <w:r>
        <w:rPr>
          <w:rFonts w:hint="eastAsia"/>
          <w:color w:val="auto"/>
          <w:szCs w:val="21"/>
          <w:highlight w:val="none"/>
        </w:rPr>
        <w:t>分类</w:t>
      </w:r>
      <w:r>
        <w:rPr>
          <w:color w:val="auto"/>
          <w:szCs w:val="21"/>
          <w:highlight w:val="none"/>
        </w:rPr>
        <w:t>。</w:t>
      </w:r>
    </w:p>
    <w:p>
      <w:pPr>
        <w:keepNext w:val="0"/>
        <w:keepLines w:val="0"/>
        <w:pageBreakBefore w:val="0"/>
        <w:widowControl w:val="0"/>
        <w:kinsoku/>
        <w:wordWrap/>
        <w:overflowPunct/>
        <w:topLinePunct w:val="0"/>
        <w:autoSpaceDE w:val="0"/>
        <w:autoSpaceDN w:val="0"/>
        <w:bidi w:val="0"/>
        <w:adjustRightInd w:val="0"/>
        <w:snapToGrid w:val="0"/>
        <w:spacing w:before="63" w:beforeLines="20" w:line="360" w:lineRule="auto"/>
        <w:jc w:val="center"/>
        <w:textAlignment w:val="auto"/>
        <w:rPr>
          <w:b/>
          <w:color w:val="auto"/>
          <w:szCs w:val="21"/>
          <w:highlight w:val="none"/>
        </w:rPr>
      </w:pPr>
      <w:r>
        <w:rPr>
          <w:b/>
          <w:color w:val="auto"/>
          <w:szCs w:val="21"/>
          <w:highlight w:val="none"/>
        </w:rPr>
        <w:t>表4.1.3</w:t>
      </w:r>
      <w:r>
        <w:rPr>
          <w:b/>
          <w:bCs/>
          <w:color w:val="auto"/>
          <w:highlight w:val="none"/>
        </w:rPr>
        <w:t>　</w:t>
      </w:r>
      <w:r>
        <w:rPr>
          <w:b/>
          <w:color w:val="auto"/>
          <w:szCs w:val="21"/>
          <w:highlight w:val="none"/>
        </w:rPr>
        <w:t>岩石按风化程度分类</w:t>
      </w:r>
    </w:p>
    <w:tbl>
      <w:tblPr>
        <w:tblStyle w:val="22"/>
        <w:tblW w:w="843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5065"/>
        <w:gridCol w:w="1196"/>
        <w:gridCol w:w="11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30" w:type="dxa"/>
            <w:vAlign w:val="center"/>
          </w:tcPr>
          <w:p>
            <w:pPr>
              <w:jc w:val="center"/>
              <w:rPr>
                <w:color w:val="auto"/>
                <w:kern w:val="0"/>
                <w:sz w:val="20"/>
                <w:szCs w:val="16"/>
                <w:highlight w:val="none"/>
              </w:rPr>
            </w:pPr>
            <w:r>
              <w:rPr>
                <w:color w:val="auto"/>
                <w:kern w:val="0"/>
                <w:sz w:val="20"/>
                <w:szCs w:val="16"/>
                <w:highlight w:val="none"/>
              </w:rPr>
              <w:t>风化</w:t>
            </w:r>
            <w:r>
              <w:rPr>
                <w:color w:val="auto"/>
                <w:sz w:val="20"/>
                <w:szCs w:val="20"/>
                <w:highlight w:val="none"/>
              </w:rPr>
              <w:t>程度</w:t>
            </w:r>
          </w:p>
        </w:tc>
        <w:tc>
          <w:tcPr>
            <w:tcW w:w="5065" w:type="dxa"/>
            <w:vAlign w:val="center"/>
          </w:tcPr>
          <w:p>
            <w:pPr>
              <w:jc w:val="center"/>
              <w:rPr>
                <w:color w:val="auto"/>
                <w:spacing w:val="12"/>
                <w:kern w:val="0"/>
                <w:sz w:val="20"/>
                <w:szCs w:val="16"/>
                <w:highlight w:val="none"/>
              </w:rPr>
            </w:pPr>
            <w:r>
              <w:rPr>
                <w:color w:val="auto"/>
                <w:spacing w:val="12"/>
                <w:kern w:val="0"/>
                <w:sz w:val="20"/>
                <w:szCs w:val="16"/>
                <w:highlight w:val="none"/>
              </w:rPr>
              <w:t>野外</w:t>
            </w:r>
            <w:r>
              <w:rPr>
                <w:color w:val="auto"/>
                <w:sz w:val="20"/>
                <w:szCs w:val="20"/>
                <w:highlight w:val="none"/>
              </w:rPr>
              <w:t>特征</w:t>
            </w:r>
          </w:p>
        </w:tc>
        <w:tc>
          <w:tcPr>
            <w:tcW w:w="1196" w:type="dxa"/>
            <w:vAlign w:val="center"/>
          </w:tcPr>
          <w:p>
            <w:pPr>
              <w:jc w:val="center"/>
              <w:rPr>
                <w:color w:val="auto"/>
                <w:spacing w:val="12"/>
                <w:kern w:val="0"/>
                <w:sz w:val="20"/>
                <w:szCs w:val="16"/>
                <w:highlight w:val="none"/>
              </w:rPr>
            </w:pPr>
            <w:r>
              <w:rPr>
                <w:rFonts w:hint="eastAsia"/>
                <w:color w:val="auto"/>
                <w:sz w:val="20"/>
                <w:szCs w:val="20"/>
                <w:highlight w:val="none"/>
              </w:rPr>
              <w:t>波速比</w:t>
            </w:r>
            <w:r>
              <w:rPr>
                <w:i/>
                <w:iCs/>
                <w:color w:val="auto"/>
                <w:kern w:val="0"/>
                <w:sz w:val="20"/>
                <w:szCs w:val="16"/>
                <w:highlight w:val="none"/>
              </w:rPr>
              <w:t>K</w:t>
            </w:r>
            <w:r>
              <w:rPr>
                <w:rFonts w:hint="eastAsia"/>
                <w:color w:val="auto"/>
                <w:kern w:val="0"/>
                <w:sz w:val="20"/>
                <w:szCs w:val="16"/>
                <w:highlight w:val="none"/>
                <w:vertAlign w:val="subscript"/>
              </w:rPr>
              <w:t>vp</w:t>
            </w:r>
          </w:p>
        </w:tc>
        <w:tc>
          <w:tcPr>
            <w:tcW w:w="1142" w:type="dxa"/>
            <w:vAlign w:val="center"/>
          </w:tcPr>
          <w:p>
            <w:pPr>
              <w:jc w:val="center"/>
              <w:rPr>
                <w:color w:val="auto"/>
                <w:spacing w:val="12"/>
                <w:kern w:val="0"/>
                <w:sz w:val="20"/>
                <w:szCs w:val="16"/>
                <w:highlight w:val="none"/>
              </w:rPr>
            </w:pPr>
            <w:r>
              <w:rPr>
                <w:color w:val="auto"/>
                <w:sz w:val="20"/>
                <w:szCs w:val="20"/>
                <w:highlight w:val="none"/>
              </w:rPr>
              <w:t>风化系数</w:t>
            </w:r>
            <w:r>
              <w:rPr>
                <w:i/>
                <w:iCs/>
                <w:color w:val="auto"/>
                <w:kern w:val="0"/>
                <w:sz w:val="20"/>
                <w:szCs w:val="16"/>
                <w:highlight w:val="none"/>
              </w:rPr>
              <w:t>K</w:t>
            </w:r>
            <w:r>
              <w:rPr>
                <w:color w:val="auto"/>
                <w:kern w:val="0"/>
                <w:sz w:val="20"/>
                <w:szCs w:val="16"/>
                <w:highlight w:val="none"/>
                <w:vertAlign w:val="subscript"/>
              </w:rPr>
              <w:t>f</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030" w:type="dxa"/>
            <w:vAlign w:val="center"/>
          </w:tcPr>
          <w:p>
            <w:pPr>
              <w:jc w:val="center"/>
              <w:rPr>
                <w:color w:val="auto"/>
                <w:spacing w:val="12"/>
                <w:kern w:val="0"/>
                <w:sz w:val="20"/>
                <w:szCs w:val="16"/>
                <w:highlight w:val="none"/>
              </w:rPr>
            </w:pPr>
            <w:r>
              <w:rPr>
                <w:color w:val="auto"/>
                <w:spacing w:val="12"/>
                <w:kern w:val="0"/>
                <w:sz w:val="20"/>
                <w:szCs w:val="16"/>
                <w:highlight w:val="none"/>
              </w:rPr>
              <w:t>未风化</w:t>
            </w:r>
          </w:p>
        </w:tc>
        <w:tc>
          <w:tcPr>
            <w:tcW w:w="5065" w:type="dxa"/>
            <w:vAlign w:val="center"/>
          </w:tcPr>
          <w:p>
            <w:pPr>
              <w:rPr>
                <w:color w:val="auto"/>
                <w:kern w:val="0"/>
                <w:sz w:val="20"/>
                <w:szCs w:val="16"/>
                <w:highlight w:val="none"/>
              </w:rPr>
            </w:pPr>
            <w:r>
              <w:rPr>
                <w:color w:val="auto"/>
                <w:kern w:val="0"/>
                <w:sz w:val="20"/>
                <w:szCs w:val="16"/>
                <w:highlight w:val="none"/>
              </w:rPr>
              <w:t>岩质新鲜，偶见风化痕迹</w:t>
            </w:r>
            <w:r>
              <w:rPr>
                <w:rFonts w:hint="eastAsia"/>
                <w:color w:val="auto"/>
                <w:kern w:val="0"/>
                <w:sz w:val="20"/>
                <w:szCs w:val="16"/>
                <w:highlight w:val="none"/>
              </w:rPr>
              <w:t>。</w:t>
            </w:r>
          </w:p>
        </w:tc>
        <w:tc>
          <w:tcPr>
            <w:tcW w:w="1196" w:type="dxa"/>
            <w:vAlign w:val="center"/>
          </w:tcPr>
          <w:p>
            <w:pPr>
              <w:autoSpaceDE w:val="0"/>
              <w:autoSpaceDN w:val="0"/>
              <w:adjustRightInd w:val="0"/>
              <w:snapToGrid w:val="0"/>
              <w:jc w:val="center"/>
              <w:rPr>
                <w:color w:val="auto"/>
                <w:spacing w:val="12"/>
                <w:kern w:val="0"/>
                <w:sz w:val="20"/>
                <w:szCs w:val="16"/>
                <w:highlight w:val="none"/>
              </w:rPr>
            </w:pPr>
            <w:r>
              <w:rPr>
                <w:color w:val="auto"/>
                <w:spacing w:val="12"/>
                <w:kern w:val="0"/>
                <w:sz w:val="20"/>
                <w:szCs w:val="16"/>
                <w:highlight w:val="none"/>
              </w:rPr>
              <w:t>0.9</w:t>
            </w:r>
            <w:r>
              <w:rPr>
                <w:rFonts w:hint="eastAsia"/>
                <w:color w:val="auto"/>
                <w:sz w:val="20"/>
                <w:szCs w:val="16"/>
                <w:highlight w:val="none"/>
              </w:rPr>
              <w:t>~</w:t>
            </w:r>
            <w:r>
              <w:rPr>
                <w:color w:val="auto"/>
                <w:spacing w:val="12"/>
                <w:kern w:val="0"/>
                <w:sz w:val="20"/>
                <w:szCs w:val="16"/>
                <w:highlight w:val="none"/>
              </w:rPr>
              <w:t>1.0</w:t>
            </w:r>
          </w:p>
        </w:tc>
        <w:tc>
          <w:tcPr>
            <w:tcW w:w="1142" w:type="dxa"/>
            <w:vAlign w:val="center"/>
          </w:tcPr>
          <w:p>
            <w:pPr>
              <w:autoSpaceDE w:val="0"/>
              <w:autoSpaceDN w:val="0"/>
              <w:adjustRightInd w:val="0"/>
              <w:snapToGrid w:val="0"/>
              <w:jc w:val="center"/>
              <w:rPr>
                <w:color w:val="auto"/>
                <w:spacing w:val="12"/>
                <w:kern w:val="0"/>
                <w:sz w:val="20"/>
                <w:szCs w:val="16"/>
                <w:highlight w:val="none"/>
              </w:rPr>
            </w:pPr>
            <w:r>
              <w:rPr>
                <w:color w:val="auto"/>
                <w:spacing w:val="12"/>
                <w:kern w:val="0"/>
                <w:sz w:val="20"/>
                <w:szCs w:val="16"/>
                <w:highlight w:val="none"/>
              </w:rPr>
              <w:t>0.9</w:t>
            </w:r>
            <w:r>
              <w:rPr>
                <w:rFonts w:hint="eastAsia"/>
                <w:color w:val="auto"/>
                <w:sz w:val="20"/>
                <w:szCs w:val="16"/>
                <w:highlight w:val="none"/>
              </w:rPr>
              <w:t>~</w:t>
            </w:r>
            <w:r>
              <w:rPr>
                <w:color w:val="auto"/>
                <w:spacing w:val="12"/>
                <w:kern w:val="0"/>
                <w:sz w:val="20"/>
                <w:szCs w:val="16"/>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30" w:type="dxa"/>
            <w:vAlign w:val="center"/>
          </w:tcPr>
          <w:p>
            <w:pPr>
              <w:jc w:val="center"/>
              <w:rPr>
                <w:color w:val="auto"/>
                <w:sz w:val="20"/>
                <w:szCs w:val="16"/>
                <w:highlight w:val="none"/>
              </w:rPr>
            </w:pPr>
            <w:r>
              <w:rPr>
                <w:color w:val="auto"/>
                <w:spacing w:val="2"/>
                <w:kern w:val="0"/>
                <w:sz w:val="20"/>
                <w:szCs w:val="16"/>
                <w:highlight w:val="none"/>
              </w:rPr>
              <w:t>微风化</w:t>
            </w:r>
          </w:p>
        </w:tc>
        <w:tc>
          <w:tcPr>
            <w:tcW w:w="5065" w:type="dxa"/>
            <w:vAlign w:val="center"/>
          </w:tcPr>
          <w:p>
            <w:pPr>
              <w:rPr>
                <w:color w:val="auto"/>
                <w:spacing w:val="2"/>
                <w:kern w:val="0"/>
                <w:sz w:val="20"/>
                <w:szCs w:val="16"/>
                <w:highlight w:val="none"/>
              </w:rPr>
            </w:pPr>
            <w:r>
              <w:rPr>
                <w:color w:val="auto"/>
                <w:spacing w:val="2"/>
                <w:kern w:val="0"/>
                <w:sz w:val="20"/>
                <w:szCs w:val="16"/>
                <w:highlight w:val="none"/>
              </w:rPr>
              <w:t>结构和构造</w:t>
            </w:r>
            <w:r>
              <w:rPr>
                <w:color w:val="auto"/>
                <w:sz w:val="20"/>
                <w:szCs w:val="20"/>
                <w:highlight w:val="none"/>
              </w:rPr>
              <w:t>基本</w:t>
            </w:r>
            <w:r>
              <w:rPr>
                <w:color w:val="auto"/>
                <w:spacing w:val="2"/>
                <w:kern w:val="0"/>
                <w:sz w:val="20"/>
                <w:szCs w:val="16"/>
                <w:highlight w:val="none"/>
              </w:rPr>
              <w:t>未变，仅节理面有铁锰质渲染或矿物略有变色，有少量风化裂隙</w:t>
            </w:r>
          </w:p>
        </w:tc>
        <w:tc>
          <w:tcPr>
            <w:tcW w:w="1196" w:type="dxa"/>
            <w:vAlign w:val="center"/>
          </w:tcPr>
          <w:p>
            <w:pPr>
              <w:autoSpaceDE w:val="0"/>
              <w:autoSpaceDN w:val="0"/>
              <w:adjustRightInd w:val="0"/>
              <w:snapToGrid w:val="0"/>
              <w:jc w:val="center"/>
              <w:rPr>
                <w:color w:val="auto"/>
                <w:spacing w:val="12"/>
                <w:kern w:val="0"/>
                <w:sz w:val="20"/>
                <w:szCs w:val="16"/>
                <w:highlight w:val="none"/>
              </w:rPr>
            </w:pPr>
            <w:r>
              <w:rPr>
                <w:color w:val="auto"/>
                <w:spacing w:val="12"/>
                <w:kern w:val="0"/>
                <w:sz w:val="20"/>
                <w:szCs w:val="16"/>
                <w:highlight w:val="none"/>
              </w:rPr>
              <w:t>0.8</w:t>
            </w:r>
            <w:r>
              <w:rPr>
                <w:rFonts w:hint="eastAsia"/>
                <w:color w:val="auto"/>
                <w:sz w:val="20"/>
                <w:szCs w:val="16"/>
                <w:highlight w:val="none"/>
              </w:rPr>
              <w:t>~</w:t>
            </w:r>
            <w:r>
              <w:rPr>
                <w:color w:val="auto"/>
                <w:spacing w:val="12"/>
                <w:kern w:val="0"/>
                <w:sz w:val="20"/>
                <w:szCs w:val="16"/>
                <w:highlight w:val="none"/>
              </w:rPr>
              <w:t>0.9</w:t>
            </w:r>
          </w:p>
        </w:tc>
        <w:tc>
          <w:tcPr>
            <w:tcW w:w="1142" w:type="dxa"/>
            <w:vAlign w:val="center"/>
          </w:tcPr>
          <w:p>
            <w:pPr>
              <w:autoSpaceDE w:val="0"/>
              <w:autoSpaceDN w:val="0"/>
              <w:adjustRightInd w:val="0"/>
              <w:snapToGrid w:val="0"/>
              <w:jc w:val="center"/>
              <w:rPr>
                <w:color w:val="auto"/>
                <w:spacing w:val="12"/>
                <w:kern w:val="0"/>
                <w:sz w:val="20"/>
                <w:szCs w:val="16"/>
                <w:highlight w:val="none"/>
              </w:rPr>
            </w:pPr>
            <w:r>
              <w:rPr>
                <w:color w:val="auto"/>
                <w:spacing w:val="12"/>
                <w:kern w:val="0"/>
                <w:sz w:val="20"/>
                <w:szCs w:val="16"/>
                <w:highlight w:val="none"/>
              </w:rPr>
              <w:t>0.8</w:t>
            </w:r>
            <w:r>
              <w:rPr>
                <w:rFonts w:hint="eastAsia"/>
                <w:color w:val="auto"/>
                <w:sz w:val="20"/>
                <w:szCs w:val="16"/>
                <w:highlight w:val="none"/>
              </w:rPr>
              <w:t>~</w:t>
            </w:r>
            <w:r>
              <w:rPr>
                <w:color w:val="auto"/>
                <w:spacing w:val="12"/>
                <w:kern w:val="0"/>
                <w:sz w:val="20"/>
                <w:szCs w:val="16"/>
                <w:highlight w:val="none"/>
              </w:rPr>
              <w:t>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30" w:type="dxa"/>
            <w:vAlign w:val="center"/>
          </w:tcPr>
          <w:p>
            <w:pPr>
              <w:jc w:val="center"/>
              <w:rPr>
                <w:color w:val="auto"/>
                <w:sz w:val="20"/>
                <w:szCs w:val="16"/>
                <w:highlight w:val="none"/>
              </w:rPr>
            </w:pPr>
            <w:r>
              <w:rPr>
                <w:color w:val="auto"/>
                <w:spacing w:val="2"/>
                <w:kern w:val="0"/>
                <w:sz w:val="20"/>
                <w:szCs w:val="16"/>
                <w:highlight w:val="none"/>
              </w:rPr>
              <w:t>中等风化</w:t>
            </w:r>
          </w:p>
        </w:tc>
        <w:tc>
          <w:tcPr>
            <w:tcW w:w="5065" w:type="dxa"/>
            <w:vAlign w:val="center"/>
          </w:tcPr>
          <w:p>
            <w:pPr>
              <w:ind w:left="202" w:hanging="204" w:hangingChars="100"/>
              <w:rPr>
                <w:color w:val="auto"/>
                <w:spacing w:val="2"/>
                <w:kern w:val="0"/>
                <w:sz w:val="20"/>
                <w:szCs w:val="16"/>
                <w:highlight w:val="none"/>
              </w:rPr>
            </w:pPr>
            <w:r>
              <w:rPr>
                <w:color w:val="auto"/>
                <w:spacing w:val="2"/>
                <w:kern w:val="0"/>
                <w:sz w:val="20"/>
                <w:szCs w:val="16"/>
                <w:highlight w:val="none"/>
              </w:rPr>
              <w:t>1 组织</w:t>
            </w:r>
            <w:r>
              <w:rPr>
                <w:color w:val="auto"/>
                <w:sz w:val="20"/>
                <w:szCs w:val="20"/>
                <w:highlight w:val="none"/>
              </w:rPr>
              <w:t>结构</w:t>
            </w:r>
            <w:r>
              <w:rPr>
                <w:color w:val="auto"/>
                <w:spacing w:val="2"/>
                <w:kern w:val="0"/>
                <w:sz w:val="20"/>
                <w:szCs w:val="16"/>
                <w:highlight w:val="none"/>
              </w:rPr>
              <w:t>部分破坏，矿物成分基本未变，沿节理面出现次生矿物，风化裂隙发育</w:t>
            </w:r>
            <w:r>
              <w:rPr>
                <w:rFonts w:hint="eastAsia"/>
                <w:color w:val="auto"/>
                <w:spacing w:val="2"/>
                <w:kern w:val="0"/>
                <w:sz w:val="20"/>
                <w:szCs w:val="16"/>
                <w:highlight w:val="none"/>
              </w:rPr>
              <w:t>；</w:t>
            </w:r>
          </w:p>
          <w:p>
            <w:pPr>
              <w:ind w:left="202" w:hanging="204" w:hangingChars="100"/>
              <w:rPr>
                <w:color w:val="auto"/>
                <w:spacing w:val="2"/>
                <w:kern w:val="0"/>
                <w:sz w:val="20"/>
                <w:szCs w:val="16"/>
                <w:highlight w:val="none"/>
              </w:rPr>
            </w:pPr>
            <w:r>
              <w:rPr>
                <w:color w:val="auto"/>
                <w:spacing w:val="2"/>
                <w:kern w:val="0"/>
                <w:sz w:val="20"/>
                <w:szCs w:val="16"/>
                <w:highlight w:val="none"/>
              </w:rPr>
              <w:t>2 岩体被节理、裂隙分割成块状（200mm</w:t>
            </w:r>
            <w:r>
              <w:rPr>
                <w:rFonts w:hint="eastAsia"/>
                <w:color w:val="auto"/>
                <w:sz w:val="20"/>
                <w:szCs w:val="16"/>
                <w:highlight w:val="none"/>
              </w:rPr>
              <w:t>~</w:t>
            </w:r>
            <w:r>
              <w:rPr>
                <w:color w:val="auto"/>
                <w:spacing w:val="2"/>
                <w:kern w:val="0"/>
                <w:sz w:val="20"/>
                <w:szCs w:val="16"/>
                <w:highlight w:val="none"/>
              </w:rPr>
              <w:t>500mm），硬质岩锤击声脆，且不易击碎；软质岩锤击易碎</w:t>
            </w:r>
            <w:r>
              <w:rPr>
                <w:rFonts w:hint="eastAsia"/>
                <w:color w:val="auto"/>
                <w:spacing w:val="2"/>
                <w:kern w:val="0"/>
                <w:sz w:val="20"/>
                <w:szCs w:val="16"/>
                <w:highlight w:val="none"/>
              </w:rPr>
              <w:t>；</w:t>
            </w:r>
          </w:p>
          <w:p>
            <w:pPr>
              <w:rPr>
                <w:color w:val="auto"/>
                <w:sz w:val="20"/>
                <w:szCs w:val="16"/>
                <w:highlight w:val="none"/>
              </w:rPr>
            </w:pPr>
            <w:r>
              <w:rPr>
                <w:color w:val="auto"/>
                <w:spacing w:val="2"/>
                <w:kern w:val="0"/>
                <w:sz w:val="20"/>
                <w:szCs w:val="16"/>
                <w:highlight w:val="none"/>
              </w:rPr>
              <w:t>3 用镐难挖掘，用岩芯钻方可钻进</w:t>
            </w:r>
          </w:p>
        </w:tc>
        <w:tc>
          <w:tcPr>
            <w:tcW w:w="1196" w:type="dxa"/>
            <w:vAlign w:val="center"/>
          </w:tcPr>
          <w:p>
            <w:pPr>
              <w:autoSpaceDE w:val="0"/>
              <w:autoSpaceDN w:val="0"/>
              <w:adjustRightInd w:val="0"/>
              <w:snapToGrid w:val="0"/>
              <w:jc w:val="center"/>
              <w:rPr>
                <w:color w:val="auto"/>
                <w:spacing w:val="12"/>
                <w:kern w:val="0"/>
                <w:sz w:val="20"/>
                <w:szCs w:val="16"/>
                <w:highlight w:val="none"/>
              </w:rPr>
            </w:pPr>
            <w:r>
              <w:rPr>
                <w:color w:val="auto"/>
                <w:spacing w:val="12"/>
                <w:kern w:val="0"/>
                <w:sz w:val="20"/>
                <w:szCs w:val="16"/>
                <w:highlight w:val="none"/>
              </w:rPr>
              <w:t>0.</w:t>
            </w:r>
            <w:r>
              <w:rPr>
                <w:rFonts w:hint="eastAsia"/>
                <w:color w:val="auto"/>
                <w:spacing w:val="12"/>
                <w:kern w:val="0"/>
                <w:sz w:val="20"/>
                <w:szCs w:val="16"/>
                <w:highlight w:val="none"/>
              </w:rPr>
              <w:t>6</w:t>
            </w:r>
            <w:r>
              <w:rPr>
                <w:rFonts w:hint="eastAsia"/>
                <w:color w:val="auto"/>
                <w:sz w:val="20"/>
                <w:szCs w:val="16"/>
                <w:highlight w:val="none"/>
              </w:rPr>
              <w:t>~</w:t>
            </w:r>
            <w:r>
              <w:rPr>
                <w:color w:val="auto"/>
                <w:spacing w:val="12"/>
                <w:kern w:val="0"/>
                <w:sz w:val="20"/>
                <w:szCs w:val="16"/>
                <w:highlight w:val="none"/>
              </w:rPr>
              <w:t>0.8</w:t>
            </w:r>
          </w:p>
        </w:tc>
        <w:tc>
          <w:tcPr>
            <w:tcW w:w="1142" w:type="dxa"/>
            <w:vAlign w:val="center"/>
          </w:tcPr>
          <w:p>
            <w:pPr>
              <w:autoSpaceDE w:val="0"/>
              <w:autoSpaceDN w:val="0"/>
              <w:adjustRightInd w:val="0"/>
              <w:snapToGrid w:val="0"/>
              <w:jc w:val="center"/>
              <w:rPr>
                <w:color w:val="auto"/>
                <w:spacing w:val="12"/>
                <w:kern w:val="0"/>
                <w:sz w:val="20"/>
                <w:szCs w:val="16"/>
                <w:highlight w:val="none"/>
              </w:rPr>
            </w:pPr>
            <w:r>
              <w:rPr>
                <w:color w:val="auto"/>
                <w:spacing w:val="12"/>
                <w:kern w:val="0"/>
                <w:sz w:val="20"/>
                <w:szCs w:val="16"/>
                <w:highlight w:val="none"/>
              </w:rPr>
              <w:t>0.4</w:t>
            </w:r>
            <w:r>
              <w:rPr>
                <w:rFonts w:hint="eastAsia"/>
                <w:color w:val="auto"/>
                <w:sz w:val="20"/>
                <w:szCs w:val="16"/>
                <w:highlight w:val="none"/>
              </w:rPr>
              <w:t>~</w:t>
            </w:r>
            <w:r>
              <w:rPr>
                <w:color w:val="auto"/>
                <w:spacing w:val="12"/>
                <w:kern w:val="0"/>
                <w:sz w:val="20"/>
                <w:szCs w:val="16"/>
                <w:highlight w:val="none"/>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30" w:type="dxa"/>
            <w:vAlign w:val="center"/>
          </w:tcPr>
          <w:p>
            <w:pPr>
              <w:jc w:val="center"/>
              <w:rPr>
                <w:color w:val="auto"/>
                <w:sz w:val="20"/>
                <w:szCs w:val="16"/>
                <w:highlight w:val="none"/>
              </w:rPr>
            </w:pPr>
            <w:r>
              <w:rPr>
                <w:color w:val="auto"/>
                <w:spacing w:val="2"/>
                <w:kern w:val="0"/>
                <w:sz w:val="20"/>
                <w:szCs w:val="16"/>
                <w:highlight w:val="none"/>
              </w:rPr>
              <w:t>强风化</w:t>
            </w:r>
          </w:p>
        </w:tc>
        <w:tc>
          <w:tcPr>
            <w:tcW w:w="5065" w:type="dxa"/>
            <w:vAlign w:val="center"/>
          </w:tcPr>
          <w:p>
            <w:pPr>
              <w:jc w:val="left"/>
              <w:rPr>
                <w:color w:val="auto"/>
                <w:spacing w:val="2"/>
                <w:kern w:val="0"/>
                <w:sz w:val="20"/>
                <w:szCs w:val="16"/>
                <w:highlight w:val="none"/>
              </w:rPr>
            </w:pPr>
            <w:r>
              <w:rPr>
                <w:color w:val="auto"/>
                <w:spacing w:val="2"/>
                <w:kern w:val="0"/>
                <w:sz w:val="20"/>
                <w:szCs w:val="16"/>
                <w:highlight w:val="none"/>
              </w:rPr>
              <w:t>1 组织结构已大部分破坏，矿物成分已显著变化</w:t>
            </w:r>
            <w:r>
              <w:rPr>
                <w:rFonts w:hint="eastAsia"/>
                <w:color w:val="auto"/>
                <w:spacing w:val="2"/>
                <w:kern w:val="0"/>
                <w:sz w:val="20"/>
                <w:szCs w:val="16"/>
                <w:highlight w:val="none"/>
              </w:rPr>
              <w:t>；</w:t>
            </w:r>
          </w:p>
          <w:p>
            <w:pPr>
              <w:ind w:left="202" w:hanging="204" w:hangingChars="100"/>
              <w:rPr>
                <w:color w:val="auto"/>
                <w:spacing w:val="2"/>
                <w:kern w:val="0"/>
                <w:sz w:val="20"/>
                <w:szCs w:val="16"/>
                <w:highlight w:val="none"/>
              </w:rPr>
            </w:pPr>
            <w:r>
              <w:rPr>
                <w:color w:val="auto"/>
                <w:spacing w:val="2"/>
                <w:kern w:val="0"/>
                <w:sz w:val="20"/>
                <w:szCs w:val="16"/>
                <w:highlight w:val="none"/>
              </w:rPr>
              <w:t>2 岩体被</w:t>
            </w:r>
            <w:r>
              <w:rPr>
                <w:color w:val="auto"/>
                <w:sz w:val="20"/>
                <w:szCs w:val="20"/>
                <w:highlight w:val="none"/>
              </w:rPr>
              <w:t>节理</w:t>
            </w:r>
            <w:r>
              <w:rPr>
                <w:color w:val="auto"/>
                <w:spacing w:val="2"/>
                <w:kern w:val="0"/>
                <w:sz w:val="20"/>
                <w:szCs w:val="16"/>
                <w:highlight w:val="none"/>
              </w:rPr>
              <w:t>、裂隙分割成碎石状（20mm</w:t>
            </w:r>
            <w:r>
              <w:rPr>
                <w:rFonts w:hint="eastAsia"/>
                <w:color w:val="auto"/>
                <w:sz w:val="20"/>
                <w:szCs w:val="16"/>
                <w:highlight w:val="none"/>
              </w:rPr>
              <w:t>~</w:t>
            </w:r>
            <w:r>
              <w:rPr>
                <w:color w:val="auto"/>
                <w:spacing w:val="2"/>
                <w:kern w:val="0"/>
                <w:sz w:val="20"/>
                <w:szCs w:val="16"/>
                <w:highlight w:val="none"/>
              </w:rPr>
              <w:t>200mm），一般岩块锤击可碎，软质岩手折可断</w:t>
            </w:r>
            <w:r>
              <w:rPr>
                <w:rFonts w:hint="eastAsia"/>
                <w:color w:val="auto"/>
                <w:spacing w:val="2"/>
                <w:kern w:val="0"/>
                <w:sz w:val="20"/>
                <w:szCs w:val="16"/>
                <w:highlight w:val="none"/>
              </w:rPr>
              <w:t>；</w:t>
            </w:r>
          </w:p>
          <w:p>
            <w:pPr>
              <w:jc w:val="left"/>
              <w:rPr>
                <w:color w:val="auto"/>
                <w:sz w:val="20"/>
                <w:szCs w:val="16"/>
                <w:highlight w:val="none"/>
              </w:rPr>
            </w:pPr>
            <w:r>
              <w:rPr>
                <w:color w:val="auto"/>
                <w:spacing w:val="2"/>
                <w:kern w:val="0"/>
                <w:sz w:val="20"/>
                <w:szCs w:val="16"/>
                <w:highlight w:val="none"/>
              </w:rPr>
              <w:t>3 用镐可以挖掘，用干钻不易钻进</w:t>
            </w:r>
          </w:p>
        </w:tc>
        <w:tc>
          <w:tcPr>
            <w:tcW w:w="1196" w:type="dxa"/>
            <w:vAlign w:val="center"/>
          </w:tcPr>
          <w:p>
            <w:pPr>
              <w:autoSpaceDE w:val="0"/>
              <w:autoSpaceDN w:val="0"/>
              <w:adjustRightInd w:val="0"/>
              <w:snapToGrid w:val="0"/>
              <w:jc w:val="center"/>
              <w:rPr>
                <w:color w:val="auto"/>
                <w:spacing w:val="12"/>
                <w:kern w:val="0"/>
                <w:sz w:val="20"/>
                <w:szCs w:val="16"/>
                <w:highlight w:val="none"/>
              </w:rPr>
            </w:pPr>
            <w:r>
              <w:rPr>
                <w:color w:val="auto"/>
                <w:spacing w:val="12"/>
                <w:kern w:val="0"/>
                <w:sz w:val="20"/>
                <w:szCs w:val="16"/>
                <w:highlight w:val="none"/>
              </w:rPr>
              <w:t>0.</w:t>
            </w:r>
            <w:r>
              <w:rPr>
                <w:rFonts w:hint="eastAsia"/>
                <w:color w:val="auto"/>
                <w:spacing w:val="12"/>
                <w:kern w:val="0"/>
                <w:sz w:val="20"/>
                <w:szCs w:val="16"/>
                <w:highlight w:val="none"/>
              </w:rPr>
              <w:t>4</w:t>
            </w:r>
            <w:r>
              <w:rPr>
                <w:rFonts w:hint="eastAsia"/>
                <w:color w:val="auto"/>
                <w:sz w:val="20"/>
                <w:szCs w:val="16"/>
                <w:highlight w:val="none"/>
              </w:rPr>
              <w:t>~</w:t>
            </w:r>
            <w:r>
              <w:rPr>
                <w:color w:val="auto"/>
                <w:spacing w:val="12"/>
                <w:kern w:val="0"/>
                <w:sz w:val="20"/>
                <w:szCs w:val="16"/>
                <w:highlight w:val="none"/>
              </w:rPr>
              <w:t>0.</w:t>
            </w:r>
            <w:r>
              <w:rPr>
                <w:rFonts w:hint="eastAsia"/>
                <w:color w:val="auto"/>
                <w:spacing w:val="12"/>
                <w:kern w:val="0"/>
                <w:sz w:val="20"/>
                <w:szCs w:val="16"/>
                <w:highlight w:val="none"/>
              </w:rPr>
              <w:t>6</w:t>
            </w:r>
          </w:p>
        </w:tc>
        <w:tc>
          <w:tcPr>
            <w:tcW w:w="1142" w:type="dxa"/>
            <w:vAlign w:val="center"/>
          </w:tcPr>
          <w:p>
            <w:pPr>
              <w:autoSpaceDE w:val="0"/>
              <w:autoSpaceDN w:val="0"/>
              <w:adjustRightInd w:val="0"/>
              <w:snapToGrid w:val="0"/>
              <w:jc w:val="center"/>
              <w:rPr>
                <w:color w:val="auto"/>
                <w:spacing w:val="12"/>
                <w:kern w:val="0"/>
                <w:sz w:val="20"/>
                <w:szCs w:val="16"/>
                <w:highlight w:val="none"/>
              </w:rPr>
            </w:pPr>
            <w:r>
              <w:rPr>
                <w:color w:val="auto"/>
                <w:spacing w:val="12"/>
                <w:kern w:val="0"/>
                <w:sz w:val="20"/>
                <w:szCs w:val="16"/>
                <w:highlight w:val="none"/>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30" w:type="dxa"/>
            <w:vAlign w:val="center"/>
          </w:tcPr>
          <w:p>
            <w:pPr>
              <w:jc w:val="center"/>
              <w:rPr>
                <w:color w:val="auto"/>
                <w:sz w:val="20"/>
                <w:szCs w:val="16"/>
                <w:highlight w:val="none"/>
              </w:rPr>
            </w:pPr>
            <w:r>
              <w:rPr>
                <w:color w:val="auto"/>
                <w:spacing w:val="2"/>
                <w:kern w:val="0"/>
                <w:sz w:val="20"/>
                <w:szCs w:val="16"/>
                <w:highlight w:val="none"/>
              </w:rPr>
              <w:t>全风化</w:t>
            </w:r>
          </w:p>
        </w:tc>
        <w:tc>
          <w:tcPr>
            <w:tcW w:w="5065" w:type="dxa"/>
            <w:vAlign w:val="center"/>
          </w:tcPr>
          <w:p>
            <w:pPr>
              <w:jc w:val="left"/>
              <w:rPr>
                <w:color w:val="auto"/>
                <w:spacing w:val="2"/>
                <w:kern w:val="0"/>
                <w:sz w:val="20"/>
                <w:szCs w:val="16"/>
                <w:highlight w:val="none"/>
              </w:rPr>
            </w:pPr>
            <w:r>
              <w:rPr>
                <w:color w:val="auto"/>
                <w:spacing w:val="2"/>
                <w:kern w:val="0"/>
                <w:sz w:val="20"/>
                <w:szCs w:val="16"/>
                <w:highlight w:val="none"/>
              </w:rPr>
              <w:t>1 结构已基本破坏，但尚可辨认</w:t>
            </w:r>
            <w:r>
              <w:rPr>
                <w:rFonts w:hint="eastAsia"/>
                <w:color w:val="auto"/>
                <w:spacing w:val="2"/>
                <w:kern w:val="0"/>
                <w:sz w:val="20"/>
                <w:szCs w:val="16"/>
                <w:highlight w:val="none"/>
              </w:rPr>
              <w:t>；</w:t>
            </w:r>
          </w:p>
          <w:p>
            <w:pPr>
              <w:ind w:left="202" w:hanging="204" w:hangingChars="100"/>
              <w:rPr>
                <w:color w:val="auto"/>
                <w:spacing w:val="2"/>
                <w:kern w:val="0"/>
                <w:sz w:val="20"/>
                <w:szCs w:val="16"/>
                <w:highlight w:val="none"/>
              </w:rPr>
            </w:pPr>
            <w:r>
              <w:rPr>
                <w:color w:val="auto"/>
                <w:spacing w:val="2"/>
                <w:kern w:val="0"/>
                <w:sz w:val="20"/>
                <w:szCs w:val="16"/>
                <w:highlight w:val="none"/>
              </w:rPr>
              <w:t>2 岩石已风化成坚硬或密实土状，可用镐挖，干钻可钻进</w:t>
            </w:r>
            <w:r>
              <w:rPr>
                <w:rFonts w:hint="eastAsia"/>
                <w:color w:val="auto"/>
                <w:spacing w:val="2"/>
                <w:kern w:val="0"/>
                <w:sz w:val="20"/>
                <w:szCs w:val="16"/>
                <w:highlight w:val="none"/>
              </w:rPr>
              <w:t>；</w:t>
            </w:r>
          </w:p>
          <w:p>
            <w:pPr>
              <w:jc w:val="left"/>
              <w:rPr>
                <w:color w:val="auto"/>
                <w:sz w:val="20"/>
                <w:szCs w:val="16"/>
                <w:highlight w:val="none"/>
              </w:rPr>
            </w:pPr>
            <w:r>
              <w:rPr>
                <w:color w:val="auto"/>
                <w:spacing w:val="2"/>
                <w:kern w:val="0"/>
                <w:sz w:val="20"/>
                <w:szCs w:val="16"/>
                <w:highlight w:val="none"/>
              </w:rPr>
              <w:t>3 须机械普遍刨松方能铲挖</w:t>
            </w:r>
          </w:p>
        </w:tc>
        <w:tc>
          <w:tcPr>
            <w:tcW w:w="1196" w:type="dxa"/>
            <w:vAlign w:val="center"/>
          </w:tcPr>
          <w:p>
            <w:pPr>
              <w:autoSpaceDE w:val="0"/>
              <w:autoSpaceDN w:val="0"/>
              <w:adjustRightInd w:val="0"/>
              <w:snapToGrid w:val="0"/>
              <w:jc w:val="center"/>
              <w:rPr>
                <w:color w:val="auto"/>
                <w:spacing w:val="12"/>
                <w:kern w:val="0"/>
                <w:sz w:val="20"/>
                <w:szCs w:val="16"/>
                <w:highlight w:val="none"/>
              </w:rPr>
            </w:pPr>
            <w:r>
              <w:rPr>
                <w:color w:val="auto"/>
                <w:spacing w:val="12"/>
                <w:kern w:val="0"/>
                <w:sz w:val="20"/>
                <w:szCs w:val="16"/>
                <w:highlight w:val="none"/>
              </w:rPr>
              <w:t>0.</w:t>
            </w:r>
            <w:r>
              <w:rPr>
                <w:rFonts w:hint="eastAsia"/>
                <w:color w:val="auto"/>
                <w:spacing w:val="12"/>
                <w:kern w:val="0"/>
                <w:sz w:val="20"/>
                <w:szCs w:val="16"/>
                <w:highlight w:val="none"/>
              </w:rPr>
              <w:t>2</w:t>
            </w:r>
            <w:r>
              <w:rPr>
                <w:rFonts w:hint="eastAsia"/>
                <w:color w:val="auto"/>
                <w:sz w:val="20"/>
                <w:szCs w:val="16"/>
                <w:highlight w:val="none"/>
              </w:rPr>
              <w:t>~</w:t>
            </w:r>
            <w:r>
              <w:rPr>
                <w:color w:val="auto"/>
                <w:spacing w:val="12"/>
                <w:kern w:val="0"/>
                <w:sz w:val="20"/>
                <w:szCs w:val="16"/>
                <w:highlight w:val="none"/>
              </w:rPr>
              <w:t>0.</w:t>
            </w:r>
            <w:r>
              <w:rPr>
                <w:rFonts w:hint="eastAsia"/>
                <w:color w:val="auto"/>
                <w:spacing w:val="12"/>
                <w:kern w:val="0"/>
                <w:sz w:val="20"/>
                <w:szCs w:val="16"/>
                <w:highlight w:val="none"/>
              </w:rPr>
              <w:t>4</w:t>
            </w:r>
          </w:p>
        </w:tc>
        <w:tc>
          <w:tcPr>
            <w:tcW w:w="1142" w:type="dxa"/>
            <w:vAlign w:val="center"/>
          </w:tcPr>
          <w:p>
            <w:pPr>
              <w:autoSpaceDE w:val="0"/>
              <w:autoSpaceDN w:val="0"/>
              <w:adjustRightInd w:val="0"/>
              <w:snapToGrid w:val="0"/>
              <w:jc w:val="center"/>
              <w:rPr>
                <w:color w:val="auto"/>
                <w:spacing w:val="12"/>
                <w:kern w:val="0"/>
                <w:sz w:val="20"/>
                <w:szCs w:val="16"/>
                <w:highlight w:val="none"/>
              </w:rPr>
            </w:pPr>
            <w:r>
              <w:rPr>
                <w:color w:val="auto"/>
                <w:spacing w:val="12"/>
                <w:kern w:val="0"/>
                <w:sz w:val="20"/>
                <w:szCs w:val="16"/>
                <w:highlight w:val="none"/>
              </w:rPr>
              <w:t>—</w:t>
            </w:r>
          </w:p>
        </w:tc>
      </w:tr>
    </w:tbl>
    <w:p>
      <w:pPr>
        <w:snapToGrid w:val="0"/>
        <w:spacing w:line="360" w:lineRule="auto"/>
        <w:ind w:left="1064" w:leftChars="200" w:hanging="644" w:hangingChars="350"/>
        <w:jc w:val="left"/>
        <w:rPr>
          <w:color w:val="auto"/>
          <w:spacing w:val="2"/>
          <w:kern w:val="0"/>
          <w:sz w:val="18"/>
          <w:szCs w:val="15"/>
          <w:highlight w:val="none"/>
        </w:rPr>
      </w:pPr>
      <w:r>
        <w:rPr>
          <w:color w:val="auto"/>
          <w:spacing w:val="2"/>
          <w:kern w:val="0"/>
          <w:sz w:val="18"/>
          <w:szCs w:val="15"/>
          <w:highlight w:val="none"/>
        </w:rPr>
        <w:t>注：1</w:t>
      </w:r>
      <w:r>
        <w:rPr>
          <w:rFonts w:hint="eastAsia"/>
          <w:color w:val="auto"/>
          <w:spacing w:val="2"/>
          <w:kern w:val="0"/>
          <w:sz w:val="18"/>
          <w:szCs w:val="15"/>
          <w:highlight w:val="none"/>
        </w:rPr>
        <w:t>　波速比</w:t>
      </w:r>
      <w:r>
        <w:rPr>
          <w:i/>
          <w:color w:val="auto"/>
          <w:spacing w:val="2"/>
          <w:kern w:val="0"/>
          <w:sz w:val="18"/>
          <w:szCs w:val="15"/>
          <w:highlight w:val="none"/>
        </w:rPr>
        <w:t>K</w:t>
      </w:r>
      <w:r>
        <w:rPr>
          <w:rFonts w:hint="eastAsia"/>
          <w:iCs/>
          <w:color w:val="auto"/>
          <w:spacing w:val="2"/>
          <w:kern w:val="0"/>
          <w:sz w:val="18"/>
          <w:szCs w:val="15"/>
          <w:highlight w:val="none"/>
          <w:vertAlign w:val="subscript"/>
        </w:rPr>
        <w:t>vp</w:t>
      </w:r>
      <w:r>
        <w:rPr>
          <w:color w:val="auto"/>
          <w:spacing w:val="2"/>
          <w:kern w:val="0"/>
          <w:sz w:val="18"/>
          <w:szCs w:val="15"/>
          <w:highlight w:val="none"/>
        </w:rPr>
        <w:t>为风化岩石与新鲜岩石</w:t>
      </w:r>
      <w:r>
        <w:rPr>
          <w:rFonts w:hint="eastAsia"/>
          <w:color w:val="auto"/>
          <w:spacing w:val="2"/>
          <w:kern w:val="0"/>
          <w:sz w:val="18"/>
          <w:szCs w:val="15"/>
          <w:highlight w:val="none"/>
        </w:rPr>
        <w:t>纵波速度</w:t>
      </w:r>
      <w:r>
        <w:rPr>
          <w:color w:val="auto"/>
          <w:spacing w:val="2"/>
          <w:kern w:val="0"/>
          <w:sz w:val="18"/>
          <w:szCs w:val="15"/>
          <w:highlight w:val="none"/>
        </w:rPr>
        <w:t>之比</w:t>
      </w:r>
      <w:r>
        <w:rPr>
          <w:rFonts w:hint="eastAsia"/>
          <w:color w:val="auto"/>
          <w:spacing w:val="2"/>
          <w:kern w:val="0"/>
          <w:sz w:val="18"/>
          <w:szCs w:val="15"/>
          <w:highlight w:val="none"/>
        </w:rPr>
        <w:t>；</w:t>
      </w:r>
    </w:p>
    <w:p>
      <w:pPr>
        <w:snapToGrid w:val="0"/>
        <w:spacing w:line="360" w:lineRule="auto"/>
        <w:ind w:left="1064" w:leftChars="375" w:hanging="276" w:hangingChars="150"/>
        <w:rPr>
          <w:color w:val="auto"/>
          <w:spacing w:val="2"/>
          <w:kern w:val="0"/>
          <w:sz w:val="18"/>
          <w:szCs w:val="15"/>
          <w:highlight w:val="none"/>
        </w:rPr>
      </w:pPr>
      <w:r>
        <w:rPr>
          <w:color w:val="auto"/>
          <w:spacing w:val="2"/>
          <w:kern w:val="0"/>
          <w:sz w:val="18"/>
          <w:szCs w:val="15"/>
          <w:highlight w:val="none"/>
        </w:rPr>
        <w:t>2</w:t>
      </w:r>
      <w:r>
        <w:rPr>
          <w:rFonts w:hint="eastAsia"/>
          <w:color w:val="auto"/>
          <w:spacing w:val="2"/>
          <w:kern w:val="0"/>
          <w:sz w:val="18"/>
          <w:szCs w:val="15"/>
          <w:highlight w:val="none"/>
        </w:rPr>
        <w:t>　</w:t>
      </w:r>
      <w:r>
        <w:rPr>
          <w:color w:val="auto"/>
          <w:spacing w:val="2"/>
          <w:kern w:val="0"/>
          <w:sz w:val="18"/>
          <w:szCs w:val="15"/>
          <w:highlight w:val="none"/>
        </w:rPr>
        <w:t>风化系数</w:t>
      </w:r>
      <w:r>
        <w:rPr>
          <w:i/>
          <w:color w:val="auto"/>
          <w:spacing w:val="2"/>
          <w:kern w:val="0"/>
          <w:sz w:val="18"/>
          <w:szCs w:val="15"/>
          <w:highlight w:val="none"/>
        </w:rPr>
        <w:t>K</w:t>
      </w:r>
      <w:r>
        <w:rPr>
          <w:iCs/>
          <w:color w:val="auto"/>
          <w:spacing w:val="2"/>
          <w:kern w:val="0"/>
          <w:sz w:val="18"/>
          <w:szCs w:val="15"/>
          <w:highlight w:val="none"/>
          <w:vertAlign w:val="subscript"/>
        </w:rPr>
        <w:t>f</w:t>
      </w:r>
      <w:r>
        <w:rPr>
          <w:color w:val="auto"/>
          <w:spacing w:val="2"/>
          <w:kern w:val="0"/>
          <w:sz w:val="18"/>
          <w:szCs w:val="15"/>
          <w:highlight w:val="none"/>
        </w:rPr>
        <w:t>为风化岩石与新鲜岩石</w:t>
      </w:r>
      <w:r>
        <w:rPr>
          <w:rFonts w:hint="eastAsia"/>
          <w:color w:val="auto"/>
          <w:spacing w:val="2"/>
          <w:kern w:val="0"/>
          <w:sz w:val="18"/>
          <w:szCs w:val="15"/>
          <w:highlight w:val="none"/>
        </w:rPr>
        <w:t>饱和单轴抗压强度</w:t>
      </w:r>
      <w:r>
        <w:rPr>
          <w:color w:val="auto"/>
          <w:spacing w:val="2"/>
          <w:kern w:val="0"/>
          <w:sz w:val="18"/>
          <w:szCs w:val="15"/>
          <w:highlight w:val="none"/>
        </w:rPr>
        <w:t>之比</w:t>
      </w:r>
      <w:r>
        <w:rPr>
          <w:rFonts w:hint="eastAsia"/>
          <w:color w:val="auto"/>
          <w:spacing w:val="2"/>
          <w:kern w:val="0"/>
          <w:sz w:val="18"/>
          <w:szCs w:val="15"/>
          <w:highlight w:val="none"/>
        </w:rPr>
        <w:t>；</w:t>
      </w:r>
    </w:p>
    <w:p>
      <w:pPr>
        <w:snapToGrid w:val="0"/>
        <w:spacing w:line="360" w:lineRule="auto"/>
        <w:ind w:left="1064" w:leftChars="375" w:hanging="276" w:hangingChars="150"/>
        <w:rPr>
          <w:color w:val="auto"/>
          <w:spacing w:val="2"/>
          <w:kern w:val="0"/>
          <w:sz w:val="18"/>
          <w:szCs w:val="15"/>
          <w:highlight w:val="none"/>
        </w:rPr>
      </w:pPr>
      <w:r>
        <w:rPr>
          <w:rFonts w:hint="eastAsia"/>
          <w:color w:val="auto"/>
          <w:spacing w:val="2"/>
          <w:kern w:val="0"/>
          <w:sz w:val="18"/>
          <w:szCs w:val="15"/>
          <w:highlight w:val="none"/>
        </w:rPr>
        <w:t>3　</w:t>
      </w:r>
      <w:r>
        <w:rPr>
          <w:color w:val="auto"/>
          <w:spacing w:val="2"/>
          <w:kern w:val="0"/>
          <w:sz w:val="18"/>
          <w:szCs w:val="15"/>
          <w:highlight w:val="none"/>
        </w:rPr>
        <w:t>泥岩和半成岩，可不进行风化程度划分。</w:t>
      </w:r>
    </w:p>
    <w:p>
      <w:pPr>
        <w:autoSpaceDE w:val="0"/>
        <w:autoSpaceDN w:val="0"/>
        <w:adjustRightInd w:val="0"/>
        <w:snapToGrid w:val="0"/>
        <w:spacing w:before="156" w:beforeLines="50" w:line="360" w:lineRule="auto"/>
        <w:rPr>
          <w:b/>
          <w:color w:val="auto"/>
          <w:szCs w:val="21"/>
          <w:highlight w:val="none"/>
        </w:rPr>
      </w:pPr>
      <w:r>
        <w:rPr>
          <w:b/>
          <w:bCs/>
          <w:color w:val="auto"/>
          <w:szCs w:val="21"/>
          <w:highlight w:val="none"/>
        </w:rPr>
        <w:t>4.1.4</w:t>
      </w:r>
      <w:r>
        <w:rPr>
          <w:rFonts w:hint="eastAsia"/>
          <w:b/>
          <w:bCs/>
          <w:color w:val="auto"/>
          <w:szCs w:val="21"/>
          <w:highlight w:val="none"/>
        </w:rPr>
        <w:t>　</w:t>
      </w:r>
      <w:r>
        <w:rPr>
          <w:color w:val="auto"/>
          <w:szCs w:val="21"/>
          <w:highlight w:val="none"/>
        </w:rPr>
        <w:t>岩石坚硬程度可根据岩石的饱和单轴抗压强度</w:t>
      </w:r>
      <w:r>
        <w:rPr>
          <w:rFonts w:hint="eastAsia"/>
          <w:i/>
          <w:iCs/>
          <w:color w:val="auto"/>
          <w:highlight w:val="none"/>
        </w:rPr>
        <w:t>f</w:t>
      </w:r>
      <w:r>
        <w:rPr>
          <w:rFonts w:hint="eastAsia"/>
          <w:color w:val="auto"/>
          <w:highlight w:val="none"/>
          <w:vertAlign w:val="subscript"/>
        </w:rPr>
        <w:t>r</w:t>
      </w:r>
      <w:r>
        <w:rPr>
          <w:color w:val="auto"/>
          <w:szCs w:val="21"/>
          <w:highlight w:val="none"/>
        </w:rPr>
        <w:t>按表4.1.4-1分</w:t>
      </w:r>
      <w:r>
        <w:rPr>
          <w:rFonts w:hint="eastAsia"/>
          <w:color w:val="auto"/>
          <w:szCs w:val="21"/>
          <w:highlight w:val="none"/>
        </w:rPr>
        <w:t>类。</w:t>
      </w:r>
      <w:r>
        <w:rPr>
          <w:color w:val="auto"/>
          <w:szCs w:val="21"/>
          <w:highlight w:val="none"/>
        </w:rPr>
        <w:t>当缺乏有关试验数据时</w:t>
      </w:r>
      <w:r>
        <w:rPr>
          <w:rFonts w:hint="eastAsia"/>
          <w:color w:val="auto"/>
          <w:szCs w:val="21"/>
          <w:highlight w:val="none"/>
        </w:rPr>
        <w:t>，可</w:t>
      </w:r>
      <w:r>
        <w:rPr>
          <w:color w:val="auto"/>
          <w:szCs w:val="21"/>
          <w:highlight w:val="none"/>
        </w:rPr>
        <w:t>按表4.1.4-2确定。</w:t>
      </w:r>
    </w:p>
    <w:p>
      <w:pPr>
        <w:keepNext w:val="0"/>
        <w:keepLines w:val="0"/>
        <w:pageBreakBefore w:val="0"/>
        <w:widowControl w:val="0"/>
        <w:kinsoku/>
        <w:wordWrap/>
        <w:overflowPunct/>
        <w:topLinePunct w:val="0"/>
        <w:autoSpaceDE w:val="0"/>
        <w:autoSpaceDN w:val="0"/>
        <w:bidi w:val="0"/>
        <w:adjustRightInd w:val="0"/>
        <w:snapToGrid w:val="0"/>
        <w:spacing w:before="63" w:beforeLines="20" w:line="360" w:lineRule="auto"/>
        <w:jc w:val="center"/>
        <w:textAlignment w:val="auto"/>
        <w:rPr>
          <w:b/>
          <w:color w:val="auto"/>
          <w:szCs w:val="21"/>
          <w:highlight w:val="none"/>
        </w:rPr>
      </w:pPr>
      <w:r>
        <w:rPr>
          <w:b/>
          <w:color w:val="auto"/>
          <w:szCs w:val="21"/>
          <w:highlight w:val="none"/>
        </w:rPr>
        <w:t>表4.1.4-1 岩石坚硬程度的</w:t>
      </w:r>
      <w:r>
        <w:rPr>
          <w:rFonts w:hint="eastAsia"/>
          <w:b/>
          <w:color w:val="auto"/>
          <w:szCs w:val="21"/>
          <w:highlight w:val="none"/>
        </w:rPr>
        <w:t>分类</w:t>
      </w:r>
    </w:p>
    <w:tbl>
      <w:tblPr>
        <w:tblStyle w:val="22"/>
        <w:tblW w:w="82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314"/>
        <w:gridCol w:w="1314"/>
        <w:gridCol w:w="1314"/>
        <w:gridCol w:w="1314"/>
        <w:gridCol w:w="13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717" w:type="dxa"/>
          </w:tcPr>
          <w:p>
            <w:pPr>
              <w:ind w:left="-90" w:leftChars="-43" w:firstLine="202" w:firstLineChars="100"/>
              <w:jc w:val="center"/>
              <w:rPr>
                <w:color w:val="auto"/>
                <w:spacing w:val="1"/>
                <w:kern w:val="0"/>
                <w:sz w:val="20"/>
                <w:szCs w:val="16"/>
                <w:highlight w:val="none"/>
              </w:rPr>
            </w:pPr>
            <w:r>
              <w:rPr>
                <w:color w:val="auto"/>
                <w:spacing w:val="1"/>
                <w:kern w:val="0"/>
                <w:sz w:val="20"/>
                <w:szCs w:val="16"/>
                <w:highlight w:val="none"/>
              </w:rPr>
              <w:t>坚硬程度</w:t>
            </w:r>
          </w:p>
        </w:tc>
        <w:tc>
          <w:tcPr>
            <w:tcW w:w="1314" w:type="dxa"/>
            <w:vAlign w:val="center"/>
          </w:tcPr>
          <w:p>
            <w:pPr>
              <w:ind w:left="-90" w:leftChars="-43" w:firstLine="202" w:firstLineChars="100"/>
              <w:jc w:val="center"/>
              <w:rPr>
                <w:color w:val="auto"/>
                <w:sz w:val="20"/>
                <w:szCs w:val="16"/>
                <w:highlight w:val="none"/>
              </w:rPr>
            </w:pPr>
            <w:r>
              <w:rPr>
                <w:color w:val="auto"/>
                <w:spacing w:val="1"/>
                <w:kern w:val="0"/>
                <w:sz w:val="20"/>
                <w:szCs w:val="16"/>
                <w:highlight w:val="none"/>
              </w:rPr>
              <w:t>坚硬岩</w:t>
            </w:r>
          </w:p>
        </w:tc>
        <w:tc>
          <w:tcPr>
            <w:tcW w:w="1314" w:type="dxa"/>
            <w:vAlign w:val="center"/>
          </w:tcPr>
          <w:p>
            <w:pPr>
              <w:ind w:left="-90" w:leftChars="-43" w:firstLine="202" w:firstLineChars="100"/>
              <w:jc w:val="center"/>
              <w:rPr>
                <w:color w:val="auto"/>
                <w:sz w:val="20"/>
                <w:szCs w:val="16"/>
                <w:highlight w:val="none"/>
              </w:rPr>
            </w:pPr>
            <w:r>
              <w:rPr>
                <w:color w:val="auto"/>
                <w:spacing w:val="1"/>
                <w:kern w:val="0"/>
                <w:sz w:val="20"/>
                <w:szCs w:val="16"/>
                <w:highlight w:val="none"/>
              </w:rPr>
              <w:t>较硬岩</w:t>
            </w:r>
          </w:p>
        </w:tc>
        <w:tc>
          <w:tcPr>
            <w:tcW w:w="1314" w:type="dxa"/>
            <w:vAlign w:val="center"/>
          </w:tcPr>
          <w:p>
            <w:pPr>
              <w:ind w:left="-90" w:leftChars="-43" w:firstLine="202" w:firstLineChars="100"/>
              <w:jc w:val="center"/>
              <w:rPr>
                <w:color w:val="auto"/>
                <w:sz w:val="20"/>
                <w:szCs w:val="16"/>
                <w:highlight w:val="none"/>
              </w:rPr>
            </w:pPr>
            <w:r>
              <w:rPr>
                <w:color w:val="auto"/>
                <w:spacing w:val="1"/>
                <w:kern w:val="0"/>
                <w:sz w:val="20"/>
                <w:szCs w:val="16"/>
                <w:highlight w:val="none"/>
              </w:rPr>
              <w:t>较软岩</w:t>
            </w:r>
          </w:p>
        </w:tc>
        <w:tc>
          <w:tcPr>
            <w:tcW w:w="1314" w:type="dxa"/>
            <w:vAlign w:val="center"/>
          </w:tcPr>
          <w:p>
            <w:pPr>
              <w:ind w:left="-90" w:leftChars="-43" w:firstLine="202" w:firstLineChars="100"/>
              <w:jc w:val="center"/>
              <w:rPr>
                <w:color w:val="auto"/>
                <w:sz w:val="20"/>
                <w:szCs w:val="16"/>
                <w:highlight w:val="none"/>
              </w:rPr>
            </w:pPr>
            <w:r>
              <w:rPr>
                <w:color w:val="auto"/>
                <w:spacing w:val="1"/>
                <w:kern w:val="0"/>
                <w:sz w:val="20"/>
                <w:szCs w:val="16"/>
                <w:highlight w:val="none"/>
              </w:rPr>
              <w:t>软岩</w:t>
            </w:r>
          </w:p>
        </w:tc>
        <w:tc>
          <w:tcPr>
            <w:tcW w:w="1317" w:type="dxa"/>
            <w:vAlign w:val="center"/>
          </w:tcPr>
          <w:p>
            <w:pPr>
              <w:ind w:left="-90" w:leftChars="-43" w:firstLine="202" w:firstLineChars="100"/>
              <w:jc w:val="center"/>
              <w:rPr>
                <w:color w:val="auto"/>
                <w:sz w:val="20"/>
                <w:szCs w:val="16"/>
                <w:highlight w:val="none"/>
              </w:rPr>
            </w:pPr>
            <w:r>
              <w:rPr>
                <w:color w:val="auto"/>
                <w:spacing w:val="1"/>
                <w:kern w:val="0"/>
                <w:sz w:val="20"/>
                <w:szCs w:val="16"/>
                <w:highlight w:val="none"/>
              </w:rPr>
              <w:t>极软岩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717" w:type="dxa"/>
            <w:vAlign w:val="center"/>
          </w:tcPr>
          <w:p>
            <w:pPr>
              <w:ind w:left="-105" w:leftChars="-50"/>
              <w:jc w:val="center"/>
              <w:rPr>
                <w:color w:val="auto"/>
                <w:spacing w:val="1"/>
                <w:kern w:val="0"/>
                <w:sz w:val="20"/>
                <w:szCs w:val="20"/>
                <w:highlight w:val="none"/>
              </w:rPr>
            </w:pPr>
            <w:r>
              <w:rPr>
                <w:color w:val="auto"/>
                <w:spacing w:val="1"/>
                <w:kern w:val="0"/>
                <w:sz w:val="20"/>
                <w:szCs w:val="20"/>
                <w:highlight w:val="none"/>
              </w:rPr>
              <w:t>饱和单轴</w:t>
            </w:r>
            <w:r>
              <w:rPr>
                <w:color w:val="auto"/>
                <w:sz w:val="20"/>
                <w:szCs w:val="20"/>
                <w:highlight w:val="none"/>
              </w:rPr>
              <w:t>抗压强度</w:t>
            </w:r>
          </w:p>
          <w:p>
            <w:pPr>
              <w:ind w:left="-105" w:leftChars="-50"/>
              <w:jc w:val="center"/>
              <w:rPr>
                <w:color w:val="auto"/>
                <w:sz w:val="20"/>
                <w:szCs w:val="20"/>
                <w:highlight w:val="none"/>
              </w:rPr>
            </w:pPr>
            <w:r>
              <w:rPr>
                <w:rFonts w:hint="eastAsia"/>
                <w:i/>
                <w:iCs/>
                <w:color w:val="auto"/>
                <w:sz w:val="20"/>
                <w:szCs w:val="20"/>
                <w:highlight w:val="none"/>
              </w:rPr>
              <w:t>f</w:t>
            </w:r>
            <w:r>
              <w:rPr>
                <w:rFonts w:hint="eastAsia"/>
                <w:color w:val="auto"/>
                <w:sz w:val="20"/>
                <w:szCs w:val="20"/>
                <w:highlight w:val="none"/>
                <w:vertAlign w:val="subscript"/>
              </w:rPr>
              <w:t>r</w:t>
            </w:r>
            <w:r>
              <w:rPr>
                <w:color w:val="auto"/>
                <w:spacing w:val="1"/>
                <w:kern w:val="0"/>
                <w:sz w:val="20"/>
                <w:szCs w:val="20"/>
                <w:highlight w:val="none"/>
              </w:rPr>
              <w:t>（MPa）</w:t>
            </w:r>
          </w:p>
        </w:tc>
        <w:tc>
          <w:tcPr>
            <w:tcW w:w="1314" w:type="dxa"/>
            <w:vAlign w:val="center"/>
          </w:tcPr>
          <w:p>
            <w:pPr>
              <w:jc w:val="center"/>
              <w:rPr>
                <w:color w:val="auto"/>
                <w:sz w:val="20"/>
                <w:szCs w:val="20"/>
                <w:highlight w:val="none"/>
              </w:rPr>
            </w:pPr>
            <w:r>
              <w:rPr>
                <w:rFonts w:hint="eastAsia"/>
                <w:i/>
                <w:iCs/>
                <w:color w:val="auto"/>
                <w:sz w:val="20"/>
                <w:szCs w:val="20"/>
                <w:highlight w:val="none"/>
              </w:rPr>
              <w:t>f</w:t>
            </w:r>
            <w:r>
              <w:rPr>
                <w:rFonts w:hint="eastAsia"/>
                <w:color w:val="auto"/>
                <w:sz w:val="20"/>
                <w:szCs w:val="20"/>
                <w:highlight w:val="none"/>
                <w:vertAlign w:val="subscript"/>
              </w:rPr>
              <w:t>r</w:t>
            </w:r>
            <w:r>
              <w:rPr>
                <w:color w:val="auto"/>
                <w:sz w:val="20"/>
                <w:szCs w:val="20"/>
                <w:highlight w:val="none"/>
              </w:rPr>
              <w:t>＞</w:t>
            </w:r>
            <w:r>
              <w:rPr>
                <w:color w:val="auto"/>
                <w:spacing w:val="1"/>
                <w:kern w:val="0"/>
                <w:sz w:val="20"/>
                <w:szCs w:val="20"/>
                <w:highlight w:val="none"/>
              </w:rPr>
              <w:t>60</w:t>
            </w:r>
          </w:p>
        </w:tc>
        <w:tc>
          <w:tcPr>
            <w:tcW w:w="1314" w:type="dxa"/>
            <w:vAlign w:val="center"/>
          </w:tcPr>
          <w:p>
            <w:pPr>
              <w:jc w:val="center"/>
              <w:rPr>
                <w:color w:val="auto"/>
                <w:sz w:val="20"/>
                <w:szCs w:val="20"/>
                <w:highlight w:val="none"/>
              </w:rPr>
            </w:pPr>
            <w:r>
              <w:rPr>
                <w:color w:val="auto"/>
                <w:spacing w:val="1"/>
                <w:kern w:val="0"/>
                <w:sz w:val="20"/>
                <w:szCs w:val="20"/>
                <w:highlight w:val="none"/>
              </w:rPr>
              <w:t>60</w:t>
            </w:r>
            <w:r>
              <w:rPr>
                <w:rFonts w:hint="eastAsia" w:ascii="宋体" w:hAnsi="宋体" w:cs="宋体"/>
                <w:color w:val="auto"/>
                <w:sz w:val="20"/>
                <w:szCs w:val="20"/>
                <w:highlight w:val="none"/>
              </w:rPr>
              <w:t>≥</w:t>
            </w:r>
            <w:r>
              <w:rPr>
                <w:rFonts w:hint="eastAsia"/>
                <w:i/>
                <w:iCs/>
                <w:color w:val="auto"/>
                <w:sz w:val="20"/>
                <w:szCs w:val="20"/>
                <w:highlight w:val="none"/>
              </w:rPr>
              <w:t>f</w:t>
            </w:r>
            <w:r>
              <w:rPr>
                <w:rFonts w:hint="eastAsia"/>
                <w:color w:val="auto"/>
                <w:sz w:val="20"/>
                <w:szCs w:val="20"/>
                <w:highlight w:val="none"/>
                <w:vertAlign w:val="subscript"/>
              </w:rPr>
              <w:t>r</w:t>
            </w:r>
            <w:r>
              <w:rPr>
                <w:color w:val="auto"/>
                <w:sz w:val="20"/>
                <w:szCs w:val="20"/>
                <w:highlight w:val="none"/>
              </w:rPr>
              <w:t>＞</w:t>
            </w:r>
            <w:r>
              <w:rPr>
                <w:color w:val="auto"/>
                <w:spacing w:val="1"/>
                <w:kern w:val="0"/>
                <w:sz w:val="20"/>
                <w:szCs w:val="20"/>
                <w:highlight w:val="none"/>
              </w:rPr>
              <w:t>30</w:t>
            </w:r>
          </w:p>
        </w:tc>
        <w:tc>
          <w:tcPr>
            <w:tcW w:w="1314" w:type="dxa"/>
            <w:vAlign w:val="center"/>
          </w:tcPr>
          <w:p>
            <w:pPr>
              <w:jc w:val="center"/>
              <w:rPr>
                <w:color w:val="auto"/>
                <w:sz w:val="20"/>
                <w:szCs w:val="20"/>
                <w:highlight w:val="none"/>
              </w:rPr>
            </w:pPr>
            <w:r>
              <w:rPr>
                <w:color w:val="auto"/>
                <w:spacing w:val="1"/>
                <w:kern w:val="0"/>
                <w:sz w:val="20"/>
                <w:szCs w:val="20"/>
                <w:highlight w:val="none"/>
              </w:rPr>
              <w:t>30</w:t>
            </w:r>
            <w:r>
              <w:rPr>
                <w:rFonts w:hint="eastAsia" w:ascii="宋体" w:hAnsi="宋体" w:cs="宋体"/>
                <w:color w:val="auto"/>
                <w:sz w:val="20"/>
                <w:szCs w:val="20"/>
                <w:highlight w:val="none"/>
              </w:rPr>
              <w:t>≥</w:t>
            </w:r>
            <w:r>
              <w:rPr>
                <w:rFonts w:hint="eastAsia"/>
                <w:i/>
                <w:iCs/>
                <w:color w:val="auto"/>
                <w:sz w:val="20"/>
                <w:szCs w:val="20"/>
                <w:highlight w:val="none"/>
              </w:rPr>
              <w:t>f</w:t>
            </w:r>
            <w:r>
              <w:rPr>
                <w:rFonts w:hint="eastAsia"/>
                <w:color w:val="auto"/>
                <w:sz w:val="20"/>
                <w:szCs w:val="20"/>
                <w:highlight w:val="none"/>
                <w:vertAlign w:val="subscript"/>
              </w:rPr>
              <w:t>r</w:t>
            </w:r>
            <w:r>
              <w:rPr>
                <w:color w:val="auto"/>
                <w:sz w:val="20"/>
                <w:szCs w:val="20"/>
                <w:highlight w:val="none"/>
              </w:rPr>
              <w:t>＞</w:t>
            </w:r>
            <w:r>
              <w:rPr>
                <w:color w:val="auto"/>
                <w:spacing w:val="1"/>
                <w:kern w:val="0"/>
                <w:sz w:val="20"/>
                <w:szCs w:val="20"/>
                <w:highlight w:val="none"/>
              </w:rPr>
              <w:t>15</w:t>
            </w:r>
          </w:p>
        </w:tc>
        <w:tc>
          <w:tcPr>
            <w:tcW w:w="1314" w:type="dxa"/>
            <w:vAlign w:val="center"/>
          </w:tcPr>
          <w:p>
            <w:pPr>
              <w:jc w:val="center"/>
              <w:rPr>
                <w:color w:val="auto"/>
                <w:sz w:val="20"/>
                <w:szCs w:val="20"/>
                <w:highlight w:val="none"/>
              </w:rPr>
            </w:pPr>
            <w:r>
              <w:rPr>
                <w:color w:val="auto"/>
                <w:spacing w:val="1"/>
                <w:kern w:val="0"/>
                <w:sz w:val="20"/>
                <w:szCs w:val="20"/>
                <w:highlight w:val="none"/>
              </w:rPr>
              <w:t>15</w:t>
            </w:r>
            <w:r>
              <w:rPr>
                <w:rFonts w:hint="eastAsia" w:ascii="宋体" w:hAnsi="宋体" w:cs="宋体"/>
                <w:color w:val="auto"/>
                <w:sz w:val="20"/>
                <w:szCs w:val="20"/>
                <w:highlight w:val="none"/>
              </w:rPr>
              <w:t>≥</w:t>
            </w:r>
            <w:r>
              <w:rPr>
                <w:rFonts w:hint="eastAsia"/>
                <w:i/>
                <w:iCs/>
                <w:color w:val="auto"/>
                <w:sz w:val="20"/>
                <w:szCs w:val="20"/>
                <w:highlight w:val="none"/>
              </w:rPr>
              <w:t>f</w:t>
            </w:r>
            <w:r>
              <w:rPr>
                <w:rFonts w:hint="eastAsia"/>
                <w:color w:val="auto"/>
                <w:sz w:val="20"/>
                <w:szCs w:val="20"/>
                <w:highlight w:val="none"/>
                <w:vertAlign w:val="subscript"/>
              </w:rPr>
              <w:t>r</w:t>
            </w:r>
            <w:r>
              <w:rPr>
                <w:color w:val="auto"/>
                <w:sz w:val="20"/>
                <w:szCs w:val="20"/>
                <w:highlight w:val="none"/>
              </w:rPr>
              <w:t>＞</w:t>
            </w:r>
            <w:r>
              <w:rPr>
                <w:color w:val="auto"/>
                <w:spacing w:val="1"/>
                <w:kern w:val="0"/>
                <w:sz w:val="20"/>
                <w:szCs w:val="20"/>
                <w:highlight w:val="none"/>
              </w:rPr>
              <w:t>5</w:t>
            </w:r>
          </w:p>
        </w:tc>
        <w:tc>
          <w:tcPr>
            <w:tcW w:w="1317" w:type="dxa"/>
            <w:vAlign w:val="center"/>
          </w:tcPr>
          <w:p>
            <w:pPr>
              <w:jc w:val="center"/>
              <w:rPr>
                <w:color w:val="auto"/>
                <w:sz w:val="20"/>
                <w:szCs w:val="20"/>
                <w:highlight w:val="none"/>
              </w:rPr>
            </w:pPr>
            <w:r>
              <w:rPr>
                <w:rFonts w:hint="eastAsia"/>
                <w:i/>
                <w:iCs/>
                <w:color w:val="auto"/>
                <w:sz w:val="20"/>
                <w:szCs w:val="20"/>
                <w:highlight w:val="none"/>
              </w:rPr>
              <w:t>f</w:t>
            </w:r>
            <w:r>
              <w:rPr>
                <w:rFonts w:hint="eastAsia"/>
                <w:color w:val="auto"/>
                <w:sz w:val="20"/>
                <w:szCs w:val="20"/>
                <w:highlight w:val="none"/>
                <w:vertAlign w:val="subscript"/>
              </w:rPr>
              <w:t>r</w:t>
            </w:r>
            <w:r>
              <w:rPr>
                <w:rFonts w:hint="eastAsia" w:ascii="宋体" w:hAnsi="宋体" w:cs="宋体"/>
                <w:color w:val="auto"/>
                <w:sz w:val="20"/>
                <w:szCs w:val="20"/>
                <w:highlight w:val="none"/>
              </w:rPr>
              <w:t>≤</w:t>
            </w:r>
            <w:r>
              <w:rPr>
                <w:color w:val="auto"/>
                <w:spacing w:val="1"/>
                <w:kern w:val="0"/>
                <w:sz w:val="20"/>
                <w:szCs w:val="20"/>
                <w:highlight w:val="none"/>
              </w:rPr>
              <w:t>5</w:t>
            </w:r>
          </w:p>
        </w:tc>
      </w:tr>
    </w:tbl>
    <w:p>
      <w:pPr>
        <w:keepNext w:val="0"/>
        <w:keepLines w:val="0"/>
        <w:pageBreakBefore w:val="0"/>
        <w:widowControl w:val="0"/>
        <w:kinsoku/>
        <w:wordWrap/>
        <w:overflowPunct/>
        <w:topLinePunct w:val="0"/>
        <w:autoSpaceDE/>
        <w:autoSpaceDN/>
        <w:bidi w:val="0"/>
        <w:adjustRightInd/>
        <w:snapToGrid w:val="0"/>
        <w:spacing w:line="240" w:lineRule="auto"/>
        <w:ind w:left="1050" w:leftChars="200" w:hanging="630" w:hangingChars="350"/>
        <w:jc w:val="left"/>
        <w:textAlignment w:val="auto"/>
        <w:rPr>
          <w:rFonts w:hint="eastAsia" w:eastAsia="宋体"/>
          <w:color w:val="auto"/>
          <w:kern w:val="0"/>
          <w:sz w:val="18"/>
          <w:szCs w:val="15"/>
          <w:highlight w:val="none"/>
          <w:lang w:eastAsia="zh-CN"/>
        </w:rPr>
      </w:pPr>
      <w:r>
        <w:rPr>
          <w:color w:val="auto"/>
          <w:kern w:val="0"/>
          <w:sz w:val="18"/>
          <w:szCs w:val="15"/>
          <w:highlight w:val="none"/>
        </w:rPr>
        <w:t>注：1</w:t>
      </w:r>
      <w:r>
        <w:rPr>
          <w:rFonts w:hint="eastAsia"/>
          <w:color w:val="auto"/>
          <w:kern w:val="0"/>
          <w:sz w:val="18"/>
          <w:szCs w:val="15"/>
          <w:highlight w:val="none"/>
        </w:rPr>
        <w:t>　</w:t>
      </w:r>
      <w:r>
        <w:rPr>
          <w:rFonts w:hint="eastAsia"/>
          <w:color w:val="auto"/>
          <w:sz w:val="20"/>
          <w:szCs w:val="20"/>
          <w:highlight w:val="none"/>
        </w:rPr>
        <w:t>泥岩或</w:t>
      </w:r>
      <w:r>
        <w:rPr>
          <w:rFonts w:hint="eastAsia"/>
          <w:color w:val="auto"/>
          <w:kern w:val="0"/>
          <w:sz w:val="18"/>
          <w:szCs w:val="15"/>
          <w:highlight w:val="none"/>
        </w:rPr>
        <w:t>黏土</w:t>
      </w:r>
      <w:r>
        <w:rPr>
          <w:rFonts w:hint="eastAsia"/>
          <w:color w:val="auto"/>
          <w:sz w:val="20"/>
          <w:szCs w:val="20"/>
          <w:highlight w:val="none"/>
        </w:rPr>
        <w:t>岩的岩石抗压强度可采用天然单轴抗压强度</w:t>
      </w:r>
      <w:r>
        <w:rPr>
          <w:rFonts w:hint="eastAsia"/>
          <w:color w:val="auto"/>
          <w:sz w:val="20"/>
          <w:szCs w:val="20"/>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1088" w:leftChars="375" w:hanging="300" w:hangingChars="150"/>
        <w:textAlignment w:val="auto"/>
        <w:rPr>
          <w:b/>
          <w:color w:val="auto"/>
          <w:szCs w:val="21"/>
          <w:highlight w:val="none"/>
        </w:rPr>
      </w:pPr>
      <w:r>
        <w:rPr>
          <w:rFonts w:hint="eastAsia"/>
          <w:color w:val="auto"/>
          <w:sz w:val="20"/>
          <w:szCs w:val="20"/>
          <w:highlight w:val="none"/>
        </w:rPr>
        <w:t>2　当岩体完整程度为极破碎时，可不进行坚硬程度分类。</w:t>
      </w:r>
    </w:p>
    <w:p>
      <w:pPr>
        <w:autoSpaceDE w:val="0"/>
        <w:autoSpaceDN w:val="0"/>
        <w:adjustRightInd w:val="0"/>
        <w:snapToGrid w:val="0"/>
        <w:spacing w:before="156" w:beforeLines="50" w:line="360" w:lineRule="auto"/>
        <w:jc w:val="center"/>
        <w:rPr>
          <w:color w:val="auto"/>
          <w:szCs w:val="21"/>
          <w:highlight w:val="none"/>
        </w:rPr>
      </w:pPr>
      <w:r>
        <w:rPr>
          <w:b/>
          <w:color w:val="auto"/>
          <w:szCs w:val="21"/>
          <w:highlight w:val="none"/>
        </w:rPr>
        <w:t>表4.1.4-2</w:t>
      </w:r>
      <w:r>
        <w:rPr>
          <w:b/>
          <w:bCs/>
          <w:color w:val="auto"/>
          <w:highlight w:val="none"/>
        </w:rPr>
        <w:t>　</w:t>
      </w:r>
      <w:r>
        <w:rPr>
          <w:b/>
          <w:color w:val="auto"/>
          <w:szCs w:val="21"/>
          <w:highlight w:val="none"/>
        </w:rPr>
        <w:t>岩石坚硬程度的定性</w:t>
      </w:r>
      <w:r>
        <w:rPr>
          <w:rFonts w:hint="eastAsia"/>
          <w:b/>
          <w:color w:val="auto"/>
          <w:szCs w:val="21"/>
          <w:highlight w:val="none"/>
        </w:rPr>
        <w:t>分类</w:t>
      </w:r>
    </w:p>
    <w:tbl>
      <w:tblPr>
        <w:tblStyle w:val="22"/>
        <w:tblW w:w="8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0"/>
        <w:gridCol w:w="911"/>
        <w:gridCol w:w="2637"/>
        <w:gridCol w:w="4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61" w:type="dxa"/>
            <w:gridSpan w:val="2"/>
            <w:shd w:val="clear" w:color="auto" w:fill="auto"/>
            <w:vAlign w:val="center"/>
          </w:tcPr>
          <w:p>
            <w:pPr>
              <w:jc w:val="center"/>
              <w:rPr>
                <w:color w:val="auto"/>
                <w:kern w:val="0"/>
                <w:sz w:val="20"/>
                <w:szCs w:val="20"/>
                <w:highlight w:val="none"/>
              </w:rPr>
            </w:pPr>
            <w:r>
              <w:rPr>
                <w:color w:val="auto"/>
                <w:kern w:val="0"/>
                <w:sz w:val="20"/>
                <w:szCs w:val="20"/>
                <w:highlight w:val="none"/>
              </w:rPr>
              <w:t>坚硬程度</w:t>
            </w:r>
          </w:p>
        </w:tc>
        <w:tc>
          <w:tcPr>
            <w:tcW w:w="2637" w:type="dxa"/>
            <w:shd w:val="clear" w:color="auto" w:fill="auto"/>
            <w:vAlign w:val="center"/>
          </w:tcPr>
          <w:p>
            <w:pPr>
              <w:jc w:val="center"/>
              <w:rPr>
                <w:color w:val="auto"/>
                <w:kern w:val="0"/>
                <w:sz w:val="20"/>
                <w:szCs w:val="20"/>
                <w:highlight w:val="none"/>
              </w:rPr>
            </w:pPr>
            <w:r>
              <w:rPr>
                <w:color w:val="auto"/>
                <w:kern w:val="0"/>
                <w:sz w:val="20"/>
                <w:szCs w:val="20"/>
                <w:highlight w:val="none"/>
              </w:rPr>
              <w:t>岩性鉴定</w:t>
            </w:r>
          </w:p>
        </w:tc>
        <w:tc>
          <w:tcPr>
            <w:tcW w:w="4200" w:type="dxa"/>
            <w:shd w:val="clear" w:color="auto" w:fill="auto"/>
            <w:vAlign w:val="center"/>
          </w:tcPr>
          <w:p>
            <w:pPr>
              <w:jc w:val="center"/>
              <w:rPr>
                <w:color w:val="auto"/>
                <w:kern w:val="0"/>
                <w:sz w:val="20"/>
                <w:szCs w:val="20"/>
                <w:highlight w:val="none"/>
              </w:rPr>
            </w:pPr>
            <w:r>
              <w:rPr>
                <w:color w:val="auto"/>
                <w:kern w:val="0"/>
                <w:sz w:val="20"/>
                <w:szCs w:val="20"/>
                <w:highlight w:val="none"/>
              </w:rPr>
              <w:t>代表性岩石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0" w:type="dxa"/>
            <w:vMerge w:val="restart"/>
            <w:shd w:val="clear" w:color="auto" w:fill="auto"/>
            <w:vAlign w:val="center"/>
          </w:tcPr>
          <w:p>
            <w:pPr>
              <w:jc w:val="center"/>
              <w:rPr>
                <w:color w:val="auto"/>
                <w:kern w:val="0"/>
                <w:sz w:val="20"/>
                <w:szCs w:val="20"/>
                <w:highlight w:val="none"/>
              </w:rPr>
            </w:pPr>
            <w:r>
              <w:rPr>
                <w:color w:val="auto"/>
                <w:kern w:val="0"/>
                <w:sz w:val="20"/>
                <w:szCs w:val="20"/>
                <w:highlight w:val="none"/>
              </w:rPr>
              <w:t>硬质岩</w:t>
            </w:r>
          </w:p>
        </w:tc>
        <w:tc>
          <w:tcPr>
            <w:tcW w:w="911" w:type="dxa"/>
            <w:shd w:val="clear" w:color="auto" w:fill="auto"/>
            <w:vAlign w:val="center"/>
          </w:tcPr>
          <w:p>
            <w:pPr>
              <w:jc w:val="center"/>
              <w:rPr>
                <w:color w:val="auto"/>
                <w:kern w:val="0"/>
                <w:sz w:val="20"/>
                <w:szCs w:val="20"/>
                <w:highlight w:val="none"/>
              </w:rPr>
            </w:pPr>
            <w:r>
              <w:rPr>
                <w:color w:val="auto"/>
                <w:spacing w:val="1"/>
                <w:kern w:val="0"/>
                <w:sz w:val="20"/>
                <w:szCs w:val="20"/>
                <w:highlight w:val="none"/>
              </w:rPr>
              <w:t>坚硬岩</w:t>
            </w:r>
          </w:p>
        </w:tc>
        <w:tc>
          <w:tcPr>
            <w:tcW w:w="2637" w:type="dxa"/>
            <w:shd w:val="clear" w:color="auto" w:fill="auto"/>
            <w:vAlign w:val="center"/>
          </w:tcPr>
          <w:p>
            <w:pPr>
              <w:jc w:val="left"/>
              <w:rPr>
                <w:color w:val="auto"/>
                <w:kern w:val="0"/>
                <w:sz w:val="20"/>
                <w:szCs w:val="20"/>
                <w:highlight w:val="none"/>
              </w:rPr>
            </w:pPr>
            <w:r>
              <w:rPr>
                <w:color w:val="auto"/>
                <w:kern w:val="0"/>
                <w:sz w:val="20"/>
                <w:szCs w:val="20"/>
                <w:highlight w:val="none"/>
              </w:rPr>
              <w:t>锤击声清脆，有回弹，震手，难击碎，基本无吸水反应</w:t>
            </w:r>
          </w:p>
        </w:tc>
        <w:tc>
          <w:tcPr>
            <w:tcW w:w="4200" w:type="dxa"/>
            <w:shd w:val="clear" w:color="auto" w:fill="auto"/>
            <w:vAlign w:val="center"/>
          </w:tcPr>
          <w:p>
            <w:pPr>
              <w:rPr>
                <w:color w:val="auto"/>
                <w:kern w:val="0"/>
                <w:sz w:val="20"/>
                <w:szCs w:val="20"/>
                <w:highlight w:val="none"/>
              </w:rPr>
            </w:pPr>
            <w:r>
              <w:rPr>
                <w:color w:val="auto"/>
                <w:kern w:val="0"/>
                <w:sz w:val="20"/>
                <w:szCs w:val="20"/>
                <w:highlight w:val="none"/>
              </w:rPr>
              <w:t xml:space="preserve">未风化-微风化的花岗岩、闪长岩、玄武岩、安山岩、片麻岩 </w:t>
            </w:r>
            <w:r>
              <w:rPr>
                <w:color w:val="auto"/>
                <w:spacing w:val="2"/>
                <w:kern w:val="0"/>
                <w:sz w:val="20"/>
                <w:szCs w:val="16"/>
                <w:highlight w:val="none"/>
              </w:rPr>
              <w:t>石英岩</w:t>
            </w:r>
            <w:r>
              <w:rPr>
                <w:color w:val="auto"/>
                <w:kern w:val="0"/>
                <w:sz w:val="20"/>
                <w:szCs w:val="20"/>
                <w:highlight w:val="none"/>
              </w:rPr>
              <w:t>、石英砂岩、硅质砾岩、硅质石灰岩等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0" w:type="dxa"/>
            <w:vMerge w:val="continue"/>
            <w:shd w:val="clear" w:color="auto" w:fill="auto"/>
            <w:vAlign w:val="center"/>
          </w:tcPr>
          <w:p>
            <w:pPr>
              <w:jc w:val="center"/>
              <w:rPr>
                <w:color w:val="auto"/>
                <w:kern w:val="0"/>
                <w:sz w:val="20"/>
                <w:szCs w:val="20"/>
                <w:highlight w:val="none"/>
              </w:rPr>
            </w:pPr>
          </w:p>
        </w:tc>
        <w:tc>
          <w:tcPr>
            <w:tcW w:w="911" w:type="dxa"/>
            <w:shd w:val="clear" w:color="auto" w:fill="auto"/>
            <w:vAlign w:val="center"/>
          </w:tcPr>
          <w:p>
            <w:pPr>
              <w:jc w:val="center"/>
              <w:rPr>
                <w:color w:val="auto"/>
                <w:kern w:val="0"/>
                <w:sz w:val="20"/>
                <w:szCs w:val="20"/>
                <w:highlight w:val="none"/>
              </w:rPr>
            </w:pPr>
            <w:r>
              <w:rPr>
                <w:color w:val="auto"/>
                <w:spacing w:val="1"/>
                <w:kern w:val="0"/>
                <w:sz w:val="20"/>
                <w:szCs w:val="20"/>
                <w:highlight w:val="none"/>
              </w:rPr>
              <w:t>较硬岩</w:t>
            </w:r>
          </w:p>
        </w:tc>
        <w:tc>
          <w:tcPr>
            <w:tcW w:w="2637" w:type="dxa"/>
            <w:shd w:val="clear" w:color="auto" w:fill="auto"/>
            <w:vAlign w:val="center"/>
          </w:tcPr>
          <w:p>
            <w:pPr>
              <w:jc w:val="left"/>
              <w:rPr>
                <w:color w:val="auto"/>
                <w:kern w:val="0"/>
                <w:sz w:val="20"/>
                <w:szCs w:val="20"/>
                <w:highlight w:val="none"/>
              </w:rPr>
            </w:pPr>
            <w:r>
              <w:rPr>
                <w:color w:val="auto"/>
                <w:kern w:val="0"/>
                <w:sz w:val="20"/>
                <w:szCs w:val="20"/>
                <w:highlight w:val="none"/>
              </w:rPr>
              <w:t>锤击声较清脆，有轻微回弹，稍震手，较难击碎，有轻微吸水反应</w:t>
            </w:r>
          </w:p>
        </w:tc>
        <w:tc>
          <w:tcPr>
            <w:tcW w:w="4200" w:type="dxa"/>
            <w:shd w:val="clear" w:color="auto" w:fill="auto"/>
            <w:vAlign w:val="center"/>
          </w:tcPr>
          <w:p>
            <w:pPr>
              <w:rPr>
                <w:color w:val="auto"/>
                <w:kern w:val="0"/>
                <w:sz w:val="20"/>
                <w:szCs w:val="20"/>
                <w:highlight w:val="none"/>
              </w:rPr>
            </w:pPr>
            <w:r>
              <w:rPr>
                <w:color w:val="auto"/>
                <w:kern w:val="0"/>
                <w:sz w:val="20"/>
                <w:szCs w:val="20"/>
                <w:highlight w:val="none"/>
              </w:rPr>
              <w:t>1</w:t>
            </w:r>
            <w:r>
              <w:rPr>
                <w:rFonts w:hint="eastAsia"/>
                <w:color w:val="auto"/>
                <w:kern w:val="0"/>
                <w:sz w:val="20"/>
                <w:szCs w:val="20"/>
                <w:highlight w:val="none"/>
              </w:rPr>
              <w:t>.</w:t>
            </w:r>
            <w:r>
              <w:rPr>
                <w:color w:val="auto"/>
                <w:kern w:val="0"/>
                <w:sz w:val="20"/>
                <w:szCs w:val="20"/>
                <w:highlight w:val="none"/>
              </w:rPr>
              <w:t xml:space="preserve"> 微风化的坚硬岩；</w:t>
            </w:r>
          </w:p>
          <w:p>
            <w:pPr>
              <w:ind w:left="200" w:hanging="200" w:hangingChars="100"/>
              <w:rPr>
                <w:color w:val="auto"/>
                <w:kern w:val="0"/>
                <w:sz w:val="20"/>
                <w:szCs w:val="20"/>
                <w:highlight w:val="none"/>
              </w:rPr>
            </w:pPr>
            <w:r>
              <w:rPr>
                <w:color w:val="auto"/>
                <w:kern w:val="0"/>
                <w:sz w:val="20"/>
                <w:szCs w:val="20"/>
                <w:highlight w:val="none"/>
              </w:rPr>
              <w:t>2</w:t>
            </w:r>
            <w:r>
              <w:rPr>
                <w:rFonts w:hint="eastAsia"/>
                <w:color w:val="auto"/>
                <w:kern w:val="0"/>
                <w:sz w:val="20"/>
                <w:szCs w:val="20"/>
                <w:highlight w:val="none"/>
              </w:rPr>
              <w:t>.</w:t>
            </w:r>
            <w:r>
              <w:rPr>
                <w:color w:val="auto"/>
                <w:kern w:val="0"/>
                <w:sz w:val="20"/>
                <w:szCs w:val="20"/>
                <w:highlight w:val="none"/>
              </w:rPr>
              <w:t xml:space="preserve"> 未风化-微风化的大理岩、板岩、石灰岩、白云岩、钙质砂岩等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0" w:type="dxa"/>
            <w:vMerge w:val="restart"/>
            <w:shd w:val="clear" w:color="auto" w:fill="auto"/>
            <w:vAlign w:val="center"/>
          </w:tcPr>
          <w:p>
            <w:pPr>
              <w:jc w:val="center"/>
              <w:rPr>
                <w:color w:val="auto"/>
                <w:kern w:val="0"/>
                <w:sz w:val="20"/>
                <w:szCs w:val="20"/>
                <w:highlight w:val="none"/>
              </w:rPr>
            </w:pPr>
            <w:r>
              <w:rPr>
                <w:color w:val="auto"/>
                <w:kern w:val="0"/>
                <w:sz w:val="20"/>
                <w:szCs w:val="20"/>
                <w:highlight w:val="none"/>
              </w:rPr>
              <w:t>软质岩</w:t>
            </w:r>
          </w:p>
        </w:tc>
        <w:tc>
          <w:tcPr>
            <w:tcW w:w="911" w:type="dxa"/>
            <w:shd w:val="clear" w:color="auto" w:fill="auto"/>
            <w:vAlign w:val="center"/>
          </w:tcPr>
          <w:p>
            <w:pPr>
              <w:jc w:val="center"/>
              <w:rPr>
                <w:color w:val="auto"/>
                <w:kern w:val="0"/>
                <w:sz w:val="20"/>
                <w:szCs w:val="20"/>
                <w:highlight w:val="none"/>
              </w:rPr>
            </w:pPr>
            <w:r>
              <w:rPr>
                <w:color w:val="auto"/>
                <w:spacing w:val="1"/>
                <w:kern w:val="0"/>
                <w:sz w:val="20"/>
                <w:szCs w:val="20"/>
                <w:highlight w:val="none"/>
              </w:rPr>
              <w:t>较软岩</w:t>
            </w:r>
          </w:p>
        </w:tc>
        <w:tc>
          <w:tcPr>
            <w:tcW w:w="2637" w:type="dxa"/>
            <w:shd w:val="clear" w:color="auto" w:fill="auto"/>
            <w:vAlign w:val="center"/>
          </w:tcPr>
          <w:p>
            <w:pPr>
              <w:jc w:val="left"/>
              <w:rPr>
                <w:color w:val="auto"/>
                <w:kern w:val="0"/>
                <w:sz w:val="20"/>
                <w:szCs w:val="20"/>
                <w:highlight w:val="none"/>
              </w:rPr>
            </w:pPr>
            <w:r>
              <w:rPr>
                <w:color w:val="auto"/>
                <w:kern w:val="0"/>
                <w:sz w:val="20"/>
                <w:szCs w:val="20"/>
                <w:highlight w:val="none"/>
              </w:rPr>
              <w:t>锤击声不</w:t>
            </w:r>
            <w:r>
              <w:rPr>
                <w:color w:val="auto"/>
                <w:spacing w:val="2"/>
                <w:kern w:val="0"/>
                <w:sz w:val="20"/>
                <w:szCs w:val="16"/>
                <w:highlight w:val="none"/>
              </w:rPr>
              <w:t>清脆</w:t>
            </w:r>
            <w:r>
              <w:rPr>
                <w:color w:val="auto"/>
                <w:kern w:val="0"/>
                <w:sz w:val="20"/>
                <w:szCs w:val="20"/>
                <w:highlight w:val="none"/>
              </w:rPr>
              <w:t>，无回弹，较易击碎，</w:t>
            </w:r>
            <w:r>
              <w:rPr>
                <w:rFonts w:hint="eastAsia"/>
                <w:color w:val="auto"/>
                <w:kern w:val="0"/>
                <w:sz w:val="20"/>
                <w:szCs w:val="20"/>
                <w:highlight w:val="none"/>
              </w:rPr>
              <w:t>浸</w:t>
            </w:r>
            <w:r>
              <w:rPr>
                <w:color w:val="auto"/>
                <w:kern w:val="0"/>
                <w:sz w:val="20"/>
                <w:szCs w:val="20"/>
                <w:highlight w:val="none"/>
              </w:rPr>
              <w:t>水后指甲可刻出印痕</w:t>
            </w:r>
          </w:p>
        </w:tc>
        <w:tc>
          <w:tcPr>
            <w:tcW w:w="4200" w:type="dxa"/>
            <w:shd w:val="clear" w:color="auto" w:fill="auto"/>
            <w:vAlign w:val="center"/>
          </w:tcPr>
          <w:p>
            <w:pPr>
              <w:rPr>
                <w:color w:val="auto"/>
                <w:kern w:val="0"/>
                <w:sz w:val="20"/>
                <w:szCs w:val="20"/>
                <w:highlight w:val="none"/>
              </w:rPr>
            </w:pPr>
            <w:r>
              <w:rPr>
                <w:color w:val="auto"/>
                <w:kern w:val="0"/>
                <w:sz w:val="20"/>
                <w:szCs w:val="20"/>
                <w:highlight w:val="none"/>
              </w:rPr>
              <w:t>1</w:t>
            </w:r>
            <w:r>
              <w:rPr>
                <w:rFonts w:hint="eastAsia"/>
                <w:color w:val="auto"/>
                <w:kern w:val="0"/>
                <w:sz w:val="20"/>
                <w:szCs w:val="20"/>
                <w:highlight w:val="none"/>
              </w:rPr>
              <w:t>.</w:t>
            </w:r>
            <w:r>
              <w:rPr>
                <w:color w:val="auto"/>
                <w:kern w:val="0"/>
                <w:sz w:val="20"/>
                <w:szCs w:val="20"/>
                <w:highlight w:val="none"/>
              </w:rPr>
              <w:t xml:space="preserve"> 中等风化一强风化的坚硬岩和较硬岩；</w:t>
            </w:r>
          </w:p>
          <w:p>
            <w:pPr>
              <w:ind w:left="200" w:hanging="200" w:hangingChars="100"/>
              <w:rPr>
                <w:color w:val="auto"/>
                <w:kern w:val="0"/>
                <w:sz w:val="20"/>
                <w:szCs w:val="20"/>
                <w:highlight w:val="none"/>
              </w:rPr>
            </w:pPr>
            <w:r>
              <w:rPr>
                <w:color w:val="auto"/>
                <w:kern w:val="0"/>
                <w:sz w:val="20"/>
                <w:szCs w:val="20"/>
                <w:highlight w:val="none"/>
              </w:rPr>
              <w:t>2</w:t>
            </w:r>
            <w:r>
              <w:rPr>
                <w:rFonts w:hint="eastAsia"/>
                <w:color w:val="auto"/>
                <w:kern w:val="0"/>
                <w:sz w:val="20"/>
                <w:szCs w:val="20"/>
                <w:highlight w:val="none"/>
              </w:rPr>
              <w:t>.</w:t>
            </w:r>
            <w:r>
              <w:rPr>
                <w:color w:val="auto"/>
                <w:kern w:val="0"/>
                <w:sz w:val="20"/>
                <w:szCs w:val="20"/>
                <w:highlight w:val="none"/>
              </w:rPr>
              <w:t xml:space="preserve"> 未</w:t>
            </w:r>
            <w:r>
              <w:rPr>
                <w:color w:val="auto"/>
                <w:spacing w:val="2"/>
                <w:kern w:val="0"/>
                <w:sz w:val="20"/>
                <w:szCs w:val="16"/>
                <w:highlight w:val="none"/>
              </w:rPr>
              <w:t>风化</w:t>
            </w:r>
            <w:r>
              <w:rPr>
                <w:color w:val="auto"/>
                <w:kern w:val="0"/>
                <w:sz w:val="20"/>
                <w:szCs w:val="20"/>
                <w:highlight w:val="none"/>
              </w:rPr>
              <w:t>-微风化的凝灰岩、千枚</w:t>
            </w:r>
            <w:r>
              <w:rPr>
                <w:rFonts w:hint="eastAsia"/>
                <w:color w:val="auto"/>
                <w:kern w:val="0"/>
                <w:sz w:val="20"/>
                <w:szCs w:val="20"/>
                <w:highlight w:val="none"/>
              </w:rPr>
              <w:t>岩</w:t>
            </w:r>
            <w:r>
              <w:rPr>
                <w:color w:val="auto"/>
                <w:kern w:val="0"/>
                <w:sz w:val="20"/>
                <w:szCs w:val="20"/>
                <w:highlight w:val="none"/>
              </w:rPr>
              <w:t>、泥灰岩、泥质砂岩等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0" w:type="dxa"/>
            <w:vMerge w:val="continue"/>
            <w:shd w:val="clear" w:color="auto" w:fill="auto"/>
            <w:vAlign w:val="center"/>
          </w:tcPr>
          <w:p>
            <w:pPr>
              <w:jc w:val="center"/>
              <w:rPr>
                <w:color w:val="auto"/>
                <w:kern w:val="0"/>
                <w:sz w:val="20"/>
                <w:szCs w:val="20"/>
                <w:highlight w:val="none"/>
              </w:rPr>
            </w:pPr>
          </w:p>
        </w:tc>
        <w:tc>
          <w:tcPr>
            <w:tcW w:w="911" w:type="dxa"/>
            <w:shd w:val="clear" w:color="auto" w:fill="auto"/>
            <w:vAlign w:val="center"/>
          </w:tcPr>
          <w:p>
            <w:pPr>
              <w:jc w:val="center"/>
              <w:rPr>
                <w:color w:val="auto"/>
                <w:kern w:val="0"/>
                <w:sz w:val="20"/>
                <w:szCs w:val="20"/>
                <w:highlight w:val="none"/>
              </w:rPr>
            </w:pPr>
            <w:r>
              <w:rPr>
                <w:color w:val="auto"/>
                <w:spacing w:val="1"/>
                <w:kern w:val="0"/>
                <w:sz w:val="20"/>
                <w:szCs w:val="20"/>
                <w:highlight w:val="none"/>
              </w:rPr>
              <w:t>软岩</w:t>
            </w:r>
          </w:p>
        </w:tc>
        <w:tc>
          <w:tcPr>
            <w:tcW w:w="2637" w:type="dxa"/>
            <w:shd w:val="clear" w:color="auto" w:fill="auto"/>
            <w:vAlign w:val="center"/>
          </w:tcPr>
          <w:p>
            <w:pPr>
              <w:jc w:val="left"/>
              <w:rPr>
                <w:color w:val="auto"/>
                <w:kern w:val="0"/>
                <w:sz w:val="20"/>
                <w:szCs w:val="20"/>
                <w:highlight w:val="none"/>
              </w:rPr>
            </w:pPr>
            <w:r>
              <w:rPr>
                <w:color w:val="auto"/>
                <w:kern w:val="0"/>
                <w:sz w:val="20"/>
                <w:szCs w:val="20"/>
                <w:highlight w:val="none"/>
              </w:rPr>
              <w:t>锤击声哑，无回弹，有凹痕，易击碎，浸水后手可掰开</w:t>
            </w:r>
          </w:p>
        </w:tc>
        <w:tc>
          <w:tcPr>
            <w:tcW w:w="4200" w:type="dxa"/>
            <w:shd w:val="clear" w:color="auto" w:fill="auto"/>
            <w:vAlign w:val="center"/>
          </w:tcPr>
          <w:p>
            <w:pPr>
              <w:rPr>
                <w:color w:val="auto"/>
                <w:kern w:val="0"/>
                <w:sz w:val="20"/>
                <w:szCs w:val="20"/>
                <w:highlight w:val="none"/>
              </w:rPr>
            </w:pPr>
            <w:r>
              <w:rPr>
                <w:color w:val="auto"/>
                <w:kern w:val="0"/>
                <w:sz w:val="20"/>
                <w:szCs w:val="20"/>
                <w:highlight w:val="none"/>
              </w:rPr>
              <w:t>1</w:t>
            </w:r>
            <w:r>
              <w:rPr>
                <w:rFonts w:hint="eastAsia"/>
                <w:color w:val="auto"/>
                <w:kern w:val="0"/>
                <w:sz w:val="20"/>
                <w:szCs w:val="20"/>
                <w:highlight w:val="none"/>
              </w:rPr>
              <w:t>.</w:t>
            </w:r>
            <w:r>
              <w:rPr>
                <w:color w:val="auto"/>
                <w:kern w:val="0"/>
                <w:sz w:val="20"/>
                <w:szCs w:val="20"/>
                <w:highlight w:val="none"/>
              </w:rPr>
              <w:t xml:space="preserve"> 强风化的坚硬岩或较硬岩；</w:t>
            </w:r>
          </w:p>
          <w:p>
            <w:pPr>
              <w:rPr>
                <w:color w:val="auto"/>
                <w:kern w:val="0"/>
                <w:sz w:val="20"/>
                <w:szCs w:val="20"/>
                <w:highlight w:val="none"/>
              </w:rPr>
            </w:pPr>
            <w:r>
              <w:rPr>
                <w:color w:val="auto"/>
                <w:kern w:val="0"/>
                <w:sz w:val="20"/>
                <w:szCs w:val="20"/>
                <w:highlight w:val="none"/>
              </w:rPr>
              <w:t>2</w:t>
            </w:r>
            <w:r>
              <w:rPr>
                <w:rFonts w:hint="eastAsia"/>
                <w:color w:val="auto"/>
                <w:kern w:val="0"/>
                <w:sz w:val="20"/>
                <w:szCs w:val="20"/>
                <w:highlight w:val="none"/>
              </w:rPr>
              <w:t>.</w:t>
            </w:r>
            <w:r>
              <w:rPr>
                <w:color w:val="auto"/>
                <w:kern w:val="0"/>
                <w:sz w:val="20"/>
                <w:szCs w:val="20"/>
                <w:highlight w:val="none"/>
              </w:rPr>
              <w:t xml:space="preserve"> 中等风化-强风化的较软岩；</w:t>
            </w:r>
          </w:p>
          <w:p>
            <w:pPr>
              <w:rPr>
                <w:color w:val="auto"/>
                <w:kern w:val="0"/>
                <w:sz w:val="20"/>
                <w:szCs w:val="20"/>
                <w:highlight w:val="none"/>
              </w:rPr>
            </w:pPr>
            <w:r>
              <w:rPr>
                <w:color w:val="auto"/>
                <w:kern w:val="0"/>
                <w:sz w:val="20"/>
                <w:szCs w:val="20"/>
                <w:highlight w:val="none"/>
              </w:rPr>
              <w:t>3</w:t>
            </w:r>
            <w:r>
              <w:rPr>
                <w:rFonts w:hint="eastAsia"/>
                <w:color w:val="auto"/>
                <w:kern w:val="0"/>
                <w:sz w:val="20"/>
                <w:szCs w:val="20"/>
                <w:highlight w:val="none"/>
              </w:rPr>
              <w:t>.</w:t>
            </w:r>
            <w:r>
              <w:rPr>
                <w:color w:val="auto"/>
                <w:kern w:val="0"/>
                <w:sz w:val="20"/>
                <w:szCs w:val="20"/>
                <w:highlight w:val="none"/>
              </w:rPr>
              <w:t xml:space="preserve"> 未风化-微风化的页岩、泥岩、砂质泥岩等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0" w:type="dxa"/>
            <w:vMerge w:val="continue"/>
            <w:shd w:val="clear" w:color="auto" w:fill="auto"/>
            <w:vAlign w:val="center"/>
          </w:tcPr>
          <w:p>
            <w:pPr>
              <w:jc w:val="center"/>
              <w:rPr>
                <w:color w:val="auto"/>
                <w:kern w:val="0"/>
                <w:sz w:val="20"/>
                <w:szCs w:val="20"/>
                <w:highlight w:val="none"/>
              </w:rPr>
            </w:pPr>
          </w:p>
        </w:tc>
        <w:tc>
          <w:tcPr>
            <w:tcW w:w="911" w:type="dxa"/>
            <w:shd w:val="clear" w:color="auto" w:fill="auto"/>
            <w:vAlign w:val="center"/>
          </w:tcPr>
          <w:p>
            <w:pPr>
              <w:jc w:val="center"/>
              <w:rPr>
                <w:color w:val="auto"/>
                <w:kern w:val="0"/>
                <w:sz w:val="20"/>
                <w:szCs w:val="20"/>
                <w:highlight w:val="none"/>
              </w:rPr>
            </w:pPr>
            <w:r>
              <w:rPr>
                <w:color w:val="auto"/>
                <w:spacing w:val="1"/>
                <w:kern w:val="0"/>
                <w:sz w:val="20"/>
                <w:szCs w:val="20"/>
                <w:highlight w:val="none"/>
              </w:rPr>
              <w:t>极软岩</w:t>
            </w:r>
          </w:p>
        </w:tc>
        <w:tc>
          <w:tcPr>
            <w:tcW w:w="2637" w:type="dxa"/>
            <w:shd w:val="clear" w:color="auto" w:fill="auto"/>
            <w:vAlign w:val="center"/>
          </w:tcPr>
          <w:p>
            <w:pPr>
              <w:jc w:val="left"/>
              <w:rPr>
                <w:color w:val="auto"/>
                <w:kern w:val="0"/>
                <w:sz w:val="20"/>
                <w:szCs w:val="20"/>
                <w:highlight w:val="none"/>
              </w:rPr>
            </w:pPr>
            <w:r>
              <w:rPr>
                <w:color w:val="auto"/>
                <w:kern w:val="0"/>
                <w:sz w:val="20"/>
                <w:szCs w:val="20"/>
                <w:highlight w:val="none"/>
              </w:rPr>
              <w:t>锤击声哑，无回弹，较深凹痕，手可捏碎，浸水后可捏成团</w:t>
            </w:r>
          </w:p>
        </w:tc>
        <w:tc>
          <w:tcPr>
            <w:tcW w:w="4200" w:type="dxa"/>
            <w:shd w:val="clear" w:color="auto" w:fill="auto"/>
            <w:vAlign w:val="center"/>
          </w:tcPr>
          <w:p>
            <w:pPr>
              <w:rPr>
                <w:color w:val="auto"/>
                <w:kern w:val="0"/>
                <w:sz w:val="20"/>
                <w:szCs w:val="20"/>
                <w:highlight w:val="none"/>
              </w:rPr>
            </w:pPr>
            <w:r>
              <w:rPr>
                <w:color w:val="auto"/>
                <w:kern w:val="0"/>
                <w:sz w:val="20"/>
                <w:szCs w:val="20"/>
                <w:highlight w:val="none"/>
              </w:rPr>
              <w:t>1</w:t>
            </w:r>
            <w:r>
              <w:rPr>
                <w:rFonts w:hint="eastAsia"/>
                <w:color w:val="auto"/>
                <w:kern w:val="0"/>
                <w:sz w:val="20"/>
                <w:szCs w:val="20"/>
                <w:highlight w:val="none"/>
              </w:rPr>
              <w:t>.</w:t>
            </w:r>
            <w:r>
              <w:rPr>
                <w:color w:val="auto"/>
                <w:kern w:val="0"/>
                <w:sz w:val="20"/>
                <w:szCs w:val="20"/>
                <w:highlight w:val="none"/>
              </w:rPr>
              <w:t xml:space="preserve"> 全风化的各种岩石；</w:t>
            </w:r>
          </w:p>
          <w:p>
            <w:pPr>
              <w:rPr>
                <w:color w:val="auto"/>
                <w:kern w:val="0"/>
                <w:sz w:val="20"/>
                <w:szCs w:val="20"/>
                <w:highlight w:val="none"/>
              </w:rPr>
            </w:pPr>
            <w:r>
              <w:rPr>
                <w:color w:val="auto"/>
                <w:kern w:val="0"/>
                <w:sz w:val="20"/>
                <w:szCs w:val="20"/>
                <w:highlight w:val="none"/>
              </w:rPr>
              <w:t>2</w:t>
            </w:r>
            <w:r>
              <w:rPr>
                <w:rFonts w:hint="eastAsia"/>
                <w:color w:val="auto"/>
                <w:kern w:val="0"/>
                <w:sz w:val="20"/>
                <w:szCs w:val="20"/>
                <w:highlight w:val="none"/>
              </w:rPr>
              <w:t>.</w:t>
            </w:r>
            <w:r>
              <w:rPr>
                <w:color w:val="auto"/>
                <w:kern w:val="0"/>
                <w:sz w:val="20"/>
                <w:szCs w:val="20"/>
                <w:highlight w:val="none"/>
              </w:rPr>
              <w:t xml:space="preserve"> 各种半成岩</w:t>
            </w:r>
          </w:p>
        </w:tc>
      </w:tr>
    </w:tbl>
    <w:p>
      <w:pPr>
        <w:spacing w:before="156" w:beforeLines="50" w:line="360" w:lineRule="auto"/>
        <w:rPr>
          <w:b/>
          <w:color w:val="auto"/>
          <w:szCs w:val="21"/>
          <w:highlight w:val="none"/>
        </w:rPr>
      </w:pPr>
      <w:r>
        <w:rPr>
          <w:b/>
          <w:bCs/>
          <w:color w:val="auto"/>
          <w:szCs w:val="21"/>
          <w:highlight w:val="none"/>
        </w:rPr>
        <w:t>4.1.5</w:t>
      </w:r>
      <w:r>
        <w:rPr>
          <w:rFonts w:hint="eastAsia"/>
          <w:b/>
          <w:bCs/>
          <w:color w:val="auto"/>
          <w:szCs w:val="21"/>
          <w:highlight w:val="none"/>
        </w:rPr>
        <w:t>　</w:t>
      </w:r>
      <w:r>
        <w:rPr>
          <w:color w:val="auto"/>
          <w:szCs w:val="21"/>
          <w:highlight w:val="none"/>
        </w:rPr>
        <w:t>当岩石软化系数等于或小于0.75时，应定为软化岩石</w:t>
      </w:r>
      <w:r>
        <w:rPr>
          <w:rFonts w:hint="eastAsia"/>
          <w:color w:val="auto"/>
          <w:szCs w:val="21"/>
          <w:highlight w:val="none"/>
          <w:lang w:eastAsia="zh-CN"/>
        </w:rPr>
        <w:t>；</w:t>
      </w:r>
      <w:r>
        <w:rPr>
          <w:rFonts w:hint="eastAsia"/>
          <w:color w:val="auto"/>
          <w:szCs w:val="21"/>
          <w:highlight w:val="none"/>
          <w:lang w:val="en-US" w:eastAsia="zh-CN"/>
        </w:rPr>
        <w:t>当岩石具有特殊成分、特殊结构或特殊性质时，应定为特殊性岩石</w:t>
      </w:r>
      <w:r>
        <w:rPr>
          <w:color w:val="auto"/>
          <w:szCs w:val="21"/>
          <w:highlight w:val="none"/>
        </w:rPr>
        <w:t>。</w:t>
      </w:r>
    </w:p>
    <w:p>
      <w:pPr>
        <w:spacing w:line="360" w:lineRule="auto"/>
        <w:rPr>
          <w:color w:val="auto"/>
          <w:szCs w:val="21"/>
          <w:highlight w:val="none"/>
        </w:rPr>
      </w:pPr>
      <w:r>
        <w:rPr>
          <w:b/>
          <w:bCs/>
          <w:color w:val="auto"/>
          <w:szCs w:val="21"/>
          <w:highlight w:val="none"/>
        </w:rPr>
        <w:t>4.1.6</w:t>
      </w:r>
      <w:r>
        <w:rPr>
          <w:rFonts w:hint="eastAsia"/>
          <w:b/>
          <w:bCs/>
          <w:color w:val="auto"/>
          <w:szCs w:val="21"/>
          <w:highlight w:val="none"/>
        </w:rPr>
        <w:t>　</w:t>
      </w:r>
      <w:r>
        <w:rPr>
          <w:color w:val="auto"/>
          <w:szCs w:val="21"/>
          <w:highlight w:val="none"/>
        </w:rPr>
        <w:t>岩体完整</w:t>
      </w:r>
      <w:r>
        <w:rPr>
          <w:color w:val="auto"/>
          <w:kern w:val="0"/>
          <w:szCs w:val="15"/>
          <w:highlight w:val="none"/>
        </w:rPr>
        <w:t>程度</w:t>
      </w:r>
      <w:r>
        <w:rPr>
          <w:rFonts w:hint="eastAsia"/>
          <w:color w:val="auto"/>
          <w:kern w:val="0"/>
          <w:szCs w:val="15"/>
          <w:highlight w:val="none"/>
        </w:rPr>
        <w:t>应</w:t>
      </w:r>
      <w:r>
        <w:rPr>
          <w:color w:val="auto"/>
          <w:kern w:val="0"/>
          <w:szCs w:val="15"/>
          <w:highlight w:val="none"/>
        </w:rPr>
        <w:t>根据</w:t>
      </w:r>
      <w:r>
        <w:rPr>
          <w:rFonts w:hint="eastAsia"/>
          <w:color w:val="auto"/>
          <w:kern w:val="0"/>
          <w:szCs w:val="15"/>
          <w:highlight w:val="none"/>
        </w:rPr>
        <w:t>岩体</w:t>
      </w:r>
      <w:r>
        <w:rPr>
          <w:color w:val="auto"/>
          <w:kern w:val="0"/>
          <w:szCs w:val="15"/>
          <w:highlight w:val="none"/>
        </w:rPr>
        <w:t>完整性</w:t>
      </w:r>
      <w:r>
        <w:rPr>
          <w:rFonts w:hint="eastAsia"/>
          <w:color w:val="auto"/>
          <w:kern w:val="0"/>
          <w:szCs w:val="15"/>
          <w:highlight w:val="none"/>
        </w:rPr>
        <w:t>指</w:t>
      </w:r>
      <w:r>
        <w:rPr>
          <w:color w:val="auto"/>
          <w:kern w:val="0"/>
          <w:szCs w:val="15"/>
          <w:highlight w:val="none"/>
        </w:rPr>
        <w:t>数</w:t>
      </w:r>
      <w:r>
        <w:rPr>
          <w:i/>
          <w:iCs/>
          <w:color w:val="auto"/>
          <w:kern w:val="0"/>
          <w:szCs w:val="15"/>
          <w:highlight w:val="none"/>
        </w:rPr>
        <w:t>K</w:t>
      </w:r>
      <w:r>
        <w:rPr>
          <w:color w:val="auto"/>
          <w:kern w:val="0"/>
          <w:szCs w:val="15"/>
          <w:highlight w:val="none"/>
          <w:vertAlign w:val="subscript"/>
        </w:rPr>
        <w:t>v</w:t>
      </w:r>
      <w:r>
        <w:rPr>
          <w:color w:val="auto"/>
          <w:kern w:val="0"/>
          <w:szCs w:val="15"/>
          <w:highlight w:val="none"/>
        </w:rPr>
        <w:t>，按表4.1.6-1进行划分；</w:t>
      </w:r>
      <w:r>
        <w:rPr>
          <w:color w:val="auto"/>
          <w:szCs w:val="21"/>
          <w:highlight w:val="none"/>
        </w:rPr>
        <w:t>当缺乏有关测试数据时，可按表4.1.6-2划分。</w:t>
      </w:r>
      <w:r>
        <w:rPr>
          <w:rFonts w:hint="eastAsia"/>
          <w:color w:val="auto"/>
          <w:szCs w:val="21"/>
          <w:highlight w:val="none"/>
        </w:rPr>
        <w:t>岩体</w:t>
      </w:r>
      <w:r>
        <w:rPr>
          <w:color w:val="auto"/>
          <w:kern w:val="0"/>
          <w:szCs w:val="15"/>
          <w:highlight w:val="none"/>
        </w:rPr>
        <w:t>完整性</w:t>
      </w:r>
      <w:r>
        <w:rPr>
          <w:rFonts w:hint="eastAsia"/>
          <w:color w:val="auto"/>
          <w:kern w:val="0"/>
          <w:szCs w:val="15"/>
          <w:highlight w:val="none"/>
        </w:rPr>
        <w:t>指</w:t>
      </w:r>
      <w:r>
        <w:rPr>
          <w:color w:val="auto"/>
          <w:kern w:val="0"/>
          <w:szCs w:val="15"/>
          <w:highlight w:val="none"/>
        </w:rPr>
        <w:t>数</w:t>
      </w:r>
      <w:r>
        <w:rPr>
          <w:i/>
          <w:iCs/>
          <w:color w:val="auto"/>
          <w:kern w:val="0"/>
          <w:szCs w:val="15"/>
          <w:highlight w:val="none"/>
        </w:rPr>
        <w:t>K</w:t>
      </w:r>
      <w:r>
        <w:rPr>
          <w:color w:val="auto"/>
          <w:kern w:val="0"/>
          <w:szCs w:val="15"/>
          <w:highlight w:val="none"/>
          <w:vertAlign w:val="subscript"/>
        </w:rPr>
        <w:t>v</w:t>
      </w:r>
      <w:r>
        <w:rPr>
          <w:rFonts w:hint="eastAsia"/>
          <w:color w:val="auto"/>
          <w:szCs w:val="21"/>
          <w:highlight w:val="none"/>
          <w:lang w:eastAsia="zh-CN"/>
        </w:rPr>
        <w:t>可按下列公式计算</w:t>
      </w:r>
      <w:r>
        <w:rPr>
          <w:rFonts w:hint="eastAsia"/>
          <w:color w:val="auto"/>
          <w:szCs w:val="21"/>
          <w:highlight w:val="none"/>
        </w:rPr>
        <w:t>：</w:t>
      </w:r>
    </w:p>
    <w:p>
      <w:pPr>
        <w:tabs>
          <w:tab w:val="center" w:pos="4000"/>
          <w:tab w:val="center" w:pos="7780"/>
        </w:tabs>
        <w:spacing w:line="360" w:lineRule="auto"/>
        <w:ind w:firstLine="420" w:firstLineChars="200"/>
        <w:rPr>
          <w:color w:val="auto"/>
          <w:szCs w:val="21"/>
          <w:highlight w:val="none"/>
        </w:rPr>
      </w:pPr>
      <w:r>
        <w:rPr>
          <w:rFonts w:hint="eastAsia"/>
          <w:color w:val="auto"/>
          <w:szCs w:val="21"/>
          <w:highlight w:val="none"/>
        </w:rPr>
        <w:tab/>
      </w:r>
      <w:r>
        <w:rPr>
          <w:color w:val="auto"/>
          <w:position w:val="-34"/>
          <w:szCs w:val="21"/>
          <w:highlight w:val="none"/>
        </w:rPr>
        <w:object>
          <v:shape id="_x0000_i1033" o:spt="75" type="#_x0000_t75" style="height:39.75pt;width:59.25pt;" o:ole="t" filled="f" o:preferrelative="t" stroked="f" coordsize="21600,21600">
            <v:path/>
            <v:fill on="f" focussize="0,0"/>
            <v:stroke on="f" joinstyle="miter"/>
            <v:imagedata r:id="rId23" o:title=""/>
            <o:lock v:ext="edit" aspectratio="t"/>
            <w10:wrap type="none"/>
            <w10:anchorlock/>
          </v:shape>
          <o:OLEObject Type="Embed" ProgID="Equation.3" ShapeID="_x0000_i1033" DrawAspect="Content" ObjectID="_1468075729" r:id="rId22">
            <o:LockedField>false</o:LockedField>
          </o:OLEObject>
        </w:object>
      </w:r>
      <w:r>
        <w:rPr>
          <w:rFonts w:hint="eastAsia"/>
          <w:color w:val="auto"/>
          <w:szCs w:val="21"/>
          <w:highlight w:val="none"/>
        </w:rPr>
        <w:tab/>
      </w:r>
      <w:r>
        <w:rPr>
          <w:rFonts w:hint="eastAsia"/>
          <w:color w:val="auto"/>
          <w:szCs w:val="21"/>
          <w:highlight w:val="none"/>
        </w:rPr>
        <w:t>（4.1.6）</w:t>
      </w:r>
    </w:p>
    <w:p>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textAlignment w:val="auto"/>
        <w:rPr>
          <w:color w:val="auto"/>
          <w:szCs w:val="21"/>
          <w:highlight w:val="none"/>
        </w:rPr>
      </w:pPr>
      <w:r>
        <w:rPr>
          <w:rFonts w:hint="eastAsia"/>
          <w:color w:val="auto"/>
          <w:szCs w:val="21"/>
          <w:highlight w:val="none"/>
        </w:rPr>
        <w:t>式</w:t>
      </w:r>
      <w:r>
        <w:rPr>
          <w:color w:val="auto"/>
          <w:szCs w:val="21"/>
          <w:highlight w:val="none"/>
        </w:rPr>
        <w:t>中，</w:t>
      </w:r>
      <w:r>
        <w:rPr>
          <w:i/>
          <w:iCs/>
          <w:color w:val="auto"/>
          <w:szCs w:val="21"/>
          <w:highlight w:val="none"/>
        </w:rPr>
        <w:t>V</w:t>
      </w:r>
      <w:r>
        <w:rPr>
          <w:color w:val="auto"/>
          <w:szCs w:val="21"/>
          <w:highlight w:val="none"/>
          <w:vertAlign w:val="subscript"/>
        </w:rPr>
        <w:t>pm</w:t>
      </w:r>
      <w:r>
        <w:rPr>
          <w:color w:val="auto"/>
          <w:szCs w:val="21"/>
          <w:highlight w:val="none"/>
        </w:rPr>
        <w:t xml:space="preserve"> ——岩体弹性纵波速度（km/s）；</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color w:val="auto"/>
          <w:szCs w:val="21"/>
          <w:highlight w:val="none"/>
        </w:rPr>
      </w:pPr>
      <w:r>
        <w:rPr>
          <w:color w:val="auto"/>
          <w:szCs w:val="21"/>
          <w:highlight w:val="none"/>
        </w:rPr>
        <w:t xml:space="preserve"> </w:t>
      </w:r>
      <w:r>
        <w:rPr>
          <w:i/>
          <w:iCs/>
          <w:color w:val="auto"/>
          <w:szCs w:val="21"/>
          <w:highlight w:val="none"/>
        </w:rPr>
        <w:t>V</w:t>
      </w:r>
      <w:r>
        <w:rPr>
          <w:color w:val="auto"/>
          <w:szCs w:val="21"/>
          <w:highlight w:val="none"/>
          <w:vertAlign w:val="subscript"/>
        </w:rPr>
        <w:t>pr</w:t>
      </w:r>
      <w:r>
        <w:rPr>
          <w:color w:val="auto"/>
          <w:szCs w:val="21"/>
          <w:highlight w:val="none"/>
        </w:rPr>
        <w:t xml:space="preserve"> ——岩石弹性纵波速度（km/s）。</w:t>
      </w:r>
    </w:p>
    <w:p>
      <w:pPr>
        <w:spacing w:line="360" w:lineRule="auto"/>
        <w:jc w:val="center"/>
        <w:rPr>
          <w:b/>
          <w:color w:val="auto"/>
          <w:szCs w:val="21"/>
          <w:highlight w:val="none"/>
        </w:rPr>
      </w:pPr>
      <w:r>
        <w:rPr>
          <w:b/>
          <w:color w:val="auto"/>
          <w:szCs w:val="21"/>
          <w:highlight w:val="none"/>
        </w:rPr>
        <w:t>表4.1.6-1 岩体完整程度划分</w:t>
      </w:r>
    </w:p>
    <w:tbl>
      <w:tblPr>
        <w:tblStyle w:val="22"/>
        <w:tblW w:w="83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1403"/>
        <w:gridCol w:w="1403"/>
        <w:gridCol w:w="1403"/>
        <w:gridCol w:w="1403"/>
        <w:gridCol w:w="14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309" w:type="dxa"/>
            <w:vAlign w:val="center"/>
          </w:tcPr>
          <w:p>
            <w:pPr>
              <w:jc w:val="center"/>
              <w:rPr>
                <w:color w:val="auto"/>
                <w:sz w:val="20"/>
                <w:szCs w:val="16"/>
                <w:highlight w:val="none"/>
              </w:rPr>
            </w:pPr>
            <w:r>
              <w:rPr>
                <w:color w:val="auto"/>
                <w:spacing w:val="1"/>
                <w:kern w:val="0"/>
                <w:sz w:val="20"/>
                <w:szCs w:val="16"/>
                <w:highlight w:val="none"/>
              </w:rPr>
              <w:t>完整程度</w:t>
            </w:r>
          </w:p>
        </w:tc>
        <w:tc>
          <w:tcPr>
            <w:tcW w:w="1403" w:type="dxa"/>
            <w:vAlign w:val="center"/>
          </w:tcPr>
          <w:p>
            <w:pPr>
              <w:jc w:val="center"/>
              <w:rPr>
                <w:color w:val="auto"/>
                <w:sz w:val="20"/>
                <w:szCs w:val="16"/>
                <w:highlight w:val="none"/>
              </w:rPr>
            </w:pPr>
            <w:r>
              <w:rPr>
                <w:color w:val="auto"/>
                <w:spacing w:val="1"/>
                <w:kern w:val="0"/>
                <w:sz w:val="20"/>
                <w:szCs w:val="16"/>
                <w:highlight w:val="none"/>
              </w:rPr>
              <w:t>完整</w:t>
            </w:r>
          </w:p>
        </w:tc>
        <w:tc>
          <w:tcPr>
            <w:tcW w:w="1403" w:type="dxa"/>
            <w:vAlign w:val="center"/>
          </w:tcPr>
          <w:p>
            <w:pPr>
              <w:jc w:val="center"/>
              <w:rPr>
                <w:color w:val="auto"/>
                <w:sz w:val="20"/>
                <w:szCs w:val="16"/>
                <w:highlight w:val="none"/>
              </w:rPr>
            </w:pPr>
            <w:r>
              <w:rPr>
                <w:color w:val="auto"/>
                <w:spacing w:val="1"/>
                <w:kern w:val="0"/>
                <w:sz w:val="20"/>
                <w:szCs w:val="16"/>
                <w:highlight w:val="none"/>
              </w:rPr>
              <w:t>较完整</w:t>
            </w:r>
          </w:p>
        </w:tc>
        <w:tc>
          <w:tcPr>
            <w:tcW w:w="1403" w:type="dxa"/>
            <w:vAlign w:val="center"/>
          </w:tcPr>
          <w:p>
            <w:pPr>
              <w:jc w:val="center"/>
              <w:rPr>
                <w:color w:val="auto"/>
                <w:sz w:val="20"/>
                <w:szCs w:val="16"/>
                <w:highlight w:val="none"/>
              </w:rPr>
            </w:pPr>
            <w:r>
              <w:rPr>
                <w:color w:val="auto"/>
                <w:spacing w:val="1"/>
                <w:kern w:val="0"/>
                <w:sz w:val="20"/>
                <w:szCs w:val="16"/>
                <w:highlight w:val="none"/>
              </w:rPr>
              <w:t>较破碎</w:t>
            </w:r>
          </w:p>
        </w:tc>
        <w:tc>
          <w:tcPr>
            <w:tcW w:w="1403" w:type="dxa"/>
            <w:vAlign w:val="center"/>
          </w:tcPr>
          <w:p>
            <w:pPr>
              <w:jc w:val="center"/>
              <w:rPr>
                <w:color w:val="auto"/>
                <w:sz w:val="20"/>
                <w:szCs w:val="16"/>
                <w:highlight w:val="none"/>
              </w:rPr>
            </w:pPr>
            <w:r>
              <w:rPr>
                <w:color w:val="auto"/>
                <w:spacing w:val="1"/>
                <w:kern w:val="0"/>
                <w:sz w:val="20"/>
                <w:szCs w:val="16"/>
                <w:highlight w:val="none"/>
              </w:rPr>
              <w:t>破碎</w:t>
            </w:r>
          </w:p>
        </w:tc>
        <w:tc>
          <w:tcPr>
            <w:tcW w:w="1407" w:type="dxa"/>
            <w:vAlign w:val="center"/>
          </w:tcPr>
          <w:p>
            <w:pPr>
              <w:jc w:val="center"/>
              <w:rPr>
                <w:color w:val="auto"/>
                <w:sz w:val="20"/>
                <w:szCs w:val="16"/>
                <w:highlight w:val="none"/>
              </w:rPr>
            </w:pPr>
            <w:r>
              <w:rPr>
                <w:color w:val="auto"/>
                <w:spacing w:val="1"/>
                <w:kern w:val="0"/>
                <w:sz w:val="20"/>
                <w:szCs w:val="16"/>
                <w:highlight w:val="none"/>
              </w:rPr>
              <w:t>极破碎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309" w:type="dxa"/>
            <w:vAlign w:val="center"/>
          </w:tcPr>
          <w:p>
            <w:pPr>
              <w:jc w:val="center"/>
              <w:rPr>
                <w:color w:val="auto"/>
                <w:sz w:val="20"/>
                <w:szCs w:val="20"/>
                <w:highlight w:val="none"/>
              </w:rPr>
            </w:pPr>
            <w:r>
              <w:rPr>
                <w:i/>
                <w:iCs/>
                <w:color w:val="auto"/>
                <w:kern w:val="0"/>
                <w:sz w:val="20"/>
                <w:szCs w:val="20"/>
                <w:highlight w:val="none"/>
              </w:rPr>
              <w:t>K</w:t>
            </w:r>
            <w:r>
              <w:rPr>
                <w:color w:val="auto"/>
                <w:kern w:val="0"/>
                <w:sz w:val="20"/>
                <w:szCs w:val="20"/>
                <w:highlight w:val="none"/>
                <w:vertAlign w:val="subscript"/>
              </w:rPr>
              <w:t>v</w:t>
            </w:r>
          </w:p>
        </w:tc>
        <w:tc>
          <w:tcPr>
            <w:tcW w:w="1403" w:type="dxa"/>
            <w:vAlign w:val="center"/>
          </w:tcPr>
          <w:p>
            <w:pPr>
              <w:jc w:val="center"/>
              <w:rPr>
                <w:color w:val="auto"/>
                <w:sz w:val="20"/>
                <w:szCs w:val="16"/>
                <w:highlight w:val="none"/>
              </w:rPr>
            </w:pPr>
            <w:r>
              <w:rPr>
                <w:color w:val="auto"/>
                <w:spacing w:val="1"/>
                <w:kern w:val="0"/>
                <w:sz w:val="20"/>
                <w:szCs w:val="16"/>
                <w:highlight w:val="none"/>
              </w:rPr>
              <w:t>＞0.75</w:t>
            </w:r>
          </w:p>
        </w:tc>
        <w:tc>
          <w:tcPr>
            <w:tcW w:w="1403" w:type="dxa"/>
            <w:vAlign w:val="center"/>
          </w:tcPr>
          <w:p>
            <w:pPr>
              <w:jc w:val="center"/>
              <w:rPr>
                <w:color w:val="auto"/>
                <w:sz w:val="20"/>
                <w:szCs w:val="16"/>
                <w:highlight w:val="none"/>
              </w:rPr>
            </w:pPr>
            <w:r>
              <w:rPr>
                <w:color w:val="auto"/>
                <w:spacing w:val="1"/>
                <w:kern w:val="0"/>
                <w:sz w:val="20"/>
                <w:szCs w:val="16"/>
                <w:highlight w:val="none"/>
              </w:rPr>
              <w:t>0.75</w:t>
            </w:r>
            <w:r>
              <w:rPr>
                <w:rFonts w:hint="eastAsia"/>
                <w:color w:val="auto"/>
                <w:sz w:val="20"/>
                <w:szCs w:val="16"/>
                <w:highlight w:val="none"/>
              </w:rPr>
              <w:t>~</w:t>
            </w:r>
            <w:r>
              <w:rPr>
                <w:color w:val="auto"/>
                <w:spacing w:val="1"/>
                <w:kern w:val="0"/>
                <w:sz w:val="20"/>
                <w:szCs w:val="16"/>
                <w:highlight w:val="none"/>
              </w:rPr>
              <w:t>0.55</w:t>
            </w:r>
          </w:p>
        </w:tc>
        <w:tc>
          <w:tcPr>
            <w:tcW w:w="1403" w:type="dxa"/>
            <w:vAlign w:val="center"/>
          </w:tcPr>
          <w:p>
            <w:pPr>
              <w:jc w:val="center"/>
              <w:rPr>
                <w:color w:val="auto"/>
                <w:sz w:val="20"/>
                <w:szCs w:val="16"/>
                <w:highlight w:val="none"/>
              </w:rPr>
            </w:pPr>
            <w:r>
              <w:rPr>
                <w:color w:val="auto"/>
                <w:spacing w:val="1"/>
                <w:kern w:val="0"/>
                <w:sz w:val="20"/>
                <w:szCs w:val="16"/>
                <w:highlight w:val="none"/>
              </w:rPr>
              <w:t>0.55</w:t>
            </w:r>
            <w:r>
              <w:rPr>
                <w:rFonts w:hint="eastAsia"/>
                <w:color w:val="auto"/>
                <w:sz w:val="20"/>
                <w:szCs w:val="16"/>
                <w:highlight w:val="none"/>
              </w:rPr>
              <w:t>~</w:t>
            </w:r>
            <w:r>
              <w:rPr>
                <w:color w:val="auto"/>
                <w:spacing w:val="1"/>
                <w:kern w:val="0"/>
                <w:sz w:val="20"/>
                <w:szCs w:val="16"/>
                <w:highlight w:val="none"/>
              </w:rPr>
              <w:t>0.35</w:t>
            </w:r>
          </w:p>
        </w:tc>
        <w:tc>
          <w:tcPr>
            <w:tcW w:w="1403" w:type="dxa"/>
            <w:vAlign w:val="center"/>
          </w:tcPr>
          <w:p>
            <w:pPr>
              <w:jc w:val="center"/>
              <w:rPr>
                <w:color w:val="auto"/>
                <w:sz w:val="20"/>
                <w:szCs w:val="16"/>
                <w:highlight w:val="none"/>
              </w:rPr>
            </w:pPr>
            <w:r>
              <w:rPr>
                <w:color w:val="auto"/>
                <w:spacing w:val="1"/>
                <w:kern w:val="0"/>
                <w:sz w:val="20"/>
                <w:szCs w:val="16"/>
                <w:highlight w:val="none"/>
              </w:rPr>
              <w:t>0.35</w:t>
            </w:r>
            <w:r>
              <w:rPr>
                <w:rFonts w:hint="eastAsia"/>
                <w:color w:val="auto"/>
                <w:sz w:val="20"/>
                <w:szCs w:val="16"/>
                <w:highlight w:val="none"/>
              </w:rPr>
              <w:t>~</w:t>
            </w:r>
            <w:r>
              <w:rPr>
                <w:color w:val="auto"/>
                <w:spacing w:val="1"/>
                <w:kern w:val="0"/>
                <w:sz w:val="20"/>
                <w:szCs w:val="16"/>
                <w:highlight w:val="none"/>
              </w:rPr>
              <w:t>0.15</w:t>
            </w:r>
          </w:p>
        </w:tc>
        <w:tc>
          <w:tcPr>
            <w:tcW w:w="1407" w:type="dxa"/>
            <w:vAlign w:val="center"/>
          </w:tcPr>
          <w:p>
            <w:pPr>
              <w:jc w:val="center"/>
              <w:rPr>
                <w:color w:val="auto"/>
                <w:sz w:val="20"/>
                <w:szCs w:val="16"/>
                <w:highlight w:val="none"/>
              </w:rPr>
            </w:pPr>
            <w:r>
              <w:rPr>
                <w:color w:val="auto"/>
                <w:spacing w:val="1"/>
                <w:kern w:val="0"/>
                <w:sz w:val="20"/>
                <w:szCs w:val="16"/>
                <w:highlight w:val="none"/>
              </w:rPr>
              <w:t>＜0.15</w:t>
            </w:r>
          </w:p>
        </w:tc>
      </w:tr>
    </w:tbl>
    <w:p>
      <w:pPr>
        <w:snapToGrid w:val="0"/>
        <w:spacing w:line="360" w:lineRule="auto"/>
        <w:ind w:left="1050" w:leftChars="200" w:hanging="630" w:hangingChars="350"/>
        <w:jc w:val="left"/>
        <w:rPr>
          <w:color w:val="auto"/>
          <w:sz w:val="18"/>
          <w:szCs w:val="20"/>
          <w:highlight w:val="none"/>
        </w:rPr>
      </w:pPr>
      <w:r>
        <w:rPr>
          <w:color w:val="auto"/>
          <w:kern w:val="0"/>
          <w:sz w:val="18"/>
          <w:szCs w:val="11"/>
          <w:highlight w:val="none"/>
        </w:rPr>
        <w:t>注：选定岩体和岩块测定波速时，应注意其代表性。</w:t>
      </w:r>
    </w:p>
    <w:p>
      <w:pPr>
        <w:spacing w:line="360" w:lineRule="auto"/>
        <w:jc w:val="center"/>
        <w:rPr>
          <w:b/>
          <w:color w:val="auto"/>
          <w:szCs w:val="21"/>
          <w:highlight w:val="none"/>
        </w:rPr>
      </w:pPr>
      <w:r>
        <w:rPr>
          <w:b/>
          <w:color w:val="auto"/>
          <w:szCs w:val="21"/>
          <w:highlight w:val="none"/>
        </w:rPr>
        <w:t>表4.1.6-2 岩体完整程度的定性划分</w:t>
      </w:r>
    </w:p>
    <w:tbl>
      <w:tblPr>
        <w:tblStyle w:val="22"/>
        <w:tblW w:w="82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724"/>
        <w:gridCol w:w="1749"/>
        <w:gridCol w:w="1950"/>
        <w:gridCol w:w="17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8" w:hRule="atLeast"/>
          <w:jc w:val="center"/>
        </w:trPr>
        <w:tc>
          <w:tcPr>
            <w:tcW w:w="1106" w:type="dxa"/>
            <w:vAlign w:val="center"/>
          </w:tcPr>
          <w:p>
            <w:pPr>
              <w:jc w:val="center"/>
              <w:rPr>
                <w:color w:val="auto"/>
                <w:spacing w:val="1"/>
                <w:kern w:val="0"/>
                <w:sz w:val="20"/>
                <w:szCs w:val="16"/>
                <w:highlight w:val="none"/>
              </w:rPr>
            </w:pPr>
            <w:r>
              <w:rPr>
                <w:color w:val="auto"/>
                <w:spacing w:val="1"/>
                <w:kern w:val="0"/>
                <w:sz w:val="20"/>
                <w:szCs w:val="16"/>
                <w:highlight w:val="none"/>
              </w:rPr>
              <w:t>完整程度</w:t>
            </w:r>
          </w:p>
        </w:tc>
        <w:tc>
          <w:tcPr>
            <w:tcW w:w="1724" w:type="dxa"/>
            <w:vAlign w:val="center"/>
          </w:tcPr>
          <w:p>
            <w:pPr>
              <w:jc w:val="center"/>
              <w:rPr>
                <w:color w:val="auto"/>
                <w:spacing w:val="1"/>
                <w:kern w:val="0"/>
                <w:sz w:val="20"/>
                <w:szCs w:val="16"/>
                <w:highlight w:val="none"/>
              </w:rPr>
            </w:pPr>
            <w:r>
              <w:rPr>
                <w:color w:val="auto"/>
                <w:spacing w:val="1"/>
                <w:kern w:val="0"/>
                <w:sz w:val="20"/>
                <w:szCs w:val="16"/>
                <w:highlight w:val="none"/>
              </w:rPr>
              <w:t>控制性结构面平均间距（m）</w:t>
            </w:r>
          </w:p>
        </w:tc>
        <w:tc>
          <w:tcPr>
            <w:tcW w:w="1749" w:type="dxa"/>
            <w:vAlign w:val="center"/>
          </w:tcPr>
          <w:p>
            <w:pPr>
              <w:jc w:val="center"/>
              <w:rPr>
                <w:color w:val="auto"/>
                <w:spacing w:val="1"/>
                <w:kern w:val="0"/>
                <w:sz w:val="20"/>
                <w:szCs w:val="16"/>
                <w:highlight w:val="none"/>
              </w:rPr>
            </w:pPr>
            <w:r>
              <w:rPr>
                <w:rFonts w:hint="eastAsia"/>
                <w:color w:val="auto"/>
                <w:spacing w:val="1"/>
                <w:kern w:val="0"/>
                <w:sz w:val="20"/>
                <w:szCs w:val="16"/>
                <w:highlight w:val="none"/>
              </w:rPr>
              <w:t>主要结构面结合程度</w:t>
            </w:r>
          </w:p>
        </w:tc>
        <w:tc>
          <w:tcPr>
            <w:tcW w:w="1950" w:type="dxa"/>
            <w:vAlign w:val="center"/>
          </w:tcPr>
          <w:p>
            <w:pPr>
              <w:jc w:val="center"/>
              <w:rPr>
                <w:color w:val="auto"/>
                <w:spacing w:val="1"/>
                <w:kern w:val="0"/>
                <w:sz w:val="20"/>
                <w:szCs w:val="16"/>
                <w:highlight w:val="none"/>
              </w:rPr>
            </w:pPr>
            <w:r>
              <w:rPr>
                <w:color w:val="auto"/>
                <w:spacing w:val="1"/>
                <w:kern w:val="0"/>
                <w:sz w:val="20"/>
                <w:szCs w:val="16"/>
                <w:highlight w:val="none"/>
              </w:rPr>
              <w:t>岩体结构类型</w:t>
            </w:r>
          </w:p>
        </w:tc>
        <w:tc>
          <w:tcPr>
            <w:tcW w:w="1728" w:type="dxa"/>
            <w:vAlign w:val="center"/>
          </w:tcPr>
          <w:p>
            <w:pPr>
              <w:jc w:val="center"/>
              <w:rPr>
                <w:color w:val="auto"/>
                <w:spacing w:val="1"/>
                <w:kern w:val="0"/>
                <w:sz w:val="20"/>
                <w:szCs w:val="16"/>
                <w:highlight w:val="none"/>
              </w:rPr>
            </w:pPr>
            <w:r>
              <w:rPr>
                <w:rFonts w:hint="eastAsia"/>
                <w:color w:val="auto"/>
                <w:spacing w:val="1"/>
                <w:kern w:val="0"/>
                <w:sz w:val="20"/>
                <w:szCs w:val="16"/>
                <w:highlight w:val="none"/>
              </w:rPr>
              <w:t>岩体体积节理数</w:t>
            </w:r>
            <w:r>
              <w:rPr>
                <w:rFonts w:hint="eastAsia"/>
                <w:i/>
                <w:iCs/>
                <w:color w:val="auto"/>
                <w:spacing w:val="1"/>
                <w:kern w:val="0"/>
                <w:sz w:val="20"/>
                <w:szCs w:val="16"/>
                <w:highlight w:val="none"/>
              </w:rPr>
              <w:t>J</w:t>
            </w:r>
            <w:r>
              <w:rPr>
                <w:rFonts w:hint="eastAsia"/>
                <w:color w:val="auto"/>
                <w:spacing w:val="1"/>
                <w:kern w:val="0"/>
                <w:sz w:val="20"/>
                <w:szCs w:val="16"/>
                <w:highlight w:val="none"/>
                <w:vertAlign w:val="subscript"/>
              </w:rPr>
              <w:t>v</w:t>
            </w:r>
            <w:r>
              <w:rPr>
                <w:rFonts w:hint="eastAsia"/>
                <w:color w:val="auto"/>
                <w:spacing w:val="1"/>
                <w:kern w:val="0"/>
                <w:sz w:val="20"/>
                <w:szCs w:val="16"/>
                <w:highlight w:val="none"/>
              </w:rPr>
              <w:t>（条/m</w:t>
            </w:r>
            <w:r>
              <w:rPr>
                <w:rFonts w:hint="eastAsia"/>
                <w:color w:val="auto"/>
                <w:spacing w:val="1"/>
                <w:kern w:val="0"/>
                <w:sz w:val="20"/>
                <w:szCs w:val="16"/>
                <w:highlight w:val="none"/>
                <w:vertAlign w:val="superscript"/>
              </w:rPr>
              <w:t>3</w:t>
            </w:r>
            <w:r>
              <w:rPr>
                <w:rFonts w:hint="eastAsia"/>
                <w:color w:val="auto"/>
                <w:spacing w:val="1"/>
                <w:kern w:val="0"/>
                <w:sz w:val="20"/>
                <w:szCs w:val="16"/>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106" w:type="dxa"/>
            <w:vAlign w:val="center"/>
          </w:tcPr>
          <w:p>
            <w:pPr>
              <w:jc w:val="center"/>
              <w:rPr>
                <w:color w:val="auto"/>
                <w:spacing w:val="1"/>
                <w:kern w:val="0"/>
                <w:sz w:val="20"/>
                <w:szCs w:val="16"/>
                <w:highlight w:val="none"/>
              </w:rPr>
            </w:pPr>
            <w:r>
              <w:rPr>
                <w:color w:val="auto"/>
                <w:spacing w:val="1"/>
                <w:kern w:val="0"/>
                <w:sz w:val="20"/>
                <w:szCs w:val="16"/>
                <w:highlight w:val="none"/>
              </w:rPr>
              <w:t>完整</w:t>
            </w:r>
          </w:p>
        </w:tc>
        <w:tc>
          <w:tcPr>
            <w:tcW w:w="1724" w:type="dxa"/>
            <w:vAlign w:val="center"/>
          </w:tcPr>
          <w:p>
            <w:pPr>
              <w:jc w:val="center"/>
              <w:rPr>
                <w:color w:val="auto"/>
                <w:spacing w:val="1"/>
                <w:kern w:val="0"/>
                <w:sz w:val="20"/>
                <w:szCs w:val="16"/>
                <w:highlight w:val="none"/>
              </w:rPr>
            </w:pPr>
            <w:r>
              <w:rPr>
                <w:color w:val="auto"/>
                <w:spacing w:val="1"/>
                <w:kern w:val="0"/>
                <w:sz w:val="20"/>
                <w:szCs w:val="16"/>
                <w:highlight w:val="none"/>
              </w:rPr>
              <w:t>&gt;1.0</w:t>
            </w:r>
          </w:p>
        </w:tc>
        <w:tc>
          <w:tcPr>
            <w:tcW w:w="1749" w:type="dxa"/>
            <w:vAlign w:val="center"/>
          </w:tcPr>
          <w:p>
            <w:pPr>
              <w:jc w:val="center"/>
              <w:rPr>
                <w:color w:val="auto"/>
                <w:spacing w:val="1"/>
                <w:kern w:val="0"/>
                <w:sz w:val="20"/>
                <w:szCs w:val="16"/>
                <w:highlight w:val="none"/>
              </w:rPr>
            </w:pPr>
            <w:r>
              <w:rPr>
                <w:rFonts w:hint="eastAsia"/>
                <w:color w:val="auto"/>
                <w:spacing w:val="1"/>
                <w:kern w:val="0"/>
                <w:sz w:val="20"/>
                <w:szCs w:val="16"/>
                <w:highlight w:val="none"/>
              </w:rPr>
              <w:t>好或一般</w:t>
            </w:r>
          </w:p>
        </w:tc>
        <w:tc>
          <w:tcPr>
            <w:tcW w:w="1950" w:type="dxa"/>
            <w:vAlign w:val="center"/>
          </w:tcPr>
          <w:p>
            <w:pPr>
              <w:jc w:val="center"/>
              <w:rPr>
                <w:color w:val="auto"/>
                <w:spacing w:val="1"/>
                <w:kern w:val="0"/>
                <w:sz w:val="20"/>
                <w:szCs w:val="16"/>
                <w:highlight w:val="none"/>
              </w:rPr>
            </w:pPr>
            <w:r>
              <w:rPr>
                <w:color w:val="auto"/>
                <w:spacing w:val="1"/>
                <w:kern w:val="0"/>
                <w:sz w:val="20"/>
                <w:szCs w:val="16"/>
                <w:highlight w:val="none"/>
              </w:rPr>
              <w:t>整体状、巨厚层状结构</w:t>
            </w:r>
          </w:p>
        </w:tc>
        <w:tc>
          <w:tcPr>
            <w:tcW w:w="1728" w:type="dxa"/>
            <w:vAlign w:val="center"/>
          </w:tcPr>
          <w:p>
            <w:pPr>
              <w:jc w:val="center"/>
              <w:rPr>
                <w:color w:val="auto"/>
                <w:spacing w:val="1"/>
                <w:kern w:val="0"/>
                <w:sz w:val="20"/>
                <w:szCs w:val="16"/>
                <w:highlight w:val="none"/>
              </w:rPr>
            </w:pPr>
            <w:r>
              <w:rPr>
                <w:rFonts w:hint="eastAsia"/>
                <w:i/>
                <w:iCs/>
                <w:color w:val="auto"/>
                <w:spacing w:val="1"/>
                <w:kern w:val="0"/>
                <w:sz w:val="20"/>
                <w:szCs w:val="16"/>
                <w:highlight w:val="none"/>
              </w:rPr>
              <w:t>J</w:t>
            </w:r>
            <w:r>
              <w:rPr>
                <w:rFonts w:hint="eastAsia"/>
                <w:color w:val="auto"/>
                <w:spacing w:val="1"/>
                <w:kern w:val="0"/>
                <w:sz w:val="20"/>
                <w:szCs w:val="16"/>
                <w:highlight w:val="none"/>
                <w:vertAlign w:val="subscript"/>
              </w:rPr>
              <w:t>v</w:t>
            </w:r>
            <w:r>
              <w:rPr>
                <w:rFonts w:hint="eastAsia"/>
                <w:color w:val="auto"/>
                <w:spacing w:val="1"/>
                <w:kern w:val="0"/>
                <w:sz w:val="20"/>
                <w:szCs w:val="16"/>
                <w:highlight w:val="none"/>
              </w:rPr>
              <w:t>&lt;3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106" w:type="dxa"/>
            <w:vMerge w:val="restart"/>
            <w:vAlign w:val="center"/>
          </w:tcPr>
          <w:p>
            <w:pPr>
              <w:jc w:val="center"/>
              <w:rPr>
                <w:color w:val="auto"/>
                <w:spacing w:val="1"/>
                <w:kern w:val="0"/>
                <w:sz w:val="20"/>
                <w:szCs w:val="16"/>
                <w:highlight w:val="none"/>
              </w:rPr>
            </w:pPr>
            <w:r>
              <w:rPr>
                <w:color w:val="auto"/>
                <w:spacing w:val="1"/>
                <w:kern w:val="0"/>
                <w:sz w:val="20"/>
                <w:szCs w:val="16"/>
                <w:highlight w:val="none"/>
              </w:rPr>
              <w:t>较完整</w:t>
            </w:r>
          </w:p>
        </w:tc>
        <w:tc>
          <w:tcPr>
            <w:tcW w:w="1724" w:type="dxa"/>
            <w:vAlign w:val="center"/>
          </w:tcPr>
          <w:p>
            <w:pPr>
              <w:jc w:val="center"/>
              <w:rPr>
                <w:color w:val="auto"/>
                <w:spacing w:val="1"/>
                <w:kern w:val="0"/>
                <w:sz w:val="20"/>
                <w:szCs w:val="16"/>
                <w:highlight w:val="none"/>
              </w:rPr>
            </w:pPr>
            <w:r>
              <w:rPr>
                <w:color w:val="auto"/>
                <w:spacing w:val="1"/>
                <w:kern w:val="0"/>
                <w:sz w:val="20"/>
                <w:szCs w:val="16"/>
                <w:highlight w:val="none"/>
              </w:rPr>
              <w:t>&gt;1.0</w:t>
            </w:r>
          </w:p>
        </w:tc>
        <w:tc>
          <w:tcPr>
            <w:tcW w:w="1749" w:type="dxa"/>
            <w:vAlign w:val="center"/>
          </w:tcPr>
          <w:p>
            <w:pPr>
              <w:jc w:val="center"/>
              <w:rPr>
                <w:color w:val="auto"/>
                <w:spacing w:val="1"/>
                <w:kern w:val="0"/>
                <w:sz w:val="20"/>
                <w:szCs w:val="16"/>
                <w:highlight w:val="none"/>
              </w:rPr>
            </w:pPr>
            <w:r>
              <w:rPr>
                <w:rFonts w:hint="eastAsia"/>
                <w:color w:val="auto"/>
                <w:spacing w:val="1"/>
                <w:kern w:val="0"/>
                <w:sz w:val="20"/>
                <w:szCs w:val="16"/>
                <w:highlight w:val="none"/>
              </w:rPr>
              <w:t>差</w:t>
            </w:r>
          </w:p>
        </w:tc>
        <w:tc>
          <w:tcPr>
            <w:tcW w:w="1950" w:type="dxa"/>
            <w:vAlign w:val="center"/>
          </w:tcPr>
          <w:p>
            <w:pPr>
              <w:jc w:val="center"/>
              <w:rPr>
                <w:color w:val="auto"/>
                <w:spacing w:val="1"/>
                <w:kern w:val="0"/>
                <w:sz w:val="20"/>
                <w:szCs w:val="16"/>
                <w:highlight w:val="none"/>
              </w:rPr>
            </w:pPr>
            <w:r>
              <w:rPr>
                <w:color w:val="auto"/>
                <w:spacing w:val="1"/>
                <w:kern w:val="0"/>
                <w:sz w:val="20"/>
                <w:szCs w:val="16"/>
                <w:highlight w:val="none"/>
              </w:rPr>
              <w:t>块状、厚层状结构</w:t>
            </w:r>
          </w:p>
        </w:tc>
        <w:tc>
          <w:tcPr>
            <w:tcW w:w="1728" w:type="dxa"/>
            <w:vMerge w:val="restart"/>
            <w:vAlign w:val="center"/>
          </w:tcPr>
          <w:p>
            <w:pPr>
              <w:jc w:val="center"/>
              <w:rPr>
                <w:color w:val="auto"/>
                <w:spacing w:val="1"/>
                <w:kern w:val="0"/>
                <w:sz w:val="20"/>
                <w:szCs w:val="16"/>
                <w:highlight w:val="none"/>
              </w:rPr>
            </w:pPr>
            <w:r>
              <w:rPr>
                <w:color w:val="auto"/>
                <w:sz w:val="20"/>
                <w:szCs w:val="20"/>
                <w:highlight w:val="none"/>
              </w:rPr>
              <w:t>3</w:t>
            </w:r>
            <w:r>
              <w:rPr>
                <w:rFonts w:hint="eastAsia" w:ascii="宋体" w:hAnsi="宋体" w:cs="宋体"/>
                <w:color w:val="auto"/>
                <w:sz w:val="20"/>
                <w:szCs w:val="20"/>
                <w:highlight w:val="none"/>
              </w:rPr>
              <w:t>≤</w:t>
            </w:r>
            <w:r>
              <w:rPr>
                <w:rFonts w:hint="eastAsia"/>
                <w:i/>
                <w:iCs/>
                <w:color w:val="auto"/>
                <w:spacing w:val="1"/>
                <w:kern w:val="0"/>
                <w:sz w:val="20"/>
                <w:szCs w:val="16"/>
                <w:highlight w:val="none"/>
              </w:rPr>
              <w:t>J</w:t>
            </w:r>
            <w:r>
              <w:rPr>
                <w:rFonts w:hint="eastAsia"/>
                <w:color w:val="auto"/>
                <w:spacing w:val="1"/>
                <w:kern w:val="0"/>
                <w:sz w:val="20"/>
                <w:szCs w:val="16"/>
                <w:highlight w:val="none"/>
                <w:vertAlign w:val="subscript"/>
              </w:rPr>
              <w:t>v</w:t>
            </w:r>
            <w:r>
              <w:rPr>
                <w:rFonts w:hint="eastAsia"/>
                <w:color w:val="auto"/>
                <w:spacing w:val="1"/>
                <w:kern w:val="0"/>
                <w:sz w:val="20"/>
                <w:szCs w:val="16"/>
                <w:highlight w:val="none"/>
              </w:rPr>
              <w:t>&lt;</w:t>
            </w:r>
            <w:r>
              <w:rPr>
                <w:color w:val="auto"/>
                <w:sz w:val="20"/>
                <w:szCs w:val="20"/>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106" w:type="dxa"/>
            <w:vMerge w:val="continue"/>
            <w:vAlign w:val="center"/>
          </w:tcPr>
          <w:p>
            <w:pPr>
              <w:jc w:val="center"/>
              <w:rPr>
                <w:color w:val="auto"/>
                <w:spacing w:val="1"/>
                <w:kern w:val="0"/>
                <w:sz w:val="20"/>
                <w:szCs w:val="16"/>
                <w:highlight w:val="none"/>
              </w:rPr>
            </w:pPr>
          </w:p>
        </w:tc>
        <w:tc>
          <w:tcPr>
            <w:tcW w:w="1724" w:type="dxa"/>
            <w:vAlign w:val="center"/>
          </w:tcPr>
          <w:p>
            <w:pPr>
              <w:jc w:val="center"/>
              <w:rPr>
                <w:color w:val="auto"/>
                <w:spacing w:val="1"/>
                <w:kern w:val="0"/>
                <w:sz w:val="20"/>
                <w:szCs w:val="16"/>
                <w:highlight w:val="none"/>
              </w:rPr>
            </w:pPr>
            <w:r>
              <w:rPr>
                <w:color w:val="auto"/>
                <w:spacing w:val="1"/>
                <w:kern w:val="0"/>
                <w:sz w:val="20"/>
                <w:szCs w:val="16"/>
                <w:highlight w:val="none"/>
              </w:rPr>
              <w:t>1.0~0.4</w:t>
            </w:r>
          </w:p>
        </w:tc>
        <w:tc>
          <w:tcPr>
            <w:tcW w:w="1749" w:type="dxa"/>
            <w:vAlign w:val="center"/>
          </w:tcPr>
          <w:p>
            <w:pPr>
              <w:jc w:val="center"/>
              <w:rPr>
                <w:color w:val="auto"/>
                <w:spacing w:val="1"/>
                <w:kern w:val="0"/>
                <w:sz w:val="20"/>
                <w:szCs w:val="16"/>
                <w:highlight w:val="none"/>
              </w:rPr>
            </w:pPr>
            <w:r>
              <w:rPr>
                <w:rFonts w:hint="eastAsia"/>
                <w:color w:val="auto"/>
                <w:spacing w:val="1"/>
                <w:kern w:val="0"/>
                <w:sz w:val="20"/>
                <w:szCs w:val="16"/>
                <w:highlight w:val="none"/>
              </w:rPr>
              <w:t>好或一般</w:t>
            </w:r>
          </w:p>
        </w:tc>
        <w:tc>
          <w:tcPr>
            <w:tcW w:w="1950" w:type="dxa"/>
            <w:vAlign w:val="center"/>
          </w:tcPr>
          <w:p>
            <w:pPr>
              <w:jc w:val="center"/>
              <w:rPr>
                <w:color w:val="auto"/>
                <w:spacing w:val="1"/>
                <w:kern w:val="0"/>
                <w:sz w:val="20"/>
                <w:szCs w:val="16"/>
                <w:highlight w:val="none"/>
              </w:rPr>
            </w:pPr>
            <w:r>
              <w:rPr>
                <w:rFonts w:hint="eastAsia"/>
                <w:color w:val="auto"/>
                <w:spacing w:val="1"/>
                <w:kern w:val="0"/>
                <w:sz w:val="20"/>
                <w:szCs w:val="16"/>
                <w:highlight w:val="none"/>
              </w:rPr>
              <w:t>块状结构</w:t>
            </w:r>
          </w:p>
        </w:tc>
        <w:tc>
          <w:tcPr>
            <w:tcW w:w="1728" w:type="dxa"/>
            <w:vMerge w:val="continue"/>
            <w:vAlign w:val="center"/>
          </w:tcPr>
          <w:p>
            <w:pPr>
              <w:jc w:val="center"/>
              <w:rPr>
                <w:color w:val="auto"/>
                <w:spacing w:val="1"/>
                <w:kern w:val="0"/>
                <w:sz w:val="20"/>
                <w:szCs w:val="16"/>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106" w:type="dxa"/>
            <w:vMerge w:val="restart"/>
            <w:vAlign w:val="center"/>
          </w:tcPr>
          <w:p>
            <w:pPr>
              <w:jc w:val="center"/>
              <w:rPr>
                <w:color w:val="auto"/>
                <w:spacing w:val="1"/>
                <w:kern w:val="0"/>
                <w:sz w:val="20"/>
                <w:szCs w:val="16"/>
                <w:highlight w:val="none"/>
              </w:rPr>
            </w:pPr>
            <w:r>
              <w:rPr>
                <w:color w:val="auto"/>
                <w:spacing w:val="1"/>
                <w:kern w:val="0"/>
                <w:sz w:val="20"/>
                <w:szCs w:val="16"/>
                <w:highlight w:val="none"/>
              </w:rPr>
              <w:t>较破碎</w:t>
            </w:r>
          </w:p>
        </w:tc>
        <w:tc>
          <w:tcPr>
            <w:tcW w:w="1724" w:type="dxa"/>
            <w:vAlign w:val="center"/>
          </w:tcPr>
          <w:p>
            <w:pPr>
              <w:jc w:val="center"/>
              <w:rPr>
                <w:color w:val="auto"/>
                <w:spacing w:val="1"/>
                <w:kern w:val="0"/>
                <w:sz w:val="20"/>
                <w:szCs w:val="16"/>
                <w:highlight w:val="none"/>
              </w:rPr>
            </w:pPr>
            <w:r>
              <w:rPr>
                <w:color w:val="auto"/>
                <w:spacing w:val="1"/>
                <w:kern w:val="0"/>
                <w:sz w:val="20"/>
                <w:szCs w:val="16"/>
                <w:highlight w:val="none"/>
              </w:rPr>
              <w:t>1.0~0.4</w:t>
            </w:r>
          </w:p>
        </w:tc>
        <w:tc>
          <w:tcPr>
            <w:tcW w:w="1749" w:type="dxa"/>
            <w:vAlign w:val="center"/>
          </w:tcPr>
          <w:p>
            <w:pPr>
              <w:jc w:val="center"/>
              <w:rPr>
                <w:color w:val="auto"/>
                <w:spacing w:val="1"/>
                <w:kern w:val="0"/>
                <w:sz w:val="20"/>
                <w:szCs w:val="16"/>
                <w:highlight w:val="none"/>
              </w:rPr>
            </w:pPr>
            <w:r>
              <w:rPr>
                <w:rFonts w:hint="eastAsia"/>
                <w:color w:val="auto"/>
                <w:spacing w:val="1"/>
                <w:kern w:val="0"/>
                <w:sz w:val="20"/>
                <w:szCs w:val="16"/>
                <w:highlight w:val="none"/>
              </w:rPr>
              <w:t>差</w:t>
            </w:r>
          </w:p>
        </w:tc>
        <w:tc>
          <w:tcPr>
            <w:tcW w:w="1950" w:type="dxa"/>
            <w:vAlign w:val="center"/>
          </w:tcPr>
          <w:p>
            <w:pPr>
              <w:jc w:val="center"/>
              <w:rPr>
                <w:color w:val="auto"/>
                <w:spacing w:val="1"/>
                <w:kern w:val="0"/>
                <w:sz w:val="20"/>
                <w:szCs w:val="16"/>
                <w:highlight w:val="none"/>
              </w:rPr>
            </w:pPr>
            <w:r>
              <w:rPr>
                <w:rFonts w:hint="eastAsia"/>
                <w:color w:val="auto"/>
                <w:spacing w:val="1"/>
                <w:kern w:val="0"/>
                <w:sz w:val="20"/>
                <w:szCs w:val="16"/>
                <w:highlight w:val="none"/>
              </w:rPr>
              <w:t>裂隙块</w:t>
            </w:r>
            <w:r>
              <w:rPr>
                <w:color w:val="auto"/>
                <w:spacing w:val="1"/>
                <w:kern w:val="0"/>
                <w:sz w:val="20"/>
                <w:szCs w:val="16"/>
                <w:highlight w:val="none"/>
              </w:rPr>
              <w:t>状</w:t>
            </w:r>
            <w:r>
              <w:rPr>
                <w:rFonts w:hint="eastAsia"/>
                <w:color w:val="auto"/>
                <w:spacing w:val="1"/>
                <w:kern w:val="0"/>
                <w:sz w:val="20"/>
                <w:szCs w:val="16"/>
                <w:highlight w:val="none"/>
              </w:rPr>
              <w:t>、</w:t>
            </w:r>
            <w:r>
              <w:rPr>
                <w:color w:val="auto"/>
                <w:spacing w:val="1"/>
                <w:kern w:val="0"/>
                <w:sz w:val="20"/>
                <w:szCs w:val="16"/>
                <w:highlight w:val="none"/>
              </w:rPr>
              <w:t>中厚层状结构</w:t>
            </w:r>
          </w:p>
        </w:tc>
        <w:tc>
          <w:tcPr>
            <w:tcW w:w="1728" w:type="dxa"/>
            <w:vMerge w:val="restart"/>
            <w:vAlign w:val="center"/>
          </w:tcPr>
          <w:p>
            <w:pPr>
              <w:jc w:val="center"/>
              <w:rPr>
                <w:color w:val="auto"/>
                <w:spacing w:val="1"/>
                <w:kern w:val="0"/>
                <w:sz w:val="20"/>
                <w:szCs w:val="16"/>
                <w:highlight w:val="none"/>
              </w:rPr>
            </w:pPr>
            <w:r>
              <w:rPr>
                <w:rFonts w:hint="eastAsia"/>
                <w:color w:val="auto"/>
                <w:sz w:val="20"/>
                <w:szCs w:val="20"/>
                <w:highlight w:val="none"/>
              </w:rPr>
              <w:t>10</w:t>
            </w:r>
            <w:r>
              <w:rPr>
                <w:rFonts w:hint="eastAsia" w:ascii="宋体" w:hAnsi="宋体" w:cs="宋体"/>
                <w:color w:val="auto"/>
                <w:sz w:val="20"/>
                <w:szCs w:val="20"/>
                <w:highlight w:val="none"/>
              </w:rPr>
              <w:t>≤</w:t>
            </w:r>
            <w:r>
              <w:rPr>
                <w:rFonts w:hint="eastAsia"/>
                <w:i/>
                <w:iCs/>
                <w:color w:val="auto"/>
                <w:spacing w:val="1"/>
                <w:kern w:val="0"/>
                <w:sz w:val="20"/>
                <w:szCs w:val="16"/>
                <w:highlight w:val="none"/>
              </w:rPr>
              <w:t>J</w:t>
            </w:r>
            <w:r>
              <w:rPr>
                <w:rFonts w:hint="eastAsia"/>
                <w:color w:val="auto"/>
                <w:spacing w:val="1"/>
                <w:kern w:val="0"/>
                <w:sz w:val="20"/>
                <w:szCs w:val="16"/>
                <w:highlight w:val="none"/>
                <w:vertAlign w:val="subscript"/>
              </w:rPr>
              <w:t>v</w:t>
            </w:r>
            <w:r>
              <w:rPr>
                <w:rFonts w:hint="eastAsia"/>
                <w:color w:val="auto"/>
                <w:spacing w:val="1"/>
                <w:kern w:val="0"/>
                <w:sz w:val="20"/>
                <w:szCs w:val="16"/>
                <w:highlight w:val="none"/>
              </w:rPr>
              <w:t>&lt;</w:t>
            </w:r>
            <w:r>
              <w:rPr>
                <w:rFonts w:hint="eastAsia"/>
                <w:color w:val="auto"/>
                <w:sz w:val="20"/>
                <w:szCs w:val="20"/>
                <w:highlight w:val="none"/>
              </w:rPr>
              <w:t>2</w:t>
            </w:r>
            <w:r>
              <w:rPr>
                <w:color w:val="auto"/>
                <w:sz w:val="20"/>
                <w:szCs w:val="20"/>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106" w:type="dxa"/>
            <w:vMerge w:val="continue"/>
            <w:vAlign w:val="center"/>
          </w:tcPr>
          <w:p>
            <w:pPr>
              <w:jc w:val="center"/>
              <w:rPr>
                <w:color w:val="auto"/>
                <w:spacing w:val="1"/>
                <w:kern w:val="0"/>
                <w:sz w:val="20"/>
                <w:szCs w:val="16"/>
                <w:highlight w:val="none"/>
              </w:rPr>
            </w:pPr>
          </w:p>
        </w:tc>
        <w:tc>
          <w:tcPr>
            <w:tcW w:w="1724" w:type="dxa"/>
            <w:vMerge w:val="restart"/>
            <w:vAlign w:val="center"/>
          </w:tcPr>
          <w:p>
            <w:pPr>
              <w:jc w:val="center"/>
              <w:rPr>
                <w:color w:val="auto"/>
                <w:spacing w:val="1"/>
                <w:kern w:val="0"/>
                <w:sz w:val="20"/>
                <w:szCs w:val="16"/>
                <w:highlight w:val="none"/>
              </w:rPr>
            </w:pPr>
            <w:r>
              <w:rPr>
                <w:color w:val="auto"/>
                <w:spacing w:val="1"/>
                <w:kern w:val="0"/>
                <w:sz w:val="20"/>
                <w:szCs w:val="16"/>
                <w:highlight w:val="none"/>
              </w:rPr>
              <w:t>0.4~0.2</w:t>
            </w:r>
          </w:p>
        </w:tc>
        <w:tc>
          <w:tcPr>
            <w:tcW w:w="1749" w:type="dxa"/>
            <w:vAlign w:val="center"/>
          </w:tcPr>
          <w:p>
            <w:pPr>
              <w:jc w:val="center"/>
              <w:rPr>
                <w:color w:val="auto"/>
                <w:spacing w:val="1"/>
                <w:kern w:val="0"/>
                <w:sz w:val="20"/>
                <w:szCs w:val="16"/>
                <w:highlight w:val="none"/>
              </w:rPr>
            </w:pPr>
            <w:r>
              <w:rPr>
                <w:rFonts w:hint="eastAsia"/>
                <w:color w:val="auto"/>
                <w:spacing w:val="1"/>
                <w:kern w:val="0"/>
                <w:sz w:val="20"/>
                <w:szCs w:val="16"/>
                <w:highlight w:val="none"/>
              </w:rPr>
              <w:t>好</w:t>
            </w:r>
          </w:p>
        </w:tc>
        <w:tc>
          <w:tcPr>
            <w:tcW w:w="1950" w:type="dxa"/>
            <w:vAlign w:val="center"/>
          </w:tcPr>
          <w:p>
            <w:pPr>
              <w:jc w:val="center"/>
              <w:rPr>
                <w:color w:val="auto"/>
                <w:spacing w:val="1"/>
                <w:kern w:val="0"/>
                <w:sz w:val="20"/>
                <w:szCs w:val="16"/>
                <w:highlight w:val="none"/>
              </w:rPr>
            </w:pPr>
            <w:r>
              <w:rPr>
                <w:color w:val="auto"/>
                <w:spacing w:val="1"/>
                <w:kern w:val="0"/>
                <w:sz w:val="20"/>
                <w:szCs w:val="16"/>
                <w:highlight w:val="none"/>
              </w:rPr>
              <w:t>镶嵌碎裂</w:t>
            </w:r>
            <w:r>
              <w:rPr>
                <w:rFonts w:hint="eastAsia"/>
                <w:color w:val="auto"/>
                <w:spacing w:val="1"/>
                <w:kern w:val="0"/>
                <w:sz w:val="20"/>
                <w:szCs w:val="16"/>
                <w:highlight w:val="none"/>
              </w:rPr>
              <w:t>结构</w:t>
            </w:r>
          </w:p>
        </w:tc>
        <w:tc>
          <w:tcPr>
            <w:tcW w:w="1728" w:type="dxa"/>
            <w:vMerge w:val="continue"/>
            <w:vAlign w:val="center"/>
          </w:tcPr>
          <w:p>
            <w:pPr>
              <w:jc w:val="center"/>
              <w:rPr>
                <w:color w:val="auto"/>
                <w:spacing w:val="1"/>
                <w:kern w:val="0"/>
                <w:sz w:val="20"/>
                <w:szCs w:val="16"/>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6" w:hRule="atLeast"/>
          <w:jc w:val="center"/>
        </w:trPr>
        <w:tc>
          <w:tcPr>
            <w:tcW w:w="1106" w:type="dxa"/>
            <w:vMerge w:val="continue"/>
            <w:vAlign w:val="center"/>
          </w:tcPr>
          <w:p>
            <w:pPr>
              <w:jc w:val="center"/>
              <w:rPr>
                <w:color w:val="auto"/>
                <w:spacing w:val="1"/>
                <w:kern w:val="0"/>
                <w:sz w:val="20"/>
                <w:szCs w:val="16"/>
                <w:highlight w:val="none"/>
              </w:rPr>
            </w:pPr>
          </w:p>
        </w:tc>
        <w:tc>
          <w:tcPr>
            <w:tcW w:w="1724" w:type="dxa"/>
            <w:vMerge w:val="continue"/>
            <w:vAlign w:val="center"/>
          </w:tcPr>
          <w:p>
            <w:pPr>
              <w:jc w:val="center"/>
              <w:rPr>
                <w:color w:val="auto"/>
                <w:spacing w:val="1"/>
                <w:kern w:val="0"/>
                <w:sz w:val="20"/>
                <w:szCs w:val="16"/>
                <w:highlight w:val="none"/>
              </w:rPr>
            </w:pPr>
          </w:p>
        </w:tc>
        <w:tc>
          <w:tcPr>
            <w:tcW w:w="1749" w:type="dxa"/>
            <w:vAlign w:val="center"/>
          </w:tcPr>
          <w:p>
            <w:pPr>
              <w:jc w:val="center"/>
              <w:rPr>
                <w:color w:val="auto"/>
                <w:spacing w:val="1"/>
                <w:kern w:val="0"/>
                <w:sz w:val="20"/>
                <w:szCs w:val="16"/>
                <w:highlight w:val="none"/>
              </w:rPr>
            </w:pPr>
            <w:r>
              <w:rPr>
                <w:rFonts w:hint="eastAsia"/>
                <w:color w:val="auto"/>
                <w:spacing w:val="1"/>
                <w:kern w:val="0"/>
                <w:sz w:val="20"/>
                <w:szCs w:val="16"/>
                <w:highlight w:val="none"/>
              </w:rPr>
              <w:t>一般</w:t>
            </w:r>
          </w:p>
        </w:tc>
        <w:tc>
          <w:tcPr>
            <w:tcW w:w="1950" w:type="dxa"/>
            <w:vAlign w:val="center"/>
          </w:tcPr>
          <w:p>
            <w:pPr>
              <w:jc w:val="center"/>
              <w:rPr>
                <w:color w:val="auto"/>
                <w:spacing w:val="1"/>
                <w:kern w:val="0"/>
                <w:sz w:val="20"/>
                <w:szCs w:val="16"/>
                <w:highlight w:val="none"/>
              </w:rPr>
            </w:pPr>
            <w:r>
              <w:rPr>
                <w:rFonts w:hint="eastAsia"/>
                <w:color w:val="auto"/>
                <w:spacing w:val="1"/>
                <w:kern w:val="0"/>
                <w:sz w:val="20"/>
                <w:szCs w:val="16"/>
                <w:highlight w:val="none"/>
              </w:rPr>
              <w:t>薄层状结构</w:t>
            </w:r>
          </w:p>
        </w:tc>
        <w:tc>
          <w:tcPr>
            <w:tcW w:w="1728" w:type="dxa"/>
            <w:vMerge w:val="continue"/>
            <w:vAlign w:val="center"/>
          </w:tcPr>
          <w:p>
            <w:pPr>
              <w:jc w:val="center"/>
              <w:rPr>
                <w:color w:val="auto"/>
                <w:spacing w:val="1"/>
                <w:kern w:val="0"/>
                <w:sz w:val="20"/>
                <w:szCs w:val="16"/>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95" w:hRule="atLeast"/>
          <w:jc w:val="center"/>
        </w:trPr>
        <w:tc>
          <w:tcPr>
            <w:tcW w:w="1106" w:type="dxa"/>
            <w:vMerge w:val="restart"/>
            <w:vAlign w:val="center"/>
          </w:tcPr>
          <w:p>
            <w:pPr>
              <w:jc w:val="center"/>
              <w:rPr>
                <w:color w:val="auto"/>
                <w:spacing w:val="1"/>
                <w:kern w:val="0"/>
                <w:sz w:val="20"/>
                <w:szCs w:val="16"/>
                <w:highlight w:val="none"/>
              </w:rPr>
            </w:pPr>
            <w:r>
              <w:rPr>
                <w:color w:val="auto"/>
                <w:spacing w:val="1"/>
                <w:kern w:val="0"/>
                <w:sz w:val="20"/>
                <w:szCs w:val="16"/>
                <w:highlight w:val="none"/>
              </w:rPr>
              <w:t>破碎</w:t>
            </w:r>
          </w:p>
        </w:tc>
        <w:tc>
          <w:tcPr>
            <w:tcW w:w="1724" w:type="dxa"/>
            <w:vAlign w:val="center"/>
          </w:tcPr>
          <w:p>
            <w:pPr>
              <w:jc w:val="center"/>
              <w:rPr>
                <w:color w:val="auto"/>
                <w:spacing w:val="1"/>
                <w:kern w:val="0"/>
                <w:sz w:val="20"/>
                <w:szCs w:val="16"/>
                <w:highlight w:val="none"/>
              </w:rPr>
            </w:pPr>
            <w:r>
              <w:rPr>
                <w:color w:val="auto"/>
                <w:spacing w:val="1"/>
                <w:kern w:val="0"/>
                <w:sz w:val="20"/>
                <w:szCs w:val="16"/>
                <w:highlight w:val="none"/>
              </w:rPr>
              <w:t>0.4~0.2</w:t>
            </w:r>
          </w:p>
        </w:tc>
        <w:tc>
          <w:tcPr>
            <w:tcW w:w="1749" w:type="dxa"/>
            <w:vAlign w:val="center"/>
          </w:tcPr>
          <w:p>
            <w:pPr>
              <w:jc w:val="center"/>
              <w:rPr>
                <w:color w:val="auto"/>
                <w:spacing w:val="1"/>
                <w:kern w:val="0"/>
                <w:sz w:val="20"/>
                <w:szCs w:val="16"/>
                <w:highlight w:val="none"/>
              </w:rPr>
            </w:pPr>
            <w:r>
              <w:rPr>
                <w:rFonts w:hint="eastAsia"/>
                <w:color w:val="auto"/>
                <w:spacing w:val="1"/>
                <w:kern w:val="0"/>
                <w:sz w:val="20"/>
                <w:szCs w:val="16"/>
                <w:highlight w:val="none"/>
              </w:rPr>
              <w:t>差</w:t>
            </w:r>
          </w:p>
        </w:tc>
        <w:tc>
          <w:tcPr>
            <w:tcW w:w="1950" w:type="dxa"/>
            <w:vAlign w:val="center"/>
          </w:tcPr>
          <w:p>
            <w:pPr>
              <w:jc w:val="center"/>
              <w:rPr>
                <w:color w:val="auto"/>
                <w:spacing w:val="1"/>
                <w:kern w:val="0"/>
                <w:sz w:val="20"/>
                <w:szCs w:val="16"/>
                <w:highlight w:val="none"/>
              </w:rPr>
            </w:pPr>
            <w:r>
              <w:rPr>
                <w:rFonts w:hint="eastAsia"/>
                <w:color w:val="auto"/>
                <w:spacing w:val="1"/>
                <w:kern w:val="0"/>
                <w:sz w:val="20"/>
                <w:szCs w:val="16"/>
                <w:highlight w:val="none"/>
              </w:rPr>
              <w:t>裂隙块</w:t>
            </w:r>
            <w:r>
              <w:rPr>
                <w:color w:val="auto"/>
                <w:spacing w:val="1"/>
                <w:kern w:val="0"/>
                <w:sz w:val="20"/>
                <w:szCs w:val="16"/>
                <w:highlight w:val="none"/>
              </w:rPr>
              <w:t>状结构</w:t>
            </w:r>
          </w:p>
        </w:tc>
        <w:tc>
          <w:tcPr>
            <w:tcW w:w="1728" w:type="dxa"/>
            <w:vMerge w:val="restart"/>
            <w:vAlign w:val="center"/>
          </w:tcPr>
          <w:p>
            <w:pPr>
              <w:jc w:val="center"/>
              <w:rPr>
                <w:color w:val="auto"/>
                <w:spacing w:val="1"/>
                <w:kern w:val="0"/>
                <w:sz w:val="20"/>
                <w:szCs w:val="16"/>
                <w:highlight w:val="none"/>
              </w:rPr>
            </w:pPr>
            <w:r>
              <w:rPr>
                <w:rFonts w:hint="eastAsia"/>
                <w:color w:val="auto"/>
                <w:sz w:val="20"/>
                <w:szCs w:val="20"/>
                <w:highlight w:val="none"/>
              </w:rPr>
              <w:t>20</w:t>
            </w:r>
            <w:r>
              <w:rPr>
                <w:rFonts w:hint="eastAsia" w:ascii="宋体" w:hAnsi="宋体" w:cs="宋体"/>
                <w:color w:val="auto"/>
                <w:sz w:val="20"/>
                <w:szCs w:val="20"/>
                <w:highlight w:val="none"/>
              </w:rPr>
              <w:t>≤</w:t>
            </w:r>
            <w:r>
              <w:rPr>
                <w:rFonts w:hint="eastAsia"/>
                <w:i/>
                <w:iCs/>
                <w:color w:val="auto"/>
                <w:spacing w:val="1"/>
                <w:kern w:val="0"/>
                <w:sz w:val="20"/>
                <w:szCs w:val="16"/>
                <w:highlight w:val="none"/>
              </w:rPr>
              <w:t>J</w:t>
            </w:r>
            <w:r>
              <w:rPr>
                <w:rFonts w:hint="eastAsia"/>
                <w:color w:val="auto"/>
                <w:spacing w:val="1"/>
                <w:kern w:val="0"/>
                <w:sz w:val="20"/>
                <w:szCs w:val="16"/>
                <w:highlight w:val="none"/>
                <w:vertAlign w:val="subscript"/>
              </w:rPr>
              <w:t>v</w:t>
            </w:r>
            <w:r>
              <w:rPr>
                <w:rFonts w:hint="eastAsia"/>
                <w:color w:val="auto"/>
                <w:spacing w:val="1"/>
                <w:kern w:val="0"/>
                <w:sz w:val="20"/>
                <w:szCs w:val="16"/>
                <w:highlight w:val="none"/>
              </w:rPr>
              <w:t>&lt;</w:t>
            </w:r>
            <w:r>
              <w:rPr>
                <w:rFonts w:hint="eastAsia"/>
                <w:color w:val="auto"/>
                <w:sz w:val="20"/>
                <w:szCs w:val="20"/>
                <w:highlight w:val="none"/>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106" w:type="dxa"/>
            <w:vMerge w:val="continue"/>
            <w:vAlign w:val="center"/>
          </w:tcPr>
          <w:p>
            <w:pPr>
              <w:jc w:val="center"/>
              <w:rPr>
                <w:color w:val="auto"/>
                <w:spacing w:val="1"/>
                <w:kern w:val="0"/>
                <w:sz w:val="20"/>
                <w:szCs w:val="16"/>
                <w:highlight w:val="none"/>
              </w:rPr>
            </w:pPr>
          </w:p>
        </w:tc>
        <w:tc>
          <w:tcPr>
            <w:tcW w:w="1724" w:type="dxa"/>
            <w:vAlign w:val="center"/>
          </w:tcPr>
          <w:p>
            <w:pPr>
              <w:jc w:val="center"/>
              <w:rPr>
                <w:color w:val="auto"/>
                <w:spacing w:val="1"/>
                <w:kern w:val="0"/>
                <w:sz w:val="20"/>
                <w:szCs w:val="16"/>
                <w:highlight w:val="none"/>
              </w:rPr>
            </w:pPr>
            <w:r>
              <w:rPr>
                <w:color w:val="auto"/>
                <w:spacing w:val="1"/>
                <w:kern w:val="0"/>
                <w:sz w:val="20"/>
                <w:szCs w:val="16"/>
                <w:highlight w:val="none"/>
              </w:rPr>
              <w:t>&lt;0.2</w:t>
            </w:r>
          </w:p>
        </w:tc>
        <w:tc>
          <w:tcPr>
            <w:tcW w:w="1749" w:type="dxa"/>
            <w:vAlign w:val="center"/>
          </w:tcPr>
          <w:p>
            <w:pPr>
              <w:jc w:val="center"/>
              <w:rPr>
                <w:color w:val="auto"/>
                <w:spacing w:val="1"/>
                <w:kern w:val="0"/>
                <w:sz w:val="20"/>
                <w:szCs w:val="16"/>
                <w:highlight w:val="none"/>
              </w:rPr>
            </w:pPr>
            <w:r>
              <w:rPr>
                <w:rFonts w:hint="eastAsia"/>
                <w:color w:val="auto"/>
                <w:spacing w:val="1"/>
                <w:kern w:val="0"/>
                <w:sz w:val="20"/>
                <w:szCs w:val="16"/>
                <w:highlight w:val="none"/>
              </w:rPr>
              <w:t>一般或差</w:t>
            </w:r>
          </w:p>
        </w:tc>
        <w:tc>
          <w:tcPr>
            <w:tcW w:w="1950" w:type="dxa"/>
            <w:vAlign w:val="center"/>
          </w:tcPr>
          <w:p>
            <w:pPr>
              <w:jc w:val="center"/>
              <w:rPr>
                <w:color w:val="auto"/>
                <w:spacing w:val="1"/>
                <w:kern w:val="0"/>
                <w:sz w:val="20"/>
                <w:szCs w:val="16"/>
                <w:highlight w:val="none"/>
              </w:rPr>
            </w:pPr>
            <w:r>
              <w:rPr>
                <w:color w:val="auto"/>
                <w:spacing w:val="1"/>
                <w:kern w:val="0"/>
                <w:sz w:val="20"/>
                <w:szCs w:val="16"/>
                <w:highlight w:val="none"/>
              </w:rPr>
              <w:t>碎裂状结构</w:t>
            </w:r>
          </w:p>
        </w:tc>
        <w:tc>
          <w:tcPr>
            <w:tcW w:w="1728" w:type="dxa"/>
            <w:vMerge w:val="continue"/>
            <w:vAlign w:val="center"/>
          </w:tcPr>
          <w:p>
            <w:pPr>
              <w:jc w:val="center"/>
              <w:rPr>
                <w:color w:val="auto"/>
                <w:spacing w:val="1"/>
                <w:kern w:val="0"/>
                <w:sz w:val="20"/>
                <w:szCs w:val="16"/>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106" w:type="dxa"/>
            <w:vAlign w:val="center"/>
          </w:tcPr>
          <w:p>
            <w:pPr>
              <w:jc w:val="center"/>
              <w:rPr>
                <w:color w:val="auto"/>
                <w:spacing w:val="1"/>
                <w:kern w:val="0"/>
                <w:sz w:val="20"/>
                <w:szCs w:val="16"/>
                <w:highlight w:val="none"/>
              </w:rPr>
            </w:pPr>
            <w:r>
              <w:rPr>
                <w:color w:val="auto"/>
                <w:spacing w:val="1"/>
                <w:kern w:val="0"/>
                <w:sz w:val="20"/>
                <w:szCs w:val="16"/>
                <w:highlight w:val="none"/>
              </w:rPr>
              <w:t>极破碎</w:t>
            </w:r>
          </w:p>
        </w:tc>
        <w:tc>
          <w:tcPr>
            <w:tcW w:w="1724" w:type="dxa"/>
            <w:vAlign w:val="center"/>
          </w:tcPr>
          <w:p>
            <w:pPr>
              <w:jc w:val="center"/>
              <w:rPr>
                <w:color w:val="auto"/>
                <w:spacing w:val="1"/>
                <w:kern w:val="0"/>
                <w:sz w:val="20"/>
                <w:szCs w:val="16"/>
                <w:highlight w:val="none"/>
              </w:rPr>
            </w:pPr>
            <w:r>
              <w:rPr>
                <w:color w:val="auto"/>
                <w:spacing w:val="1"/>
                <w:kern w:val="0"/>
                <w:sz w:val="20"/>
                <w:szCs w:val="16"/>
                <w:highlight w:val="none"/>
              </w:rPr>
              <w:t>无序，不可测量</w:t>
            </w:r>
          </w:p>
        </w:tc>
        <w:tc>
          <w:tcPr>
            <w:tcW w:w="1749" w:type="dxa"/>
            <w:vAlign w:val="center"/>
          </w:tcPr>
          <w:p>
            <w:pPr>
              <w:jc w:val="center"/>
              <w:rPr>
                <w:color w:val="auto"/>
                <w:spacing w:val="1"/>
                <w:kern w:val="0"/>
                <w:sz w:val="20"/>
                <w:szCs w:val="16"/>
                <w:highlight w:val="none"/>
              </w:rPr>
            </w:pPr>
            <w:r>
              <w:rPr>
                <w:rFonts w:hint="eastAsia"/>
                <w:color w:val="auto"/>
                <w:spacing w:val="1"/>
                <w:kern w:val="0"/>
                <w:sz w:val="20"/>
                <w:szCs w:val="16"/>
                <w:highlight w:val="none"/>
              </w:rPr>
              <w:t>很差</w:t>
            </w:r>
          </w:p>
        </w:tc>
        <w:tc>
          <w:tcPr>
            <w:tcW w:w="1950" w:type="dxa"/>
            <w:vAlign w:val="center"/>
          </w:tcPr>
          <w:p>
            <w:pPr>
              <w:jc w:val="center"/>
              <w:rPr>
                <w:color w:val="auto"/>
                <w:spacing w:val="1"/>
                <w:kern w:val="0"/>
                <w:sz w:val="20"/>
                <w:szCs w:val="16"/>
                <w:highlight w:val="none"/>
              </w:rPr>
            </w:pPr>
            <w:r>
              <w:rPr>
                <w:color w:val="auto"/>
                <w:spacing w:val="1"/>
                <w:kern w:val="0"/>
                <w:sz w:val="20"/>
                <w:szCs w:val="16"/>
                <w:highlight w:val="none"/>
              </w:rPr>
              <w:t>散体状结构</w:t>
            </w:r>
          </w:p>
        </w:tc>
        <w:tc>
          <w:tcPr>
            <w:tcW w:w="1728" w:type="dxa"/>
            <w:vAlign w:val="center"/>
          </w:tcPr>
          <w:p>
            <w:pPr>
              <w:jc w:val="center"/>
              <w:rPr>
                <w:color w:val="auto"/>
                <w:spacing w:val="1"/>
                <w:kern w:val="0"/>
                <w:sz w:val="20"/>
                <w:szCs w:val="16"/>
                <w:highlight w:val="none"/>
              </w:rPr>
            </w:pPr>
            <w:r>
              <w:rPr>
                <w:rFonts w:hint="eastAsia"/>
                <w:i/>
                <w:iCs/>
                <w:color w:val="auto"/>
                <w:spacing w:val="1"/>
                <w:kern w:val="0"/>
                <w:sz w:val="20"/>
                <w:szCs w:val="16"/>
                <w:highlight w:val="none"/>
              </w:rPr>
              <w:t>J</w:t>
            </w:r>
            <w:r>
              <w:rPr>
                <w:rFonts w:hint="eastAsia"/>
                <w:color w:val="auto"/>
                <w:spacing w:val="1"/>
                <w:kern w:val="0"/>
                <w:sz w:val="20"/>
                <w:szCs w:val="16"/>
                <w:highlight w:val="none"/>
                <w:vertAlign w:val="subscript"/>
              </w:rPr>
              <w:t>v</w:t>
            </w:r>
            <w:r>
              <w:rPr>
                <w:rFonts w:hint="eastAsia" w:ascii="宋体" w:hAnsi="宋体" w:cs="宋体"/>
                <w:color w:val="auto"/>
                <w:sz w:val="18"/>
                <w:szCs w:val="18"/>
                <w:highlight w:val="none"/>
              </w:rPr>
              <w:t>≥</w:t>
            </w:r>
            <w:r>
              <w:rPr>
                <w:rFonts w:hint="eastAsia"/>
                <w:color w:val="auto"/>
                <w:sz w:val="20"/>
                <w:szCs w:val="20"/>
                <w:highlight w:val="none"/>
              </w:rPr>
              <w:t>35</w:t>
            </w:r>
          </w:p>
        </w:tc>
      </w:tr>
    </w:tbl>
    <w:p>
      <w:pPr>
        <w:autoSpaceDE w:val="0"/>
        <w:autoSpaceDN w:val="0"/>
        <w:adjustRightInd w:val="0"/>
        <w:spacing w:before="156" w:beforeLines="50" w:line="360" w:lineRule="auto"/>
        <w:jc w:val="left"/>
        <w:rPr>
          <w:color w:val="auto"/>
          <w:szCs w:val="21"/>
          <w:highlight w:val="none"/>
        </w:rPr>
      </w:pPr>
      <w:r>
        <w:rPr>
          <w:b/>
          <w:bCs/>
          <w:color w:val="auto"/>
          <w:szCs w:val="21"/>
          <w:highlight w:val="none"/>
        </w:rPr>
        <w:t>4.1.</w:t>
      </w:r>
      <w:r>
        <w:rPr>
          <w:rFonts w:hint="eastAsia"/>
          <w:b/>
          <w:bCs/>
          <w:color w:val="auto"/>
          <w:szCs w:val="21"/>
          <w:highlight w:val="none"/>
        </w:rPr>
        <w:t>7　</w:t>
      </w:r>
      <w:r>
        <w:rPr>
          <w:color w:val="auto"/>
          <w:szCs w:val="21"/>
          <w:highlight w:val="none"/>
        </w:rPr>
        <w:t>岩层厚度类别可根据单层厚度按表4.1.</w:t>
      </w:r>
      <w:r>
        <w:rPr>
          <w:rFonts w:hint="eastAsia"/>
          <w:color w:val="auto"/>
          <w:szCs w:val="21"/>
          <w:highlight w:val="none"/>
        </w:rPr>
        <w:t>7</w:t>
      </w:r>
      <w:r>
        <w:rPr>
          <w:color w:val="auto"/>
          <w:szCs w:val="21"/>
          <w:highlight w:val="none"/>
        </w:rPr>
        <w:t>划分。</w:t>
      </w:r>
    </w:p>
    <w:p>
      <w:pPr>
        <w:autoSpaceDE w:val="0"/>
        <w:autoSpaceDN w:val="0"/>
        <w:adjustRightInd w:val="0"/>
        <w:spacing w:line="360" w:lineRule="auto"/>
        <w:ind w:firstLine="422" w:firstLineChars="200"/>
        <w:jc w:val="center"/>
        <w:rPr>
          <w:b/>
          <w:bCs/>
          <w:color w:val="auto"/>
          <w:spacing w:val="12"/>
          <w:kern w:val="0"/>
          <w:szCs w:val="18"/>
          <w:highlight w:val="none"/>
        </w:rPr>
      </w:pPr>
      <w:r>
        <w:rPr>
          <w:b/>
          <w:color w:val="auto"/>
          <w:szCs w:val="21"/>
          <w:highlight w:val="none"/>
        </w:rPr>
        <w:t>表</w:t>
      </w:r>
      <w:r>
        <w:rPr>
          <w:b/>
          <w:bCs/>
          <w:color w:val="auto"/>
          <w:spacing w:val="12"/>
          <w:kern w:val="0"/>
          <w:szCs w:val="18"/>
          <w:highlight w:val="none"/>
        </w:rPr>
        <w:t>4.1.</w:t>
      </w:r>
      <w:r>
        <w:rPr>
          <w:rFonts w:hint="eastAsia"/>
          <w:b/>
          <w:bCs/>
          <w:color w:val="auto"/>
          <w:spacing w:val="12"/>
          <w:kern w:val="0"/>
          <w:szCs w:val="18"/>
          <w:highlight w:val="none"/>
        </w:rPr>
        <w:t>7</w:t>
      </w:r>
      <w:r>
        <w:rPr>
          <w:b/>
          <w:bCs/>
          <w:color w:val="auto"/>
          <w:spacing w:val="12"/>
          <w:kern w:val="0"/>
          <w:szCs w:val="18"/>
          <w:highlight w:val="none"/>
        </w:rPr>
        <w:t xml:space="preserve"> 岩层按单层厚度划分</w:t>
      </w:r>
    </w:p>
    <w:tbl>
      <w:tblPr>
        <w:tblStyle w:val="22"/>
        <w:tblW w:w="828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656"/>
        <w:gridCol w:w="1656"/>
        <w:gridCol w:w="1656"/>
        <w:gridCol w:w="16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tcPr>
          <w:p>
            <w:pPr>
              <w:autoSpaceDE w:val="0"/>
              <w:autoSpaceDN w:val="0"/>
              <w:adjustRightInd w:val="0"/>
              <w:jc w:val="center"/>
              <w:rPr>
                <w:color w:val="auto"/>
                <w:kern w:val="0"/>
                <w:sz w:val="20"/>
                <w:szCs w:val="20"/>
                <w:highlight w:val="none"/>
              </w:rPr>
            </w:pPr>
            <w:r>
              <w:rPr>
                <w:color w:val="auto"/>
                <w:kern w:val="0"/>
                <w:sz w:val="20"/>
                <w:szCs w:val="20"/>
                <w:highlight w:val="none"/>
              </w:rPr>
              <w:t>厚度</w:t>
            </w:r>
            <w:r>
              <w:rPr>
                <w:i/>
                <w:iCs/>
                <w:color w:val="auto"/>
                <w:kern w:val="0"/>
                <w:sz w:val="20"/>
                <w:szCs w:val="20"/>
                <w:highlight w:val="none"/>
              </w:rPr>
              <w:t>h</w:t>
            </w:r>
            <w:r>
              <w:rPr>
                <w:color w:val="auto"/>
                <w:kern w:val="0"/>
                <w:sz w:val="20"/>
                <w:szCs w:val="20"/>
                <w:highlight w:val="none"/>
              </w:rPr>
              <w:t>(m)</w:t>
            </w:r>
          </w:p>
        </w:tc>
        <w:tc>
          <w:tcPr>
            <w:tcW w:w="1656" w:type="dxa"/>
            <w:shd w:val="clear" w:color="auto" w:fill="auto"/>
          </w:tcPr>
          <w:p>
            <w:pPr>
              <w:autoSpaceDE w:val="0"/>
              <w:autoSpaceDN w:val="0"/>
              <w:adjustRightInd w:val="0"/>
              <w:jc w:val="center"/>
              <w:rPr>
                <w:color w:val="auto"/>
                <w:kern w:val="0"/>
                <w:sz w:val="20"/>
                <w:szCs w:val="20"/>
                <w:highlight w:val="none"/>
              </w:rPr>
            </w:pPr>
            <w:r>
              <w:rPr>
                <w:i/>
                <w:iCs/>
                <w:color w:val="auto"/>
                <w:kern w:val="0"/>
                <w:sz w:val="20"/>
                <w:szCs w:val="20"/>
                <w:highlight w:val="none"/>
              </w:rPr>
              <w:t xml:space="preserve">h </w:t>
            </w:r>
            <w:r>
              <w:rPr>
                <w:color w:val="auto"/>
                <w:kern w:val="0"/>
                <w:sz w:val="20"/>
                <w:szCs w:val="20"/>
                <w:highlight w:val="none"/>
              </w:rPr>
              <w:t>&gt;1.0</w:t>
            </w:r>
          </w:p>
        </w:tc>
        <w:tc>
          <w:tcPr>
            <w:tcW w:w="1656" w:type="dxa"/>
            <w:shd w:val="clear" w:color="auto" w:fill="auto"/>
          </w:tcPr>
          <w:p>
            <w:pPr>
              <w:autoSpaceDE w:val="0"/>
              <w:autoSpaceDN w:val="0"/>
              <w:adjustRightInd w:val="0"/>
              <w:jc w:val="center"/>
              <w:rPr>
                <w:color w:val="auto"/>
                <w:kern w:val="0"/>
                <w:sz w:val="20"/>
                <w:szCs w:val="20"/>
                <w:highlight w:val="none"/>
              </w:rPr>
            </w:pPr>
            <w:r>
              <w:rPr>
                <w:color w:val="auto"/>
                <w:kern w:val="0"/>
                <w:sz w:val="20"/>
                <w:szCs w:val="20"/>
                <w:highlight w:val="none"/>
              </w:rPr>
              <w:t>1.0</w:t>
            </w:r>
            <w:r>
              <w:rPr>
                <w:rFonts w:hint="eastAsia" w:ascii="宋体" w:hAnsi="宋体" w:cs="宋体"/>
                <w:color w:val="auto"/>
                <w:sz w:val="20"/>
                <w:szCs w:val="20"/>
                <w:highlight w:val="none"/>
              </w:rPr>
              <w:t>≥</w:t>
            </w:r>
            <w:r>
              <w:rPr>
                <w:i/>
                <w:iCs/>
                <w:color w:val="auto"/>
                <w:kern w:val="0"/>
                <w:sz w:val="20"/>
                <w:szCs w:val="20"/>
                <w:highlight w:val="none"/>
              </w:rPr>
              <w:t>h</w:t>
            </w:r>
            <w:r>
              <w:rPr>
                <w:color w:val="auto"/>
                <w:kern w:val="0"/>
                <w:sz w:val="20"/>
                <w:szCs w:val="20"/>
                <w:highlight w:val="none"/>
              </w:rPr>
              <w:t xml:space="preserve"> &gt; 0.5</w:t>
            </w:r>
          </w:p>
        </w:tc>
        <w:tc>
          <w:tcPr>
            <w:tcW w:w="1656" w:type="dxa"/>
            <w:shd w:val="clear" w:color="auto" w:fill="auto"/>
          </w:tcPr>
          <w:p>
            <w:pPr>
              <w:autoSpaceDE w:val="0"/>
              <w:autoSpaceDN w:val="0"/>
              <w:adjustRightInd w:val="0"/>
              <w:jc w:val="center"/>
              <w:rPr>
                <w:color w:val="auto"/>
                <w:kern w:val="0"/>
                <w:sz w:val="20"/>
                <w:szCs w:val="20"/>
                <w:highlight w:val="none"/>
              </w:rPr>
            </w:pPr>
            <w:r>
              <w:rPr>
                <w:color w:val="auto"/>
                <w:kern w:val="0"/>
                <w:sz w:val="20"/>
                <w:szCs w:val="20"/>
                <w:highlight w:val="none"/>
              </w:rPr>
              <w:t>0.5</w:t>
            </w:r>
            <w:r>
              <w:rPr>
                <w:rFonts w:hint="eastAsia" w:ascii="宋体" w:hAnsi="宋体" w:cs="宋体"/>
                <w:color w:val="auto"/>
                <w:sz w:val="20"/>
                <w:szCs w:val="20"/>
                <w:highlight w:val="none"/>
              </w:rPr>
              <w:t>≥</w:t>
            </w:r>
            <w:r>
              <w:rPr>
                <w:i/>
                <w:iCs/>
                <w:color w:val="auto"/>
                <w:kern w:val="0"/>
                <w:sz w:val="20"/>
                <w:szCs w:val="20"/>
                <w:highlight w:val="none"/>
              </w:rPr>
              <w:t xml:space="preserve">h </w:t>
            </w:r>
            <w:r>
              <w:rPr>
                <w:color w:val="auto"/>
                <w:kern w:val="0"/>
                <w:sz w:val="20"/>
                <w:szCs w:val="20"/>
                <w:highlight w:val="none"/>
              </w:rPr>
              <w:t>&gt; 0.1</w:t>
            </w:r>
          </w:p>
        </w:tc>
        <w:tc>
          <w:tcPr>
            <w:tcW w:w="1659" w:type="dxa"/>
            <w:shd w:val="clear" w:color="auto" w:fill="auto"/>
          </w:tcPr>
          <w:p>
            <w:pPr>
              <w:autoSpaceDE w:val="0"/>
              <w:autoSpaceDN w:val="0"/>
              <w:adjustRightInd w:val="0"/>
              <w:jc w:val="center"/>
              <w:rPr>
                <w:color w:val="auto"/>
                <w:kern w:val="0"/>
                <w:sz w:val="20"/>
                <w:szCs w:val="20"/>
                <w:highlight w:val="none"/>
              </w:rPr>
            </w:pPr>
            <w:r>
              <w:rPr>
                <w:i/>
                <w:iCs/>
                <w:color w:val="auto"/>
                <w:kern w:val="0"/>
                <w:sz w:val="20"/>
                <w:szCs w:val="20"/>
                <w:highlight w:val="none"/>
              </w:rPr>
              <w:t>h</w:t>
            </w:r>
            <w:r>
              <w:rPr>
                <w:rFonts w:hint="eastAsia" w:ascii="宋体" w:hAnsi="宋体" w:cs="宋体"/>
                <w:color w:val="auto"/>
                <w:sz w:val="20"/>
                <w:szCs w:val="20"/>
                <w:highlight w:val="none"/>
              </w:rPr>
              <w:t>≤</w:t>
            </w:r>
            <w:r>
              <w:rPr>
                <w:color w:val="auto"/>
                <w:kern w:val="0"/>
                <w:sz w:val="20"/>
                <w:szCs w:val="20"/>
                <w:highlight w:val="none"/>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tcPr>
          <w:p>
            <w:pPr>
              <w:autoSpaceDE w:val="0"/>
              <w:autoSpaceDN w:val="0"/>
              <w:adjustRightInd w:val="0"/>
              <w:jc w:val="center"/>
              <w:rPr>
                <w:color w:val="auto"/>
                <w:kern w:val="0"/>
                <w:sz w:val="20"/>
                <w:szCs w:val="20"/>
                <w:highlight w:val="none"/>
              </w:rPr>
            </w:pPr>
            <w:r>
              <w:rPr>
                <w:color w:val="auto"/>
                <w:kern w:val="0"/>
                <w:sz w:val="20"/>
                <w:szCs w:val="20"/>
                <w:highlight w:val="none"/>
              </w:rPr>
              <w:t>类别</w:t>
            </w:r>
          </w:p>
        </w:tc>
        <w:tc>
          <w:tcPr>
            <w:tcW w:w="1656" w:type="dxa"/>
            <w:shd w:val="clear" w:color="auto" w:fill="auto"/>
          </w:tcPr>
          <w:p>
            <w:pPr>
              <w:autoSpaceDE w:val="0"/>
              <w:autoSpaceDN w:val="0"/>
              <w:adjustRightInd w:val="0"/>
              <w:jc w:val="center"/>
              <w:rPr>
                <w:color w:val="auto"/>
                <w:kern w:val="0"/>
                <w:sz w:val="20"/>
                <w:szCs w:val="20"/>
                <w:highlight w:val="none"/>
              </w:rPr>
            </w:pPr>
            <w:r>
              <w:rPr>
                <w:color w:val="auto"/>
                <w:kern w:val="0"/>
                <w:sz w:val="20"/>
                <w:szCs w:val="20"/>
                <w:highlight w:val="none"/>
              </w:rPr>
              <w:t>巨厚层</w:t>
            </w:r>
          </w:p>
        </w:tc>
        <w:tc>
          <w:tcPr>
            <w:tcW w:w="1656" w:type="dxa"/>
            <w:shd w:val="clear" w:color="auto" w:fill="auto"/>
          </w:tcPr>
          <w:p>
            <w:pPr>
              <w:autoSpaceDE w:val="0"/>
              <w:autoSpaceDN w:val="0"/>
              <w:adjustRightInd w:val="0"/>
              <w:jc w:val="center"/>
              <w:rPr>
                <w:color w:val="auto"/>
                <w:kern w:val="0"/>
                <w:sz w:val="20"/>
                <w:szCs w:val="20"/>
                <w:highlight w:val="none"/>
              </w:rPr>
            </w:pPr>
            <w:r>
              <w:rPr>
                <w:color w:val="auto"/>
                <w:kern w:val="0"/>
                <w:sz w:val="20"/>
                <w:szCs w:val="20"/>
                <w:highlight w:val="none"/>
              </w:rPr>
              <w:t>厚层</w:t>
            </w:r>
          </w:p>
        </w:tc>
        <w:tc>
          <w:tcPr>
            <w:tcW w:w="1656" w:type="dxa"/>
            <w:shd w:val="clear" w:color="auto" w:fill="auto"/>
          </w:tcPr>
          <w:p>
            <w:pPr>
              <w:autoSpaceDE w:val="0"/>
              <w:autoSpaceDN w:val="0"/>
              <w:adjustRightInd w:val="0"/>
              <w:jc w:val="center"/>
              <w:rPr>
                <w:color w:val="auto"/>
                <w:kern w:val="0"/>
                <w:sz w:val="20"/>
                <w:szCs w:val="20"/>
                <w:highlight w:val="none"/>
              </w:rPr>
            </w:pPr>
            <w:r>
              <w:rPr>
                <w:color w:val="auto"/>
                <w:kern w:val="0"/>
                <w:sz w:val="20"/>
                <w:szCs w:val="20"/>
                <w:highlight w:val="none"/>
              </w:rPr>
              <w:t>中厚层</w:t>
            </w:r>
          </w:p>
        </w:tc>
        <w:tc>
          <w:tcPr>
            <w:tcW w:w="1659" w:type="dxa"/>
            <w:shd w:val="clear" w:color="auto" w:fill="auto"/>
          </w:tcPr>
          <w:p>
            <w:pPr>
              <w:autoSpaceDE w:val="0"/>
              <w:autoSpaceDN w:val="0"/>
              <w:adjustRightInd w:val="0"/>
              <w:jc w:val="center"/>
              <w:rPr>
                <w:color w:val="auto"/>
                <w:kern w:val="0"/>
                <w:sz w:val="20"/>
                <w:szCs w:val="20"/>
                <w:highlight w:val="none"/>
              </w:rPr>
            </w:pPr>
            <w:r>
              <w:rPr>
                <w:color w:val="auto"/>
                <w:kern w:val="0"/>
                <w:sz w:val="20"/>
                <w:szCs w:val="20"/>
                <w:highlight w:val="none"/>
              </w:rPr>
              <w:t>薄层</w:t>
            </w:r>
          </w:p>
        </w:tc>
      </w:tr>
    </w:tbl>
    <w:p>
      <w:pPr>
        <w:spacing w:before="156" w:beforeLines="50" w:line="360" w:lineRule="auto"/>
        <w:rPr>
          <w:color w:val="auto"/>
          <w:szCs w:val="18"/>
          <w:highlight w:val="none"/>
        </w:rPr>
      </w:pPr>
      <w:r>
        <w:rPr>
          <w:rFonts w:hint="eastAsia"/>
          <w:b/>
          <w:bCs/>
          <w:color w:val="auto"/>
          <w:szCs w:val="18"/>
          <w:highlight w:val="none"/>
        </w:rPr>
        <w:t>4.1.8　</w:t>
      </w:r>
      <w:r>
        <w:rPr>
          <w:color w:val="auto"/>
          <w:szCs w:val="18"/>
          <w:highlight w:val="none"/>
        </w:rPr>
        <w:t>岩体结构类型可按表4.1.</w:t>
      </w:r>
      <w:r>
        <w:rPr>
          <w:rFonts w:hint="eastAsia"/>
          <w:color w:val="auto"/>
          <w:szCs w:val="18"/>
          <w:highlight w:val="none"/>
        </w:rPr>
        <w:t>8</w:t>
      </w:r>
      <w:r>
        <w:rPr>
          <w:color w:val="auto"/>
          <w:szCs w:val="18"/>
          <w:highlight w:val="none"/>
        </w:rPr>
        <w:t>划分。</w:t>
      </w:r>
    </w:p>
    <w:p>
      <w:pPr>
        <w:spacing w:line="360" w:lineRule="auto"/>
        <w:jc w:val="center"/>
        <w:rPr>
          <w:b/>
          <w:color w:val="auto"/>
          <w:szCs w:val="18"/>
          <w:highlight w:val="none"/>
        </w:rPr>
      </w:pPr>
      <w:r>
        <w:rPr>
          <w:b/>
          <w:color w:val="auto"/>
          <w:szCs w:val="21"/>
          <w:highlight w:val="none"/>
        </w:rPr>
        <w:t>表</w:t>
      </w:r>
      <w:r>
        <w:rPr>
          <w:b/>
          <w:color w:val="auto"/>
          <w:szCs w:val="18"/>
          <w:highlight w:val="none"/>
        </w:rPr>
        <w:t>4.1.</w:t>
      </w:r>
      <w:r>
        <w:rPr>
          <w:rFonts w:hint="eastAsia"/>
          <w:b/>
          <w:color w:val="auto"/>
          <w:szCs w:val="18"/>
          <w:highlight w:val="none"/>
        </w:rPr>
        <w:t>8</w:t>
      </w:r>
      <w:r>
        <w:rPr>
          <w:b/>
          <w:color w:val="auto"/>
          <w:szCs w:val="18"/>
          <w:highlight w:val="none"/>
        </w:rPr>
        <w:t xml:space="preserve"> 岩体结构类型划分</w:t>
      </w:r>
    </w:p>
    <w:tbl>
      <w:tblPr>
        <w:tblStyle w:val="22"/>
        <w:tblW w:w="823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2010"/>
        <w:gridCol w:w="2679"/>
        <w:gridCol w:w="21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38" w:type="dxa"/>
            <w:vAlign w:val="center"/>
          </w:tcPr>
          <w:p>
            <w:pPr>
              <w:jc w:val="center"/>
              <w:rPr>
                <w:color w:val="auto"/>
                <w:sz w:val="20"/>
                <w:szCs w:val="20"/>
                <w:highlight w:val="none"/>
              </w:rPr>
            </w:pPr>
            <w:r>
              <w:rPr>
                <w:color w:val="auto"/>
                <w:sz w:val="20"/>
                <w:szCs w:val="20"/>
                <w:highlight w:val="none"/>
              </w:rPr>
              <w:t>岩体结构类型</w:t>
            </w:r>
          </w:p>
        </w:tc>
        <w:tc>
          <w:tcPr>
            <w:tcW w:w="2010" w:type="dxa"/>
            <w:vAlign w:val="center"/>
          </w:tcPr>
          <w:p>
            <w:pPr>
              <w:jc w:val="center"/>
              <w:rPr>
                <w:color w:val="auto"/>
                <w:sz w:val="20"/>
                <w:szCs w:val="20"/>
                <w:highlight w:val="none"/>
              </w:rPr>
            </w:pPr>
            <w:r>
              <w:rPr>
                <w:color w:val="auto"/>
                <w:sz w:val="20"/>
                <w:szCs w:val="20"/>
                <w:highlight w:val="none"/>
              </w:rPr>
              <w:t>岩体地质类型</w:t>
            </w:r>
          </w:p>
        </w:tc>
        <w:tc>
          <w:tcPr>
            <w:tcW w:w="2679" w:type="dxa"/>
            <w:vAlign w:val="center"/>
          </w:tcPr>
          <w:p>
            <w:pPr>
              <w:jc w:val="center"/>
              <w:rPr>
                <w:color w:val="auto"/>
                <w:sz w:val="20"/>
                <w:szCs w:val="20"/>
                <w:highlight w:val="none"/>
              </w:rPr>
            </w:pPr>
            <w:r>
              <w:rPr>
                <w:color w:val="auto"/>
                <w:sz w:val="20"/>
                <w:szCs w:val="20"/>
                <w:highlight w:val="none"/>
              </w:rPr>
              <w:t>结构面发育情况</w:t>
            </w:r>
          </w:p>
        </w:tc>
        <w:tc>
          <w:tcPr>
            <w:tcW w:w="2105" w:type="dxa"/>
            <w:vAlign w:val="center"/>
          </w:tcPr>
          <w:p>
            <w:pPr>
              <w:jc w:val="center"/>
              <w:rPr>
                <w:color w:val="auto"/>
                <w:sz w:val="20"/>
                <w:szCs w:val="20"/>
                <w:highlight w:val="none"/>
              </w:rPr>
            </w:pPr>
            <w:r>
              <w:rPr>
                <w:color w:val="auto"/>
                <w:sz w:val="20"/>
                <w:szCs w:val="20"/>
                <w:highlight w:val="none"/>
              </w:rPr>
              <w:t>岩土工程特征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438" w:type="dxa"/>
            <w:vAlign w:val="center"/>
          </w:tcPr>
          <w:p>
            <w:pPr>
              <w:jc w:val="center"/>
              <w:rPr>
                <w:color w:val="auto"/>
                <w:sz w:val="20"/>
                <w:szCs w:val="20"/>
                <w:highlight w:val="none"/>
              </w:rPr>
            </w:pPr>
            <w:r>
              <w:rPr>
                <w:color w:val="auto"/>
                <w:sz w:val="20"/>
                <w:szCs w:val="20"/>
                <w:highlight w:val="none"/>
              </w:rPr>
              <w:t>整体状结构</w:t>
            </w:r>
          </w:p>
        </w:tc>
        <w:tc>
          <w:tcPr>
            <w:tcW w:w="2010" w:type="dxa"/>
            <w:vAlign w:val="center"/>
          </w:tcPr>
          <w:p>
            <w:pPr>
              <w:jc w:val="left"/>
              <w:rPr>
                <w:color w:val="auto"/>
                <w:sz w:val="20"/>
                <w:szCs w:val="20"/>
                <w:highlight w:val="none"/>
              </w:rPr>
            </w:pPr>
            <w:r>
              <w:rPr>
                <w:color w:val="auto"/>
                <w:sz w:val="20"/>
                <w:szCs w:val="20"/>
                <w:highlight w:val="none"/>
              </w:rPr>
              <w:t>均质、巨块状岩浆岩、变质岩，巨厚层沉积岩、变质岩</w:t>
            </w:r>
          </w:p>
        </w:tc>
        <w:tc>
          <w:tcPr>
            <w:tcW w:w="2679" w:type="dxa"/>
          </w:tcPr>
          <w:p>
            <w:pPr>
              <w:jc w:val="left"/>
              <w:rPr>
                <w:color w:val="auto"/>
                <w:sz w:val="20"/>
                <w:szCs w:val="20"/>
                <w:highlight w:val="none"/>
              </w:rPr>
            </w:pPr>
            <w:r>
              <w:rPr>
                <w:color w:val="auto"/>
                <w:sz w:val="20"/>
                <w:szCs w:val="20"/>
                <w:highlight w:val="none"/>
              </w:rPr>
              <w:t>以原生构造节理为主，多呈闭合型裂隙，结构面间距大于1.5m，一般1~2组</w:t>
            </w:r>
          </w:p>
        </w:tc>
        <w:tc>
          <w:tcPr>
            <w:tcW w:w="2105" w:type="dxa"/>
          </w:tcPr>
          <w:p>
            <w:pPr>
              <w:jc w:val="left"/>
              <w:rPr>
                <w:color w:val="auto"/>
                <w:sz w:val="20"/>
                <w:szCs w:val="20"/>
                <w:highlight w:val="none"/>
              </w:rPr>
            </w:pPr>
            <w:r>
              <w:rPr>
                <w:color w:val="auto"/>
                <w:sz w:val="20"/>
                <w:szCs w:val="20"/>
                <w:highlight w:val="none"/>
              </w:rPr>
              <w:t>整体性强度高，在变形特征上可视为均质弹性各向同性体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38" w:type="dxa"/>
            <w:vAlign w:val="center"/>
          </w:tcPr>
          <w:p>
            <w:pPr>
              <w:jc w:val="center"/>
              <w:rPr>
                <w:color w:val="auto"/>
                <w:sz w:val="20"/>
                <w:szCs w:val="20"/>
                <w:highlight w:val="none"/>
              </w:rPr>
            </w:pPr>
            <w:r>
              <w:rPr>
                <w:color w:val="auto"/>
                <w:sz w:val="20"/>
                <w:szCs w:val="20"/>
                <w:highlight w:val="none"/>
              </w:rPr>
              <w:t>块状结构</w:t>
            </w:r>
          </w:p>
        </w:tc>
        <w:tc>
          <w:tcPr>
            <w:tcW w:w="2010" w:type="dxa"/>
            <w:vAlign w:val="center"/>
          </w:tcPr>
          <w:p>
            <w:pPr>
              <w:jc w:val="left"/>
              <w:rPr>
                <w:color w:val="auto"/>
                <w:sz w:val="20"/>
                <w:szCs w:val="20"/>
                <w:highlight w:val="none"/>
              </w:rPr>
            </w:pPr>
            <w:r>
              <w:rPr>
                <w:color w:val="auto"/>
                <w:sz w:val="20"/>
                <w:szCs w:val="20"/>
                <w:highlight w:val="none"/>
              </w:rPr>
              <w:t>块状岩浆岩、变质岩</w:t>
            </w:r>
            <w:r>
              <w:rPr>
                <w:rFonts w:hint="eastAsia"/>
                <w:color w:val="auto"/>
                <w:sz w:val="20"/>
                <w:szCs w:val="20"/>
                <w:highlight w:val="none"/>
              </w:rPr>
              <w:t>，</w:t>
            </w:r>
            <w:r>
              <w:rPr>
                <w:color w:val="auto"/>
                <w:sz w:val="20"/>
                <w:szCs w:val="20"/>
                <w:highlight w:val="none"/>
              </w:rPr>
              <w:t>厚层状沉积岩、变质岩</w:t>
            </w:r>
          </w:p>
        </w:tc>
        <w:tc>
          <w:tcPr>
            <w:tcW w:w="2679" w:type="dxa"/>
            <w:vAlign w:val="center"/>
          </w:tcPr>
          <w:p>
            <w:pPr>
              <w:jc w:val="left"/>
              <w:rPr>
                <w:color w:val="auto"/>
                <w:sz w:val="20"/>
                <w:szCs w:val="20"/>
                <w:highlight w:val="none"/>
              </w:rPr>
            </w:pPr>
            <w:r>
              <w:rPr>
                <w:color w:val="auto"/>
                <w:sz w:val="20"/>
                <w:szCs w:val="20"/>
                <w:highlight w:val="none"/>
              </w:rPr>
              <w:t>具少量贯穿性节理裂隙，裂隙结构面间距0.7</w:t>
            </w:r>
            <w:r>
              <w:rPr>
                <w:rFonts w:hint="eastAsia"/>
                <w:color w:val="auto"/>
                <w:sz w:val="20"/>
                <w:szCs w:val="20"/>
                <w:highlight w:val="none"/>
              </w:rPr>
              <w:t>m</w:t>
            </w:r>
            <w:r>
              <w:rPr>
                <w:color w:val="auto"/>
                <w:sz w:val="20"/>
                <w:szCs w:val="20"/>
                <w:highlight w:val="none"/>
              </w:rPr>
              <w:t>~1.5m，一般2~3组</w:t>
            </w:r>
          </w:p>
        </w:tc>
        <w:tc>
          <w:tcPr>
            <w:tcW w:w="2105" w:type="dxa"/>
            <w:vAlign w:val="center"/>
          </w:tcPr>
          <w:p>
            <w:pPr>
              <w:jc w:val="left"/>
              <w:rPr>
                <w:color w:val="auto"/>
                <w:sz w:val="20"/>
                <w:szCs w:val="20"/>
                <w:highlight w:val="none"/>
              </w:rPr>
            </w:pPr>
            <w:r>
              <w:rPr>
                <w:color w:val="auto"/>
                <w:sz w:val="20"/>
                <w:szCs w:val="20"/>
                <w:highlight w:val="none"/>
              </w:rPr>
              <w:t>整体强度</w:t>
            </w:r>
            <w:r>
              <w:rPr>
                <w:rFonts w:hint="eastAsia"/>
                <w:color w:val="auto"/>
                <w:sz w:val="20"/>
                <w:szCs w:val="20"/>
                <w:highlight w:val="none"/>
              </w:rPr>
              <w:t>较</w:t>
            </w:r>
            <w:r>
              <w:rPr>
                <w:color w:val="auto"/>
                <w:sz w:val="20"/>
                <w:szCs w:val="20"/>
                <w:highlight w:val="none"/>
              </w:rPr>
              <w:t>高，变形特征接近弹性各向同性体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1438" w:type="dxa"/>
            <w:vAlign w:val="center"/>
          </w:tcPr>
          <w:p>
            <w:pPr>
              <w:jc w:val="center"/>
              <w:rPr>
                <w:color w:val="auto"/>
                <w:sz w:val="20"/>
                <w:szCs w:val="20"/>
                <w:highlight w:val="none"/>
              </w:rPr>
            </w:pPr>
            <w:r>
              <w:rPr>
                <w:color w:val="auto"/>
                <w:sz w:val="20"/>
                <w:szCs w:val="20"/>
                <w:highlight w:val="none"/>
              </w:rPr>
              <w:t>层状结构</w:t>
            </w:r>
          </w:p>
        </w:tc>
        <w:tc>
          <w:tcPr>
            <w:tcW w:w="2010" w:type="dxa"/>
            <w:vAlign w:val="center"/>
          </w:tcPr>
          <w:p>
            <w:pPr>
              <w:jc w:val="left"/>
              <w:rPr>
                <w:color w:val="auto"/>
                <w:sz w:val="20"/>
                <w:szCs w:val="20"/>
                <w:highlight w:val="none"/>
              </w:rPr>
            </w:pPr>
            <w:r>
              <w:rPr>
                <w:color w:val="auto"/>
                <w:sz w:val="20"/>
                <w:szCs w:val="20"/>
                <w:highlight w:val="none"/>
              </w:rPr>
              <w:t>多韵律的薄层及中厚层状沉积岩、副变质岩</w:t>
            </w:r>
          </w:p>
        </w:tc>
        <w:tc>
          <w:tcPr>
            <w:tcW w:w="2679" w:type="dxa"/>
            <w:vAlign w:val="center"/>
          </w:tcPr>
          <w:p>
            <w:pPr>
              <w:jc w:val="left"/>
              <w:rPr>
                <w:color w:val="auto"/>
                <w:sz w:val="20"/>
                <w:szCs w:val="20"/>
                <w:highlight w:val="none"/>
              </w:rPr>
            </w:pPr>
            <w:r>
              <w:rPr>
                <w:color w:val="auto"/>
                <w:sz w:val="20"/>
                <w:szCs w:val="20"/>
                <w:highlight w:val="none"/>
              </w:rPr>
              <w:t>有层理、片理、节理，但以风化裂隙为主，常有层间错动</w:t>
            </w:r>
          </w:p>
        </w:tc>
        <w:tc>
          <w:tcPr>
            <w:tcW w:w="2105" w:type="dxa"/>
            <w:vAlign w:val="center"/>
          </w:tcPr>
          <w:p>
            <w:pPr>
              <w:jc w:val="left"/>
              <w:rPr>
                <w:color w:val="auto"/>
                <w:sz w:val="20"/>
                <w:szCs w:val="20"/>
                <w:highlight w:val="none"/>
              </w:rPr>
            </w:pPr>
            <w:r>
              <w:rPr>
                <w:color w:val="auto"/>
                <w:sz w:val="20"/>
                <w:szCs w:val="20"/>
                <w:highlight w:val="none"/>
              </w:rPr>
              <w:t>岩体接近均一的各向异性体，其变形及强度特征受层面和岩层组合控制，可视为各向异性弹塑性体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38" w:type="dxa"/>
            <w:vAlign w:val="center"/>
          </w:tcPr>
          <w:p>
            <w:pPr>
              <w:jc w:val="center"/>
              <w:rPr>
                <w:color w:val="auto"/>
                <w:sz w:val="20"/>
                <w:szCs w:val="20"/>
                <w:highlight w:val="none"/>
              </w:rPr>
            </w:pPr>
            <w:r>
              <w:rPr>
                <w:color w:val="auto"/>
                <w:sz w:val="20"/>
                <w:szCs w:val="20"/>
                <w:highlight w:val="none"/>
              </w:rPr>
              <w:t>碎裂状结构</w:t>
            </w:r>
          </w:p>
        </w:tc>
        <w:tc>
          <w:tcPr>
            <w:tcW w:w="2010" w:type="dxa"/>
            <w:vAlign w:val="center"/>
          </w:tcPr>
          <w:p>
            <w:pPr>
              <w:jc w:val="left"/>
              <w:rPr>
                <w:color w:val="auto"/>
                <w:sz w:val="20"/>
                <w:szCs w:val="20"/>
                <w:highlight w:val="none"/>
              </w:rPr>
            </w:pPr>
            <w:r>
              <w:rPr>
                <w:color w:val="auto"/>
                <w:sz w:val="20"/>
                <w:szCs w:val="20"/>
                <w:highlight w:val="none"/>
              </w:rPr>
              <w:t>构造影响严重的破碎岩层</w:t>
            </w:r>
          </w:p>
        </w:tc>
        <w:tc>
          <w:tcPr>
            <w:tcW w:w="2679" w:type="dxa"/>
            <w:vAlign w:val="center"/>
          </w:tcPr>
          <w:p>
            <w:pPr>
              <w:jc w:val="left"/>
              <w:rPr>
                <w:color w:val="auto"/>
                <w:sz w:val="20"/>
                <w:szCs w:val="20"/>
                <w:highlight w:val="none"/>
              </w:rPr>
            </w:pPr>
            <w:r>
              <w:rPr>
                <w:color w:val="auto"/>
                <w:sz w:val="20"/>
                <w:szCs w:val="20"/>
                <w:highlight w:val="none"/>
              </w:rPr>
              <w:t>断层、断层破碎带、节理、片理、层理、裂隙，结构面间距0.25</w:t>
            </w:r>
            <w:r>
              <w:rPr>
                <w:rFonts w:hint="eastAsia"/>
                <w:color w:val="auto"/>
                <w:sz w:val="20"/>
                <w:szCs w:val="20"/>
                <w:highlight w:val="none"/>
              </w:rPr>
              <w:t>m</w:t>
            </w:r>
            <w:r>
              <w:rPr>
                <w:color w:val="auto"/>
                <w:sz w:val="20"/>
                <w:szCs w:val="20"/>
                <w:highlight w:val="none"/>
              </w:rPr>
              <w:t>~0.5m，一般3组以上</w:t>
            </w:r>
          </w:p>
        </w:tc>
        <w:tc>
          <w:tcPr>
            <w:tcW w:w="2105" w:type="dxa"/>
            <w:vAlign w:val="center"/>
          </w:tcPr>
          <w:p>
            <w:pPr>
              <w:jc w:val="left"/>
              <w:rPr>
                <w:color w:val="auto"/>
                <w:sz w:val="20"/>
                <w:szCs w:val="20"/>
                <w:highlight w:val="none"/>
              </w:rPr>
            </w:pPr>
            <w:r>
              <w:rPr>
                <w:color w:val="auto"/>
                <w:sz w:val="20"/>
                <w:szCs w:val="20"/>
                <w:highlight w:val="none"/>
              </w:rPr>
              <w:t>整体强度很低、呈弹塑性介质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38" w:type="dxa"/>
            <w:vAlign w:val="center"/>
          </w:tcPr>
          <w:p>
            <w:pPr>
              <w:jc w:val="center"/>
              <w:rPr>
                <w:color w:val="auto"/>
                <w:sz w:val="20"/>
                <w:szCs w:val="20"/>
                <w:highlight w:val="none"/>
              </w:rPr>
            </w:pPr>
            <w:r>
              <w:rPr>
                <w:color w:val="auto"/>
                <w:sz w:val="20"/>
                <w:szCs w:val="20"/>
                <w:highlight w:val="none"/>
              </w:rPr>
              <w:t>散体状结构</w:t>
            </w:r>
          </w:p>
        </w:tc>
        <w:tc>
          <w:tcPr>
            <w:tcW w:w="2010" w:type="dxa"/>
            <w:vAlign w:val="center"/>
          </w:tcPr>
          <w:p>
            <w:pPr>
              <w:jc w:val="left"/>
              <w:rPr>
                <w:color w:val="auto"/>
                <w:sz w:val="20"/>
                <w:szCs w:val="20"/>
                <w:highlight w:val="none"/>
              </w:rPr>
            </w:pPr>
            <w:r>
              <w:rPr>
                <w:color w:val="auto"/>
                <w:sz w:val="20"/>
                <w:szCs w:val="20"/>
                <w:highlight w:val="none"/>
              </w:rPr>
              <w:t>构造影响剧烈或风化的断层破碎带、接触带</w:t>
            </w:r>
            <w:r>
              <w:rPr>
                <w:rFonts w:hint="eastAsia"/>
                <w:color w:val="auto"/>
                <w:sz w:val="20"/>
                <w:szCs w:val="20"/>
                <w:highlight w:val="none"/>
              </w:rPr>
              <w:t>，强风化带、全风化带岩体</w:t>
            </w:r>
          </w:p>
        </w:tc>
        <w:tc>
          <w:tcPr>
            <w:tcW w:w="2679" w:type="dxa"/>
            <w:vAlign w:val="center"/>
          </w:tcPr>
          <w:p>
            <w:pPr>
              <w:jc w:val="left"/>
              <w:rPr>
                <w:color w:val="auto"/>
                <w:sz w:val="20"/>
                <w:szCs w:val="20"/>
                <w:highlight w:val="none"/>
              </w:rPr>
            </w:pPr>
            <w:r>
              <w:rPr>
                <w:color w:val="auto"/>
                <w:sz w:val="20"/>
                <w:szCs w:val="20"/>
                <w:highlight w:val="none"/>
              </w:rPr>
              <w:t>构造及风化裂隙密集，结构面组合错综复杂并多填充黏性土</w:t>
            </w:r>
          </w:p>
        </w:tc>
        <w:tc>
          <w:tcPr>
            <w:tcW w:w="2105" w:type="dxa"/>
            <w:vAlign w:val="center"/>
          </w:tcPr>
          <w:p>
            <w:pPr>
              <w:jc w:val="left"/>
              <w:rPr>
                <w:color w:val="auto"/>
                <w:sz w:val="20"/>
                <w:szCs w:val="20"/>
                <w:highlight w:val="none"/>
              </w:rPr>
            </w:pPr>
            <w:r>
              <w:rPr>
                <w:color w:val="auto"/>
                <w:sz w:val="20"/>
                <w:szCs w:val="20"/>
                <w:highlight w:val="none"/>
              </w:rPr>
              <w:t>完整性基本破坏，岩体属性接近松散体介质</w:t>
            </w:r>
          </w:p>
        </w:tc>
      </w:tr>
    </w:tbl>
    <w:p>
      <w:pPr>
        <w:spacing w:before="156" w:beforeLines="50" w:line="360" w:lineRule="auto"/>
        <w:rPr>
          <w:color w:val="auto"/>
          <w:szCs w:val="21"/>
          <w:highlight w:val="none"/>
        </w:rPr>
      </w:pPr>
      <w:r>
        <w:rPr>
          <w:b/>
          <w:bCs/>
          <w:color w:val="auto"/>
          <w:kern w:val="0"/>
          <w:szCs w:val="15"/>
          <w:highlight w:val="none"/>
        </w:rPr>
        <w:t>4.1.</w:t>
      </w:r>
      <w:r>
        <w:rPr>
          <w:rFonts w:hint="eastAsia"/>
          <w:b/>
          <w:bCs/>
          <w:color w:val="auto"/>
          <w:kern w:val="0"/>
          <w:szCs w:val="15"/>
          <w:highlight w:val="none"/>
        </w:rPr>
        <w:t>9　</w:t>
      </w:r>
      <w:r>
        <w:rPr>
          <w:color w:val="auto"/>
          <w:szCs w:val="21"/>
          <w:highlight w:val="none"/>
        </w:rPr>
        <w:t>岩体基本质量可根据岩石的坚硬程度和岩体的完整程度</w:t>
      </w:r>
      <w:r>
        <w:rPr>
          <w:rFonts w:hint="eastAsia"/>
          <w:color w:val="auto"/>
          <w:szCs w:val="21"/>
          <w:highlight w:val="none"/>
        </w:rPr>
        <w:t>，按</w:t>
      </w:r>
      <w:r>
        <w:rPr>
          <w:color w:val="auto"/>
          <w:szCs w:val="21"/>
          <w:highlight w:val="none"/>
        </w:rPr>
        <w:t>表4.1.</w:t>
      </w:r>
      <w:r>
        <w:rPr>
          <w:rFonts w:hint="eastAsia"/>
          <w:color w:val="auto"/>
          <w:szCs w:val="21"/>
          <w:highlight w:val="none"/>
        </w:rPr>
        <w:t>9进行划分</w:t>
      </w:r>
      <w:r>
        <w:rPr>
          <w:color w:val="auto"/>
          <w:szCs w:val="21"/>
          <w:highlight w:val="none"/>
        </w:rPr>
        <w:t>。</w:t>
      </w:r>
    </w:p>
    <w:p>
      <w:pPr>
        <w:autoSpaceDE w:val="0"/>
        <w:autoSpaceDN w:val="0"/>
        <w:adjustRightInd w:val="0"/>
        <w:snapToGrid w:val="0"/>
        <w:spacing w:line="360" w:lineRule="auto"/>
        <w:ind w:firstLine="697" w:firstLineChars="297"/>
        <w:jc w:val="center"/>
        <w:rPr>
          <w:b/>
          <w:bCs/>
          <w:color w:val="auto"/>
          <w:spacing w:val="12"/>
          <w:kern w:val="0"/>
          <w:szCs w:val="18"/>
          <w:highlight w:val="none"/>
        </w:rPr>
      </w:pPr>
      <w:r>
        <w:rPr>
          <w:b/>
          <w:bCs/>
          <w:color w:val="auto"/>
          <w:spacing w:val="12"/>
          <w:kern w:val="0"/>
          <w:szCs w:val="18"/>
          <w:highlight w:val="none"/>
        </w:rPr>
        <w:t>表4.1.</w:t>
      </w:r>
      <w:r>
        <w:rPr>
          <w:rFonts w:hint="eastAsia"/>
          <w:b/>
          <w:bCs/>
          <w:color w:val="auto"/>
          <w:spacing w:val="12"/>
          <w:kern w:val="0"/>
          <w:szCs w:val="18"/>
          <w:highlight w:val="none"/>
        </w:rPr>
        <w:t>9</w:t>
      </w:r>
      <w:r>
        <w:rPr>
          <w:b/>
          <w:bCs/>
          <w:color w:val="auto"/>
          <w:spacing w:val="12"/>
          <w:kern w:val="0"/>
          <w:szCs w:val="18"/>
          <w:highlight w:val="none"/>
        </w:rPr>
        <w:t xml:space="preserve"> 岩体基本质量分级</w:t>
      </w:r>
    </w:p>
    <w:tbl>
      <w:tblPr>
        <w:tblStyle w:val="22"/>
        <w:tblW w:w="82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99"/>
        <w:gridCol w:w="1214"/>
        <w:gridCol w:w="1214"/>
        <w:gridCol w:w="1214"/>
        <w:gridCol w:w="1214"/>
        <w:gridCol w:w="12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199" w:type="dxa"/>
            <w:tcBorders>
              <w:top w:val="single" w:color="auto" w:sz="12" w:space="0"/>
              <w:bottom w:val="single" w:color="auto" w:sz="4" w:space="0"/>
              <w:tl2br w:val="single" w:color="auto" w:sz="4" w:space="0"/>
            </w:tcBorders>
            <w:vAlign w:val="center"/>
          </w:tcPr>
          <w:p>
            <w:pPr>
              <w:autoSpaceDE w:val="0"/>
              <w:autoSpaceDN w:val="0"/>
              <w:adjustRightInd w:val="0"/>
              <w:snapToGrid w:val="0"/>
              <w:jc w:val="right"/>
              <w:rPr>
                <w:color w:val="auto"/>
                <w:sz w:val="20"/>
                <w:szCs w:val="20"/>
                <w:highlight w:val="none"/>
              </w:rPr>
            </w:pPr>
            <w:r>
              <w:rPr>
                <w:color w:val="auto"/>
                <w:sz w:val="20"/>
                <w:szCs w:val="20"/>
                <w:highlight w:val="none"/>
              </w:rPr>
              <w:t>完整程度</w:t>
            </w:r>
          </w:p>
          <w:p>
            <w:pPr>
              <w:autoSpaceDE w:val="0"/>
              <w:autoSpaceDN w:val="0"/>
              <w:adjustRightInd w:val="0"/>
              <w:jc w:val="left"/>
              <w:rPr>
                <w:color w:val="auto"/>
                <w:sz w:val="20"/>
                <w:szCs w:val="20"/>
                <w:highlight w:val="none"/>
              </w:rPr>
            </w:pPr>
            <w:r>
              <w:rPr>
                <w:color w:val="auto"/>
                <w:sz w:val="20"/>
                <w:szCs w:val="20"/>
                <w:highlight w:val="none"/>
              </w:rPr>
              <w:t>坚硬程度</w:t>
            </w:r>
          </w:p>
        </w:tc>
        <w:tc>
          <w:tcPr>
            <w:tcW w:w="1214" w:type="dxa"/>
            <w:vAlign w:val="center"/>
          </w:tcPr>
          <w:p>
            <w:pPr>
              <w:autoSpaceDE w:val="0"/>
              <w:autoSpaceDN w:val="0"/>
              <w:adjustRightInd w:val="0"/>
              <w:jc w:val="center"/>
              <w:rPr>
                <w:color w:val="auto"/>
                <w:sz w:val="20"/>
                <w:szCs w:val="20"/>
                <w:highlight w:val="none"/>
              </w:rPr>
            </w:pPr>
            <w:r>
              <w:rPr>
                <w:color w:val="auto"/>
                <w:sz w:val="20"/>
                <w:szCs w:val="20"/>
                <w:highlight w:val="none"/>
              </w:rPr>
              <w:t>完整</w:t>
            </w:r>
          </w:p>
        </w:tc>
        <w:tc>
          <w:tcPr>
            <w:tcW w:w="1214" w:type="dxa"/>
            <w:vAlign w:val="center"/>
          </w:tcPr>
          <w:p>
            <w:pPr>
              <w:autoSpaceDE w:val="0"/>
              <w:autoSpaceDN w:val="0"/>
              <w:adjustRightInd w:val="0"/>
              <w:jc w:val="center"/>
              <w:rPr>
                <w:color w:val="auto"/>
                <w:sz w:val="20"/>
                <w:szCs w:val="20"/>
                <w:highlight w:val="none"/>
              </w:rPr>
            </w:pPr>
            <w:r>
              <w:rPr>
                <w:color w:val="auto"/>
                <w:sz w:val="20"/>
                <w:szCs w:val="20"/>
                <w:highlight w:val="none"/>
              </w:rPr>
              <w:t>较完整</w:t>
            </w:r>
          </w:p>
        </w:tc>
        <w:tc>
          <w:tcPr>
            <w:tcW w:w="1214" w:type="dxa"/>
            <w:vAlign w:val="center"/>
          </w:tcPr>
          <w:p>
            <w:pPr>
              <w:autoSpaceDE w:val="0"/>
              <w:autoSpaceDN w:val="0"/>
              <w:adjustRightInd w:val="0"/>
              <w:jc w:val="center"/>
              <w:rPr>
                <w:color w:val="auto"/>
                <w:sz w:val="20"/>
                <w:szCs w:val="20"/>
                <w:highlight w:val="none"/>
              </w:rPr>
            </w:pPr>
            <w:r>
              <w:rPr>
                <w:color w:val="auto"/>
                <w:sz w:val="20"/>
                <w:szCs w:val="20"/>
                <w:highlight w:val="none"/>
              </w:rPr>
              <w:t>较破碎</w:t>
            </w:r>
          </w:p>
        </w:tc>
        <w:tc>
          <w:tcPr>
            <w:tcW w:w="1214" w:type="dxa"/>
            <w:vAlign w:val="center"/>
          </w:tcPr>
          <w:p>
            <w:pPr>
              <w:autoSpaceDE w:val="0"/>
              <w:autoSpaceDN w:val="0"/>
              <w:adjustRightInd w:val="0"/>
              <w:jc w:val="center"/>
              <w:rPr>
                <w:color w:val="auto"/>
                <w:sz w:val="20"/>
                <w:szCs w:val="20"/>
                <w:highlight w:val="none"/>
              </w:rPr>
            </w:pPr>
            <w:r>
              <w:rPr>
                <w:color w:val="auto"/>
                <w:sz w:val="20"/>
                <w:szCs w:val="20"/>
                <w:highlight w:val="none"/>
              </w:rPr>
              <w:t>破碎</w:t>
            </w:r>
          </w:p>
        </w:tc>
        <w:tc>
          <w:tcPr>
            <w:tcW w:w="1218" w:type="dxa"/>
            <w:vAlign w:val="center"/>
          </w:tcPr>
          <w:p>
            <w:pPr>
              <w:autoSpaceDE w:val="0"/>
              <w:autoSpaceDN w:val="0"/>
              <w:adjustRightInd w:val="0"/>
              <w:jc w:val="center"/>
              <w:rPr>
                <w:color w:val="auto"/>
                <w:sz w:val="20"/>
                <w:szCs w:val="20"/>
                <w:highlight w:val="none"/>
              </w:rPr>
            </w:pPr>
            <w:r>
              <w:rPr>
                <w:color w:val="auto"/>
                <w:sz w:val="20"/>
                <w:szCs w:val="20"/>
                <w:highlight w:val="none"/>
              </w:rPr>
              <w:t>极破碎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99" w:type="dxa"/>
            <w:tcBorders>
              <w:top w:val="single" w:color="auto" w:sz="4" w:space="0"/>
            </w:tcBorders>
            <w:vAlign w:val="center"/>
          </w:tcPr>
          <w:p>
            <w:pPr>
              <w:autoSpaceDE w:val="0"/>
              <w:autoSpaceDN w:val="0"/>
              <w:adjustRightInd w:val="0"/>
              <w:jc w:val="center"/>
              <w:rPr>
                <w:color w:val="auto"/>
                <w:sz w:val="20"/>
                <w:szCs w:val="20"/>
                <w:highlight w:val="none"/>
              </w:rPr>
            </w:pPr>
            <w:r>
              <w:rPr>
                <w:color w:val="auto"/>
                <w:sz w:val="20"/>
                <w:szCs w:val="20"/>
                <w:highlight w:val="none"/>
              </w:rPr>
              <w:t>坚硬岩</w:t>
            </w:r>
          </w:p>
        </w:tc>
        <w:tc>
          <w:tcPr>
            <w:tcW w:w="1214" w:type="dxa"/>
            <w:vAlign w:val="center"/>
          </w:tcPr>
          <w:p>
            <w:pPr>
              <w:autoSpaceDE w:val="0"/>
              <w:autoSpaceDN w:val="0"/>
              <w:adjustRightInd w:val="0"/>
              <w:jc w:val="center"/>
              <w:rPr>
                <w:color w:val="auto"/>
                <w:sz w:val="20"/>
                <w:szCs w:val="20"/>
                <w:highlight w:val="none"/>
              </w:rPr>
            </w:pPr>
            <w:r>
              <w:rPr>
                <w:color w:val="auto"/>
                <w:sz w:val="20"/>
                <w:szCs w:val="20"/>
                <w:highlight w:val="none"/>
              </w:rPr>
              <w:t>Ⅰ</w:t>
            </w:r>
          </w:p>
        </w:tc>
        <w:tc>
          <w:tcPr>
            <w:tcW w:w="1214" w:type="dxa"/>
            <w:vAlign w:val="center"/>
          </w:tcPr>
          <w:p>
            <w:pPr>
              <w:autoSpaceDE w:val="0"/>
              <w:autoSpaceDN w:val="0"/>
              <w:adjustRightInd w:val="0"/>
              <w:jc w:val="center"/>
              <w:rPr>
                <w:color w:val="auto"/>
                <w:sz w:val="20"/>
                <w:szCs w:val="20"/>
                <w:highlight w:val="none"/>
              </w:rPr>
            </w:pPr>
            <w:r>
              <w:rPr>
                <w:color w:val="auto"/>
                <w:sz w:val="20"/>
                <w:szCs w:val="20"/>
                <w:highlight w:val="none"/>
              </w:rPr>
              <w:t>Ⅱ</w:t>
            </w:r>
          </w:p>
        </w:tc>
        <w:tc>
          <w:tcPr>
            <w:tcW w:w="1214" w:type="dxa"/>
            <w:vAlign w:val="center"/>
          </w:tcPr>
          <w:p>
            <w:pPr>
              <w:autoSpaceDE w:val="0"/>
              <w:autoSpaceDN w:val="0"/>
              <w:adjustRightInd w:val="0"/>
              <w:jc w:val="center"/>
              <w:rPr>
                <w:color w:val="auto"/>
                <w:sz w:val="20"/>
                <w:szCs w:val="20"/>
                <w:highlight w:val="none"/>
              </w:rPr>
            </w:pPr>
            <w:r>
              <w:rPr>
                <w:color w:val="auto"/>
                <w:sz w:val="20"/>
                <w:szCs w:val="20"/>
                <w:highlight w:val="none"/>
              </w:rPr>
              <w:t>Ⅲ</w:t>
            </w:r>
          </w:p>
        </w:tc>
        <w:tc>
          <w:tcPr>
            <w:tcW w:w="1214" w:type="dxa"/>
            <w:vAlign w:val="center"/>
          </w:tcPr>
          <w:p>
            <w:pPr>
              <w:autoSpaceDE w:val="0"/>
              <w:autoSpaceDN w:val="0"/>
              <w:adjustRightInd w:val="0"/>
              <w:jc w:val="center"/>
              <w:rPr>
                <w:color w:val="auto"/>
                <w:sz w:val="20"/>
                <w:szCs w:val="20"/>
                <w:highlight w:val="none"/>
              </w:rPr>
            </w:pPr>
            <w:r>
              <w:rPr>
                <w:color w:val="auto"/>
                <w:sz w:val="20"/>
                <w:szCs w:val="20"/>
                <w:highlight w:val="none"/>
              </w:rPr>
              <w:t>Ⅳ</w:t>
            </w:r>
          </w:p>
        </w:tc>
        <w:tc>
          <w:tcPr>
            <w:tcW w:w="1218" w:type="dxa"/>
            <w:vAlign w:val="center"/>
          </w:tcPr>
          <w:p>
            <w:pPr>
              <w:autoSpaceDE w:val="0"/>
              <w:autoSpaceDN w:val="0"/>
              <w:adjustRightInd w:val="0"/>
              <w:jc w:val="center"/>
              <w:rPr>
                <w:color w:val="auto"/>
                <w:sz w:val="20"/>
                <w:szCs w:val="20"/>
                <w:highlight w:val="none"/>
              </w:rPr>
            </w:pPr>
            <w:r>
              <w:rPr>
                <w:color w:val="auto"/>
                <w:sz w:val="20"/>
                <w:szCs w:val="20"/>
                <w:highlight w:val="none"/>
              </w:rPr>
              <w:t>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99" w:type="dxa"/>
            <w:vAlign w:val="center"/>
          </w:tcPr>
          <w:p>
            <w:pPr>
              <w:autoSpaceDE w:val="0"/>
              <w:autoSpaceDN w:val="0"/>
              <w:adjustRightInd w:val="0"/>
              <w:jc w:val="center"/>
              <w:rPr>
                <w:color w:val="auto"/>
                <w:sz w:val="20"/>
                <w:szCs w:val="20"/>
                <w:highlight w:val="none"/>
              </w:rPr>
            </w:pPr>
            <w:r>
              <w:rPr>
                <w:color w:val="auto"/>
                <w:sz w:val="20"/>
                <w:szCs w:val="20"/>
                <w:highlight w:val="none"/>
              </w:rPr>
              <w:t>较硬岩</w:t>
            </w:r>
          </w:p>
        </w:tc>
        <w:tc>
          <w:tcPr>
            <w:tcW w:w="1214" w:type="dxa"/>
            <w:vAlign w:val="center"/>
          </w:tcPr>
          <w:p>
            <w:pPr>
              <w:autoSpaceDE w:val="0"/>
              <w:autoSpaceDN w:val="0"/>
              <w:adjustRightInd w:val="0"/>
              <w:jc w:val="center"/>
              <w:rPr>
                <w:color w:val="auto"/>
                <w:sz w:val="20"/>
                <w:szCs w:val="20"/>
                <w:highlight w:val="none"/>
              </w:rPr>
            </w:pPr>
            <w:r>
              <w:rPr>
                <w:color w:val="auto"/>
                <w:sz w:val="20"/>
                <w:szCs w:val="20"/>
                <w:highlight w:val="none"/>
              </w:rPr>
              <w:t>Ⅱ</w:t>
            </w:r>
          </w:p>
        </w:tc>
        <w:tc>
          <w:tcPr>
            <w:tcW w:w="1214" w:type="dxa"/>
            <w:vAlign w:val="center"/>
          </w:tcPr>
          <w:p>
            <w:pPr>
              <w:autoSpaceDE w:val="0"/>
              <w:autoSpaceDN w:val="0"/>
              <w:adjustRightInd w:val="0"/>
              <w:jc w:val="center"/>
              <w:rPr>
                <w:color w:val="auto"/>
                <w:sz w:val="20"/>
                <w:szCs w:val="20"/>
                <w:highlight w:val="none"/>
              </w:rPr>
            </w:pPr>
            <w:r>
              <w:rPr>
                <w:color w:val="auto"/>
                <w:sz w:val="20"/>
                <w:szCs w:val="20"/>
                <w:highlight w:val="none"/>
              </w:rPr>
              <w:t>Ⅲ</w:t>
            </w:r>
          </w:p>
        </w:tc>
        <w:tc>
          <w:tcPr>
            <w:tcW w:w="1214" w:type="dxa"/>
            <w:vAlign w:val="center"/>
          </w:tcPr>
          <w:p>
            <w:pPr>
              <w:autoSpaceDE w:val="0"/>
              <w:autoSpaceDN w:val="0"/>
              <w:adjustRightInd w:val="0"/>
              <w:jc w:val="center"/>
              <w:rPr>
                <w:color w:val="auto"/>
                <w:sz w:val="20"/>
                <w:szCs w:val="20"/>
                <w:highlight w:val="none"/>
              </w:rPr>
            </w:pPr>
            <w:r>
              <w:rPr>
                <w:color w:val="auto"/>
                <w:sz w:val="20"/>
                <w:szCs w:val="20"/>
                <w:highlight w:val="none"/>
              </w:rPr>
              <w:t>Ⅳ</w:t>
            </w:r>
          </w:p>
        </w:tc>
        <w:tc>
          <w:tcPr>
            <w:tcW w:w="1214" w:type="dxa"/>
            <w:vAlign w:val="center"/>
          </w:tcPr>
          <w:p>
            <w:pPr>
              <w:autoSpaceDE w:val="0"/>
              <w:autoSpaceDN w:val="0"/>
              <w:adjustRightInd w:val="0"/>
              <w:jc w:val="center"/>
              <w:rPr>
                <w:color w:val="auto"/>
                <w:sz w:val="20"/>
                <w:szCs w:val="20"/>
                <w:highlight w:val="none"/>
              </w:rPr>
            </w:pPr>
            <w:r>
              <w:rPr>
                <w:color w:val="auto"/>
                <w:sz w:val="20"/>
                <w:szCs w:val="20"/>
                <w:highlight w:val="none"/>
              </w:rPr>
              <w:t>Ⅳ</w:t>
            </w:r>
          </w:p>
        </w:tc>
        <w:tc>
          <w:tcPr>
            <w:tcW w:w="1218" w:type="dxa"/>
            <w:vAlign w:val="center"/>
          </w:tcPr>
          <w:p>
            <w:pPr>
              <w:autoSpaceDE w:val="0"/>
              <w:autoSpaceDN w:val="0"/>
              <w:adjustRightInd w:val="0"/>
              <w:jc w:val="center"/>
              <w:rPr>
                <w:color w:val="auto"/>
                <w:sz w:val="20"/>
                <w:szCs w:val="20"/>
                <w:highlight w:val="none"/>
              </w:rPr>
            </w:pPr>
            <w:r>
              <w:rPr>
                <w:color w:val="auto"/>
                <w:sz w:val="20"/>
                <w:szCs w:val="20"/>
                <w:highlight w:val="none"/>
              </w:rPr>
              <w:t>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99" w:type="dxa"/>
            <w:vAlign w:val="center"/>
          </w:tcPr>
          <w:p>
            <w:pPr>
              <w:autoSpaceDE w:val="0"/>
              <w:autoSpaceDN w:val="0"/>
              <w:adjustRightInd w:val="0"/>
              <w:jc w:val="center"/>
              <w:rPr>
                <w:color w:val="auto"/>
                <w:sz w:val="20"/>
                <w:szCs w:val="20"/>
                <w:highlight w:val="none"/>
              </w:rPr>
            </w:pPr>
            <w:r>
              <w:rPr>
                <w:color w:val="auto"/>
                <w:sz w:val="20"/>
                <w:szCs w:val="20"/>
                <w:highlight w:val="none"/>
              </w:rPr>
              <w:t>较软岩</w:t>
            </w:r>
          </w:p>
        </w:tc>
        <w:tc>
          <w:tcPr>
            <w:tcW w:w="1214" w:type="dxa"/>
            <w:vAlign w:val="center"/>
          </w:tcPr>
          <w:p>
            <w:pPr>
              <w:autoSpaceDE w:val="0"/>
              <w:autoSpaceDN w:val="0"/>
              <w:adjustRightInd w:val="0"/>
              <w:jc w:val="center"/>
              <w:rPr>
                <w:color w:val="auto"/>
                <w:sz w:val="20"/>
                <w:szCs w:val="20"/>
                <w:highlight w:val="none"/>
              </w:rPr>
            </w:pPr>
            <w:r>
              <w:rPr>
                <w:color w:val="auto"/>
                <w:sz w:val="20"/>
                <w:szCs w:val="20"/>
                <w:highlight w:val="none"/>
              </w:rPr>
              <w:t>Ⅲ</w:t>
            </w:r>
          </w:p>
        </w:tc>
        <w:tc>
          <w:tcPr>
            <w:tcW w:w="1214" w:type="dxa"/>
            <w:vAlign w:val="center"/>
          </w:tcPr>
          <w:p>
            <w:pPr>
              <w:autoSpaceDE w:val="0"/>
              <w:autoSpaceDN w:val="0"/>
              <w:adjustRightInd w:val="0"/>
              <w:jc w:val="center"/>
              <w:rPr>
                <w:color w:val="auto"/>
                <w:sz w:val="20"/>
                <w:szCs w:val="20"/>
                <w:highlight w:val="none"/>
              </w:rPr>
            </w:pPr>
            <w:r>
              <w:rPr>
                <w:color w:val="auto"/>
                <w:sz w:val="20"/>
                <w:szCs w:val="20"/>
                <w:highlight w:val="none"/>
              </w:rPr>
              <w:t>Ⅳ</w:t>
            </w:r>
          </w:p>
        </w:tc>
        <w:tc>
          <w:tcPr>
            <w:tcW w:w="1214" w:type="dxa"/>
            <w:vAlign w:val="center"/>
          </w:tcPr>
          <w:p>
            <w:pPr>
              <w:autoSpaceDE w:val="0"/>
              <w:autoSpaceDN w:val="0"/>
              <w:adjustRightInd w:val="0"/>
              <w:jc w:val="center"/>
              <w:rPr>
                <w:color w:val="auto"/>
                <w:sz w:val="20"/>
                <w:szCs w:val="20"/>
                <w:highlight w:val="none"/>
              </w:rPr>
            </w:pPr>
            <w:r>
              <w:rPr>
                <w:color w:val="auto"/>
                <w:sz w:val="20"/>
                <w:szCs w:val="20"/>
                <w:highlight w:val="none"/>
              </w:rPr>
              <w:t>Ⅳ</w:t>
            </w:r>
          </w:p>
        </w:tc>
        <w:tc>
          <w:tcPr>
            <w:tcW w:w="1214" w:type="dxa"/>
            <w:vAlign w:val="center"/>
          </w:tcPr>
          <w:p>
            <w:pPr>
              <w:autoSpaceDE w:val="0"/>
              <w:autoSpaceDN w:val="0"/>
              <w:adjustRightInd w:val="0"/>
              <w:jc w:val="center"/>
              <w:rPr>
                <w:color w:val="auto"/>
                <w:sz w:val="20"/>
                <w:szCs w:val="20"/>
                <w:highlight w:val="none"/>
              </w:rPr>
            </w:pPr>
            <w:r>
              <w:rPr>
                <w:color w:val="auto"/>
                <w:sz w:val="20"/>
                <w:szCs w:val="20"/>
                <w:highlight w:val="none"/>
              </w:rPr>
              <w:t>Ⅴ</w:t>
            </w:r>
          </w:p>
        </w:tc>
        <w:tc>
          <w:tcPr>
            <w:tcW w:w="1218" w:type="dxa"/>
            <w:vAlign w:val="center"/>
          </w:tcPr>
          <w:p>
            <w:pPr>
              <w:autoSpaceDE w:val="0"/>
              <w:autoSpaceDN w:val="0"/>
              <w:adjustRightInd w:val="0"/>
              <w:jc w:val="center"/>
              <w:rPr>
                <w:color w:val="auto"/>
                <w:sz w:val="20"/>
                <w:szCs w:val="20"/>
                <w:highlight w:val="none"/>
              </w:rPr>
            </w:pPr>
            <w:r>
              <w:rPr>
                <w:color w:val="auto"/>
                <w:sz w:val="20"/>
                <w:szCs w:val="20"/>
                <w:highlight w:val="none"/>
              </w:rPr>
              <w:t>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99" w:type="dxa"/>
            <w:vAlign w:val="center"/>
          </w:tcPr>
          <w:p>
            <w:pPr>
              <w:autoSpaceDE w:val="0"/>
              <w:autoSpaceDN w:val="0"/>
              <w:adjustRightInd w:val="0"/>
              <w:jc w:val="center"/>
              <w:rPr>
                <w:color w:val="auto"/>
                <w:sz w:val="20"/>
                <w:szCs w:val="20"/>
                <w:highlight w:val="none"/>
              </w:rPr>
            </w:pPr>
            <w:r>
              <w:rPr>
                <w:color w:val="auto"/>
                <w:sz w:val="20"/>
                <w:szCs w:val="20"/>
                <w:highlight w:val="none"/>
              </w:rPr>
              <w:t>软岩</w:t>
            </w:r>
          </w:p>
        </w:tc>
        <w:tc>
          <w:tcPr>
            <w:tcW w:w="1214" w:type="dxa"/>
            <w:vAlign w:val="center"/>
          </w:tcPr>
          <w:p>
            <w:pPr>
              <w:autoSpaceDE w:val="0"/>
              <w:autoSpaceDN w:val="0"/>
              <w:adjustRightInd w:val="0"/>
              <w:jc w:val="center"/>
              <w:rPr>
                <w:color w:val="auto"/>
                <w:sz w:val="20"/>
                <w:szCs w:val="20"/>
                <w:highlight w:val="none"/>
              </w:rPr>
            </w:pPr>
            <w:r>
              <w:rPr>
                <w:color w:val="auto"/>
                <w:sz w:val="20"/>
                <w:szCs w:val="20"/>
                <w:highlight w:val="none"/>
              </w:rPr>
              <w:t>Ⅳ</w:t>
            </w:r>
          </w:p>
        </w:tc>
        <w:tc>
          <w:tcPr>
            <w:tcW w:w="1214" w:type="dxa"/>
            <w:vAlign w:val="center"/>
          </w:tcPr>
          <w:p>
            <w:pPr>
              <w:autoSpaceDE w:val="0"/>
              <w:autoSpaceDN w:val="0"/>
              <w:adjustRightInd w:val="0"/>
              <w:jc w:val="center"/>
              <w:rPr>
                <w:color w:val="auto"/>
                <w:sz w:val="20"/>
                <w:szCs w:val="20"/>
                <w:highlight w:val="none"/>
              </w:rPr>
            </w:pPr>
            <w:r>
              <w:rPr>
                <w:color w:val="auto"/>
                <w:sz w:val="20"/>
                <w:szCs w:val="20"/>
                <w:highlight w:val="none"/>
              </w:rPr>
              <w:t>Ⅳ</w:t>
            </w:r>
          </w:p>
        </w:tc>
        <w:tc>
          <w:tcPr>
            <w:tcW w:w="1214" w:type="dxa"/>
            <w:vAlign w:val="center"/>
          </w:tcPr>
          <w:p>
            <w:pPr>
              <w:autoSpaceDE w:val="0"/>
              <w:autoSpaceDN w:val="0"/>
              <w:adjustRightInd w:val="0"/>
              <w:jc w:val="center"/>
              <w:rPr>
                <w:color w:val="auto"/>
                <w:sz w:val="20"/>
                <w:szCs w:val="20"/>
                <w:highlight w:val="none"/>
              </w:rPr>
            </w:pPr>
            <w:r>
              <w:rPr>
                <w:color w:val="auto"/>
                <w:sz w:val="20"/>
                <w:szCs w:val="20"/>
                <w:highlight w:val="none"/>
              </w:rPr>
              <w:t>Ⅴ</w:t>
            </w:r>
          </w:p>
        </w:tc>
        <w:tc>
          <w:tcPr>
            <w:tcW w:w="1214" w:type="dxa"/>
            <w:vAlign w:val="center"/>
          </w:tcPr>
          <w:p>
            <w:pPr>
              <w:autoSpaceDE w:val="0"/>
              <w:autoSpaceDN w:val="0"/>
              <w:adjustRightInd w:val="0"/>
              <w:jc w:val="center"/>
              <w:rPr>
                <w:color w:val="auto"/>
                <w:sz w:val="20"/>
                <w:szCs w:val="20"/>
                <w:highlight w:val="none"/>
              </w:rPr>
            </w:pPr>
            <w:r>
              <w:rPr>
                <w:color w:val="auto"/>
                <w:sz w:val="20"/>
                <w:szCs w:val="20"/>
                <w:highlight w:val="none"/>
              </w:rPr>
              <w:t>Ⅴ</w:t>
            </w:r>
          </w:p>
        </w:tc>
        <w:tc>
          <w:tcPr>
            <w:tcW w:w="1218" w:type="dxa"/>
            <w:vAlign w:val="center"/>
          </w:tcPr>
          <w:p>
            <w:pPr>
              <w:autoSpaceDE w:val="0"/>
              <w:autoSpaceDN w:val="0"/>
              <w:adjustRightInd w:val="0"/>
              <w:jc w:val="center"/>
              <w:rPr>
                <w:color w:val="auto"/>
                <w:sz w:val="20"/>
                <w:szCs w:val="20"/>
                <w:highlight w:val="none"/>
              </w:rPr>
            </w:pPr>
            <w:r>
              <w:rPr>
                <w:color w:val="auto"/>
                <w:sz w:val="20"/>
                <w:szCs w:val="20"/>
                <w:highlight w:val="none"/>
              </w:rPr>
              <w:t>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99" w:type="dxa"/>
            <w:vAlign w:val="center"/>
          </w:tcPr>
          <w:p>
            <w:pPr>
              <w:autoSpaceDE w:val="0"/>
              <w:autoSpaceDN w:val="0"/>
              <w:adjustRightInd w:val="0"/>
              <w:jc w:val="center"/>
              <w:rPr>
                <w:color w:val="auto"/>
                <w:sz w:val="20"/>
                <w:szCs w:val="20"/>
                <w:highlight w:val="none"/>
              </w:rPr>
            </w:pPr>
            <w:r>
              <w:rPr>
                <w:color w:val="auto"/>
                <w:sz w:val="20"/>
                <w:szCs w:val="20"/>
                <w:highlight w:val="none"/>
              </w:rPr>
              <w:t>极软岩</w:t>
            </w:r>
          </w:p>
        </w:tc>
        <w:tc>
          <w:tcPr>
            <w:tcW w:w="1214" w:type="dxa"/>
            <w:vAlign w:val="center"/>
          </w:tcPr>
          <w:p>
            <w:pPr>
              <w:autoSpaceDE w:val="0"/>
              <w:autoSpaceDN w:val="0"/>
              <w:adjustRightInd w:val="0"/>
              <w:jc w:val="center"/>
              <w:rPr>
                <w:color w:val="auto"/>
                <w:sz w:val="20"/>
                <w:szCs w:val="20"/>
                <w:highlight w:val="none"/>
              </w:rPr>
            </w:pPr>
            <w:r>
              <w:rPr>
                <w:color w:val="auto"/>
                <w:sz w:val="20"/>
                <w:szCs w:val="20"/>
                <w:highlight w:val="none"/>
              </w:rPr>
              <w:t>Ⅴ</w:t>
            </w:r>
          </w:p>
        </w:tc>
        <w:tc>
          <w:tcPr>
            <w:tcW w:w="1214" w:type="dxa"/>
            <w:vAlign w:val="center"/>
          </w:tcPr>
          <w:p>
            <w:pPr>
              <w:autoSpaceDE w:val="0"/>
              <w:autoSpaceDN w:val="0"/>
              <w:adjustRightInd w:val="0"/>
              <w:jc w:val="center"/>
              <w:rPr>
                <w:color w:val="auto"/>
                <w:sz w:val="20"/>
                <w:szCs w:val="20"/>
                <w:highlight w:val="none"/>
              </w:rPr>
            </w:pPr>
            <w:r>
              <w:rPr>
                <w:color w:val="auto"/>
                <w:sz w:val="20"/>
                <w:szCs w:val="20"/>
                <w:highlight w:val="none"/>
              </w:rPr>
              <w:t>Ⅴ</w:t>
            </w:r>
          </w:p>
        </w:tc>
        <w:tc>
          <w:tcPr>
            <w:tcW w:w="1214" w:type="dxa"/>
            <w:vAlign w:val="center"/>
          </w:tcPr>
          <w:p>
            <w:pPr>
              <w:autoSpaceDE w:val="0"/>
              <w:autoSpaceDN w:val="0"/>
              <w:adjustRightInd w:val="0"/>
              <w:jc w:val="center"/>
              <w:rPr>
                <w:color w:val="auto"/>
                <w:sz w:val="20"/>
                <w:szCs w:val="20"/>
                <w:highlight w:val="none"/>
              </w:rPr>
            </w:pPr>
            <w:r>
              <w:rPr>
                <w:color w:val="auto"/>
                <w:sz w:val="20"/>
                <w:szCs w:val="20"/>
                <w:highlight w:val="none"/>
              </w:rPr>
              <w:t>Ⅴ</w:t>
            </w:r>
          </w:p>
        </w:tc>
        <w:tc>
          <w:tcPr>
            <w:tcW w:w="1214" w:type="dxa"/>
            <w:vAlign w:val="center"/>
          </w:tcPr>
          <w:p>
            <w:pPr>
              <w:autoSpaceDE w:val="0"/>
              <w:autoSpaceDN w:val="0"/>
              <w:adjustRightInd w:val="0"/>
              <w:jc w:val="center"/>
              <w:rPr>
                <w:color w:val="auto"/>
                <w:sz w:val="20"/>
                <w:szCs w:val="20"/>
                <w:highlight w:val="none"/>
              </w:rPr>
            </w:pPr>
            <w:r>
              <w:rPr>
                <w:color w:val="auto"/>
                <w:sz w:val="20"/>
                <w:szCs w:val="20"/>
                <w:highlight w:val="none"/>
              </w:rPr>
              <w:t>Ⅴ</w:t>
            </w:r>
          </w:p>
        </w:tc>
        <w:tc>
          <w:tcPr>
            <w:tcW w:w="1218" w:type="dxa"/>
            <w:vAlign w:val="center"/>
          </w:tcPr>
          <w:p>
            <w:pPr>
              <w:autoSpaceDE w:val="0"/>
              <w:autoSpaceDN w:val="0"/>
              <w:adjustRightInd w:val="0"/>
              <w:jc w:val="center"/>
              <w:rPr>
                <w:color w:val="auto"/>
                <w:sz w:val="20"/>
                <w:szCs w:val="20"/>
                <w:highlight w:val="none"/>
              </w:rPr>
            </w:pPr>
            <w:r>
              <w:rPr>
                <w:color w:val="auto"/>
                <w:sz w:val="20"/>
                <w:szCs w:val="20"/>
                <w:highlight w:val="none"/>
              </w:rPr>
              <w:t>Ⅴ</w:t>
            </w:r>
          </w:p>
        </w:tc>
      </w:tr>
    </w:tbl>
    <w:p>
      <w:pPr>
        <w:pStyle w:val="3"/>
        <w:rPr>
          <w:rFonts w:ascii="Times New Roman" w:hAnsi="Times New Roman" w:eastAsia="宋体"/>
          <w:color w:val="auto"/>
          <w:highlight w:val="none"/>
        </w:rPr>
      </w:pPr>
      <w:bookmarkStart w:id="36" w:name="_Toc3779"/>
      <w:bookmarkStart w:id="37" w:name="_Toc32096"/>
      <w:bookmarkStart w:id="38" w:name="_Toc23452"/>
      <w:bookmarkStart w:id="39" w:name="_4.2　岩石描述"/>
      <w:r>
        <w:rPr>
          <w:rFonts w:ascii="Times New Roman" w:hAnsi="Times New Roman" w:eastAsia="宋体"/>
          <w:color w:val="auto"/>
          <w:highlight w:val="none"/>
        </w:rPr>
        <w:t>4.2</w:t>
      </w:r>
      <w:r>
        <w:rPr>
          <w:rFonts w:hint="eastAsia" w:ascii="Times New Roman" w:hAnsi="Times New Roman" w:eastAsia="宋体"/>
          <w:color w:val="auto"/>
          <w:highlight w:val="none"/>
        </w:rPr>
        <w:t>　</w:t>
      </w:r>
      <w:r>
        <w:rPr>
          <w:rFonts w:ascii="Times New Roman" w:hAnsi="Times New Roman" w:eastAsia="宋体"/>
          <w:color w:val="auto"/>
          <w:highlight w:val="none"/>
        </w:rPr>
        <w:t>岩石描述</w:t>
      </w:r>
      <w:bookmarkEnd w:id="36"/>
      <w:bookmarkEnd w:id="37"/>
      <w:bookmarkEnd w:id="38"/>
    </w:p>
    <w:bookmarkEnd w:id="39"/>
    <w:p>
      <w:pPr>
        <w:spacing w:line="360" w:lineRule="auto"/>
        <w:rPr>
          <w:color w:val="auto"/>
          <w:szCs w:val="21"/>
          <w:highlight w:val="none"/>
        </w:rPr>
      </w:pPr>
      <w:r>
        <w:rPr>
          <w:b/>
          <w:bCs/>
          <w:color w:val="auto"/>
          <w:szCs w:val="21"/>
          <w:highlight w:val="none"/>
        </w:rPr>
        <w:t>4.2.1</w:t>
      </w:r>
      <w:r>
        <w:rPr>
          <w:rFonts w:hint="eastAsia"/>
          <w:b/>
          <w:bCs/>
          <w:color w:val="auto"/>
          <w:szCs w:val="21"/>
          <w:highlight w:val="none"/>
        </w:rPr>
        <w:t>　</w:t>
      </w:r>
      <w:r>
        <w:rPr>
          <w:color w:val="auto"/>
          <w:szCs w:val="21"/>
          <w:highlight w:val="none"/>
        </w:rPr>
        <w:t>岩石描述</w:t>
      </w:r>
      <w:r>
        <w:rPr>
          <w:rFonts w:hint="eastAsia"/>
          <w:color w:val="auto"/>
          <w:szCs w:val="21"/>
          <w:highlight w:val="none"/>
        </w:rPr>
        <w:t>应符合下列规定：</w:t>
      </w:r>
    </w:p>
    <w:p>
      <w:pPr>
        <w:spacing w:line="360" w:lineRule="auto"/>
        <w:ind w:firstLine="420"/>
        <w:rPr>
          <w:color w:val="auto"/>
          <w:szCs w:val="21"/>
          <w:highlight w:val="none"/>
        </w:rPr>
      </w:pPr>
      <w:r>
        <w:rPr>
          <w:b/>
          <w:bCs/>
          <w:color w:val="auto"/>
          <w:szCs w:val="21"/>
          <w:highlight w:val="none"/>
        </w:rPr>
        <w:t>1</w:t>
      </w:r>
      <w:bookmarkStart w:id="40" w:name="_Hlk70346784"/>
      <w:r>
        <w:rPr>
          <w:rFonts w:hint="eastAsia"/>
          <w:b/>
          <w:bCs/>
          <w:color w:val="auto"/>
          <w:szCs w:val="21"/>
          <w:highlight w:val="none"/>
        </w:rPr>
        <w:t>　</w:t>
      </w:r>
      <w:r>
        <w:rPr>
          <w:color w:val="auto"/>
          <w:szCs w:val="21"/>
          <w:highlight w:val="none"/>
        </w:rPr>
        <w:t>岩石的描述应包括地质年代、地质名称、风化程度、颜色、主要矿物、结构、构造和岩石质量指标（RQD）。对沉积岩应着重描述沉积物的颗粒大小、形状、胶结物成分和胶结程度；对岩浆岩和变质岩应着重描述矿物结晶大小和结晶程度。</w:t>
      </w:r>
      <w:bookmarkEnd w:id="40"/>
    </w:p>
    <w:p>
      <w:pPr>
        <w:spacing w:line="360" w:lineRule="auto"/>
        <w:ind w:firstLine="420"/>
        <w:rPr>
          <w:color w:val="auto"/>
          <w:szCs w:val="21"/>
          <w:highlight w:val="none"/>
        </w:rPr>
      </w:pPr>
      <w:r>
        <w:rPr>
          <w:b/>
          <w:bCs/>
          <w:color w:val="auto"/>
          <w:szCs w:val="21"/>
          <w:highlight w:val="none"/>
        </w:rPr>
        <w:t>2</w:t>
      </w:r>
      <w:r>
        <w:rPr>
          <w:rFonts w:hint="eastAsia"/>
          <w:b/>
          <w:bCs/>
          <w:color w:val="auto"/>
          <w:szCs w:val="21"/>
          <w:highlight w:val="none"/>
        </w:rPr>
        <w:t>　</w:t>
      </w:r>
      <w:r>
        <w:rPr>
          <w:color w:val="auto"/>
          <w:szCs w:val="21"/>
          <w:highlight w:val="none"/>
        </w:rPr>
        <w:t>根据岩石质量指标RQD，可分为好的（RQD&gt;90)、较好的（RQD=75~90)、较差的（RQD=50~75)、差的（RQD=25~50)和极差的（RQD&lt;25)。</w:t>
      </w:r>
    </w:p>
    <w:p>
      <w:pPr>
        <w:spacing w:line="360" w:lineRule="auto"/>
        <w:rPr>
          <w:color w:val="auto"/>
          <w:szCs w:val="21"/>
          <w:highlight w:val="none"/>
        </w:rPr>
      </w:pPr>
      <w:r>
        <w:rPr>
          <w:b/>
          <w:bCs/>
          <w:color w:val="auto"/>
          <w:kern w:val="0"/>
          <w:szCs w:val="15"/>
          <w:highlight w:val="none"/>
        </w:rPr>
        <w:t>4.2.2</w:t>
      </w:r>
      <w:r>
        <w:rPr>
          <w:rFonts w:hint="eastAsia"/>
          <w:color w:val="auto"/>
          <w:kern w:val="0"/>
          <w:szCs w:val="15"/>
          <w:highlight w:val="none"/>
        </w:rPr>
        <w:t>　</w:t>
      </w:r>
      <w:r>
        <w:rPr>
          <w:color w:val="auto"/>
          <w:szCs w:val="21"/>
          <w:highlight w:val="none"/>
        </w:rPr>
        <w:t>岩体的描述应包括结构面、结构体、岩层厚度和结构类型，并宜符合下列规定:</w:t>
      </w:r>
    </w:p>
    <w:p>
      <w:pPr>
        <w:spacing w:line="360" w:lineRule="auto"/>
        <w:ind w:firstLine="420"/>
        <w:rPr>
          <w:color w:val="auto"/>
          <w:szCs w:val="21"/>
          <w:highlight w:val="none"/>
        </w:rPr>
      </w:pPr>
      <w:r>
        <w:rPr>
          <w:b/>
          <w:bCs/>
          <w:color w:val="auto"/>
          <w:szCs w:val="21"/>
          <w:highlight w:val="none"/>
        </w:rPr>
        <w:t>1</w:t>
      </w:r>
      <w:r>
        <w:rPr>
          <w:rFonts w:hint="eastAsia"/>
          <w:color w:val="auto"/>
          <w:szCs w:val="21"/>
          <w:highlight w:val="none"/>
        </w:rPr>
        <w:t>　</w:t>
      </w:r>
      <w:r>
        <w:rPr>
          <w:color w:val="auto"/>
          <w:szCs w:val="21"/>
          <w:highlight w:val="none"/>
        </w:rPr>
        <w:t>结构面的描述包括类型、性质、产状、组合形式、发育程度、延展情况、闭合程度、粗糙程度、充填情况和充填物性质以及充水性质等；</w:t>
      </w:r>
    </w:p>
    <w:p>
      <w:pPr>
        <w:spacing w:line="360" w:lineRule="auto"/>
        <w:ind w:firstLine="420"/>
        <w:rPr>
          <w:color w:val="auto"/>
          <w:szCs w:val="21"/>
          <w:highlight w:val="none"/>
        </w:rPr>
      </w:pPr>
      <w:r>
        <w:rPr>
          <w:b/>
          <w:bCs/>
          <w:color w:val="auto"/>
          <w:szCs w:val="21"/>
          <w:highlight w:val="none"/>
        </w:rPr>
        <w:t>2</w:t>
      </w:r>
      <w:r>
        <w:rPr>
          <w:rFonts w:hint="eastAsia"/>
          <w:b/>
          <w:bCs/>
          <w:color w:val="auto"/>
          <w:szCs w:val="21"/>
          <w:highlight w:val="none"/>
        </w:rPr>
        <w:t>　</w:t>
      </w:r>
      <w:r>
        <w:rPr>
          <w:color w:val="auto"/>
          <w:szCs w:val="21"/>
          <w:highlight w:val="none"/>
        </w:rPr>
        <w:t>结构体的描述包括类型、形状、大小和结构体在围岩中的受力情况等；</w:t>
      </w:r>
    </w:p>
    <w:p>
      <w:pPr>
        <w:spacing w:line="360" w:lineRule="auto"/>
        <w:ind w:firstLine="420"/>
        <w:rPr>
          <w:color w:val="auto"/>
          <w:szCs w:val="21"/>
          <w:highlight w:val="none"/>
        </w:rPr>
      </w:pPr>
      <w:r>
        <w:rPr>
          <w:b/>
          <w:bCs/>
          <w:color w:val="auto"/>
          <w:szCs w:val="21"/>
          <w:highlight w:val="none"/>
        </w:rPr>
        <w:t>3</w:t>
      </w:r>
      <w:r>
        <w:rPr>
          <w:rFonts w:hint="eastAsia"/>
          <w:b/>
          <w:bCs/>
          <w:color w:val="auto"/>
          <w:szCs w:val="21"/>
          <w:highlight w:val="none"/>
        </w:rPr>
        <w:t>　</w:t>
      </w:r>
      <w:r>
        <w:rPr>
          <w:color w:val="auto"/>
          <w:szCs w:val="21"/>
          <w:highlight w:val="none"/>
        </w:rPr>
        <w:t>岩层厚度分类应按</w:t>
      </w:r>
      <w:r>
        <w:rPr>
          <w:rFonts w:hint="eastAsia"/>
          <w:color w:val="auto"/>
          <w:szCs w:val="21"/>
          <w:highlight w:val="none"/>
        </w:rPr>
        <w:t>本规范</w:t>
      </w:r>
      <w:r>
        <w:rPr>
          <w:color w:val="auto"/>
          <w:szCs w:val="21"/>
          <w:highlight w:val="none"/>
        </w:rPr>
        <w:t>表4.1.</w:t>
      </w:r>
      <w:r>
        <w:rPr>
          <w:rFonts w:hint="eastAsia"/>
          <w:color w:val="auto"/>
          <w:szCs w:val="21"/>
          <w:highlight w:val="none"/>
        </w:rPr>
        <w:t>7</w:t>
      </w:r>
      <w:r>
        <w:rPr>
          <w:color w:val="auto"/>
          <w:szCs w:val="21"/>
          <w:highlight w:val="none"/>
        </w:rPr>
        <w:t>执行；</w:t>
      </w:r>
    </w:p>
    <w:p>
      <w:pPr>
        <w:spacing w:line="360" w:lineRule="auto"/>
        <w:ind w:firstLine="420"/>
        <w:rPr>
          <w:color w:val="auto"/>
          <w:szCs w:val="21"/>
          <w:highlight w:val="none"/>
        </w:rPr>
      </w:pPr>
      <w:r>
        <w:rPr>
          <w:b/>
          <w:bCs/>
          <w:color w:val="auto"/>
          <w:szCs w:val="21"/>
          <w:highlight w:val="none"/>
        </w:rPr>
        <w:t>4</w:t>
      </w:r>
      <w:r>
        <w:rPr>
          <w:rFonts w:hint="eastAsia"/>
          <w:color w:val="auto"/>
          <w:szCs w:val="21"/>
          <w:highlight w:val="none"/>
        </w:rPr>
        <w:t>　</w:t>
      </w:r>
      <w:r>
        <w:rPr>
          <w:color w:val="auto"/>
          <w:szCs w:val="21"/>
          <w:highlight w:val="none"/>
        </w:rPr>
        <w:t>对地下洞室和边坡工程，还应按表</w:t>
      </w:r>
      <w:r>
        <w:rPr>
          <w:color w:val="auto"/>
          <w:szCs w:val="18"/>
          <w:highlight w:val="none"/>
        </w:rPr>
        <w:t>4.1.</w:t>
      </w:r>
      <w:r>
        <w:rPr>
          <w:rFonts w:hint="eastAsia"/>
          <w:color w:val="auto"/>
          <w:szCs w:val="18"/>
          <w:highlight w:val="none"/>
        </w:rPr>
        <w:t>8</w:t>
      </w:r>
      <w:r>
        <w:rPr>
          <w:color w:val="auto"/>
          <w:szCs w:val="21"/>
          <w:highlight w:val="none"/>
        </w:rPr>
        <w:t>划分岩体结构类型</w:t>
      </w:r>
      <w:r>
        <w:rPr>
          <w:rFonts w:hint="eastAsia"/>
          <w:color w:val="auto"/>
          <w:szCs w:val="21"/>
          <w:highlight w:val="none"/>
        </w:rPr>
        <w:t>。</w:t>
      </w:r>
    </w:p>
    <w:p>
      <w:pPr>
        <w:spacing w:line="360" w:lineRule="auto"/>
        <w:rPr>
          <w:color w:val="auto"/>
          <w:szCs w:val="21"/>
          <w:highlight w:val="none"/>
        </w:rPr>
      </w:pPr>
      <w:r>
        <w:rPr>
          <w:rFonts w:hint="eastAsia"/>
          <w:b/>
          <w:bCs/>
          <w:color w:val="auto"/>
          <w:szCs w:val="21"/>
          <w:highlight w:val="none"/>
        </w:rPr>
        <w:t>4.2.3　</w:t>
      </w:r>
      <w:r>
        <w:rPr>
          <w:color w:val="auto"/>
          <w:szCs w:val="21"/>
          <w:highlight w:val="none"/>
        </w:rPr>
        <w:t>对岩体基本质量等级为Ⅳ级和Ⅴ级的岩体，鉴定和描述除按上述条款执行外，还应符合下列规定：</w:t>
      </w:r>
    </w:p>
    <w:p>
      <w:pPr>
        <w:spacing w:line="360" w:lineRule="auto"/>
        <w:ind w:firstLine="420"/>
        <w:rPr>
          <w:color w:val="auto"/>
          <w:szCs w:val="21"/>
          <w:highlight w:val="none"/>
        </w:rPr>
      </w:pPr>
      <w:r>
        <w:rPr>
          <w:b/>
          <w:bCs/>
          <w:color w:val="auto"/>
          <w:szCs w:val="21"/>
          <w:highlight w:val="none"/>
        </w:rPr>
        <w:t>1</w:t>
      </w:r>
      <w:r>
        <w:rPr>
          <w:rFonts w:hint="eastAsia"/>
          <w:color w:val="auto"/>
          <w:szCs w:val="21"/>
          <w:highlight w:val="none"/>
        </w:rPr>
        <w:t>　</w:t>
      </w:r>
      <w:r>
        <w:rPr>
          <w:color w:val="auto"/>
          <w:szCs w:val="21"/>
          <w:highlight w:val="none"/>
        </w:rPr>
        <w:t>对软岩和极软岩，应</w:t>
      </w:r>
      <w:r>
        <w:rPr>
          <w:rFonts w:hint="eastAsia"/>
          <w:color w:val="auto"/>
          <w:szCs w:val="21"/>
          <w:highlight w:val="none"/>
        </w:rPr>
        <w:t>说明</w:t>
      </w:r>
      <w:r>
        <w:rPr>
          <w:color w:val="auto"/>
          <w:szCs w:val="21"/>
          <w:highlight w:val="none"/>
        </w:rPr>
        <w:t>是否具有可软化性、膨胀性、崩解性等特殊性质；</w:t>
      </w:r>
    </w:p>
    <w:p>
      <w:pPr>
        <w:spacing w:line="360" w:lineRule="auto"/>
        <w:ind w:firstLine="420"/>
        <w:rPr>
          <w:color w:val="auto"/>
          <w:szCs w:val="21"/>
          <w:highlight w:val="none"/>
        </w:rPr>
      </w:pPr>
      <w:r>
        <w:rPr>
          <w:b/>
          <w:bCs/>
          <w:color w:val="auto"/>
          <w:szCs w:val="21"/>
          <w:highlight w:val="none"/>
        </w:rPr>
        <w:t>2</w:t>
      </w:r>
      <w:r>
        <w:rPr>
          <w:rFonts w:hint="eastAsia"/>
          <w:color w:val="auto"/>
          <w:szCs w:val="21"/>
          <w:highlight w:val="none"/>
        </w:rPr>
        <w:t>　</w:t>
      </w:r>
      <w:r>
        <w:rPr>
          <w:color w:val="auto"/>
          <w:szCs w:val="21"/>
          <w:highlight w:val="none"/>
        </w:rPr>
        <w:t>对极破碎岩体，应说明破碎的原因，如断层、全风化等；</w:t>
      </w:r>
    </w:p>
    <w:p>
      <w:pPr>
        <w:spacing w:line="360" w:lineRule="auto"/>
        <w:ind w:firstLine="420"/>
        <w:rPr>
          <w:color w:val="auto"/>
          <w:szCs w:val="21"/>
          <w:highlight w:val="none"/>
        </w:rPr>
      </w:pPr>
      <w:r>
        <w:rPr>
          <w:b/>
          <w:bCs/>
          <w:color w:val="auto"/>
          <w:szCs w:val="21"/>
          <w:highlight w:val="none"/>
        </w:rPr>
        <w:t>3</w:t>
      </w:r>
      <w:r>
        <w:rPr>
          <w:rFonts w:hint="eastAsia"/>
          <w:b/>
          <w:bCs/>
          <w:color w:val="auto"/>
          <w:szCs w:val="21"/>
          <w:highlight w:val="none"/>
        </w:rPr>
        <w:t>　</w:t>
      </w:r>
      <w:r>
        <w:rPr>
          <w:color w:val="auto"/>
          <w:szCs w:val="21"/>
          <w:highlight w:val="none"/>
        </w:rPr>
        <w:t>开挖后是否有进一步风化的特性。</w:t>
      </w:r>
    </w:p>
    <w:p>
      <w:pPr>
        <w:pStyle w:val="3"/>
        <w:rPr>
          <w:rFonts w:ascii="Times New Roman" w:hAnsi="Times New Roman" w:eastAsia="宋体"/>
          <w:color w:val="auto"/>
          <w:highlight w:val="none"/>
        </w:rPr>
      </w:pPr>
      <w:bookmarkStart w:id="41" w:name="_Toc13873"/>
      <w:bookmarkStart w:id="42" w:name="_Toc24004"/>
      <w:bookmarkStart w:id="43" w:name="_Toc4612"/>
      <w:bookmarkStart w:id="44" w:name="_4.3　土的分类"/>
      <w:r>
        <w:rPr>
          <w:rFonts w:ascii="Times New Roman" w:hAnsi="Times New Roman" w:eastAsia="宋体"/>
          <w:color w:val="auto"/>
          <w:highlight w:val="none"/>
        </w:rPr>
        <w:t>4.3</w:t>
      </w:r>
      <w:r>
        <w:rPr>
          <w:rFonts w:hint="eastAsia" w:ascii="Times New Roman" w:hAnsi="Times New Roman" w:eastAsia="宋体"/>
          <w:color w:val="auto"/>
          <w:highlight w:val="none"/>
        </w:rPr>
        <w:t>　</w:t>
      </w:r>
      <w:r>
        <w:rPr>
          <w:rFonts w:ascii="Times New Roman" w:hAnsi="Times New Roman" w:eastAsia="宋体"/>
          <w:color w:val="auto"/>
          <w:highlight w:val="none"/>
        </w:rPr>
        <w:t>土的分类</w:t>
      </w:r>
      <w:bookmarkEnd w:id="41"/>
      <w:bookmarkEnd w:id="42"/>
      <w:bookmarkEnd w:id="43"/>
    </w:p>
    <w:bookmarkEnd w:id="44"/>
    <w:p>
      <w:pPr>
        <w:autoSpaceDE w:val="0"/>
        <w:autoSpaceDN w:val="0"/>
        <w:adjustRightInd w:val="0"/>
        <w:spacing w:line="360" w:lineRule="auto"/>
        <w:jc w:val="left"/>
        <w:rPr>
          <w:color w:val="auto"/>
          <w:szCs w:val="21"/>
          <w:highlight w:val="none"/>
        </w:rPr>
      </w:pPr>
      <w:r>
        <w:rPr>
          <w:b/>
          <w:bCs/>
          <w:color w:val="auto"/>
          <w:szCs w:val="21"/>
          <w:highlight w:val="none"/>
        </w:rPr>
        <w:t>4.3.1</w:t>
      </w:r>
      <w:r>
        <w:rPr>
          <w:rFonts w:hint="eastAsia"/>
          <w:color w:val="auto"/>
          <w:szCs w:val="21"/>
          <w:highlight w:val="none"/>
        </w:rPr>
        <w:t>　土应</w:t>
      </w:r>
      <w:r>
        <w:rPr>
          <w:color w:val="auto"/>
          <w:szCs w:val="21"/>
          <w:highlight w:val="none"/>
        </w:rPr>
        <w:t>根据</w:t>
      </w:r>
      <w:r>
        <w:rPr>
          <w:rFonts w:hint="eastAsia"/>
          <w:color w:val="auto"/>
          <w:szCs w:val="21"/>
          <w:highlight w:val="none"/>
        </w:rPr>
        <w:t>沉积年代、地质成因、颗粒级配、塑性指数，并结合特殊性土的划分标准进行综合分类、定名</w:t>
      </w:r>
      <w:r>
        <w:rPr>
          <w:color w:val="auto"/>
          <w:szCs w:val="21"/>
          <w:highlight w:val="none"/>
        </w:rPr>
        <w:t>。</w:t>
      </w:r>
    </w:p>
    <w:p>
      <w:pPr>
        <w:spacing w:line="360" w:lineRule="auto"/>
        <w:rPr>
          <w:color w:val="auto"/>
          <w:szCs w:val="21"/>
          <w:highlight w:val="none"/>
        </w:rPr>
      </w:pPr>
      <w:r>
        <w:rPr>
          <w:b/>
          <w:bCs/>
          <w:color w:val="auto"/>
          <w:szCs w:val="21"/>
          <w:highlight w:val="none"/>
        </w:rPr>
        <w:t>4.3.2</w:t>
      </w:r>
      <w:r>
        <w:rPr>
          <w:rFonts w:hint="eastAsia"/>
          <w:b/>
          <w:bCs/>
          <w:color w:val="auto"/>
          <w:szCs w:val="21"/>
          <w:highlight w:val="none"/>
        </w:rPr>
        <w:t>　</w:t>
      </w:r>
      <w:r>
        <w:rPr>
          <w:color w:val="auto"/>
          <w:szCs w:val="21"/>
          <w:highlight w:val="none"/>
        </w:rPr>
        <w:t>土按沉积年代分为老沉积土、一般沉积土和新近沉积土。</w:t>
      </w:r>
    </w:p>
    <w:p>
      <w:pPr>
        <w:spacing w:line="360" w:lineRule="auto"/>
        <w:ind w:firstLine="422" w:firstLineChars="200"/>
        <w:rPr>
          <w:rFonts w:hint="eastAsia" w:eastAsia="宋体"/>
          <w:color w:val="auto"/>
          <w:szCs w:val="21"/>
          <w:highlight w:val="none"/>
          <w:lang w:eastAsia="zh-CN"/>
        </w:rPr>
      </w:pPr>
      <w:r>
        <w:rPr>
          <w:b/>
          <w:bCs/>
          <w:color w:val="auto"/>
          <w:szCs w:val="21"/>
          <w:highlight w:val="none"/>
        </w:rPr>
        <w:t>1</w:t>
      </w:r>
      <w:r>
        <w:rPr>
          <w:rFonts w:hint="eastAsia"/>
          <w:color w:val="auto"/>
          <w:szCs w:val="21"/>
          <w:highlight w:val="none"/>
        </w:rPr>
        <w:t>　</w:t>
      </w:r>
      <w:r>
        <w:rPr>
          <w:color w:val="auto"/>
          <w:szCs w:val="21"/>
          <w:highlight w:val="none"/>
        </w:rPr>
        <w:t>老沉积土：第四纪晚更新世（Q</w:t>
      </w:r>
      <w:r>
        <w:rPr>
          <w:rFonts w:hint="eastAsia"/>
          <w:color w:val="auto"/>
          <w:szCs w:val="21"/>
          <w:highlight w:val="none"/>
          <w:vertAlign w:val="subscript"/>
        </w:rPr>
        <w:t>3</w:t>
      </w:r>
      <w:r>
        <w:rPr>
          <w:color w:val="auto"/>
          <w:szCs w:val="21"/>
          <w:highlight w:val="none"/>
        </w:rPr>
        <w:t>）及其以前形成的土</w:t>
      </w:r>
      <w:r>
        <w:rPr>
          <w:rFonts w:hint="eastAsia"/>
          <w:color w:val="auto"/>
          <w:szCs w:val="21"/>
          <w:highlight w:val="none"/>
          <w:lang w:eastAsia="zh-CN"/>
        </w:rPr>
        <w:t>；</w:t>
      </w:r>
    </w:p>
    <w:p>
      <w:pPr>
        <w:spacing w:line="360" w:lineRule="auto"/>
        <w:ind w:firstLine="422" w:firstLineChars="200"/>
        <w:rPr>
          <w:color w:val="auto"/>
          <w:szCs w:val="21"/>
          <w:highlight w:val="none"/>
        </w:rPr>
      </w:pPr>
      <w:r>
        <w:rPr>
          <w:b/>
          <w:bCs/>
          <w:color w:val="auto"/>
          <w:szCs w:val="21"/>
          <w:highlight w:val="none"/>
        </w:rPr>
        <w:t>2</w:t>
      </w:r>
      <w:r>
        <w:rPr>
          <w:rFonts w:hint="eastAsia"/>
          <w:b/>
          <w:bCs/>
          <w:color w:val="auto"/>
          <w:szCs w:val="21"/>
          <w:highlight w:val="none"/>
        </w:rPr>
        <w:t>　</w:t>
      </w:r>
      <w:r>
        <w:rPr>
          <w:color w:val="auto"/>
          <w:szCs w:val="21"/>
          <w:highlight w:val="none"/>
        </w:rPr>
        <w:t>一般沉积土：第四纪全新世（Q</w:t>
      </w:r>
      <w:r>
        <w:rPr>
          <w:color w:val="auto"/>
          <w:szCs w:val="21"/>
          <w:highlight w:val="none"/>
          <w:vertAlign w:val="subscript"/>
        </w:rPr>
        <w:t>4</w:t>
      </w:r>
      <w:r>
        <w:rPr>
          <w:color w:val="auto"/>
          <w:szCs w:val="21"/>
          <w:highlight w:val="none"/>
        </w:rPr>
        <w:t>）早期形成的土</w:t>
      </w:r>
      <w:r>
        <w:rPr>
          <w:rFonts w:hint="eastAsia"/>
          <w:color w:val="auto"/>
          <w:szCs w:val="21"/>
          <w:highlight w:val="none"/>
          <w:lang w:eastAsia="zh-CN"/>
        </w:rPr>
        <w:t>；</w:t>
      </w:r>
    </w:p>
    <w:p>
      <w:pPr>
        <w:spacing w:line="360" w:lineRule="auto"/>
        <w:ind w:firstLine="422" w:firstLineChars="200"/>
        <w:rPr>
          <w:color w:val="auto"/>
          <w:szCs w:val="21"/>
          <w:highlight w:val="none"/>
        </w:rPr>
      </w:pPr>
      <w:r>
        <w:rPr>
          <w:b/>
          <w:bCs/>
          <w:color w:val="auto"/>
          <w:szCs w:val="21"/>
          <w:highlight w:val="none"/>
        </w:rPr>
        <w:t>3</w:t>
      </w:r>
      <w:r>
        <w:rPr>
          <w:rFonts w:hint="eastAsia"/>
          <w:b/>
          <w:bCs/>
          <w:color w:val="auto"/>
          <w:szCs w:val="21"/>
          <w:highlight w:val="none"/>
        </w:rPr>
        <w:t>　</w:t>
      </w:r>
      <w:r>
        <w:rPr>
          <w:color w:val="auto"/>
          <w:szCs w:val="21"/>
          <w:highlight w:val="none"/>
        </w:rPr>
        <w:t>新近沉积土：第四纪全新世（Q</w:t>
      </w:r>
      <w:r>
        <w:rPr>
          <w:color w:val="auto"/>
          <w:szCs w:val="21"/>
          <w:highlight w:val="none"/>
          <w:vertAlign w:val="subscript"/>
        </w:rPr>
        <w:t>4</w:t>
      </w:r>
      <w:r>
        <w:rPr>
          <w:color w:val="auto"/>
          <w:szCs w:val="21"/>
          <w:highlight w:val="none"/>
        </w:rPr>
        <w:t>）中、晚期形成的土。</w:t>
      </w:r>
    </w:p>
    <w:p>
      <w:pPr>
        <w:spacing w:line="360" w:lineRule="auto"/>
        <w:rPr>
          <w:color w:val="auto"/>
          <w:sz w:val="24"/>
          <w:szCs w:val="21"/>
          <w:highlight w:val="none"/>
        </w:rPr>
      </w:pPr>
      <w:r>
        <w:rPr>
          <w:b/>
          <w:bCs/>
          <w:color w:val="auto"/>
          <w:szCs w:val="21"/>
          <w:highlight w:val="none"/>
        </w:rPr>
        <w:t>4.3.3</w:t>
      </w:r>
      <w:r>
        <w:rPr>
          <w:rFonts w:hint="eastAsia"/>
          <w:b/>
          <w:bCs/>
          <w:color w:val="auto"/>
          <w:szCs w:val="21"/>
          <w:highlight w:val="none"/>
        </w:rPr>
        <w:t>　</w:t>
      </w:r>
      <w:r>
        <w:rPr>
          <w:color w:val="auto"/>
          <w:szCs w:val="21"/>
          <w:highlight w:val="none"/>
        </w:rPr>
        <w:t>广东地区的土按地质成因</w:t>
      </w:r>
      <w:r>
        <w:rPr>
          <w:rFonts w:hint="eastAsia"/>
          <w:color w:val="auto"/>
          <w:szCs w:val="21"/>
          <w:highlight w:val="none"/>
        </w:rPr>
        <w:t>可</w:t>
      </w:r>
      <w:r>
        <w:rPr>
          <w:color w:val="auto"/>
          <w:szCs w:val="21"/>
          <w:highlight w:val="none"/>
        </w:rPr>
        <w:t>分为残积土（el）、坡积土（dl）、洪积土（pl）、冲积土（al）、湖积土（l）、海积土（m）和海陆交互相沉积土（mc）等</w:t>
      </w:r>
      <w:r>
        <w:rPr>
          <w:color w:val="auto"/>
          <w:sz w:val="24"/>
          <w:szCs w:val="21"/>
          <w:highlight w:val="none"/>
        </w:rPr>
        <w:t>。</w:t>
      </w:r>
    </w:p>
    <w:p>
      <w:pPr>
        <w:spacing w:line="360" w:lineRule="auto"/>
        <w:rPr>
          <w:color w:val="auto"/>
          <w:szCs w:val="21"/>
          <w:highlight w:val="none"/>
        </w:rPr>
      </w:pPr>
      <w:r>
        <w:rPr>
          <w:b/>
          <w:bCs/>
          <w:color w:val="auto"/>
          <w:szCs w:val="21"/>
          <w:highlight w:val="none"/>
        </w:rPr>
        <w:t>4.3.</w:t>
      </w:r>
      <w:r>
        <w:rPr>
          <w:rFonts w:hint="eastAsia"/>
          <w:b/>
          <w:bCs/>
          <w:color w:val="auto"/>
          <w:szCs w:val="21"/>
          <w:highlight w:val="none"/>
        </w:rPr>
        <w:t>4</w:t>
      </w:r>
      <w:r>
        <w:rPr>
          <w:rFonts w:hint="eastAsia"/>
          <w:color w:val="auto"/>
          <w:szCs w:val="21"/>
          <w:highlight w:val="none"/>
        </w:rPr>
        <w:t>　土的颗粒粒组可按表4.3.4划分。</w:t>
      </w:r>
    </w:p>
    <w:p>
      <w:pPr>
        <w:spacing w:line="360" w:lineRule="auto"/>
        <w:jc w:val="center"/>
        <w:rPr>
          <w:b/>
          <w:bCs/>
          <w:color w:val="auto"/>
          <w:szCs w:val="18"/>
          <w:highlight w:val="none"/>
        </w:rPr>
      </w:pPr>
      <w:r>
        <w:rPr>
          <w:b/>
          <w:bCs/>
          <w:color w:val="auto"/>
          <w:szCs w:val="18"/>
          <w:highlight w:val="none"/>
        </w:rPr>
        <w:t>表4.3.</w:t>
      </w:r>
      <w:r>
        <w:rPr>
          <w:rFonts w:hint="eastAsia"/>
          <w:b/>
          <w:bCs/>
          <w:color w:val="auto"/>
          <w:szCs w:val="18"/>
          <w:highlight w:val="none"/>
        </w:rPr>
        <w:t>4　</w:t>
      </w:r>
      <w:r>
        <w:rPr>
          <w:b/>
          <w:bCs/>
          <w:color w:val="auto"/>
          <w:szCs w:val="18"/>
          <w:highlight w:val="none"/>
        </w:rPr>
        <w:t>土颗粒的粒组划分</w:t>
      </w:r>
    </w:p>
    <w:tbl>
      <w:tblPr>
        <w:tblStyle w:val="22"/>
        <w:tblW w:w="82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1275"/>
        <w:gridCol w:w="2142"/>
        <w:gridCol w:w="32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98" w:type="dxa"/>
            <w:shd w:val="clear" w:color="auto" w:fill="auto"/>
          </w:tcPr>
          <w:p>
            <w:pPr>
              <w:jc w:val="center"/>
              <w:rPr>
                <w:color w:val="auto"/>
                <w:kern w:val="0"/>
                <w:sz w:val="20"/>
                <w:szCs w:val="20"/>
                <w:highlight w:val="none"/>
              </w:rPr>
            </w:pPr>
            <w:r>
              <w:rPr>
                <w:color w:val="auto"/>
                <w:kern w:val="0"/>
                <w:sz w:val="20"/>
                <w:szCs w:val="20"/>
                <w:highlight w:val="none"/>
              </w:rPr>
              <w:t>粒组类别</w:t>
            </w:r>
          </w:p>
        </w:tc>
        <w:tc>
          <w:tcPr>
            <w:tcW w:w="3417" w:type="dxa"/>
            <w:gridSpan w:val="2"/>
            <w:shd w:val="clear" w:color="auto" w:fill="auto"/>
          </w:tcPr>
          <w:p>
            <w:pPr>
              <w:jc w:val="center"/>
              <w:rPr>
                <w:color w:val="auto"/>
                <w:kern w:val="0"/>
                <w:sz w:val="20"/>
                <w:szCs w:val="20"/>
                <w:highlight w:val="none"/>
              </w:rPr>
            </w:pPr>
            <w:r>
              <w:rPr>
                <w:color w:val="auto"/>
                <w:kern w:val="0"/>
                <w:sz w:val="20"/>
                <w:szCs w:val="20"/>
                <w:highlight w:val="none"/>
              </w:rPr>
              <w:t>粒组</w:t>
            </w:r>
          </w:p>
        </w:tc>
        <w:tc>
          <w:tcPr>
            <w:tcW w:w="3231" w:type="dxa"/>
            <w:shd w:val="clear" w:color="auto" w:fill="auto"/>
          </w:tcPr>
          <w:p>
            <w:pPr>
              <w:jc w:val="center"/>
              <w:rPr>
                <w:color w:val="auto"/>
                <w:kern w:val="0"/>
                <w:sz w:val="20"/>
                <w:szCs w:val="20"/>
                <w:highlight w:val="none"/>
              </w:rPr>
            </w:pPr>
            <w:r>
              <w:rPr>
                <w:color w:val="auto"/>
                <w:kern w:val="0"/>
                <w:sz w:val="20"/>
                <w:szCs w:val="20"/>
                <w:highlight w:val="none"/>
              </w:rPr>
              <w:t>粒径</w:t>
            </w:r>
            <w:r>
              <w:rPr>
                <w:i/>
                <w:iCs/>
                <w:color w:val="auto"/>
                <w:kern w:val="0"/>
                <w:sz w:val="20"/>
                <w:szCs w:val="20"/>
                <w:highlight w:val="none"/>
              </w:rPr>
              <w:t>d</w:t>
            </w:r>
            <w:r>
              <w:rPr>
                <w:color w:val="auto"/>
                <w:kern w:val="0"/>
                <w:sz w:val="20"/>
                <w:szCs w:val="20"/>
                <w:highlight w:val="none"/>
              </w:rPr>
              <w:t>的范围（mm）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98" w:type="dxa"/>
            <w:vMerge w:val="restart"/>
            <w:shd w:val="clear" w:color="auto" w:fill="auto"/>
            <w:vAlign w:val="center"/>
          </w:tcPr>
          <w:p>
            <w:pPr>
              <w:jc w:val="center"/>
              <w:rPr>
                <w:rFonts w:hint="eastAsia" w:eastAsia="宋体"/>
                <w:color w:val="auto"/>
                <w:kern w:val="0"/>
                <w:sz w:val="20"/>
                <w:szCs w:val="20"/>
                <w:highlight w:val="none"/>
                <w:lang w:val="en-US" w:eastAsia="zh-CN"/>
              </w:rPr>
            </w:pPr>
            <w:r>
              <w:rPr>
                <w:rFonts w:hint="eastAsia"/>
                <w:color w:val="auto"/>
                <w:kern w:val="0"/>
                <w:sz w:val="20"/>
                <w:szCs w:val="20"/>
                <w:highlight w:val="none"/>
                <w:lang w:val="en-US" w:eastAsia="zh-CN"/>
              </w:rPr>
              <w:t>巨粒</w:t>
            </w:r>
          </w:p>
        </w:tc>
        <w:tc>
          <w:tcPr>
            <w:tcW w:w="3417" w:type="dxa"/>
            <w:gridSpan w:val="2"/>
            <w:shd w:val="clear" w:color="auto" w:fill="auto"/>
          </w:tcPr>
          <w:p>
            <w:pPr>
              <w:jc w:val="center"/>
              <w:rPr>
                <w:color w:val="auto"/>
                <w:kern w:val="0"/>
                <w:sz w:val="20"/>
                <w:szCs w:val="20"/>
                <w:highlight w:val="none"/>
              </w:rPr>
            </w:pPr>
            <w:r>
              <w:rPr>
                <w:rFonts w:hint="eastAsia"/>
                <w:color w:val="auto"/>
                <w:kern w:val="0"/>
                <w:sz w:val="20"/>
                <w:szCs w:val="20"/>
                <w:highlight w:val="none"/>
              </w:rPr>
              <w:t>漂石、块石</w:t>
            </w:r>
          </w:p>
        </w:tc>
        <w:tc>
          <w:tcPr>
            <w:tcW w:w="3231" w:type="dxa"/>
            <w:shd w:val="clear" w:color="auto" w:fill="auto"/>
          </w:tcPr>
          <w:p>
            <w:pPr>
              <w:jc w:val="center"/>
              <w:rPr>
                <w:color w:val="auto"/>
                <w:kern w:val="0"/>
                <w:sz w:val="20"/>
                <w:szCs w:val="20"/>
                <w:highlight w:val="none"/>
              </w:rPr>
            </w:pPr>
            <w:r>
              <w:rPr>
                <w:i/>
                <w:iCs/>
                <w:color w:val="auto"/>
                <w:kern w:val="0"/>
                <w:sz w:val="20"/>
                <w:szCs w:val="20"/>
                <w:highlight w:val="none"/>
              </w:rPr>
              <w:t>d</w:t>
            </w:r>
            <w:r>
              <w:rPr>
                <w:color w:val="auto"/>
                <w:kern w:val="0"/>
                <w:sz w:val="20"/>
                <w:szCs w:val="20"/>
                <w:highlight w:val="none"/>
              </w:rPr>
              <w:t>&gt;200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98" w:type="dxa"/>
            <w:vMerge w:val="continue"/>
            <w:shd w:val="clear" w:color="auto" w:fill="auto"/>
            <w:vAlign w:val="center"/>
          </w:tcPr>
          <w:p>
            <w:pPr>
              <w:jc w:val="center"/>
              <w:rPr>
                <w:color w:val="auto"/>
                <w:kern w:val="0"/>
                <w:sz w:val="20"/>
                <w:szCs w:val="20"/>
                <w:highlight w:val="none"/>
              </w:rPr>
            </w:pPr>
          </w:p>
        </w:tc>
        <w:tc>
          <w:tcPr>
            <w:tcW w:w="3417" w:type="dxa"/>
            <w:gridSpan w:val="2"/>
            <w:shd w:val="clear" w:color="auto" w:fill="auto"/>
          </w:tcPr>
          <w:p>
            <w:pPr>
              <w:jc w:val="center"/>
              <w:rPr>
                <w:color w:val="auto"/>
                <w:kern w:val="0"/>
                <w:sz w:val="20"/>
                <w:szCs w:val="20"/>
                <w:highlight w:val="none"/>
              </w:rPr>
            </w:pPr>
            <w:r>
              <w:rPr>
                <w:color w:val="auto"/>
                <w:kern w:val="0"/>
                <w:sz w:val="20"/>
                <w:szCs w:val="20"/>
                <w:highlight w:val="none"/>
              </w:rPr>
              <w:t>卵</w:t>
            </w:r>
            <w:r>
              <w:rPr>
                <w:rFonts w:hint="eastAsia"/>
                <w:color w:val="auto"/>
                <w:kern w:val="0"/>
                <w:sz w:val="20"/>
                <w:szCs w:val="20"/>
                <w:highlight w:val="none"/>
              </w:rPr>
              <w:t>石、碎石</w:t>
            </w:r>
          </w:p>
        </w:tc>
        <w:tc>
          <w:tcPr>
            <w:tcW w:w="3231" w:type="dxa"/>
            <w:shd w:val="clear" w:color="auto" w:fill="auto"/>
          </w:tcPr>
          <w:p>
            <w:pPr>
              <w:jc w:val="center"/>
              <w:rPr>
                <w:color w:val="auto"/>
                <w:kern w:val="0"/>
                <w:sz w:val="20"/>
                <w:szCs w:val="20"/>
                <w:highlight w:val="none"/>
              </w:rPr>
            </w:pPr>
            <w:r>
              <w:rPr>
                <w:color w:val="auto"/>
                <w:kern w:val="0"/>
                <w:sz w:val="20"/>
                <w:szCs w:val="20"/>
                <w:highlight w:val="none"/>
              </w:rPr>
              <w:t>200</w:t>
            </w:r>
            <w:r>
              <w:rPr>
                <w:rFonts w:hint="eastAsia" w:ascii="宋体" w:hAnsi="宋体" w:cs="宋体"/>
                <w:color w:val="auto"/>
                <w:kern w:val="0"/>
                <w:sz w:val="20"/>
                <w:szCs w:val="20"/>
                <w:highlight w:val="none"/>
              </w:rPr>
              <w:t>≥</w:t>
            </w:r>
            <w:r>
              <w:rPr>
                <w:i/>
                <w:iCs/>
                <w:color w:val="auto"/>
                <w:kern w:val="0"/>
                <w:sz w:val="20"/>
                <w:szCs w:val="20"/>
                <w:highlight w:val="none"/>
              </w:rPr>
              <w:t>d</w:t>
            </w:r>
            <w:r>
              <w:rPr>
                <w:color w:val="auto"/>
                <w:kern w:val="0"/>
                <w:sz w:val="20"/>
                <w:szCs w:val="20"/>
                <w:highlight w:val="none"/>
              </w:rPr>
              <w:t>&gt;</w:t>
            </w:r>
            <w:r>
              <w:rPr>
                <w:rFonts w:hint="eastAsia"/>
                <w:color w:val="auto"/>
                <w:kern w:val="0"/>
                <w:sz w:val="20"/>
                <w:szCs w:val="20"/>
                <w:highlight w:val="none"/>
              </w:rPr>
              <w:t>6</w:t>
            </w:r>
            <w:r>
              <w:rPr>
                <w:color w:val="auto"/>
                <w:kern w:val="0"/>
                <w:sz w:val="20"/>
                <w:szCs w:val="20"/>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98" w:type="dxa"/>
            <w:vMerge w:val="restart"/>
            <w:shd w:val="clear" w:color="auto" w:fill="auto"/>
            <w:vAlign w:val="center"/>
          </w:tcPr>
          <w:p>
            <w:pPr>
              <w:jc w:val="center"/>
              <w:rPr>
                <w:color w:val="auto"/>
                <w:kern w:val="0"/>
                <w:sz w:val="20"/>
                <w:szCs w:val="20"/>
                <w:highlight w:val="none"/>
              </w:rPr>
            </w:pPr>
            <w:r>
              <w:rPr>
                <w:color w:val="auto"/>
                <w:kern w:val="0"/>
                <w:sz w:val="20"/>
                <w:szCs w:val="20"/>
                <w:highlight w:val="none"/>
              </w:rPr>
              <w:t>粗粒</w:t>
            </w:r>
          </w:p>
        </w:tc>
        <w:tc>
          <w:tcPr>
            <w:tcW w:w="1275" w:type="dxa"/>
            <w:shd w:val="clear" w:color="auto" w:fill="auto"/>
          </w:tcPr>
          <w:p>
            <w:pPr>
              <w:jc w:val="center"/>
              <w:rPr>
                <w:color w:val="auto"/>
                <w:kern w:val="0"/>
                <w:sz w:val="20"/>
                <w:szCs w:val="20"/>
                <w:highlight w:val="none"/>
              </w:rPr>
            </w:pPr>
            <w:r>
              <w:rPr>
                <w:color w:val="auto"/>
                <w:kern w:val="0"/>
                <w:sz w:val="20"/>
                <w:szCs w:val="20"/>
                <w:highlight w:val="none"/>
              </w:rPr>
              <w:t>砾粒</w:t>
            </w:r>
          </w:p>
        </w:tc>
        <w:tc>
          <w:tcPr>
            <w:tcW w:w="2142" w:type="dxa"/>
            <w:shd w:val="clear" w:color="auto" w:fill="auto"/>
          </w:tcPr>
          <w:p>
            <w:pPr>
              <w:jc w:val="center"/>
              <w:rPr>
                <w:color w:val="auto"/>
                <w:kern w:val="0"/>
                <w:sz w:val="20"/>
                <w:szCs w:val="20"/>
                <w:highlight w:val="none"/>
              </w:rPr>
            </w:pPr>
            <w:r>
              <w:rPr>
                <w:rFonts w:hint="eastAsia"/>
                <w:color w:val="auto"/>
                <w:kern w:val="0"/>
                <w:sz w:val="20"/>
                <w:szCs w:val="20"/>
                <w:highlight w:val="none"/>
              </w:rPr>
              <w:t>圆砾、角砾</w:t>
            </w:r>
          </w:p>
        </w:tc>
        <w:tc>
          <w:tcPr>
            <w:tcW w:w="3231" w:type="dxa"/>
            <w:shd w:val="clear" w:color="auto" w:fill="auto"/>
          </w:tcPr>
          <w:p>
            <w:pPr>
              <w:jc w:val="center"/>
              <w:rPr>
                <w:color w:val="auto"/>
                <w:kern w:val="0"/>
                <w:sz w:val="20"/>
                <w:szCs w:val="20"/>
                <w:highlight w:val="none"/>
              </w:rPr>
            </w:pPr>
            <w:r>
              <w:rPr>
                <w:rFonts w:hint="eastAsia"/>
                <w:color w:val="auto"/>
                <w:kern w:val="0"/>
                <w:sz w:val="20"/>
                <w:szCs w:val="20"/>
                <w:highlight w:val="none"/>
              </w:rPr>
              <w:t>6</w:t>
            </w:r>
            <w:r>
              <w:rPr>
                <w:color w:val="auto"/>
                <w:kern w:val="0"/>
                <w:sz w:val="20"/>
                <w:szCs w:val="20"/>
                <w:highlight w:val="none"/>
              </w:rPr>
              <w:t>0</w:t>
            </w:r>
            <w:r>
              <w:rPr>
                <w:rFonts w:hint="eastAsia" w:ascii="宋体" w:hAnsi="宋体" w:cs="宋体"/>
                <w:color w:val="auto"/>
                <w:kern w:val="0"/>
                <w:sz w:val="20"/>
                <w:szCs w:val="20"/>
                <w:highlight w:val="none"/>
              </w:rPr>
              <w:t>≥</w:t>
            </w:r>
            <w:r>
              <w:rPr>
                <w:i/>
                <w:iCs/>
                <w:color w:val="auto"/>
                <w:kern w:val="0"/>
                <w:sz w:val="20"/>
                <w:szCs w:val="20"/>
                <w:highlight w:val="none"/>
              </w:rPr>
              <w:t>d</w:t>
            </w:r>
            <w:r>
              <w:rPr>
                <w:color w:val="auto"/>
                <w:kern w:val="0"/>
                <w:sz w:val="20"/>
                <w:szCs w:val="20"/>
                <w:highlight w:val="none"/>
              </w:rPr>
              <w:t>&gt;2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98" w:type="dxa"/>
            <w:vMerge w:val="continue"/>
            <w:shd w:val="clear" w:color="auto" w:fill="auto"/>
            <w:vAlign w:val="center"/>
          </w:tcPr>
          <w:p>
            <w:pPr>
              <w:jc w:val="center"/>
              <w:rPr>
                <w:color w:val="auto"/>
                <w:kern w:val="0"/>
                <w:sz w:val="20"/>
                <w:szCs w:val="20"/>
                <w:highlight w:val="none"/>
              </w:rPr>
            </w:pPr>
          </w:p>
        </w:tc>
        <w:tc>
          <w:tcPr>
            <w:tcW w:w="3417" w:type="dxa"/>
            <w:gridSpan w:val="2"/>
            <w:shd w:val="clear" w:color="auto" w:fill="auto"/>
          </w:tcPr>
          <w:p>
            <w:pPr>
              <w:jc w:val="center"/>
              <w:rPr>
                <w:color w:val="auto"/>
                <w:kern w:val="0"/>
                <w:sz w:val="20"/>
                <w:szCs w:val="20"/>
                <w:highlight w:val="none"/>
              </w:rPr>
            </w:pPr>
            <w:r>
              <w:rPr>
                <w:color w:val="auto"/>
                <w:kern w:val="0"/>
                <w:sz w:val="20"/>
                <w:szCs w:val="20"/>
                <w:highlight w:val="none"/>
              </w:rPr>
              <w:t>砂粒</w:t>
            </w:r>
          </w:p>
        </w:tc>
        <w:tc>
          <w:tcPr>
            <w:tcW w:w="3231" w:type="dxa"/>
            <w:shd w:val="clear" w:color="auto" w:fill="auto"/>
          </w:tcPr>
          <w:p>
            <w:pPr>
              <w:jc w:val="center"/>
              <w:rPr>
                <w:color w:val="auto"/>
                <w:kern w:val="0"/>
                <w:sz w:val="20"/>
                <w:szCs w:val="20"/>
                <w:highlight w:val="none"/>
              </w:rPr>
            </w:pPr>
            <w:r>
              <w:rPr>
                <w:color w:val="auto"/>
                <w:kern w:val="0"/>
                <w:sz w:val="20"/>
                <w:szCs w:val="20"/>
                <w:highlight w:val="none"/>
              </w:rPr>
              <w:t>2</w:t>
            </w:r>
            <w:r>
              <w:rPr>
                <w:rFonts w:hint="eastAsia" w:ascii="宋体" w:hAnsi="宋体" w:cs="宋体"/>
                <w:color w:val="auto"/>
                <w:kern w:val="0"/>
                <w:sz w:val="20"/>
                <w:szCs w:val="20"/>
                <w:highlight w:val="none"/>
              </w:rPr>
              <w:t>≥</w:t>
            </w:r>
            <w:r>
              <w:rPr>
                <w:i/>
                <w:iCs/>
                <w:color w:val="auto"/>
                <w:kern w:val="0"/>
                <w:sz w:val="20"/>
                <w:szCs w:val="20"/>
                <w:highlight w:val="none"/>
              </w:rPr>
              <w:t>d</w:t>
            </w:r>
            <w:r>
              <w:rPr>
                <w:color w:val="auto"/>
                <w:kern w:val="0"/>
                <w:sz w:val="20"/>
                <w:szCs w:val="20"/>
                <w:highlight w:val="none"/>
              </w:rPr>
              <w:t>&gt;0.075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98" w:type="dxa"/>
            <w:vMerge w:val="restart"/>
            <w:shd w:val="clear" w:color="auto" w:fill="auto"/>
            <w:vAlign w:val="center"/>
          </w:tcPr>
          <w:p>
            <w:pPr>
              <w:jc w:val="center"/>
              <w:rPr>
                <w:color w:val="auto"/>
                <w:kern w:val="0"/>
                <w:sz w:val="20"/>
                <w:szCs w:val="20"/>
                <w:highlight w:val="none"/>
              </w:rPr>
            </w:pPr>
            <w:r>
              <w:rPr>
                <w:color w:val="auto"/>
                <w:kern w:val="0"/>
                <w:sz w:val="20"/>
                <w:szCs w:val="20"/>
                <w:highlight w:val="none"/>
              </w:rPr>
              <w:t>细粒</w:t>
            </w:r>
          </w:p>
        </w:tc>
        <w:tc>
          <w:tcPr>
            <w:tcW w:w="3417" w:type="dxa"/>
            <w:gridSpan w:val="2"/>
            <w:shd w:val="clear" w:color="auto" w:fill="auto"/>
          </w:tcPr>
          <w:p>
            <w:pPr>
              <w:jc w:val="center"/>
              <w:rPr>
                <w:color w:val="auto"/>
                <w:kern w:val="0"/>
                <w:sz w:val="20"/>
                <w:szCs w:val="20"/>
                <w:highlight w:val="none"/>
              </w:rPr>
            </w:pPr>
            <w:r>
              <w:rPr>
                <w:color w:val="auto"/>
                <w:kern w:val="0"/>
                <w:sz w:val="20"/>
                <w:szCs w:val="20"/>
                <w:highlight w:val="none"/>
              </w:rPr>
              <w:t>粉粒</w:t>
            </w:r>
          </w:p>
        </w:tc>
        <w:tc>
          <w:tcPr>
            <w:tcW w:w="3231" w:type="dxa"/>
            <w:shd w:val="clear" w:color="auto" w:fill="auto"/>
          </w:tcPr>
          <w:p>
            <w:pPr>
              <w:jc w:val="center"/>
              <w:rPr>
                <w:color w:val="auto"/>
                <w:kern w:val="0"/>
                <w:sz w:val="20"/>
                <w:szCs w:val="20"/>
                <w:highlight w:val="none"/>
              </w:rPr>
            </w:pPr>
            <w:r>
              <w:rPr>
                <w:color w:val="auto"/>
                <w:kern w:val="0"/>
                <w:sz w:val="20"/>
                <w:szCs w:val="20"/>
                <w:highlight w:val="none"/>
              </w:rPr>
              <w:t>0.075</w:t>
            </w:r>
            <w:r>
              <w:rPr>
                <w:rFonts w:hint="eastAsia" w:ascii="宋体" w:hAnsi="宋体" w:cs="宋体"/>
                <w:color w:val="auto"/>
                <w:kern w:val="0"/>
                <w:sz w:val="20"/>
                <w:szCs w:val="20"/>
                <w:highlight w:val="none"/>
              </w:rPr>
              <w:t>≥</w:t>
            </w:r>
            <w:r>
              <w:rPr>
                <w:i/>
                <w:iCs/>
                <w:color w:val="auto"/>
                <w:kern w:val="0"/>
                <w:sz w:val="20"/>
                <w:szCs w:val="20"/>
                <w:highlight w:val="none"/>
              </w:rPr>
              <w:t>d</w:t>
            </w:r>
            <w:r>
              <w:rPr>
                <w:color w:val="auto"/>
                <w:kern w:val="0"/>
                <w:sz w:val="20"/>
                <w:szCs w:val="20"/>
                <w:highlight w:val="none"/>
              </w:rPr>
              <w:t>&gt;0.005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98" w:type="dxa"/>
            <w:vMerge w:val="continue"/>
            <w:shd w:val="clear" w:color="auto" w:fill="auto"/>
          </w:tcPr>
          <w:p>
            <w:pPr>
              <w:jc w:val="center"/>
              <w:rPr>
                <w:color w:val="auto"/>
                <w:kern w:val="0"/>
                <w:sz w:val="20"/>
                <w:szCs w:val="20"/>
                <w:highlight w:val="none"/>
              </w:rPr>
            </w:pPr>
          </w:p>
        </w:tc>
        <w:tc>
          <w:tcPr>
            <w:tcW w:w="3417" w:type="dxa"/>
            <w:gridSpan w:val="2"/>
            <w:shd w:val="clear" w:color="auto" w:fill="auto"/>
          </w:tcPr>
          <w:p>
            <w:pPr>
              <w:jc w:val="center"/>
              <w:rPr>
                <w:color w:val="auto"/>
                <w:kern w:val="0"/>
                <w:sz w:val="20"/>
                <w:szCs w:val="20"/>
                <w:highlight w:val="none"/>
              </w:rPr>
            </w:pPr>
            <w:r>
              <w:rPr>
                <w:color w:val="auto"/>
                <w:kern w:val="0"/>
                <w:sz w:val="20"/>
                <w:szCs w:val="20"/>
                <w:highlight w:val="none"/>
              </w:rPr>
              <w:t>黏粒</w:t>
            </w:r>
          </w:p>
        </w:tc>
        <w:tc>
          <w:tcPr>
            <w:tcW w:w="3231" w:type="dxa"/>
            <w:shd w:val="clear" w:color="auto" w:fill="auto"/>
          </w:tcPr>
          <w:p>
            <w:pPr>
              <w:jc w:val="center"/>
              <w:rPr>
                <w:color w:val="auto"/>
                <w:kern w:val="0"/>
                <w:sz w:val="20"/>
                <w:szCs w:val="20"/>
                <w:highlight w:val="none"/>
              </w:rPr>
            </w:pPr>
            <w:r>
              <w:rPr>
                <w:i/>
                <w:iCs/>
                <w:color w:val="auto"/>
                <w:kern w:val="0"/>
                <w:sz w:val="20"/>
                <w:szCs w:val="20"/>
                <w:highlight w:val="none"/>
              </w:rPr>
              <w:t>d</w:t>
            </w:r>
            <w:r>
              <w:rPr>
                <w:rFonts w:hint="eastAsia" w:ascii="宋体" w:hAnsi="宋体" w:cs="宋体"/>
                <w:color w:val="auto"/>
                <w:kern w:val="0"/>
                <w:sz w:val="20"/>
                <w:szCs w:val="20"/>
                <w:highlight w:val="none"/>
              </w:rPr>
              <w:t>≤</w:t>
            </w:r>
            <w:r>
              <w:rPr>
                <w:color w:val="auto"/>
                <w:kern w:val="0"/>
                <w:sz w:val="20"/>
                <w:szCs w:val="20"/>
                <w:highlight w:val="none"/>
              </w:rPr>
              <w:t>0.005</w:t>
            </w:r>
          </w:p>
        </w:tc>
      </w:tr>
    </w:tbl>
    <w:p>
      <w:pPr>
        <w:spacing w:line="360" w:lineRule="auto"/>
        <w:rPr>
          <w:color w:val="auto"/>
          <w:szCs w:val="21"/>
          <w:highlight w:val="none"/>
        </w:rPr>
      </w:pPr>
      <w:r>
        <w:rPr>
          <w:b/>
          <w:bCs/>
          <w:color w:val="auto"/>
          <w:szCs w:val="21"/>
          <w:highlight w:val="none"/>
        </w:rPr>
        <w:t>4.3.</w:t>
      </w:r>
      <w:r>
        <w:rPr>
          <w:rFonts w:hint="eastAsia"/>
          <w:b/>
          <w:bCs/>
          <w:color w:val="auto"/>
          <w:szCs w:val="21"/>
          <w:highlight w:val="none"/>
        </w:rPr>
        <w:t>5　</w:t>
      </w:r>
      <w:r>
        <w:rPr>
          <w:color w:val="auto"/>
          <w:szCs w:val="21"/>
          <w:highlight w:val="none"/>
        </w:rPr>
        <w:t>一般土</w:t>
      </w:r>
      <w:r>
        <w:rPr>
          <w:rFonts w:hint="eastAsia"/>
          <w:color w:val="auto"/>
          <w:szCs w:val="21"/>
          <w:highlight w:val="none"/>
        </w:rPr>
        <w:t>根据粒组组成分为粗粒土和细粒土。粗粒土为粗粒质量</w:t>
      </w:r>
      <w:r>
        <w:rPr>
          <w:color w:val="auto"/>
          <w:szCs w:val="21"/>
          <w:highlight w:val="none"/>
        </w:rPr>
        <w:t>超过总质量50%的土</w:t>
      </w:r>
      <w:r>
        <w:rPr>
          <w:rFonts w:hint="eastAsia"/>
          <w:color w:val="auto"/>
          <w:szCs w:val="21"/>
          <w:highlight w:val="none"/>
        </w:rPr>
        <w:t>；细粒土为粗粒含量不</w:t>
      </w:r>
      <w:r>
        <w:rPr>
          <w:color w:val="auto"/>
          <w:szCs w:val="21"/>
          <w:highlight w:val="none"/>
        </w:rPr>
        <w:t>超过总质量50%的土</w:t>
      </w:r>
      <w:r>
        <w:rPr>
          <w:rFonts w:hint="eastAsia"/>
          <w:color w:val="auto"/>
          <w:szCs w:val="21"/>
          <w:highlight w:val="none"/>
        </w:rPr>
        <w:t>。</w:t>
      </w:r>
    </w:p>
    <w:p>
      <w:pPr>
        <w:spacing w:line="360" w:lineRule="auto"/>
        <w:rPr>
          <w:color w:val="auto"/>
          <w:szCs w:val="21"/>
          <w:highlight w:val="none"/>
        </w:rPr>
      </w:pPr>
      <w:r>
        <w:rPr>
          <w:rFonts w:hint="eastAsia"/>
          <w:b/>
          <w:bCs/>
          <w:color w:val="auto"/>
          <w:szCs w:val="21"/>
          <w:highlight w:val="none"/>
        </w:rPr>
        <w:t>4.3.6　</w:t>
      </w:r>
      <w:r>
        <w:rPr>
          <w:rFonts w:hint="eastAsia"/>
          <w:color w:val="auto"/>
          <w:szCs w:val="21"/>
          <w:highlight w:val="none"/>
        </w:rPr>
        <w:t>粗粒土</w:t>
      </w:r>
      <w:r>
        <w:rPr>
          <w:color w:val="auto"/>
          <w:szCs w:val="21"/>
          <w:highlight w:val="none"/>
        </w:rPr>
        <w:t>根据颗粒级配分为</w:t>
      </w:r>
      <w:r>
        <w:rPr>
          <w:rFonts w:hint="eastAsia"/>
          <w:color w:val="auto"/>
          <w:szCs w:val="21"/>
          <w:highlight w:val="none"/>
        </w:rPr>
        <w:t>碎石土</w:t>
      </w:r>
      <w:r>
        <w:rPr>
          <w:color w:val="auto"/>
          <w:szCs w:val="21"/>
          <w:highlight w:val="none"/>
        </w:rPr>
        <w:t>、砂土。</w:t>
      </w:r>
      <w:r>
        <w:rPr>
          <w:rFonts w:hint="eastAsia"/>
          <w:color w:val="auto"/>
          <w:szCs w:val="21"/>
          <w:highlight w:val="none"/>
        </w:rPr>
        <w:t>碎石土和砂土的进一步分类应符合下列规定：</w:t>
      </w:r>
    </w:p>
    <w:p>
      <w:pPr>
        <w:spacing w:line="360" w:lineRule="auto"/>
        <w:ind w:firstLine="422" w:firstLineChars="200"/>
        <w:rPr>
          <w:color w:val="auto"/>
          <w:szCs w:val="21"/>
          <w:highlight w:val="none"/>
        </w:rPr>
      </w:pPr>
      <w:r>
        <w:rPr>
          <w:b/>
          <w:bCs/>
          <w:color w:val="auto"/>
          <w:szCs w:val="21"/>
          <w:highlight w:val="none"/>
        </w:rPr>
        <w:t>1</w:t>
      </w:r>
      <w:r>
        <w:rPr>
          <w:rFonts w:hint="eastAsia"/>
          <w:b/>
          <w:bCs/>
          <w:color w:val="auto"/>
          <w:szCs w:val="21"/>
          <w:highlight w:val="none"/>
        </w:rPr>
        <w:t>　</w:t>
      </w:r>
      <w:r>
        <w:rPr>
          <w:rFonts w:hint="eastAsia"/>
          <w:color w:val="auto"/>
          <w:szCs w:val="21"/>
          <w:highlight w:val="none"/>
        </w:rPr>
        <w:t>碎石土</w:t>
      </w:r>
      <w:r>
        <w:rPr>
          <w:color w:val="auto"/>
          <w:szCs w:val="21"/>
          <w:highlight w:val="none"/>
        </w:rPr>
        <w:t>：粒径大于2mm颗粒的质量超过总质量50%的土，按表4.3.</w:t>
      </w:r>
      <w:r>
        <w:rPr>
          <w:rFonts w:hint="eastAsia"/>
          <w:color w:val="auto"/>
          <w:szCs w:val="21"/>
          <w:highlight w:val="none"/>
        </w:rPr>
        <w:t>6</w:t>
      </w:r>
      <w:r>
        <w:rPr>
          <w:color w:val="auto"/>
          <w:szCs w:val="21"/>
          <w:highlight w:val="none"/>
        </w:rPr>
        <w:t>-1进一步分类</w:t>
      </w:r>
      <w:r>
        <w:rPr>
          <w:rFonts w:hint="eastAsia"/>
          <w:color w:val="auto"/>
          <w:szCs w:val="21"/>
          <w:highlight w:val="none"/>
          <w:lang w:eastAsia="zh-CN"/>
        </w:rPr>
        <w:t>；</w:t>
      </w:r>
    </w:p>
    <w:p>
      <w:pPr>
        <w:spacing w:line="360" w:lineRule="auto"/>
        <w:jc w:val="center"/>
        <w:rPr>
          <w:b/>
          <w:bCs/>
          <w:color w:val="auto"/>
          <w:szCs w:val="18"/>
          <w:highlight w:val="none"/>
        </w:rPr>
      </w:pPr>
      <w:r>
        <w:rPr>
          <w:b/>
          <w:bCs/>
          <w:color w:val="auto"/>
          <w:szCs w:val="18"/>
          <w:highlight w:val="none"/>
        </w:rPr>
        <w:t>表4.3.</w:t>
      </w:r>
      <w:r>
        <w:rPr>
          <w:rFonts w:hint="eastAsia"/>
          <w:b/>
          <w:bCs/>
          <w:color w:val="auto"/>
          <w:szCs w:val="18"/>
          <w:highlight w:val="none"/>
        </w:rPr>
        <w:t>6</w:t>
      </w:r>
      <w:r>
        <w:rPr>
          <w:b/>
          <w:bCs/>
          <w:color w:val="auto"/>
          <w:szCs w:val="18"/>
          <w:highlight w:val="none"/>
        </w:rPr>
        <w:t>-1</w:t>
      </w:r>
      <w:r>
        <w:rPr>
          <w:rFonts w:hint="eastAsia"/>
          <w:b/>
          <w:bCs/>
          <w:color w:val="auto"/>
          <w:szCs w:val="18"/>
          <w:highlight w:val="none"/>
        </w:rPr>
        <w:t>　碎石土</w:t>
      </w:r>
      <w:r>
        <w:rPr>
          <w:b/>
          <w:bCs/>
          <w:color w:val="auto"/>
          <w:szCs w:val="18"/>
          <w:highlight w:val="none"/>
        </w:rPr>
        <w:t>分类</w:t>
      </w:r>
    </w:p>
    <w:tbl>
      <w:tblPr>
        <w:tblStyle w:val="22"/>
        <w:tblW w:w="82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2694"/>
        <w:gridCol w:w="39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4" w:type="dxa"/>
            <w:vAlign w:val="center"/>
          </w:tcPr>
          <w:p>
            <w:pPr>
              <w:jc w:val="center"/>
              <w:rPr>
                <w:color w:val="auto"/>
                <w:sz w:val="20"/>
                <w:szCs w:val="20"/>
                <w:highlight w:val="none"/>
              </w:rPr>
            </w:pPr>
            <w:r>
              <w:rPr>
                <w:color w:val="auto"/>
                <w:sz w:val="20"/>
                <w:szCs w:val="20"/>
                <w:highlight w:val="none"/>
              </w:rPr>
              <w:t>土的名称</w:t>
            </w:r>
          </w:p>
        </w:tc>
        <w:tc>
          <w:tcPr>
            <w:tcW w:w="2694" w:type="dxa"/>
            <w:vAlign w:val="center"/>
          </w:tcPr>
          <w:p>
            <w:pPr>
              <w:jc w:val="center"/>
              <w:rPr>
                <w:color w:val="auto"/>
                <w:sz w:val="20"/>
                <w:szCs w:val="20"/>
                <w:highlight w:val="none"/>
              </w:rPr>
            </w:pPr>
            <w:r>
              <w:rPr>
                <w:color w:val="auto"/>
                <w:sz w:val="20"/>
                <w:szCs w:val="20"/>
                <w:highlight w:val="none"/>
              </w:rPr>
              <w:t>颗粒形状</w:t>
            </w:r>
          </w:p>
        </w:tc>
        <w:tc>
          <w:tcPr>
            <w:tcW w:w="3968" w:type="dxa"/>
            <w:vAlign w:val="center"/>
          </w:tcPr>
          <w:p>
            <w:pPr>
              <w:jc w:val="center"/>
              <w:rPr>
                <w:color w:val="auto"/>
                <w:sz w:val="20"/>
                <w:szCs w:val="20"/>
                <w:highlight w:val="none"/>
              </w:rPr>
            </w:pPr>
            <w:r>
              <w:rPr>
                <w:color w:val="auto"/>
                <w:sz w:val="20"/>
                <w:szCs w:val="20"/>
                <w:highlight w:val="none"/>
              </w:rPr>
              <w:t>粒组含量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4" w:type="dxa"/>
            <w:vAlign w:val="center"/>
          </w:tcPr>
          <w:p>
            <w:pPr>
              <w:jc w:val="center"/>
              <w:rPr>
                <w:color w:val="auto"/>
                <w:sz w:val="20"/>
                <w:szCs w:val="20"/>
                <w:highlight w:val="none"/>
              </w:rPr>
            </w:pPr>
            <w:r>
              <w:rPr>
                <w:color w:val="auto"/>
                <w:sz w:val="20"/>
                <w:szCs w:val="20"/>
                <w:highlight w:val="none"/>
              </w:rPr>
              <w:t>漂石</w:t>
            </w:r>
          </w:p>
        </w:tc>
        <w:tc>
          <w:tcPr>
            <w:tcW w:w="2694" w:type="dxa"/>
            <w:vAlign w:val="center"/>
          </w:tcPr>
          <w:p>
            <w:pPr>
              <w:jc w:val="center"/>
              <w:rPr>
                <w:color w:val="auto"/>
                <w:sz w:val="20"/>
                <w:szCs w:val="20"/>
                <w:highlight w:val="none"/>
              </w:rPr>
            </w:pPr>
            <w:r>
              <w:rPr>
                <w:color w:val="auto"/>
                <w:sz w:val="20"/>
                <w:szCs w:val="20"/>
                <w:highlight w:val="none"/>
              </w:rPr>
              <w:t>圆形及亚圆形为主</w:t>
            </w:r>
          </w:p>
        </w:tc>
        <w:tc>
          <w:tcPr>
            <w:tcW w:w="3968" w:type="dxa"/>
            <w:vMerge w:val="restart"/>
            <w:vAlign w:val="center"/>
          </w:tcPr>
          <w:p>
            <w:pPr>
              <w:jc w:val="center"/>
              <w:rPr>
                <w:color w:val="auto"/>
                <w:sz w:val="20"/>
                <w:szCs w:val="20"/>
                <w:highlight w:val="none"/>
              </w:rPr>
            </w:pPr>
            <w:r>
              <w:rPr>
                <w:i/>
                <w:iCs/>
                <w:color w:val="auto"/>
                <w:sz w:val="20"/>
                <w:szCs w:val="20"/>
                <w:highlight w:val="none"/>
              </w:rPr>
              <w:t>d</w:t>
            </w:r>
            <w:r>
              <w:rPr>
                <w:color w:val="auto"/>
                <w:sz w:val="20"/>
                <w:szCs w:val="20"/>
                <w:highlight w:val="none"/>
              </w:rPr>
              <w:t>&gt;200mm颗粒的质量超过总质量50%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4" w:type="dxa"/>
            <w:vAlign w:val="center"/>
          </w:tcPr>
          <w:p>
            <w:pPr>
              <w:jc w:val="center"/>
              <w:rPr>
                <w:color w:val="auto"/>
                <w:sz w:val="20"/>
                <w:szCs w:val="20"/>
                <w:highlight w:val="none"/>
              </w:rPr>
            </w:pPr>
            <w:r>
              <w:rPr>
                <w:color w:val="auto"/>
                <w:sz w:val="20"/>
                <w:szCs w:val="20"/>
                <w:highlight w:val="none"/>
              </w:rPr>
              <w:t>块石</w:t>
            </w:r>
          </w:p>
        </w:tc>
        <w:tc>
          <w:tcPr>
            <w:tcW w:w="2694" w:type="dxa"/>
            <w:vAlign w:val="center"/>
          </w:tcPr>
          <w:p>
            <w:pPr>
              <w:jc w:val="center"/>
              <w:rPr>
                <w:color w:val="auto"/>
                <w:sz w:val="20"/>
                <w:szCs w:val="20"/>
                <w:highlight w:val="none"/>
              </w:rPr>
            </w:pPr>
            <w:r>
              <w:rPr>
                <w:color w:val="auto"/>
                <w:sz w:val="20"/>
                <w:szCs w:val="20"/>
                <w:highlight w:val="none"/>
              </w:rPr>
              <w:t>棱角形为主</w:t>
            </w:r>
          </w:p>
        </w:tc>
        <w:tc>
          <w:tcPr>
            <w:tcW w:w="3968" w:type="dxa"/>
            <w:vMerge w:val="continue"/>
            <w:vAlign w:val="center"/>
          </w:tcPr>
          <w:p>
            <w:pPr>
              <w:jc w:val="center"/>
              <w:rPr>
                <w:color w:val="auto"/>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4" w:type="dxa"/>
            <w:vAlign w:val="center"/>
          </w:tcPr>
          <w:p>
            <w:pPr>
              <w:jc w:val="center"/>
              <w:rPr>
                <w:color w:val="auto"/>
                <w:sz w:val="20"/>
                <w:szCs w:val="20"/>
                <w:highlight w:val="none"/>
              </w:rPr>
            </w:pPr>
            <w:r>
              <w:rPr>
                <w:color w:val="auto"/>
                <w:sz w:val="20"/>
                <w:szCs w:val="20"/>
                <w:highlight w:val="none"/>
              </w:rPr>
              <w:t>卵石</w:t>
            </w:r>
          </w:p>
        </w:tc>
        <w:tc>
          <w:tcPr>
            <w:tcW w:w="2694" w:type="dxa"/>
            <w:vAlign w:val="center"/>
          </w:tcPr>
          <w:p>
            <w:pPr>
              <w:jc w:val="center"/>
              <w:rPr>
                <w:color w:val="auto"/>
                <w:sz w:val="20"/>
                <w:szCs w:val="20"/>
                <w:highlight w:val="none"/>
              </w:rPr>
            </w:pPr>
            <w:r>
              <w:rPr>
                <w:color w:val="auto"/>
                <w:sz w:val="20"/>
                <w:szCs w:val="20"/>
                <w:highlight w:val="none"/>
              </w:rPr>
              <w:t>圆形及亚圆形为主</w:t>
            </w:r>
          </w:p>
        </w:tc>
        <w:tc>
          <w:tcPr>
            <w:tcW w:w="3968" w:type="dxa"/>
            <w:vMerge w:val="restart"/>
            <w:vAlign w:val="center"/>
          </w:tcPr>
          <w:p>
            <w:pPr>
              <w:jc w:val="center"/>
              <w:rPr>
                <w:color w:val="auto"/>
                <w:sz w:val="20"/>
                <w:szCs w:val="20"/>
                <w:highlight w:val="none"/>
              </w:rPr>
            </w:pPr>
            <w:r>
              <w:rPr>
                <w:i/>
                <w:iCs/>
                <w:color w:val="auto"/>
                <w:sz w:val="20"/>
                <w:szCs w:val="20"/>
                <w:highlight w:val="none"/>
              </w:rPr>
              <w:t>d</w:t>
            </w:r>
            <w:r>
              <w:rPr>
                <w:color w:val="auto"/>
                <w:sz w:val="20"/>
                <w:szCs w:val="20"/>
                <w:highlight w:val="none"/>
              </w:rPr>
              <w:t>&gt;20mm颗粒的质量超过总质量50%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4" w:type="dxa"/>
            <w:vAlign w:val="center"/>
          </w:tcPr>
          <w:p>
            <w:pPr>
              <w:jc w:val="center"/>
              <w:rPr>
                <w:color w:val="auto"/>
                <w:sz w:val="20"/>
                <w:szCs w:val="20"/>
                <w:highlight w:val="none"/>
              </w:rPr>
            </w:pPr>
            <w:r>
              <w:rPr>
                <w:color w:val="auto"/>
                <w:sz w:val="20"/>
                <w:szCs w:val="20"/>
                <w:highlight w:val="none"/>
              </w:rPr>
              <w:t>碎石</w:t>
            </w:r>
          </w:p>
        </w:tc>
        <w:tc>
          <w:tcPr>
            <w:tcW w:w="2694" w:type="dxa"/>
            <w:vAlign w:val="center"/>
          </w:tcPr>
          <w:p>
            <w:pPr>
              <w:jc w:val="center"/>
              <w:rPr>
                <w:color w:val="auto"/>
                <w:sz w:val="20"/>
                <w:szCs w:val="20"/>
                <w:highlight w:val="none"/>
              </w:rPr>
            </w:pPr>
            <w:r>
              <w:rPr>
                <w:color w:val="auto"/>
                <w:sz w:val="20"/>
                <w:szCs w:val="20"/>
                <w:highlight w:val="none"/>
              </w:rPr>
              <w:t>棱角形为主</w:t>
            </w:r>
          </w:p>
        </w:tc>
        <w:tc>
          <w:tcPr>
            <w:tcW w:w="3968" w:type="dxa"/>
            <w:vMerge w:val="continue"/>
            <w:vAlign w:val="center"/>
          </w:tcPr>
          <w:p>
            <w:pPr>
              <w:jc w:val="center"/>
              <w:rPr>
                <w:color w:val="auto"/>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4" w:type="dxa"/>
            <w:vAlign w:val="center"/>
          </w:tcPr>
          <w:p>
            <w:pPr>
              <w:jc w:val="center"/>
              <w:rPr>
                <w:color w:val="auto"/>
                <w:sz w:val="20"/>
                <w:szCs w:val="20"/>
                <w:highlight w:val="none"/>
              </w:rPr>
            </w:pPr>
            <w:r>
              <w:rPr>
                <w:color w:val="auto"/>
                <w:sz w:val="20"/>
                <w:szCs w:val="20"/>
                <w:highlight w:val="none"/>
              </w:rPr>
              <w:t>圆砾</w:t>
            </w:r>
          </w:p>
        </w:tc>
        <w:tc>
          <w:tcPr>
            <w:tcW w:w="2694" w:type="dxa"/>
            <w:vAlign w:val="center"/>
          </w:tcPr>
          <w:p>
            <w:pPr>
              <w:jc w:val="center"/>
              <w:rPr>
                <w:color w:val="auto"/>
                <w:sz w:val="20"/>
                <w:szCs w:val="20"/>
                <w:highlight w:val="none"/>
              </w:rPr>
            </w:pPr>
            <w:r>
              <w:rPr>
                <w:color w:val="auto"/>
                <w:sz w:val="20"/>
                <w:szCs w:val="20"/>
                <w:highlight w:val="none"/>
              </w:rPr>
              <w:t>圆形及亚圆形为主</w:t>
            </w:r>
          </w:p>
        </w:tc>
        <w:tc>
          <w:tcPr>
            <w:tcW w:w="3968" w:type="dxa"/>
            <w:vMerge w:val="restart"/>
            <w:vAlign w:val="center"/>
          </w:tcPr>
          <w:p>
            <w:pPr>
              <w:jc w:val="center"/>
              <w:rPr>
                <w:color w:val="auto"/>
                <w:sz w:val="20"/>
                <w:szCs w:val="20"/>
                <w:highlight w:val="none"/>
              </w:rPr>
            </w:pPr>
            <w:r>
              <w:rPr>
                <w:i/>
                <w:iCs/>
                <w:color w:val="auto"/>
                <w:sz w:val="20"/>
                <w:szCs w:val="20"/>
                <w:highlight w:val="none"/>
              </w:rPr>
              <w:t>d</w:t>
            </w:r>
            <w:r>
              <w:rPr>
                <w:color w:val="auto"/>
                <w:sz w:val="20"/>
                <w:szCs w:val="20"/>
                <w:highlight w:val="none"/>
              </w:rPr>
              <w:t>&gt;2mm颗粒的质量超过总质量50%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4" w:type="dxa"/>
            <w:vAlign w:val="center"/>
          </w:tcPr>
          <w:p>
            <w:pPr>
              <w:jc w:val="center"/>
              <w:rPr>
                <w:color w:val="auto"/>
                <w:sz w:val="20"/>
                <w:szCs w:val="20"/>
                <w:highlight w:val="none"/>
              </w:rPr>
            </w:pPr>
            <w:r>
              <w:rPr>
                <w:color w:val="auto"/>
                <w:sz w:val="20"/>
                <w:szCs w:val="20"/>
                <w:highlight w:val="none"/>
              </w:rPr>
              <w:t>角砾</w:t>
            </w:r>
          </w:p>
        </w:tc>
        <w:tc>
          <w:tcPr>
            <w:tcW w:w="2694" w:type="dxa"/>
            <w:vAlign w:val="center"/>
          </w:tcPr>
          <w:p>
            <w:pPr>
              <w:jc w:val="center"/>
              <w:rPr>
                <w:color w:val="auto"/>
                <w:sz w:val="20"/>
                <w:szCs w:val="20"/>
                <w:highlight w:val="none"/>
              </w:rPr>
            </w:pPr>
            <w:r>
              <w:rPr>
                <w:color w:val="auto"/>
                <w:sz w:val="20"/>
                <w:szCs w:val="20"/>
                <w:highlight w:val="none"/>
              </w:rPr>
              <w:t>棱角形为主</w:t>
            </w:r>
          </w:p>
        </w:tc>
        <w:tc>
          <w:tcPr>
            <w:tcW w:w="3968" w:type="dxa"/>
            <w:vMerge w:val="continue"/>
          </w:tcPr>
          <w:p>
            <w:pPr>
              <w:rPr>
                <w:color w:val="auto"/>
                <w:sz w:val="20"/>
                <w:szCs w:val="20"/>
                <w:highlight w:val="none"/>
              </w:rPr>
            </w:pPr>
          </w:p>
        </w:tc>
      </w:tr>
    </w:tbl>
    <w:p>
      <w:pPr>
        <w:snapToGrid w:val="0"/>
        <w:spacing w:line="360" w:lineRule="auto"/>
        <w:ind w:left="1050" w:leftChars="200" w:hanging="630" w:hangingChars="350"/>
        <w:jc w:val="left"/>
        <w:rPr>
          <w:b/>
          <w:bCs/>
          <w:color w:val="auto"/>
          <w:szCs w:val="18"/>
          <w:highlight w:val="none"/>
        </w:rPr>
      </w:pPr>
      <w:r>
        <w:rPr>
          <w:color w:val="auto"/>
          <w:sz w:val="18"/>
          <w:szCs w:val="18"/>
          <w:highlight w:val="none"/>
        </w:rPr>
        <w:t>注：分类时应根据粒组含量由大到小，以最先符合者确定。</w:t>
      </w:r>
    </w:p>
    <w:p>
      <w:pPr>
        <w:spacing w:line="360" w:lineRule="auto"/>
        <w:ind w:firstLine="422" w:firstLineChars="200"/>
        <w:rPr>
          <w:color w:val="auto"/>
          <w:szCs w:val="18"/>
          <w:highlight w:val="none"/>
        </w:rPr>
      </w:pPr>
      <w:r>
        <w:rPr>
          <w:b/>
          <w:bCs/>
          <w:color w:val="auto"/>
          <w:szCs w:val="18"/>
          <w:highlight w:val="none"/>
        </w:rPr>
        <w:t>2</w:t>
      </w:r>
      <w:r>
        <w:rPr>
          <w:rFonts w:hint="eastAsia"/>
          <w:b/>
          <w:bCs/>
          <w:color w:val="auto"/>
          <w:szCs w:val="18"/>
          <w:highlight w:val="none"/>
        </w:rPr>
        <w:t>　</w:t>
      </w:r>
      <w:r>
        <w:rPr>
          <w:color w:val="auto"/>
          <w:szCs w:val="18"/>
          <w:highlight w:val="none"/>
        </w:rPr>
        <w:t>砂土：粒径大于2mm颗粒的质量不超过总质量50%的</w:t>
      </w:r>
      <w:r>
        <w:rPr>
          <w:rFonts w:hint="eastAsia"/>
          <w:color w:val="auto"/>
          <w:szCs w:val="18"/>
          <w:highlight w:val="none"/>
        </w:rPr>
        <w:t>粗粒</w:t>
      </w:r>
      <w:r>
        <w:rPr>
          <w:color w:val="auto"/>
          <w:szCs w:val="18"/>
          <w:highlight w:val="none"/>
        </w:rPr>
        <w:t>土，按表4.3.</w:t>
      </w:r>
      <w:r>
        <w:rPr>
          <w:rFonts w:hint="eastAsia"/>
          <w:color w:val="auto"/>
          <w:szCs w:val="18"/>
          <w:highlight w:val="none"/>
        </w:rPr>
        <w:t>6</w:t>
      </w:r>
      <w:r>
        <w:rPr>
          <w:color w:val="auto"/>
          <w:szCs w:val="18"/>
          <w:highlight w:val="none"/>
        </w:rPr>
        <w:t>-2进一步分类。</w:t>
      </w:r>
    </w:p>
    <w:p>
      <w:pPr>
        <w:spacing w:line="360" w:lineRule="auto"/>
        <w:jc w:val="center"/>
        <w:rPr>
          <w:b/>
          <w:bCs/>
          <w:color w:val="auto"/>
          <w:szCs w:val="18"/>
          <w:highlight w:val="none"/>
        </w:rPr>
      </w:pPr>
      <w:r>
        <w:rPr>
          <w:b/>
          <w:bCs/>
          <w:color w:val="auto"/>
          <w:szCs w:val="18"/>
          <w:highlight w:val="none"/>
        </w:rPr>
        <w:t>表4.3.</w:t>
      </w:r>
      <w:r>
        <w:rPr>
          <w:rFonts w:hint="eastAsia"/>
          <w:b/>
          <w:bCs/>
          <w:color w:val="auto"/>
          <w:szCs w:val="18"/>
          <w:highlight w:val="none"/>
        </w:rPr>
        <w:t>6</w:t>
      </w:r>
      <w:r>
        <w:rPr>
          <w:b/>
          <w:bCs/>
          <w:color w:val="auto"/>
          <w:szCs w:val="18"/>
          <w:highlight w:val="none"/>
        </w:rPr>
        <w:t>-2</w:t>
      </w:r>
      <w:r>
        <w:rPr>
          <w:rFonts w:hint="eastAsia"/>
          <w:b/>
          <w:bCs/>
          <w:color w:val="auto"/>
          <w:szCs w:val="18"/>
          <w:highlight w:val="none"/>
        </w:rPr>
        <w:t>　</w:t>
      </w:r>
      <w:r>
        <w:rPr>
          <w:b/>
          <w:bCs/>
          <w:color w:val="auto"/>
          <w:szCs w:val="18"/>
          <w:highlight w:val="none"/>
        </w:rPr>
        <w:t>砂土分类</w:t>
      </w:r>
    </w:p>
    <w:tbl>
      <w:tblPr>
        <w:tblStyle w:val="22"/>
        <w:tblW w:w="82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55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689" w:type="dxa"/>
            <w:vAlign w:val="center"/>
          </w:tcPr>
          <w:p>
            <w:pPr>
              <w:jc w:val="center"/>
              <w:rPr>
                <w:color w:val="auto"/>
                <w:sz w:val="20"/>
                <w:szCs w:val="20"/>
                <w:highlight w:val="none"/>
              </w:rPr>
            </w:pPr>
            <w:r>
              <w:rPr>
                <w:color w:val="auto"/>
                <w:sz w:val="20"/>
                <w:szCs w:val="20"/>
                <w:highlight w:val="none"/>
              </w:rPr>
              <w:t>土的名称</w:t>
            </w:r>
          </w:p>
        </w:tc>
        <w:tc>
          <w:tcPr>
            <w:tcW w:w="5597" w:type="dxa"/>
            <w:vAlign w:val="center"/>
          </w:tcPr>
          <w:p>
            <w:pPr>
              <w:jc w:val="center"/>
              <w:rPr>
                <w:color w:val="auto"/>
                <w:sz w:val="20"/>
                <w:szCs w:val="20"/>
                <w:highlight w:val="none"/>
              </w:rPr>
            </w:pPr>
            <w:r>
              <w:rPr>
                <w:color w:val="auto"/>
                <w:sz w:val="20"/>
                <w:szCs w:val="20"/>
                <w:highlight w:val="none"/>
              </w:rPr>
              <w:t>粒组含量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9" w:type="dxa"/>
            <w:vAlign w:val="center"/>
          </w:tcPr>
          <w:p>
            <w:pPr>
              <w:jc w:val="center"/>
              <w:rPr>
                <w:color w:val="auto"/>
                <w:sz w:val="20"/>
                <w:szCs w:val="20"/>
                <w:highlight w:val="none"/>
              </w:rPr>
            </w:pPr>
            <w:r>
              <w:rPr>
                <w:color w:val="auto"/>
                <w:sz w:val="20"/>
                <w:szCs w:val="20"/>
                <w:highlight w:val="none"/>
              </w:rPr>
              <w:t>砾砂</w:t>
            </w:r>
          </w:p>
        </w:tc>
        <w:tc>
          <w:tcPr>
            <w:tcW w:w="5597" w:type="dxa"/>
            <w:vAlign w:val="center"/>
          </w:tcPr>
          <w:p>
            <w:pPr>
              <w:jc w:val="center"/>
              <w:rPr>
                <w:color w:val="auto"/>
                <w:sz w:val="20"/>
                <w:szCs w:val="20"/>
                <w:highlight w:val="none"/>
              </w:rPr>
            </w:pPr>
            <w:r>
              <w:rPr>
                <w:i/>
                <w:iCs/>
                <w:color w:val="auto"/>
                <w:sz w:val="20"/>
                <w:szCs w:val="20"/>
                <w:highlight w:val="none"/>
              </w:rPr>
              <w:t>d</w:t>
            </w:r>
            <w:r>
              <w:rPr>
                <w:color w:val="auto"/>
                <w:sz w:val="20"/>
                <w:szCs w:val="20"/>
                <w:highlight w:val="none"/>
              </w:rPr>
              <w:t>&gt;2mm颗粒占总质量的25%</w:t>
            </w:r>
            <w:r>
              <w:rPr>
                <w:rFonts w:hint="eastAsia"/>
                <w:color w:val="auto"/>
                <w:sz w:val="20"/>
                <w:szCs w:val="20"/>
                <w:highlight w:val="none"/>
              </w:rPr>
              <w:t>~</w:t>
            </w:r>
            <w:r>
              <w:rPr>
                <w:color w:val="auto"/>
                <w:sz w:val="20"/>
                <w:szCs w:val="20"/>
                <w:highlight w:val="none"/>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9" w:type="dxa"/>
            <w:vAlign w:val="center"/>
          </w:tcPr>
          <w:p>
            <w:pPr>
              <w:jc w:val="center"/>
              <w:rPr>
                <w:color w:val="auto"/>
                <w:sz w:val="20"/>
                <w:szCs w:val="20"/>
                <w:highlight w:val="none"/>
              </w:rPr>
            </w:pPr>
            <w:r>
              <w:rPr>
                <w:color w:val="auto"/>
                <w:sz w:val="20"/>
                <w:szCs w:val="20"/>
                <w:highlight w:val="none"/>
              </w:rPr>
              <w:t>粗砂</w:t>
            </w:r>
          </w:p>
        </w:tc>
        <w:tc>
          <w:tcPr>
            <w:tcW w:w="5597" w:type="dxa"/>
            <w:vAlign w:val="center"/>
          </w:tcPr>
          <w:p>
            <w:pPr>
              <w:jc w:val="center"/>
              <w:rPr>
                <w:color w:val="auto"/>
                <w:sz w:val="20"/>
                <w:szCs w:val="20"/>
                <w:highlight w:val="none"/>
              </w:rPr>
            </w:pPr>
            <w:r>
              <w:rPr>
                <w:i/>
                <w:iCs/>
                <w:color w:val="auto"/>
                <w:sz w:val="20"/>
                <w:szCs w:val="20"/>
                <w:highlight w:val="none"/>
              </w:rPr>
              <w:t>d</w:t>
            </w:r>
            <w:r>
              <w:rPr>
                <w:color w:val="auto"/>
                <w:sz w:val="20"/>
                <w:szCs w:val="20"/>
                <w:highlight w:val="none"/>
              </w:rPr>
              <w:t>&gt;0.5mm颗粒超过总质量的50%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9" w:type="dxa"/>
            <w:vAlign w:val="center"/>
          </w:tcPr>
          <w:p>
            <w:pPr>
              <w:jc w:val="center"/>
              <w:rPr>
                <w:color w:val="auto"/>
                <w:sz w:val="20"/>
                <w:szCs w:val="20"/>
                <w:highlight w:val="none"/>
              </w:rPr>
            </w:pPr>
            <w:r>
              <w:rPr>
                <w:color w:val="auto"/>
                <w:sz w:val="20"/>
                <w:szCs w:val="20"/>
                <w:highlight w:val="none"/>
              </w:rPr>
              <w:t>中砂</w:t>
            </w:r>
          </w:p>
        </w:tc>
        <w:tc>
          <w:tcPr>
            <w:tcW w:w="5597" w:type="dxa"/>
            <w:vAlign w:val="center"/>
          </w:tcPr>
          <w:p>
            <w:pPr>
              <w:jc w:val="center"/>
              <w:rPr>
                <w:color w:val="auto"/>
                <w:sz w:val="20"/>
                <w:szCs w:val="20"/>
                <w:highlight w:val="none"/>
              </w:rPr>
            </w:pPr>
            <w:r>
              <w:rPr>
                <w:i/>
                <w:iCs/>
                <w:color w:val="auto"/>
                <w:sz w:val="20"/>
                <w:szCs w:val="20"/>
                <w:highlight w:val="none"/>
              </w:rPr>
              <w:t>d</w:t>
            </w:r>
            <w:r>
              <w:rPr>
                <w:color w:val="auto"/>
                <w:sz w:val="20"/>
                <w:szCs w:val="20"/>
                <w:highlight w:val="none"/>
              </w:rPr>
              <w:t>&gt;0.25mm颗粒超过总质量的50%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9" w:type="dxa"/>
            <w:vAlign w:val="center"/>
          </w:tcPr>
          <w:p>
            <w:pPr>
              <w:jc w:val="center"/>
              <w:rPr>
                <w:color w:val="auto"/>
                <w:sz w:val="20"/>
                <w:szCs w:val="20"/>
                <w:highlight w:val="none"/>
              </w:rPr>
            </w:pPr>
            <w:r>
              <w:rPr>
                <w:color w:val="auto"/>
                <w:sz w:val="20"/>
                <w:szCs w:val="20"/>
                <w:highlight w:val="none"/>
              </w:rPr>
              <w:t>细砂</w:t>
            </w:r>
          </w:p>
        </w:tc>
        <w:tc>
          <w:tcPr>
            <w:tcW w:w="5597" w:type="dxa"/>
            <w:vAlign w:val="center"/>
          </w:tcPr>
          <w:p>
            <w:pPr>
              <w:jc w:val="center"/>
              <w:rPr>
                <w:color w:val="auto"/>
                <w:sz w:val="20"/>
                <w:szCs w:val="20"/>
                <w:highlight w:val="none"/>
              </w:rPr>
            </w:pPr>
            <w:r>
              <w:rPr>
                <w:i/>
                <w:iCs/>
                <w:color w:val="auto"/>
                <w:sz w:val="20"/>
                <w:szCs w:val="20"/>
                <w:highlight w:val="none"/>
              </w:rPr>
              <w:t>d</w:t>
            </w:r>
            <w:r>
              <w:rPr>
                <w:color w:val="auto"/>
                <w:sz w:val="20"/>
                <w:szCs w:val="20"/>
                <w:highlight w:val="none"/>
              </w:rPr>
              <w:t>&gt;0.075mm颗粒超过总质量的85%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9" w:type="dxa"/>
            <w:vAlign w:val="center"/>
          </w:tcPr>
          <w:p>
            <w:pPr>
              <w:jc w:val="center"/>
              <w:rPr>
                <w:color w:val="auto"/>
                <w:sz w:val="20"/>
                <w:szCs w:val="20"/>
                <w:highlight w:val="none"/>
              </w:rPr>
            </w:pPr>
            <w:r>
              <w:rPr>
                <w:color w:val="auto"/>
                <w:sz w:val="20"/>
                <w:szCs w:val="20"/>
                <w:highlight w:val="none"/>
              </w:rPr>
              <w:t>粉砂</w:t>
            </w:r>
          </w:p>
        </w:tc>
        <w:tc>
          <w:tcPr>
            <w:tcW w:w="5597" w:type="dxa"/>
            <w:vAlign w:val="center"/>
          </w:tcPr>
          <w:p>
            <w:pPr>
              <w:jc w:val="center"/>
              <w:rPr>
                <w:color w:val="auto"/>
                <w:sz w:val="20"/>
                <w:szCs w:val="20"/>
                <w:highlight w:val="none"/>
              </w:rPr>
            </w:pPr>
            <w:r>
              <w:rPr>
                <w:i/>
                <w:iCs/>
                <w:color w:val="auto"/>
                <w:sz w:val="20"/>
                <w:szCs w:val="20"/>
                <w:highlight w:val="none"/>
              </w:rPr>
              <w:t>d</w:t>
            </w:r>
            <w:r>
              <w:rPr>
                <w:color w:val="auto"/>
                <w:sz w:val="20"/>
                <w:szCs w:val="20"/>
                <w:highlight w:val="none"/>
              </w:rPr>
              <w:t>&gt;0.075mm颗粒超过总质量的50%</w:t>
            </w:r>
          </w:p>
        </w:tc>
      </w:tr>
    </w:tbl>
    <w:p>
      <w:pPr>
        <w:snapToGrid w:val="0"/>
        <w:spacing w:line="360" w:lineRule="auto"/>
        <w:ind w:left="1050" w:leftChars="200" w:hanging="630" w:hangingChars="350"/>
        <w:jc w:val="left"/>
        <w:rPr>
          <w:b/>
          <w:bCs/>
          <w:color w:val="auto"/>
          <w:szCs w:val="21"/>
          <w:highlight w:val="none"/>
        </w:rPr>
      </w:pPr>
      <w:r>
        <w:rPr>
          <w:color w:val="auto"/>
          <w:sz w:val="18"/>
          <w:szCs w:val="18"/>
          <w:highlight w:val="none"/>
        </w:rPr>
        <w:t>注：分类时应根据粒组</w:t>
      </w:r>
      <w:r>
        <w:rPr>
          <w:rFonts w:hint="eastAsia"/>
          <w:color w:val="auto"/>
          <w:sz w:val="18"/>
          <w:szCs w:val="18"/>
          <w:highlight w:val="none"/>
        </w:rPr>
        <w:t>含量</w:t>
      </w:r>
      <w:r>
        <w:rPr>
          <w:color w:val="auto"/>
          <w:sz w:val="18"/>
          <w:szCs w:val="18"/>
          <w:highlight w:val="none"/>
        </w:rPr>
        <w:t>由大到小，以最先符合者确定。</w:t>
      </w:r>
    </w:p>
    <w:p>
      <w:pPr>
        <w:spacing w:line="360" w:lineRule="auto"/>
        <w:rPr>
          <w:color w:val="auto"/>
          <w:szCs w:val="21"/>
          <w:highlight w:val="none"/>
        </w:rPr>
      </w:pPr>
      <w:r>
        <w:rPr>
          <w:rFonts w:hint="eastAsia"/>
          <w:b/>
          <w:bCs/>
          <w:color w:val="auto"/>
          <w:szCs w:val="21"/>
          <w:highlight w:val="none"/>
        </w:rPr>
        <w:t>4.3.7　</w:t>
      </w:r>
      <w:r>
        <w:rPr>
          <w:rFonts w:hint="eastAsia"/>
          <w:color w:val="auto"/>
          <w:szCs w:val="21"/>
          <w:highlight w:val="none"/>
        </w:rPr>
        <w:t>细粒土</w:t>
      </w:r>
      <w:r>
        <w:rPr>
          <w:color w:val="auto"/>
          <w:szCs w:val="21"/>
          <w:highlight w:val="none"/>
        </w:rPr>
        <w:t>根据塑性指数分为粉土和黏性土。</w:t>
      </w:r>
      <w:r>
        <w:rPr>
          <w:rFonts w:hint="eastAsia"/>
          <w:color w:val="auto"/>
          <w:szCs w:val="21"/>
          <w:highlight w:val="none"/>
        </w:rPr>
        <w:t>粉土和黏性土的进一步分类应符合下列规定：</w:t>
      </w:r>
    </w:p>
    <w:p>
      <w:pPr>
        <w:spacing w:line="360" w:lineRule="auto"/>
        <w:ind w:firstLine="422" w:firstLineChars="200"/>
        <w:rPr>
          <w:color w:val="auto"/>
          <w:szCs w:val="18"/>
          <w:highlight w:val="none"/>
        </w:rPr>
      </w:pPr>
      <w:r>
        <w:rPr>
          <w:rFonts w:hint="eastAsia"/>
          <w:b/>
          <w:bCs/>
          <w:color w:val="auto"/>
          <w:szCs w:val="18"/>
          <w:highlight w:val="none"/>
        </w:rPr>
        <w:t>1　</w:t>
      </w:r>
      <w:r>
        <w:rPr>
          <w:color w:val="auto"/>
          <w:szCs w:val="18"/>
          <w:highlight w:val="none"/>
        </w:rPr>
        <w:t>粉土：塑性指数</w:t>
      </w:r>
      <w:r>
        <w:rPr>
          <w:i/>
          <w:iCs/>
          <w:color w:val="auto"/>
          <w:szCs w:val="21"/>
          <w:highlight w:val="none"/>
        </w:rPr>
        <w:t>I</w:t>
      </w:r>
      <w:r>
        <w:rPr>
          <w:color w:val="auto"/>
          <w:szCs w:val="21"/>
          <w:highlight w:val="none"/>
          <w:vertAlign w:val="subscript"/>
        </w:rPr>
        <w:t>P</w:t>
      </w:r>
      <w:r>
        <w:rPr>
          <w:rFonts w:hint="eastAsia" w:ascii="宋体" w:hAnsi="宋体" w:cs="宋体"/>
          <w:color w:val="auto"/>
          <w:sz w:val="20"/>
          <w:szCs w:val="20"/>
          <w:highlight w:val="none"/>
        </w:rPr>
        <w:t>≤</w:t>
      </w:r>
      <w:r>
        <w:rPr>
          <w:color w:val="auto"/>
          <w:szCs w:val="18"/>
          <w:highlight w:val="none"/>
        </w:rPr>
        <w:t>10的</w:t>
      </w:r>
      <w:r>
        <w:rPr>
          <w:rFonts w:hint="eastAsia"/>
          <w:color w:val="auto"/>
          <w:szCs w:val="18"/>
          <w:highlight w:val="none"/>
        </w:rPr>
        <w:t>细粒</w:t>
      </w:r>
      <w:r>
        <w:rPr>
          <w:color w:val="auto"/>
          <w:szCs w:val="18"/>
          <w:highlight w:val="none"/>
        </w:rPr>
        <w:t>土</w:t>
      </w:r>
      <w:r>
        <w:rPr>
          <w:rFonts w:hint="eastAsia"/>
          <w:color w:val="auto"/>
          <w:szCs w:val="21"/>
          <w:highlight w:val="none"/>
          <w:lang w:eastAsia="zh-CN"/>
        </w:rPr>
        <w:t>；</w:t>
      </w:r>
    </w:p>
    <w:p>
      <w:pPr>
        <w:spacing w:line="360" w:lineRule="auto"/>
        <w:ind w:firstLine="422" w:firstLineChars="200"/>
        <w:rPr>
          <w:color w:val="auto"/>
          <w:szCs w:val="18"/>
          <w:highlight w:val="none"/>
        </w:rPr>
      </w:pPr>
      <w:r>
        <w:rPr>
          <w:rFonts w:hint="eastAsia"/>
          <w:b/>
          <w:bCs/>
          <w:color w:val="auto"/>
          <w:szCs w:val="18"/>
          <w:highlight w:val="none"/>
        </w:rPr>
        <w:t>2　</w:t>
      </w:r>
      <w:r>
        <w:rPr>
          <w:color w:val="auto"/>
          <w:szCs w:val="18"/>
          <w:highlight w:val="none"/>
        </w:rPr>
        <w:t>黏性土：塑性指数</w:t>
      </w:r>
      <w:r>
        <w:rPr>
          <w:i/>
          <w:iCs/>
          <w:color w:val="auto"/>
          <w:szCs w:val="21"/>
          <w:highlight w:val="none"/>
        </w:rPr>
        <w:t>I</w:t>
      </w:r>
      <w:r>
        <w:rPr>
          <w:color w:val="auto"/>
          <w:szCs w:val="21"/>
          <w:highlight w:val="none"/>
          <w:vertAlign w:val="subscript"/>
        </w:rPr>
        <w:t>P</w:t>
      </w:r>
      <w:r>
        <w:rPr>
          <w:color w:val="auto"/>
          <w:szCs w:val="18"/>
          <w:highlight w:val="none"/>
        </w:rPr>
        <w:t>大于10的细粒土，按表4.3.</w:t>
      </w:r>
      <w:r>
        <w:rPr>
          <w:rFonts w:hint="eastAsia"/>
          <w:color w:val="auto"/>
          <w:szCs w:val="18"/>
          <w:highlight w:val="none"/>
        </w:rPr>
        <w:t>7</w:t>
      </w:r>
      <w:r>
        <w:rPr>
          <w:color w:val="auto"/>
          <w:szCs w:val="18"/>
          <w:highlight w:val="none"/>
        </w:rPr>
        <w:t>进一步分类。</w:t>
      </w:r>
    </w:p>
    <w:p>
      <w:pPr>
        <w:spacing w:line="360" w:lineRule="auto"/>
        <w:ind w:firstLine="422" w:firstLineChars="200"/>
        <w:jc w:val="center"/>
        <w:rPr>
          <w:b/>
          <w:bCs/>
          <w:color w:val="auto"/>
          <w:szCs w:val="18"/>
          <w:highlight w:val="none"/>
        </w:rPr>
      </w:pPr>
      <w:r>
        <w:rPr>
          <w:b/>
          <w:bCs/>
          <w:color w:val="auto"/>
          <w:szCs w:val="18"/>
          <w:highlight w:val="none"/>
        </w:rPr>
        <w:t>表4.3.</w:t>
      </w:r>
      <w:r>
        <w:rPr>
          <w:rFonts w:hint="eastAsia"/>
          <w:b/>
          <w:bCs/>
          <w:color w:val="auto"/>
          <w:szCs w:val="18"/>
          <w:highlight w:val="none"/>
        </w:rPr>
        <w:t>7　</w:t>
      </w:r>
      <w:r>
        <w:rPr>
          <w:b/>
          <w:bCs/>
          <w:color w:val="auto"/>
          <w:szCs w:val="18"/>
          <w:highlight w:val="none"/>
        </w:rPr>
        <w:t>黏性土分类</w:t>
      </w:r>
    </w:p>
    <w:tbl>
      <w:tblPr>
        <w:tblStyle w:val="22"/>
        <w:tblW w:w="81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49"/>
        <w:gridCol w:w="40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2" w:hRule="atLeast"/>
          <w:jc w:val="center"/>
        </w:trPr>
        <w:tc>
          <w:tcPr>
            <w:tcW w:w="4149" w:type="dxa"/>
            <w:vAlign w:val="center"/>
          </w:tcPr>
          <w:p>
            <w:pPr>
              <w:jc w:val="center"/>
              <w:rPr>
                <w:color w:val="auto"/>
                <w:sz w:val="20"/>
                <w:szCs w:val="20"/>
                <w:highlight w:val="none"/>
              </w:rPr>
            </w:pPr>
            <w:r>
              <w:rPr>
                <w:color w:val="auto"/>
                <w:sz w:val="20"/>
                <w:szCs w:val="20"/>
                <w:highlight w:val="none"/>
              </w:rPr>
              <w:t>土的名称</w:t>
            </w:r>
          </w:p>
        </w:tc>
        <w:tc>
          <w:tcPr>
            <w:tcW w:w="4045" w:type="dxa"/>
            <w:vAlign w:val="center"/>
          </w:tcPr>
          <w:p>
            <w:pPr>
              <w:jc w:val="center"/>
              <w:rPr>
                <w:color w:val="auto"/>
                <w:sz w:val="20"/>
                <w:szCs w:val="20"/>
                <w:highlight w:val="none"/>
              </w:rPr>
            </w:pPr>
            <w:r>
              <w:rPr>
                <w:color w:val="auto"/>
                <w:sz w:val="20"/>
                <w:szCs w:val="20"/>
                <w:highlight w:val="none"/>
              </w:rPr>
              <w:t>塑性指数</w:t>
            </w:r>
            <w:r>
              <w:rPr>
                <w:i/>
                <w:iCs/>
                <w:color w:val="auto"/>
                <w:sz w:val="20"/>
                <w:szCs w:val="20"/>
                <w:highlight w:val="none"/>
              </w:rPr>
              <w:t>I</w:t>
            </w:r>
            <w:r>
              <w:rPr>
                <w:color w:val="auto"/>
                <w:sz w:val="20"/>
                <w:szCs w:val="20"/>
                <w:highlight w:val="none"/>
                <w:vertAlign w:val="subscript"/>
              </w:rPr>
              <w:t>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49" w:type="dxa"/>
            <w:vAlign w:val="center"/>
          </w:tcPr>
          <w:p>
            <w:pPr>
              <w:jc w:val="center"/>
              <w:rPr>
                <w:color w:val="auto"/>
                <w:sz w:val="20"/>
                <w:szCs w:val="20"/>
                <w:highlight w:val="none"/>
              </w:rPr>
            </w:pPr>
            <w:r>
              <w:rPr>
                <w:color w:val="auto"/>
                <w:sz w:val="20"/>
                <w:szCs w:val="20"/>
                <w:highlight w:val="none"/>
              </w:rPr>
              <w:t>粉质黏土</w:t>
            </w:r>
          </w:p>
        </w:tc>
        <w:tc>
          <w:tcPr>
            <w:tcW w:w="4045" w:type="dxa"/>
            <w:vAlign w:val="center"/>
          </w:tcPr>
          <w:p>
            <w:pPr>
              <w:jc w:val="center"/>
              <w:rPr>
                <w:color w:val="auto"/>
                <w:sz w:val="20"/>
                <w:szCs w:val="20"/>
                <w:highlight w:val="none"/>
              </w:rPr>
            </w:pPr>
            <w:r>
              <w:rPr>
                <w:color w:val="auto"/>
                <w:sz w:val="20"/>
                <w:szCs w:val="20"/>
                <w:highlight w:val="none"/>
              </w:rPr>
              <w:t>10＜</w:t>
            </w:r>
            <w:r>
              <w:rPr>
                <w:i/>
                <w:iCs/>
                <w:color w:val="auto"/>
                <w:sz w:val="20"/>
                <w:szCs w:val="20"/>
                <w:highlight w:val="none"/>
              </w:rPr>
              <w:t>I</w:t>
            </w:r>
            <w:r>
              <w:rPr>
                <w:color w:val="auto"/>
                <w:sz w:val="20"/>
                <w:szCs w:val="20"/>
                <w:highlight w:val="none"/>
                <w:vertAlign w:val="subscript"/>
              </w:rPr>
              <w:t>P</w:t>
            </w:r>
            <w:r>
              <w:rPr>
                <w:rFonts w:hint="eastAsia" w:ascii="宋体" w:hAnsi="宋体" w:cs="宋体"/>
                <w:color w:val="auto"/>
                <w:sz w:val="20"/>
                <w:szCs w:val="20"/>
                <w:highlight w:val="none"/>
              </w:rPr>
              <w:t>≤</w:t>
            </w:r>
            <w:r>
              <w:rPr>
                <w:color w:val="auto"/>
                <w:sz w:val="20"/>
                <w:szCs w:val="20"/>
                <w:highlight w:val="none"/>
              </w:rPr>
              <w:t>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49" w:type="dxa"/>
            <w:vAlign w:val="center"/>
          </w:tcPr>
          <w:p>
            <w:pPr>
              <w:jc w:val="center"/>
              <w:rPr>
                <w:color w:val="auto"/>
                <w:sz w:val="20"/>
                <w:szCs w:val="20"/>
                <w:highlight w:val="none"/>
              </w:rPr>
            </w:pPr>
            <w:r>
              <w:rPr>
                <w:color w:val="auto"/>
                <w:sz w:val="20"/>
                <w:szCs w:val="20"/>
                <w:highlight w:val="none"/>
              </w:rPr>
              <w:t>黏土</w:t>
            </w:r>
          </w:p>
        </w:tc>
        <w:tc>
          <w:tcPr>
            <w:tcW w:w="4045" w:type="dxa"/>
          </w:tcPr>
          <w:p>
            <w:pPr>
              <w:jc w:val="center"/>
              <w:rPr>
                <w:color w:val="auto"/>
                <w:sz w:val="20"/>
                <w:szCs w:val="20"/>
                <w:highlight w:val="none"/>
              </w:rPr>
            </w:pPr>
            <w:r>
              <w:rPr>
                <w:i/>
                <w:iCs/>
                <w:color w:val="auto"/>
                <w:sz w:val="20"/>
                <w:szCs w:val="20"/>
                <w:highlight w:val="none"/>
              </w:rPr>
              <w:t>I</w:t>
            </w:r>
            <w:r>
              <w:rPr>
                <w:color w:val="auto"/>
                <w:sz w:val="20"/>
                <w:szCs w:val="20"/>
                <w:highlight w:val="none"/>
                <w:vertAlign w:val="subscript"/>
              </w:rPr>
              <w:t>P</w:t>
            </w:r>
            <w:r>
              <w:rPr>
                <w:color w:val="auto"/>
                <w:sz w:val="20"/>
                <w:szCs w:val="20"/>
                <w:highlight w:val="none"/>
              </w:rPr>
              <w:t>＞17</w:t>
            </w:r>
          </w:p>
        </w:tc>
      </w:tr>
    </w:tbl>
    <w:p>
      <w:pPr>
        <w:spacing w:line="360" w:lineRule="auto"/>
        <w:rPr>
          <w:color w:val="auto"/>
          <w:szCs w:val="21"/>
          <w:highlight w:val="none"/>
        </w:rPr>
      </w:pPr>
      <w:r>
        <w:rPr>
          <w:b/>
          <w:bCs/>
          <w:color w:val="auto"/>
          <w:szCs w:val="21"/>
          <w:highlight w:val="none"/>
        </w:rPr>
        <w:t>4.3.</w:t>
      </w:r>
      <w:r>
        <w:rPr>
          <w:rFonts w:hint="eastAsia"/>
          <w:b/>
          <w:bCs/>
          <w:color w:val="auto"/>
          <w:szCs w:val="21"/>
          <w:highlight w:val="none"/>
        </w:rPr>
        <w:t>8　</w:t>
      </w:r>
      <w:r>
        <w:rPr>
          <w:color w:val="auto"/>
          <w:szCs w:val="21"/>
          <w:highlight w:val="none"/>
        </w:rPr>
        <w:t>土的野外综合定名应符合下列规定：</w:t>
      </w:r>
    </w:p>
    <w:p>
      <w:pPr>
        <w:spacing w:line="360" w:lineRule="auto"/>
        <w:ind w:firstLine="408"/>
        <w:rPr>
          <w:color w:val="auto"/>
          <w:szCs w:val="21"/>
          <w:highlight w:val="none"/>
        </w:rPr>
      </w:pPr>
      <w:r>
        <w:rPr>
          <w:b/>
          <w:bCs/>
          <w:color w:val="auto"/>
          <w:szCs w:val="21"/>
          <w:highlight w:val="none"/>
        </w:rPr>
        <w:t>1</w:t>
      </w:r>
      <w:r>
        <w:rPr>
          <w:rFonts w:hint="eastAsia"/>
          <w:b/>
          <w:bCs/>
          <w:color w:val="auto"/>
          <w:szCs w:val="21"/>
          <w:highlight w:val="none"/>
        </w:rPr>
        <w:t>　</w:t>
      </w:r>
      <w:r>
        <w:rPr>
          <w:color w:val="auto"/>
          <w:szCs w:val="21"/>
          <w:highlight w:val="none"/>
        </w:rPr>
        <w:t>对特殊成因和年代的土类应结合其成因和年代特征定名；</w:t>
      </w:r>
    </w:p>
    <w:p>
      <w:pPr>
        <w:spacing w:line="360" w:lineRule="auto"/>
        <w:ind w:firstLine="408"/>
        <w:rPr>
          <w:color w:val="auto"/>
          <w:szCs w:val="21"/>
          <w:highlight w:val="none"/>
        </w:rPr>
      </w:pPr>
      <w:r>
        <w:rPr>
          <w:b/>
          <w:bCs/>
          <w:color w:val="auto"/>
          <w:szCs w:val="21"/>
          <w:highlight w:val="none"/>
        </w:rPr>
        <w:t>2</w:t>
      </w:r>
      <w:r>
        <w:rPr>
          <w:rFonts w:hint="eastAsia"/>
          <w:b/>
          <w:bCs/>
          <w:color w:val="auto"/>
          <w:szCs w:val="21"/>
          <w:highlight w:val="none"/>
        </w:rPr>
        <w:t>　</w:t>
      </w:r>
      <w:r>
        <w:rPr>
          <w:color w:val="auto"/>
          <w:szCs w:val="21"/>
          <w:highlight w:val="none"/>
        </w:rPr>
        <w:t>对特殊性土，应结合颗粒级配或塑性指数定名；</w:t>
      </w:r>
    </w:p>
    <w:p>
      <w:pPr>
        <w:spacing w:line="360" w:lineRule="auto"/>
        <w:ind w:firstLine="408"/>
        <w:rPr>
          <w:color w:val="auto"/>
          <w:szCs w:val="21"/>
          <w:highlight w:val="none"/>
        </w:rPr>
      </w:pPr>
      <w:r>
        <w:rPr>
          <w:b/>
          <w:bCs/>
          <w:color w:val="auto"/>
          <w:szCs w:val="21"/>
          <w:highlight w:val="none"/>
        </w:rPr>
        <w:t>3</w:t>
      </w:r>
      <w:r>
        <w:rPr>
          <w:rFonts w:hint="eastAsia"/>
          <w:color w:val="auto"/>
          <w:szCs w:val="21"/>
          <w:highlight w:val="none"/>
        </w:rPr>
        <w:t>　</w:t>
      </w:r>
      <w:r>
        <w:rPr>
          <w:color w:val="auto"/>
          <w:szCs w:val="21"/>
          <w:highlight w:val="none"/>
        </w:rPr>
        <w:t>对混合</w:t>
      </w:r>
      <w:r>
        <w:rPr>
          <w:rFonts w:hint="eastAsia"/>
          <w:color w:val="auto"/>
          <w:szCs w:val="21"/>
          <w:highlight w:val="none"/>
        </w:rPr>
        <w:t>类</w:t>
      </w:r>
      <w:r>
        <w:rPr>
          <w:color w:val="auto"/>
          <w:szCs w:val="21"/>
          <w:highlight w:val="none"/>
        </w:rPr>
        <w:t>土，应冠以主要含有的土类定名；</w:t>
      </w:r>
    </w:p>
    <w:p>
      <w:pPr>
        <w:spacing w:line="360" w:lineRule="auto"/>
        <w:ind w:firstLine="408"/>
        <w:rPr>
          <w:color w:val="auto"/>
          <w:szCs w:val="21"/>
          <w:highlight w:val="none"/>
        </w:rPr>
      </w:pPr>
      <w:r>
        <w:rPr>
          <w:b/>
          <w:bCs/>
          <w:color w:val="auto"/>
          <w:szCs w:val="21"/>
          <w:highlight w:val="none"/>
        </w:rPr>
        <w:t>4</w:t>
      </w:r>
      <w:r>
        <w:rPr>
          <w:rFonts w:hint="eastAsia"/>
          <w:b/>
          <w:bCs/>
          <w:color w:val="auto"/>
          <w:szCs w:val="21"/>
          <w:highlight w:val="none"/>
        </w:rPr>
        <w:t>　</w:t>
      </w:r>
      <w:r>
        <w:rPr>
          <w:color w:val="auto"/>
          <w:szCs w:val="21"/>
          <w:highlight w:val="none"/>
        </w:rPr>
        <w:t>对同一土层中相间呈韵律沉积，当薄层与厚层的厚度比大于1/3时，宜定为</w:t>
      </w:r>
      <w:r>
        <w:rPr>
          <w:rFonts w:ascii="宋体" w:hAnsi="宋体"/>
          <w:color w:val="auto"/>
          <w:szCs w:val="21"/>
          <w:highlight w:val="none"/>
        </w:rPr>
        <w:t>“互层”</w:t>
      </w:r>
      <w:r>
        <w:rPr>
          <w:color w:val="auto"/>
          <w:szCs w:val="21"/>
          <w:highlight w:val="none"/>
        </w:rPr>
        <w:t>；厚度比为1/10~1/3时，宜定为</w:t>
      </w:r>
      <w:r>
        <w:rPr>
          <w:rFonts w:ascii="宋体" w:hAnsi="宋体"/>
          <w:color w:val="auto"/>
          <w:szCs w:val="21"/>
          <w:highlight w:val="none"/>
        </w:rPr>
        <w:t>“夹层”</w:t>
      </w:r>
      <w:r>
        <w:rPr>
          <w:color w:val="auto"/>
          <w:szCs w:val="21"/>
          <w:highlight w:val="none"/>
        </w:rPr>
        <w:t>；厚度比小于1/10的土层，且多次出现时，宜定为</w:t>
      </w:r>
      <w:r>
        <w:rPr>
          <w:rFonts w:ascii="宋体" w:hAnsi="宋体"/>
          <w:color w:val="auto"/>
          <w:szCs w:val="21"/>
          <w:highlight w:val="none"/>
        </w:rPr>
        <w:t>“夹薄层”</w:t>
      </w:r>
      <w:r>
        <w:rPr>
          <w:color w:val="auto"/>
          <w:szCs w:val="21"/>
          <w:highlight w:val="none"/>
        </w:rPr>
        <w:t>；</w:t>
      </w:r>
    </w:p>
    <w:p>
      <w:pPr>
        <w:spacing w:line="360" w:lineRule="auto"/>
        <w:ind w:firstLine="408"/>
        <w:rPr>
          <w:color w:val="auto"/>
          <w:szCs w:val="21"/>
          <w:highlight w:val="none"/>
        </w:rPr>
      </w:pPr>
      <w:r>
        <w:rPr>
          <w:b/>
          <w:bCs/>
          <w:color w:val="auto"/>
          <w:szCs w:val="21"/>
          <w:highlight w:val="none"/>
        </w:rPr>
        <w:t>5</w:t>
      </w:r>
      <w:r>
        <w:rPr>
          <w:rFonts w:hint="eastAsia"/>
          <w:b/>
          <w:bCs/>
          <w:color w:val="auto"/>
          <w:szCs w:val="21"/>
          <w:highlight w:val="none"/>
        </w:rPr>
        <w:t>　</w:t>
      </w:r>
      <w:r>
        <w:rPr>
          <w:color w:val="auto"/>
          <w:szCs w:val="21"/>
          <w:highlight w:val="none"/>
        </w:rPr>
        <w:t>当土层厚度大于0.5m时，宜单独分层。</w:t>
      </w:r>
    </w:p>
    <w:p>
      <w:pPr>
        <w:spacing w:line="360" w:lineRule="auto"/>
        <w:rPr>
          <w:color w:val="auto"/>
          <w:szCs w:val="21"/>
          <w:highlight w:val="none"/>
        </w:rPr>
      </w:pPr>
      <w:r>
        <w:rPr>
          <w:b/>
          <w:bCs/>
          <w:color w:val="auto"/>
          <w:szCs w:val="21"/>
          <w:highlight w:val="none"/>
        </w:rPr>
        <w:t>4.3.</w:t>
      </w:r>
      <w:r>
        <w:rPr>
          <w:rFonts w:hint="eastAsia"/>
          <w:b/>
          <w:bCs/>
          <w:color w:val="auto"/>
          <w:szCs w:val="21"/>
          <w:highlight w:val="none"/>
        </w:rPr>
        <w:t>9　</w:t>
      </w:r>
      <w:r>
        <w:rPr>
          <w:color w:val="auto"/>
          <w:szCs w:val="21"/>
          <w:highlight w:val="none"/>
        </w:rPr>
        <w:t>广东地区常见的特殊性土按其特殊性质分为人工填土、软土、</w:t>
      </w:r>
      <w:r>
        <w:rPr>
          <w:rFonts w:hint="eastAsia"/>
          <w:color w:val="auto"/>
          <w:szCs w:val="21"/>
          <w:highlight w:val="none"/>
        </w:rPr>
        <w:t>残积土、红黏土、混</w:t>
      </w:r>
      <w:r>
        <w:rPr>
          <w:color w:val="auto"/>
          <w:szCs w:val="21"/>
          <w:highlight w:val="none"/>
        </w:rPr>
        <w:t>合</w:t>
      </w:r>
      <w:r>
        <w:rPr>
          <w:rFonts w:hint="eastAsia"/>
          <w:color w:val="auto"/>
          <w:szCs w:val="21"/>
          <w:highlight w:val="none"/>
        </w:rPr>
        <w:t>类</w:t>
      </w:r>
      <w:r>
        <w:rPr>
          <w:color w:val="auto"/>
          <w:szCs w:val="21"/>
          <w:highlight w:val="none"/>
        </w:rPr>
        <w:t>土、膨胀土</w:t>
      </w:r>
      <w:r>
        <w:rPr>
          <w:rFonts w:hint="eastAsia"/>
          <w:color w:val="auto"/>
          <w:szCs w:val="21"/>
          <w:highlight w:val="none"/>
        </w:rPr>
        <w:t>和</w:t>
      </w:r>
      <w:r>
        <w:rPr>
          <w:color w:val="auto"/>
          <w:szCs w:val="21"/>
          <w:highlight w:val="none"/>
        </w:rPr>
        <w:t>盐渍土。</w:t>
      </w:r>
      <w:r>
        <w:rPr>
          <w:rFonts w:hint="eastAsia"/>
          <w:color w:val="auto"/>
          <w:szCs w:val="21"/>
          <w:highlight w:val="none"/>
        </w:rPr>
        <w:t>特殊性土分类应符合下列规定：</w:t>
      </w:r>
    </w:p>
    <w:p>
      <w:pPr>
        <w:spacing w:line="360" w:lineRule="auto"/>
        <w:ind w:firstLine="422" w:firstLineChars="200"/>
        <w:rPr>
          <w:color w:val="auto"/>
          <w:szCs w:val="21"/>
          <w:highlight w:val="none"/>
        </w:rPr>
      </w:pPr>
      <w:r>
        <w:rPr>
          <w:b/>
          <w:bCs/>
          <w:color w:val="auto"/>
          <w:szCs w:val="21"/>
          <w:highlight w:val="none"/>
        </w:rPr>
        <w:t>1</w:t>
      </w:r>
      <w:r>
        <w:rPr>
          <w:rFonts w:hint="eastAsia"/>
          <w:b/>
          <w:bCs/>
          <w:color w:val="auto"/>
          <w:szCs w:val="21"/>
          <w:highlight w:val="none"/>
        </w:rPr>
        <w:t>　</w:t>
      </w:r>
      <w:r>
        <w:rPr>
          <w:color w:val="auto"/>
          <w:szCs w:val="21"/>
          <w:highlight w:val="none"/>
        </w:rPr>
        <w:t>人工填土是由人类活动堆填而成</w:t>
      </w:r>
      <w:r>
        <w:rPr>
          <w:rFonts w:hint="eastAsia"/>
          <w:color w:val="auto"/>
          <w:szCs w:val="21"/>
          <w:highlight w:val="none"/>
        </w:rPr>
        <w:t>的土</w:t>
      </w:r>
      <w:r>
        <w:rPr>
          <w:color w:val="auto"/>
          <w:szCs w:val="21"/>
          <w:highlight w:val="none"/>
        </w:rPr>
        <w:t>，</w:t>
      </w:r>
      <w:r>
        <w:rPr>
          <w:rFonts w:hint="eastAsia"/>
          <w:color w:val="auto"/>
          <w:szCs w:val="21"/>
          <w:highlight w:val="none"/>
        </w:rPr>
        <w:t>可</w:t>
      </w:r>
      <w:r>
        <w:rPr>
          <w:color w:val="auto"/>
          <w:szCs w:val="21"/>
          <w:highlight w:val="none"/>
        </w:rPr>
        <w:t>按表4.3.</w:t>
      </w:r>
      <w:r>
        <w:rPr>
          <w:rFonts w:hint="eastAsia"/>
          <w:color w:val="auto"/>
          <w:szCs w:val="21"/>
          <w:highlight w:val="none"/>
        </w:rPr>
        <w:t>9</w:t>
      </w:r>
      <w:r>
        <w:rPr>
          <w:color w:val="auto"/>
          <w:szCs w:val="21"/>
          <w:highlight w:val="none"/>
        </w:rPr>
        <w:t>-1</w:t>
      </w:r>
      <w:r>
        <w:rPr>
          <w:color w:val="auto"/>
          <w:szCs w:val="18"/>
          <w:highlight w:val="none"/>
        </w:rPr>
        <w:t>进一步分类</w:t>
      </w:r>
      <w:r>
        <w:rPr>
          <w:rFonts w:hint="eastAsia"/>
          <w:color w:val="auto"/>
          <w:szCs w:val="21"/>
          <w:highlight w:val="none"/>
          <w:lang w:eastAsia="zh-CN"/>
        </w:rPr>
        <w:t>；</w:t>
      </w:r>
    </w:p>
    <w:p>
      <w:pPr>
        <w:spacing w:line="360" w:lineRule="auto"/>
        <w:ind w:firstLine="422" w:firstLineChars="200"/>
        <w:jc w:val="center"/>
        <w:rPr>
          <w:b/>
          <w:bCs/>
          <w:color w:val="auto"/>
          <w:szCs w:val="18"/>
          <w:highlight w:val="none"/>
        </w:rPr>
      </w:pPr>
      <w:r>
        <w:rPr>
          <w:b/>
          <w:bCs/>
          <w:color w:val="auto"/>
          <w:szCs w:val="18"/>
          <w:highlight w:val="none"/>
        </w:rPr>
        <w:t>表4.3.</w:t>
      </w:r>
      <w:r>
        <w:rPr>
          <w:rFonts w:hint="eastAsia"/>
          <w:b/>
          <w:bCs/>
          <w:color w:val="auto"/>
          <w:szCs w:val="18"/>
          <w:highlight w:val="none"/>
        </w:rPr>
        <w:t>9</w:t>
      </w:r>
      <w:r>
        <w:rPr>
          <w:b/>
          <w:bCs/>
          <w:color w:val="auto"/>
          <w:szCs w:val="18"/>
          <w:highlight w:val="none"/>
        </w:rPr>
        <w:t>-1</w:t>
      </w:r>
      <w:r>
        <w:rPr>
          <w:rFonts w:hint="eastAsia"/>
          <w:b/>
          <w:bCs/>
          <w:color w:val="auto"/>
          <w:szCs w:val="18"/>
          <w:highlight w:val="none"/>
        </w:rPr>
        <w:t>　</w:t>
      </w:r>
      <w:r>
        <w:rPr>
          <w:b/>
          <w:bCs/>
          <w:color w:val="auto"/>
          <w:szCs w:val="18"/>
          <w:highlight w:val="none"/>
        </w:rPr>
        <w:t>人工填土分类</w:t>
      </w:r>
    </w:p>
    <w:tbl>
      <w:tblPr>
        <w:tblStyle w:val="22"/>
        <w:tblW w:w="824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69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tcPr>
          <w:p>
            <w:pPr>
              <w:jc w:val="center"/>
              <w:rPr>
                <w:color w:val="auto"/>
                <w:kern w:val="0"/>
                <w:sz w:val="20"/>
                <w:szCs w:val="20"/>
                <w:highlight w:val="none"/>
              </w:rPr>
            </w:pPr>
            <w:r>
              <w:rPr>
                <w:color w:val="auto"/>
                <w:kern w:val="0"/>
                <w:sz w:val="20"/>
                <w:szCs w:val="20"/>
                <w:highlight w:val="none"/>
              </w:rPr>
              <w:t>填土类别</w:t>
            </w:r>
          </w:p>
        </w:tc>
        <w:tc>
          <w:tcPr>
            <w:tcW w:w="6960" w:type="dxa"/>
            <w:shd w:val="clear" w:color="auto" w:fill="auto"/>
          </w:tcPr>
          <w:p>
            <w:pPr>
              <w:jc w:val="center"/>
              <w:rPr>
                <w:color w:val="auto"/>
                <w:kern w:val="0"/>
                <w:sz w:val="20"/>
                <w:szCs w:val="20"/>
                <w:highlight w:val="none"/>
              </w:rPr>
            </w:pPr>
            <w:r>
              <w:rPr>
                <w:color w:val="auto"/>
                <w:kern w:val="0"/>
                <w:sz w:val="20"/>
                <w:szCs w:val="20"/>
                <w:highlight w:val="none"/>
              </w:rPr>
              <w:t>特征描述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jc w:val="center"/>
              <w:rPr>
                <w:color w:val="auto"/>
                <w:kern w:val="0"/>
                <w:sz w:val="20"/>
                <w:szCs w:val="20"/>
                <w:highlight w:val="none"/>
              </w:rPr>
            </w:pPr>
            <w:r>
              <w:rPr>
                <w:color w:val="auto"/>
                <w:kern w:val="0"/>
                <w:sz w:val="20"/>
                <w:szCs w:val="20"/>
                <w:highlight w:val="none"/>
              </w:rPr>
              <w:t>素填土</w:t>
            </w:r>
          </w:p>
        </w:tc>
        <w:tc>
          <w:tcPr>
            <w:tcW w:w="6960" w:type="dxa"/>
            <w:shd w:val="clear" w:color="auto" w:fill="auto"/>
          </w:tcPr>
          <w:p>
            <w:pPr>
              <w:rPr>
                <w:color w:val="auto"/>
                <w:kern w:val="0"/>
                <w:sz w:val="20"/>
                <w:szCs w:val="20"/>
                <w:highlight w:val="none"/>
              </w:rPr>
            </w:pPr>
            <w:r>
              <w:rPr>
                <w:rFonts w:hint="eastAsia"/>
                <w:color w:val="auto"/>
                <w:kern w:val="0"/>
                <w:sz w:val="20"/>
                <w:szCs w:val="20"/>
                <w:highlight w:val="none"/>
              </w:rPr>
              <w:t>由碎石土、砂土、粉土和黏性土等一种或几种材料组成，不含杂物或含杂物很少。当粒径</w:t>
            </w:r>
            <w:r>
              <w:rPr>
                <w:i/>
                <w:iCs/>
                <w:color w:val="auto"/>
                <w:kern w:val="0"/>
                <w:sz w:val="20"/>
                <w:szCs w:val="20"/>
                <w:highlight w:val="none"/>
              </w:rPr>
              <w:t>d</w:t>
            </w:r>
            <w:r>
              <w:rPr>
                <w:rFonts w:hint="eastAsia" w:ascii="宋体" w:hAnsi="宋体" w:cs="宋体"/>
                <w:color w:val="auto"/>
                <w:kern w:val="0"/>
                <w:sz w:val="20"/>
                <w:szCs w:val="20"/>
                <w:highlight w:val="none"/>
              </w:rPr>
              <w:t>≥</w:t>
            </w:r>
            <w:r>
              <w:rPr>
                <w:rFonts w:hint="eastAsia"/>
                <w:color w:val="auto"/>
                <w:kern w:val="0"/>
                <w:sz w:val="20"/>
                <w:szCs w:val="20"/>
                <w:highlight w:val="none"/>
              </w:rPr>
              <w:t>4</w:t>
            </w:r>
            <w:r>
              <w:rPr>
                <w:color w:val="auto"/>
                <w:kern w:val="0"/>
                <w:sz w:val="20"/>
                <w:szCs w:val="20"/>
                <w:highlight w:val="none"/>
              </w:rPr>
              <w:t>0mm</w:t>
            </w:r>
            <w:r>
              <w:rPr>
                <w:rFonts w:hint="eastAsia" w:ascii="宋体" w:hAnsi="宋体" w:cs="宋体"/>
                <w:color w:val="auto"/>
                <w:kern w:val="0"/>
                <w:sz w:val="20"/>
                <w:szCs w:val="20"/>
                <w:highlight w:val="none"/>
              </w:rPr>
              <w:t>的粒组总质量超过</w:t>
            </w:r>
            <w:r>
              <w:rPr>
                <w:rFonts w:hint="eastAsia"/>
                <w:color w:val="auto"/>
                <w:kern w:val="0"/>
                <w:sz w:val="20"/>
                <w:szCs w:val="20"/>
                <w:highlight w:val="none"/>
              </w:rPr>
              <w:t>7</w:t>
            </w:r>
            <w:r>
              <w:rPr>
                <w:color w:val="auto"/>
                <w:kern w:val="0"/>
                <w:sz w:val="20"/>
                <w:szCs w:val="20"/>
                <w:highlight w:val="none"/>
              </w:rPr>
              <w:t>0%</w:t>
            </w:r>
            <w:r>
              <w:rPr>
                <w:rFonts w:hint="eastAsia"/>
                <w:color w:val="auto"/>
                <w:kern w:val="0"/>
                <w:sz w:val="20"/>
                <w:szCs w:val="20"/>
                <w:highlight w:val="none"/>
              </w:rPr>
              <w:t>时，又称为填石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tcPr>
          <w:p>
            <w:pPr>
              <w:jc w:val="center"/>
              <w:rPr>
                <w:color w:val="auto"/>
                <w:kern w:val="0"/>
                <w:sz w:val="20"/>
                <w:szCs w:val="20"/>
                <w:highlight w:val="none"/>
              </w:rPr>
            </w:pPr>
            <w:r>
              <w:rPr>
                <w:color w:val="auto"/>
                <w:kern w:val="0"/>
                <w:sz w:val="20"/>
                <w:szCs w:val="20"/>
                <w:highlight w:val="none"/>
              </w:rPr>
              <w:t>杂填土</w:t>
            </w:r>
          </w:p>
        </w:tc>
        <w:tc>
          <w:tcPr>
            <w:tcW w:w="6960" w:type="dxa"/>
            <w:shd w:val="clear" w:color="auto" w:fill="auto"/>
          </w:tcPr>
          <w:p>
            <w:pPr>
              <w:rPr>
                <w:color w:val="auto"/>
                <w:kern w:val="0"/>
                <w:sz w:val="20"/>
                <w:szCs w:val="20"/>
                <w:highlight w:val="none"/>
              </w:rPr>
            </w:pPr>
            <w:r>
              <w:rPr>
                <w:color w:val="auto"/>
                <w:kern w:val="0"/>
                <w:sz w:val="20"/>
                <w:szCs w:val="20"/>
                <w:highlight w:val="none"/>
              </w:rPr>
              <w:t>含有大量建筑垃圾、工业废料或生活垃圾等杂物的填土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jc w:val="center"/>
              <w:rPr>
                <w:color w:val="auto"/>
                <w:kern w:val="0"/>
                <w:sz w:val="20"/>
                <w:szCs w:val="20"/>
                <w:highlight w:val="none"/>
              </w:rPr>
            </w:pPr>
            <w:r>
              <w:rPr>
                <w:color w:val="auto"/>
                <w:kern w:val="0"/>
                <w:sz w:val="20"/>
                <w:szCs w:val="20"/>
                <w:highlight w:val="none"/>
              </w:rPr>
              <w:t>冲填土</w:t>
            </w:r>
          </w:p>
        </w:tc>
        <w:tc>
          <w:tcPr>
            <w:tcW w:w="6960" w:type="dxa"/>
            <w:shd w:val="clear" w:color="auto" w:fill="auto"/>
          </w:tcPr>
          <w:p>
            <w:pPr>
              <w:rPr>
                <w:color w:val="auto"/>
                <w:kern w:val="0"/>
                <w:sz w:val="20"/>
                <w:szCs w:val="20"/>
                <w:highlight w:val="none"/>
              </w:rPr>
            </w:pPr>
            <w:r>
              <w:rPr>
                <w:color w:val="auto"/>
                <w:kern w:val="0"/>
                <w:sz w:val="20"/>
                <w:szCs w:val="20"/>
                <w:highlight w:val="none"/>
              </w:rPr>
              <w:t>由水力充填泥砂而成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jc w:val="center"/>
              <w:rPr>
                <w:color w:val="auto"/>
                <w:kern w:val="0"/>
                <w:sz w:val="20"/>
                <w:szCs w:val="20"/>
                <w:highlight w:val="none"/>
              </w:rPr>
            </w:pPr>
            <w:r>
              <w:rPr>
                <w:rFonts w:hint="eastAsia"/>
                <w:color w:val="auto"/>
                <w:kern w:val="0"/>
                <w:sz w:val="20"/>
                <w:szCs w:val="20"/>
                <w:highlight w:val="none"/>
              </w:rPr>
              <w:t>压实填土</w:t>
            </w:r>
          </w:p>
        </w:tc>
        <w:tc>
          <w:tcPr>
            <w:tcW w:w="6960" w:type="dxa"/>
            <w:shd w:val="clear" w:color="auto" w:fill="auto"/>
          </w:tcPr>
          <w:p>
            <w:pPr>
              <w:rPr>
                <w:color w:val="auto"/>
                <w:kern w:val="0"/>
                <w:sz w:val="20"/>
                <w:szCs w:val="20"/>
                <w:highlight w:val="none"/>
              </w:rPr>
            </w:pPr>
            <w:r>
              <w:rPr>
                <w:rFonts w:hint="eastAsia"/>
                <w:color w:val="auto"/>
                <w:kern w:val="0"/>
                <w:sz w:val="20"/>
                <w:szCs w:val="20"/>
                <w:highlight w:val="none"/>
              </w:rPr>
              <w:t>按一定标准控制材料成分、密度、含水量，分层压实或夯实而成</w:t>
            </w:r>
          </w:p>
        </w:tc>
      </w:tr>
    </w:tbl>
    <w:p>
      <w:pPr>
        <w:spacing w:before="156" w:beforeLines="50" w:line="360" w:lineRule="auto"/>
        <w:ind w:firstLine="430" w:firstLineChars="200"/>
        <w:rPr>
          <w:color w:val="auto"/>
          <w:highlight w:val="none"/>
        </w:rPr>
      </w:pPr>
      <w:r>
        <w:rPr>
          <w:b/>
          <w:bCs/>
          <w:color w:val="auto"/>
          <w:spacing w:val="2"/>
          <w:kern w:val="0"/>
          <w:szCs w:val="18"/>
          <w:highlight w:val="none"/>
        </w:rPr>
        <w:t>2</w:t>
      </w:r>
      <w:r>
        <w:rPr>
          <w:rFonts w:hint="eastAsia"/>
          <w:b/>
          <w:bCs/>
          <w:color w:val="auto"/>
          <w:spacing w:val="2"/>
          <w:kern w:val="0"/>
          <w:szCs w:val="18"/>
          <w:highlight w:val="none"/>
        </w:rPr>
        <w:t>　</w:t>
      </w:r>
      <w:r>
        <w:rPr>
          <w:color w:val="auto"/>
          <w:szCs w:val="21"/>
          <w:highlight w:val="none"/>
        </w:rPr>
        <w:t>软土</w:t>
      </w:r>
      <w:r>
        <w:rPr>
          <w:rFonts w:hint="eastAsia"/>
          <w:color w:val="auto"/>
          <w:szCs w:val="21"/>
          <w:highlight w:val="none"/>
        </w:rPr>
        <w:t>为</w:t>
      </w:r>
      <w:r>
        <w:rPr>
          <w:rFonts w:hint="eastAsia"/>
          <w:iCs/>
          <w:color w:val="auto"/>
          <w:highlight w:val="none"/>
        </w:rPr>
        <w:t>孔隙比大于或等于</w:t>
      </w:r>
      <w:r>
        <w:rPr>
          <w:color w:val="auto"/>
          <w:highlight w:val="none"/>
        </w:rPr>
        <w:t>1.0</w:t>
      </w:r>
      <w:r>
        <w:rPr>
          <w:rFonts w:hint="eastAsia"/>
          <w:color w:val="auto"/>
          <w:highlight w:val="none"/>
        </w:rPr>
        <w:t>且天然含水量大于液限</w:t>
      </w:r>
      <w:r>
        <w:rPr>
          <w:color w:val="auto"/>
          <w:szCs w:val="18"/>
          <w:highlight w:val="none"/>
        </w:rPr>
        <w:t>的细粒土，可根据有机质含量，按表4.3.</w:t>
      </w:r>
      <w:r>
        <w:rPr>
          <w:rFonts w:hint="eastAsia"/>
          <w:color w:val="auto"/>
          <w:szCs w:val="18"/>
          <w:highlight w:val="none"/>
        </w:rPr>
        <w:t>9</w:t>
      </w:r>
      <w:r>
        <w:rPr>
          <w:color w:val="auto"/>
          <w:szCs w:val="18"/>
          <w:highlight w:val="none"/>
        </w:rPr>
        <w:t>-</w:t>
      </w:r>
      <w:r>
        <w:rPr>
          <w:rFonts w:hint="eastAsia"/>
          <w:color w:val="auto"/>
          <w:szCs w:val="18"/>
          <w:highlight w:val="none"/>
        </w:rPr>
        <w:t>2</w:t>
      </w:r>
      <w:r>
        <w:rPr>
          <w:color w:val="auto"/>
          <w:szCs w:val="18"/>
          <w:highlight w:val="none"/>
        </w:rPr>
        <w:t>进</w:t>
      </w:r>
      <w:r>
        <w:rPr>
          <w:rFonts w:hint="eastAsia"/>
          <w:color w:val="auto"/>
          <w:szCs w:val="18"/>
          <w:highlight w:val="none"/>
        </w:rPr>
        <w:t>行</w:t>
      </w:r>
      <w:r>
        <w:rPr>
          <w:color w:val="auto"/>
          <w:szCs w:val="18"/>
          <w:highlight w:val="none"/>
        </w:rPr>
        <w:t>分类</w:t>
      </w:r>
      <w:r>
        <w:rPr>
          <w:rFonts w:hint="eastAsia"/>
          <w:color w:val="auto"/>
          <w:szCs w:val="18"/>
          <w:highlight w:val="none"/>
          <w:lang w:eastAsia="zh-CN"/>
        </w:rPr>
        <w:t>；</w:t>
      </w:r>
      <w:r>
        <w:rPr>
          <w:rFonts w:hint="eastAsia"/>
          <w:color w:val="auto"/>
          <w:szCs w:val="18"/>
          <w:highlight w:val="none"/>
        </w:rPr>
        <w:t>其中，淤泥、淤泥质土可根据</w:t>
      </w:r>
      <w:r>
        <w:rPr>
          <w:rFonts w:hint="eastAsia"/>
          <w:color w:val="auto"/>
          <w:szCs w:val="21"/>
          <w:highlight w:val="none"/>
        </w:rPr>
        <w:t>其塑性指数</w:t>
      </w:r>
      <w:r>
        <w:rPr>
          <w:i/>
          <w:iCs/>
          <w:color w:val="auto"/>
          <w:szCs w:val="21"/>
          <w:highlight w:val="none"/>
        </w:rPr>
        <w:t>I</w:t>
      </w:r>
      <w:r>
        <w:rPr>
          <w:color w:val="auto"/>
          <w:szCs w:val="21"/>
          <w:highlight w:val="none"/>
          <w:vertAlign w:val="subscript"/>
        </w:rPr>
        <w:t>P</w:t>
      </w:r>
      <w:r>
        <w:rPr>
          <w:rFonts w:hint="eastAsia"/>
          <w:color w:val="auto"/>
          <w:szCs w:val="21"/>
          <w:highlight w:val="none"/>
        </w:rPr>
        <w:t>和孔隙比</w:t>
      </w:r>
      <w:r>
        <w:rPr>
          <w:i/>
          <w:color w:val="auto"/>
          <w:szCs w:val="21"/>
          <w:highlight w:val="none"/>
        </w:rPr>
        <w:t>e</w:t>
      </w:r>
      <w:r>
        <w:rPr>
          <w:color w:val="auto"/>
          <w:szCs w:val="18"/>
          <w:highlight w:val="none"/>
        </w:rPr>
        <w:t>，按表4.3.</w:t>
      </w:r>
      <w:r>
        <w:rPr>
          <w:rFonts w:hint="eastAsia"/>
          <w:color w:val="auto"/>
          <w:szCs w:val="18"/>
          <w:highlight w:val="none"/>
        </w:rPr>
        <w:t>9</w:t>
      </w:r>
      <w:r>
        <w:rPr>
          <w:color w:val="auto"/>
          <w:szCs w:val="18"/>
          <w:highlight w:val="none"/>
        </w:rPr>
        <w:t>-</w:t>
      </w:r>
      <w:r>
        <w:rPr>
          <w:rFonts w:hint="eastAsia"/>
          <w:color w:val="auto"/>
          <w:szCs w:val="18"/>
          <w:highlight w:val="none"/>
        </w:rPr>
        <w:t>3</w:t>
      </w:r>
      <w:r>
        <w:rPr>
          <w:color w:val="auto"/>
          <w:szCs w:val="18"/>
          <w:highlight w:val="none"/>
        </w:rPr>
        <w:t>进一步分类</w:t>
      </w:r>
      <w:r>
        <w:rPr>
          <w:rFonts w:hint="eastAsia"/>
          <w:color w:val="auto"/>
          <w:szCs w:val="21"/>
          <w:highlight w:val="none"/>
          <w:lang w:eastAsia="zh-CN"/>
        </w:rPr>
        <w:t>；</w:t>
      </w:r>
    </w:p>
    <w:p>
      <w:pPr>
        <w:spacing w:line="360" w:lineRule="auto"/>
        <w:ind w:firstLine="422" w:firstLineChars="200"/>
        <w:jc w:val="center"/>
        <w:rPr>
          <w:b/>
          <w:bCs/>
          <w:color w:val="auto"/>
          <w:szCs w:val="18"/>
          <w:highlight w:val="none"/>
        </w:rPr>
      </w:pPr>
      <w:r>
        <w:rPr>
          <w:b/>
          <w:bCs/>
          <w:color w:val="auto"/>
          <w:szCs w:val="18"/>
          <w:highlight w:val="none"/>
        </w:rPr>
        <w:t>表4.3.</w:t>
      </w:r>
      <w:r>
        <w:rPr>
          <w:rFonts w:hint="eastAsia"/>
          <w:b/>
          <w:bCs/>
          <w:color w:val="auto"/>
          <w:szCs w:val="18"/>
          <w:highlight w:val="none"/>
        </w:rPr>
        <w:t>9</w:t>
      </w:r>
      <w:r>
        <w:rPr>
          <w:b/>
          <w:bCs/>
          <w:color w:val="auto"/>
          <w:szCs w:val="18"/>
          <w:highlight w:val="none"/>
        </w:rPr>
        <w:t>-</w:t>
      </w:r>
      <w:r>
        <w:rPr>
          <w:rFonts w:hint="eastAsia"/>
          <w:b/>
          <w:bCs/>
          <w:color w:val="auto"/>
          <w:szCs w:val="18"/>
          <w:highlight w:val="none"/>
        </w:rPr>
        <w:t>2　</w:t>
      </w:r>
      <w:r>
        <w:rPr>
          <w:b/>
          <w:bCs/>
          <w:color w:val="auto"/>
          <w:szCs w:val="18"/>
          <w:highlight w:val="none"/>
        </w:rPr>
        <w:t>软土按有机质含量分类</w:t>
      </w:r>
    </w:p>
    <w:tbl>
      <w:tblPr>
        <w:tblStyle w:val="22"/>
        <w:tblW w:w="82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1275"/>
        <w:gridCol w:w="1308"/>
        <w:gridCol w:w="1308"/>
        <w:gridCol w:w="1308"/>
        <w:gridCol w:w="11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890" w:type="dxa"/>
            <w:vMerge w:val="restart"/>
            <w:tcBorders>
              <w:tl2br w:val="single" w:color="auto" w:sz="2" w:space="0"/>
            </w:tcBorders>
            <w:shd w:val="clear" w:color="auto" w:fill="auto"/>
          </w:tcPr>
          <w:p>
            <w:pPr>
              <w:spacing w:before="93" w:beforeLines="30"/>
              <w:jc w:val="right"/>
              <w:rPr>
                <w:color w:val="auto"/>
                <w:kern w:val="0"/>
                <w:sz w:val="20"/>
                <w:szCs w:val="20"/>
                <w:highlight w:val="none"/>
              </w:rPr>
            </w:pPr>
            <w:r>
              <w:rPr>
                <w:color w:val="auto"/>
                <w:kern w:val="0"/>
                <w:sz w:val="20"/>
                <w:szCs w:val="20"/>
                <w:highlight w:val="none"/>
              </w:rPr>
              <w:t>名称</w:t>
            </w:r>
          </w:p>
          <w:p>
            <w:pPr>
              <w:jc w:val="left"/>
              <w:rPr>
                <w:color w:val="auto"/>
                <w:kern w:val="0"/>
                <w:sz w:val="20"/>
                <w:szCs w:val="20"/>
                <w:highlight w:val="none"/>
              </w:rPr>
            </w:pPr>
            <w:r>
              <w:rPr>
                <w:color w:val="auto"/>
                <w:kern w:val="0"/>
                <w:sz w:val="20"/>
                <w:szCs w:val="20"/>
                <w:highlight w:val="none"/>
              </w:rPr>
              <w:t>指标</w:t>
            </w:r>
          </w:p>
        </w:tc>
        <w:tc>
          <w:tcPr>
            <w:tcW w:w="1275" w:type="dxa"/>
            <w:vMerge w:val="restart"/>
            <w:shd w:val="clear" w:color="auto" w:fill="auto"/>
            <w:vAlign w:val="center"/>
          </w:tcPr>
          <w:p>
            <w:pPr>
              <w:jc w:val="center"/>
              <w:rPr>
                <w:color w:val="auto"/>
                <w:kern w:val="0"/>
                <w:sz w:val="20"/>
                <w:szCs w:val="20"/>
                <w:highlight w:val="none"/>
              </w:rPr>
            </w:pPr>
            <w:r>
              <w:rPr>
                <w:rFonts w:hint="eastAsia"/>
                <w:color w:val="auto"/>
                <w:kern w:val="0"/>
                <w:sz w:val="20"/>
                <w:szCs w:val="20"/>
                <w:highlight w:val="none"/>
              </w:rPr>
              <w:t>淤泥、淤泥质土</w:t>
            </w:r>
          </w:p>
        </w:tc>
        <w:tc>
          <w:tcPr>
            <w:tcW w:w="3924" w:type="dxa"/>
            <w:gridSpan w:val="3"/>
            <w:shd w:val="clear" w:color="auto" w:fill="auto"/>
            <w:vAlign w:val="center"/>
          </w:tcPr>
          <w:p>
            <w:pPr>
              <w:jc w:val="center"/>
              <w:rPr>
                <w:color w:val="auto"/>
                <w:kern w:val="0"/>
                <w:sz w:val="20"/>
                <w:szCs w:val="20"/>
                <w:highlight w:val="none"/>
              </w:rPr>
            </w:pPr>
            <w:r>
              <w:rPr>
                <w:color w:val="auto"/>
                <w:kern w:val="0"/>
                <w:sz w:val="20"/>
                <w:szCs w:val="20"/>
                <w:highlight w:val="none"/>
              </w:rPr>
              <w:t>泥炭质土</w:t>
            </w:r>
          </w:p>
        </w:tc>
        <w:tc>
          <w:tcPr>
            <w:tcW w:w="1161" w:type="dxa"/>
            <w:vMerge w:val="restart"/>
            <w:shd w:val="clear" w:color="auto" w:fill="auto"/>
            <w:vAlign w:val="center"/>
          </w:tcPr>
          <w:p>
            <w:pPr>
              <w:jc w:val="center"/>
              <w:rPr>
                <w:color w:val="auto"/>
                <w:kern w:val="0"/>
                <w:sz w:val="20"/>
                <w:szCs w:val="20"/>
                <w:highlight w:val="none"/>
              </w:rPr>
            </w:pPr>
            <w:r>
              <w:rPr>
                <w:color w:val="auto"/>
                <w:kern w:val="0"/>
                <w:sz w:val="20"/>
                <w:szCs w:val="20"/>
                <w:highlight w:val="none"/>
              </w:rPr>
              <w:t>泥炭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890" w:type="dxa"/>
            <w:vMerge w:val="continue"/>
            <w:shd w:val="clear" w:color="auto" w:fill="auto"/>
          </w:tcPr>
          <w:p>
            <w:pPr>
              <w:jc w:val="right"/>
              <w:rPr>
                <w:color w:val="auto"/>
                <w:kern w:val="0"/>
                <w:sz w:val="20"/>
                <w:szCs w:val="20"/>
                <w:highlight w:val="none"/>
              </w:rPr>
            </w:pPr>
          </w:p>
        </w:tc>
        <w:tc>
          <w:tcPr>
            <w:tcW w:w="1275" w:type="dxa"/>
            <w:vMerge w:val="continue"/>
            <w:shd w:val="clear" w:color="auto" w:fill="auto"/>
            <w:vAlign w:val="center"/>
          </w:tcPr>
          <w:p>
            <w:pPr>
              <w:jc w:val="center"/>
              <w:rPr>
                <w:color w:val="auto"/>
                <w:kern w:val="0"/>
                <w:sz w:val="20"/>
                <w:szCs w:val="20"/>
                <w:highlight w:val="none"/>
              </w:rPr>
            </w:pPr>
          </w:p>
        </w:tc>
        <w:tc>
          <w:tcPr>
            <w:tcW w:w="1308" w:type="dxa"/>
            <w:shd w:val="clear" w:color="auto" w:fill="auto"/>
            <w:vAlign w:val="center"/>
          </w:tcPr>
          <w:p>
            <w:pPr>
              <w:jc w:val="center"/>
              <w:rPr>
                <w:color w:val="auto"/>
                <w:kern w:val="0"/>
                <w:sz w:val="20"/>
                <w:szCs w:val="20"/>
                <w:highlight w:val="none"/>
              </w:rPr>
            </w:pPr>
            <w:r>
              <w:rPr>
                <w:color w:val="auto"/>
                <w:kern w:val="0"/>
                <w:sz w:val="20"/>
                <w:szCs w:val="20"/>
                <w:highlight w:val="none"/>
              </w:rPr>
              <w:t>弱泥炭质土</w:t>
            </w:r>
          </w:p>
        </w:tc>
        <w:tc>
          <w:tcPr>
            <w:tcW w:w="1308" w:type="dxa"/>
            <w:shd w:val="clear" w:color="auto" w:fill="auto"/>
            <w:vAlign w:val="center"/>
          </w:tcPr>
          <w:p>
            <w:pPr>
              <w:jc w:val="center"/>
              <w:rPr>
                <w:color w:val="auto"/>
                <w:kern w:val="0"/>
                <w:sz w:val="20"/>
                <w:szCs w:val="20"/>
                <w:highlight w:val="none"/>
              </w:rPr>
            </w:pPr>
            <w:r>
              <w:rPr>
                <w:color w:val="auto"/>
                <w:kern w:val="0"/>
                <w:sz w:val="20"/>
                <w:szCs w:val="20"/>
                <w:highlight w:val="none"/>
              </w:rPr>
              <w:t>中泥炭质土</w:t>
            </w:r>
          </w:p>
        </w:tc>
        <w:tc>
          <w:tcPr>
            <w:tcW w:w="1308" w:type="dxa"/>
            <w:shd w:val="clear" w:color="auto" w:fill="auto"/>
            <w:vAlign w:val="center"/>
          </w:tcPr>
          <w:p>
            <w:pPr>
              <w:jc w:val="center"/>
              <w:rPr>
                <w:color w:val="auto"/>
                <w:kern w:val="0"/>
                <w:sz w:val="20"/>
                <w:szCs w:val="20"/>
                <w:highlight w:val="none"/>
              </w:rPr>
            </w:pPr>
            <w:r>
              <w:rPr>
                <w:color w:val="auto"/>
                <w:kern w:val="0"/>
                <w:sz w:val="20"/>
                <w:szCs w:val="20"/>
                <w:highlight w:val="none"/>
              </w:rPr>
              <w:t>强泥炭质土</w:t>
            </w:r>
          </w:p>
        </w:tc>
        <w:tc>
          <w:tcPr>
            <w:tcW w:w="1161" w:type="dxa"/>
            <w:vMerge w:val="continue"/>
            <w:shd w:val="clear" w:color="auto" w:fill="auto"/>
            <w:vAlign w:val="center"/>
          </w:tcPr>
          <w:p>
            <w:pPr>
              <w:jc w:val="center"/>
              <w:rPr>
                <w:color w:val="auto"/>
                <w:kern w:val="0"/>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890" w:type="dxa"/>
            <w:shd w:val="clear" w:color="auto" w:fill="auto"/>
            <w:vAlign w:val="center"/>
          </w:tcPr>
          <w:p>
            <w:pPr>
              <w:jc w:val="center"/>
              <w:rPr>
                <w:color w:val="auto"/>
                <w:kern w:val="0"/>
                <w:sz w:val="20"/>
                <w:szCs w:val="20"/>
                <w:highlight w:val="none"/>
              </w:rPr>
            </w:pPr>
            <w:r>
              <w:rPr>
                <w:color w:val="auto"/>
                <w:kern w:val="0"/>
                <w:sz w:val="20"/>
                <w:szCs w:val="20"/>
                <w:highlight w:val="none"/>
              </w:rPr>
              <w:t>有机质含量</w:t>
            </w:r>
            <w:r>
              <w:rPr>
                <w:i/>
                <w:color w:val="auto"/>
                <w:kern w:val="0"/>
                <w:sz w:val="20"/>
                <w:szCs w:val="21"/>
                <w:highlight w:val="none"/>
              </w:rPr>
              <w:t>W</w:t>
            </w:r>
            <w:r>
              <w:rPr>
                <w:color w:val="auto"/>
                <w:kern w:val="0"/>
                <w:sz w:val="20"/>
                <w:szCs w:val="20"/>
                <w:highlight w:val="none"/>
                <w:vertAlign w:val="subscript"/>
              </w:rPr>
              <w:t>u</w:t>
            </w:r>
            <w:r>
              <w:rPr>
                <w:rFonts w:hint="eastAsia"/>
                <w:color w:val="auto"/>
                <w:kern w:val="0"/>
                <w:sz w:val="20"/>
                <w:szCs w:val="20"/>
                <w:highlight w:val="none"/>
              </w:rPr>
              <w:t>(</w:t>
            </w:r>
            <w:r>
              <w:rPr>
                <w:color w:val="auto"/>
                <w:kern w:val="0"/>
                <w:sz w:val="20"/>
                <w:szCs w:val="21"/>
                <w:highlight w:val="none"/>
              </w:rPr>
              <w:t>%</w:t>
            </w:r>
            <w:r>
              <w:rPr>
                <w:rFonts w:hint="eastAsia"/>
                <w:color w:val="auto"/>
                <w:kern w:val="0"/>
                <w:sz w:val="20"/>
                <w:szCs w:val="21"/>
                <w:highlight w:val="none"/>
              </w:rPr>
              <w:t>)</w:t>
            </w:r>
          </w:p>
        </w:tc>
        <w:tc>
          <w:tcPr>
            <w:tcW w:w="1275" w:type="dxa"/>
            <w:shd w:val="clear" w:color="auto" w:fill="auto"/>
            <w:vAlign w:val="center"/>
          </w:tcPr>
          <w:p>
            <w:pPr>
              <w:jc w:val="center"/>
              <w:rPr>
                <w:color w:val="auto"/>
                <w:kern w:val="0"/>
                <w:sz w:val="20"/>
                <w:szCs w:val="21"/>
                <w:highlight w:val="none"/>
              </w:rPr>
            </w:pPr>
            <w:r>
              <w:rPr>
                <w:i/>
                <w:color w:val="auto"/>
                <w:kern w:val="0"/>
                <w:sz w:val="20"/>
                <w:szCs w:val="21"/>
                <w:highlight w:val="none"/>
              </w:rPr>
              <w:t>W</w:t>
            </w:r>
            <w:r>
              <w:rPr>
                <w:iCs/>
                <w:color w:val="auto"/>
                <w:kern w:val="0"/>
                <w:sz w:val="20"/>
                <w:szCs w:val="21"/>
                <w:highlight w:val="none"/>
                <w:vertAlign w:val="subscript"/>
              </w:rPr>
              <w:t>u</w:t>
            </w:r>
            <w:r>
              <w:rPr>
                <w:rFonts w:hint="eastAsia" w:ascii="宋体" w:hAnsi="宋体" w:cs="宋体"/>
                <w:color w:val="auto"/>
                <w:sz w:val="20"/>
                <w:szCs w:val="20"/>
                <w:highlight w:val="none"/>
              </w:rPr>
              <w:t>≤</w:t>
            </w:r>
            <w:r>
              <w:rPr>
                <w:color w:val="auto"/>
                <w:kern w:val="0"/>
                <w:sz w:val="20"/>
                <w:szCs w:val="21"/>
                <w:highlight w:val="none"/>
              </w:rPr>
              <w:t>10</w:t>
            </w:r>
          </w:p>
        </w:tc>
        <w:tc>
          <w:tcPr>
            <w:tcW w:w="1308" w:type="dxa"/>
            <w:shd w:val="clear" w:color="auto" w:fill="auto"/>
            <w:vAlign w:val="center"/>
          </w:tcPr>
          <w:p>
            <w:pPr>
              <w:jc w:val="center"/>
              <w:rPr>
                <w:color w:val="auto"/>
                <w:kern w:val="0"/>
                <w:sz w:val="20"/>
                <w:szCs w:val="20"/>
                <w:highlight w:val="none"/>
              </w:rPr>
            </w:pPr>
            <w:r>
              <w:rPr>
                <w:color w:val="auto"/>
                <w:kern w:val="0"/>
                <w:sz w:val="20"/>
                <w:szCs w:val="20"/>
                <w:highlight w:val="none"/>
              </w:rPr>
              <w:t>10&lt;</w:t>
            </w:r>
            <w:r>
              <w:rPr>
                <w:i/>
                <w:iCs/>
                <w:color w:val="auto"/>
                <w:kern w:val="0"/>
                <w:sz w:val="20"/>
                <w:szCs w:val="20"/>
                <w:highlight w:val="none"/>
              </w:rPr>
              <w:t>W</w:t>
            </w:r>
            <w:r>
              <w:rPr>
                <w:color w:val="auto"/>
                <w:kern w:val="0"/>
                <w:sz w:val="20"/>
                <w:szCs w:val="20"/>
                <w:highlight w:val="none"/>
                <w:vertAlign w:val="subscript"/>
              </w:rPr>
              <w:t>u</w:t>
            </w:r>
            <w:r>
              <w:rPr>
                <w:rFonts w:hint="eastAsia" w:ascii="宋体" w:hAnsi="宋体" w:cs="宋体"/>
                <w:color w:val="auto"/>
                <w:sz w:val="20"/>
                <w:szCs w:val="20"/>
                <w:highlight w:val="none"/>
              </w:rPr>
              <w:t>≤</w:t>
            </w:r>
            <w:r>
              <w:rPr>
                <w:color w:val="auto"/>
                <w:kern w:val="0"/>
                <w:sz w:val="20"/>
                <w:szCs w:val="20"/>
                <w:highlight w:val="none"/>
              </w:rPr>
              <w:t>25</w:t>
            </w:r>
          </w:p>
        </w:tc>
        <w:tc>
          <w:tcPr>
            <w:tcW w:w="1308" w:type="dxa"/>
            <w:shd w:val="clear" w:color="auto" w:fill="auto"/>
            <w:vAlign w:val="center"/>
          </w:tcPr>
          <w:p>
            <w:pPr>
              <w:jc w:val="center"/>
              <w:rPr>
                <w:color w:val="auto"/>
                <w:kern w:val="0"/>
                <w:sz w:val="20"/>
                <w:szCs w:val="20"/>
                <w:highlight w:val="none"/>
              </w:rPr>
            </w:pPr>
            <w:r>
              <w:rPr>
                <w:color w:val="auto"/>
                <w:kern w:val="0"/>
                <w:sz w:val="20"/>
                <w:szCs w:val="20"/>
                <w:highlight w:val="none"/>
              </w:rPr>
              <w:t>25&lt;</w:t>
            </w:r>
            <w:r>
              <w:rPr>
                <w:i/>
                <w:iCs/>
                <w:color w:val="auto"/>
                <w:kern w:val="0"/>
                <w:sz w:val="20"/>
                <w:szCs w:val="20"/>
                <w:highlight w:val="none"/>
              </w:rPr>
              <w:t>W</w:t>
            </w:r>
            <w:r>
              <w:rPr>
                <w:color w:val="auto"/>
                <w:kern w:val="0"/>
                <w:sz w:val="20"/>
                <w:szCs w:val="20"/>
                <w:highlight w:val="none"/>
                <w:vertAlign w:val="subscript"/>
              </w:rPr>
              <w:t>u</w:t>
            </w:r>
            <w:r>
              <w:rPr>
                <w:rFonts w:hint="eastAsia" w:ascii="宋体" w:hAnsi="宋体" w:cs="宋体"/>
                <w:color w:val="auto"/>
                <w:sz w:val="20"/>
                <w:szCs w:val="20"/>
                <w:highlight w:val="none"/>
              </w:rPr>
              <w:t>≤</w:t>
            </w:r>
            <w:r>
              <w:rPr>
                <w:color w:val="auto"/>
                <w:kern w:val="0"/>
                <w:sz w:val="20"/>
                <w:szCs w:val="20"/>
                <w:highlight w:val="none"/>
              </w:rPr>
              <w:t>40</w:t>
            </w:r>
          </w:p>
        </w:tc>
        <w:tc>
          <w:tcPr>
            <w:tcW w:w="1308" w:type="dxa"/>
            <w:shd w:val="clear" w:color="auto" w:fill="auto"/>
            <w:vAlign w:val="center"/>
          </w:tcPr>
          <w:p>
            <w:pPr>
              <w:jc w:val="center"/>
              <w:rPr>
                <w:color w:val="auto"/>
                <w:kern w:val="0"/>
                <w:sz w:val="20"/>
                <w:szCs w:val="20"/>
                <w:highlight w:val="none"/>
              </w:rPr>
            </w:pPr>
            <w:r>
              <w:rPr>
                <w:color w:val="auto"/>
                <w:kern w:val="0"/>
                <w:sz w:val="20"/>
                <w:szCs w:val="20"/>
                <w:highlight w:val="none"/>
              </w:rPr>
              <w:t>40&lt;</w:t>
            </w:r>
            <w:r>
              <w:rPr>
                <w:i/>
                <w:iCs/>
                <w:color w:val="auto"/>
                <w:kern w:val="0"/>
                <w:sz w:val="20"/>
                <w:szCs w:val="20"/>
                <w:highlight w:val="none"/>
              </w:rPr>
              <w:t>W</w:t>
            </w:r>
            <w:r>
              <w:rPr>
                <w:color w:val="auto"/>
                <w:kern w:val="0"/>
                <w:sz w:val="20"/>
                <w:szCs w:val="20"/>
                <w:highlight w:val="none"/>
                <w:vertAlign w:val="subscript"/>
              </w:rPr>
              <w:t>u</w:t>
            </w:r>
            <w:r>
              <w:rPr>
                <w:rFonts w:hint="eastAsia" w:ascii="宋体" w:hAnsi="宋体" w:cs="宋体"/>
                <w:color w:val="auto"/>
                <w:sz w:val="20"/>
                <w:szCs w:val="20"/>
                <w:highlight w:val="none"/>
              </w:rPr>
              <w:t>≤</w:t>
            </w:r>
            <w:r>
              <w:rPr>
                <w:color w:val="auto"/>
                <w:kern w:val="0"/>
                <w:sz w:val="20"/>
                <w:szCs w:val="20"/>
                <w:highlight w:val="none"/>
              </w:rPr>
              <w:t>60</w:t>
            </w:r>
          </w:p>
        </w:tc>
        <w:tc>
          <w:tcPr>
            <w:tcW w:w="1161" w:type="dxa"/>
            <w:shd w:val="clear" w:color="auto" w:fill="auto"/>
            <w:vAlign w:val="center"/>
          </w:tcPr>
          <w:p>
            <w:pPr>
              <w:jc w:val="center"/>
              <w:rPr>
                <w:color w:val="auto"/>
                <w:kern w:val="0"/>
                <w:sz w:val="20"/>
                <w:szCs w:val="20"/>
                <w:highlight w:val="none"/>
              </w:rPr>
            </w:pPr>
            <w:r>
              <w:rPr>
                <w:i/>
                <w:iCs/>
                <w:color w:val="auto"/>
                <w:kern w:val="0"/>
                <w:sz w:val="20"/>
                <w:szCs w:val="20"/>
                <w:highlight w:val="none"/>
              </w:rPr>
              <w:t>W</w:t>
            </w:r>
            <w:r>
              <w:rPr>
                <w:color w:val="auto"/>
                <w:kern w:val="0"/>
                <w:sz w:val="20"/>
                <w:szCs w:val="20"/>
                <w:highlight w:val="none"/>
                <w:vertAlign w:val="subscript"/>
              </w:rPr>
              <w:t>u</w:t>
            </w:r>
            <w:r>
              <w:rPr>
                <w:color w:val="auto"/>
                <w:kern w:val="0"/>
                <w:sz w:val="20"/>
                <w:szCs w:val="20"/>
                <w:highlight w:val="none"/>
              </w:rPr>
              <w:t>&gt;60</w:t>
            </w:r>
          </w:p>
        </w:tc>
      </w:tr>
    </w:tbl>
    <w:p>
      <w:pPr>
        <w:snapToGrid w:val="0"/>
        <w:spacing w:line="360" w:lineRule="auto"/>
        <w:ind w:left="1120" w:leftChars="200" w:hanging="700" w:hangingChars="350"/>
        <w:jc w:val="left"/>
        <w:rPr>
          <w:color w:val="auto"/>
          <w:sz w:val="20"/>
          <w:szCs w:val="20"/>
          <w:highlight w:val="none"/>
        </w:rPr>
      </w:pPr>
      <w:r>
        <w:rPr>
          <w:rFonts w:hint="eastAsia"/>
          <w:color w:val="auto"/>
          <w:sz w:val="20"/>
          <w:szCs w:val="20"/>
          <w:highlight w:val="none"/>
        </w:rPr>
        <w:t>注：</w:t>
      </w:r>
      <w:r>
        <w:rPr>
          <w:i/>
          <w:iCs/>
          <w:color w:val="auto"/>
          <w:kern w:val="0"/>
          <w:sz w:val="20"/>
          <w:szCs w:val="20"/>
          <w:highlight w:val="none"/>
        </w:rPr>
        <w:t>W</w:t>
      </w:r>
      <w:r>
        <w:rPr>
          <w:color w:val="auto"/>
          <w:kern w:val="0"/>
          <w:sz w:val="20"/>
          <w:szCs w:val="20"/>
          <w:highlight w:val="none"/>
          <w:vertAlign w:val="subscript"/>
        </w:rPr>
        <w:t>u</w:t>
      </w:r>
      <w:r>
        <w:rPr>
          <w:rFonts w:hint="eastAsia"/>
          <w:color w:val="auto"/>
          <w:sz w:val="20"/>
          <w:szCs w:val="20"/>
          <w:highlight w:val="none"/>
        </w:rPr>
        <w:t>按灼失量试验确定。</w:t>
      </w:r>
    </w:p>
    <w:p>
      <w:pPr>
        <w:spacing w:before="156" w:beforeLines="50" w:line="360" w:lineRule="auto"/>
        <w:ind w:firstLine="422" w:firstLineChars="200"/>
        <w:jc w:val="center"/>
        <w:rPr>
          <w:b/>
          <w:bCs/>
          <w:color w:val="auto"/>
          <w:szCs w:val="18"/>
          <w:highlight w:val="none"/>
        </w:rPr>
      </w:pPr>
      <w:r>
        <w:rPr>
          <w:b/>
          <w:bCs/>
          <w:color w:val="auto"/>
          <w:szCs w:val="18"/>
          <w:highlight w:val="none"/>
        </w:rPr>
        <w:t>表4.3.</w:t>
      </w:r>
      <w:r>
        <w:rPr>
          <w:rFonts w:hint="eastAsia"/>
          <w:b/>
          <w:bCs/>
          <w:color w:val="auto"/>
          <w:szCs w:val="18"/>
          <w:highlight w:val="none"/>
        </w:rPr>
        <w:t>9</w:t>
      </w:r>
      <w:r>
        <w:rPr>
          <w:b/>
          <w:bCs/>
          <w:color w:val="auto"/>
          <w:szCs w:val="18"/>
          <w:highlight w:val="none"/>
        </w:rPr>
        <w:t>-</w:t>
      </w:r>
      <w:r>
        <w:rPr>
          <w:rFonts w:hint="eastAsia"/>
          <w:b/>
          <w:bCs/>
          <w:color w:val="auto"/>
          <w:szCs w:val="18"/>
          <w:highlight w:val="none"/>
        </w:rPr>
        <w:t>3　淤泥、淤泥质土</w:t>
      </w:r>
      <w:r>
        <w:rPr>
          <w:b/>
          <w:bCs/>
          <w:color w:val="auto"/>
          <w:szCs w:val="18"/>
          <w:highlight w:val="none"/>
        </w:rPr>
        <w:t>按</w:t>
      </w:r>
      <w:r>
        <w:rPr>
          <w:rFonts w:hint="eastAsia"/>
          <w:b/>
          <w:bCs/>
          <w:color w:val="auto"/>
          <w:szCs w:val="18"/>
          <w:highlight w:val="none"/>
        </w:rPr>
        <w:t>塑性指数和孔隙比</w:t>
      </w:r>
      <w:r>
        <w:rPr>
          <w:b/>
          <w:bCs/>
          <w:color w:val="auto"/>
          <w:szCs w:val="18"/>
          <w:highlight w:val="none"/>
        </w:rPr>
        <w:t>分类</w:t>
      </w:r>
    </w:p>
    <w:tbl>
      <w:tblPr>
        <w:tblStyle w:val="22"/>
        <w:tblW w:w="82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59"/>
        <w:gridCol w:w="2059"/>
        <w:gridCol w:w="2059"/>
        <w:gridCol w:w="20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59" w:type="dxa"/>
            <w:vMerge w:val="restart"/>
            <w:vAlign w:val="center"/>
          </w:tcPr>
          <w:p>
            <w:pPr>
              <w:jc w:val="center"/>
              <w:rPr>
                <w:color w:val="auto"/>
                <w:sz w:val="20"/>
                <w:szCs w:val="20"/>
                <w:highlight w:val="none"/>
              </w:rPr>
            </w:pPr>
            <w:r>
              <w:rPr>
                <w:color w:val="auto"/>
                <w:sz w:val="20"/>
                <w:szCs w:val="20"/>
                <w:highlight w:val="none"/>
              </w:rPr>
              <w:t>淤泥质土</w:t>
            </w:r>
          </w:p>
        </w:tc>
        <w:tc>
          <w:tcPr>
            <w:tcW w:w="2059" w:type="dxa"/>
            <w:vAlign w:val="center"/>
          </w:tcPr>
          <w:p>
            <w:pPr>
              <w:jc w:val="center"/>
              <w:rPr>
                <w:color w:val="auto"/>
                <w:sz w:val="20"/>
                <w:szCs w:val="20"/>
                <w:highlight w:val="none"/>
              </w:rPr>
            </w:pPr>
            <w:r>
              <w:rPr>
                <w:color w:val="auto"/>
                <w:sz w:val="20"/>
                <w:szCs w:val="20"/>
                <w:highlight w:val="none"/>
              </w:rPr>
              <w:t>淤泥质粉质</w:t>
            </w:r>
            <w:r>
              <w:rPr>
                <w:rFonts w:hint="eastAsia"/>
                <w:color w:val="auto"/>
                <w:sz w:val="20"/>
                <w:szCs w:val="20"/>
                <w:highlight w:val="none"/>
              </w:rPr>
              <w:t>黏土</w:t>
            </w:r>
          </w:p>
        </w:tc>
        <w:tc>
          <w:tcPr>
            <w:tcW w:w="2059" w:type="dxa"/>
            <w:vAlign w:val="center"/>
          </w:tcPr>
          <w:p>
            <w:pPr>
              <w:jc w:val="center"/>
              <w:rPr>
                <w:i/>
                <w:iCs/>
                <w:color w:val="auto"/>
                <w:sz w:val="20"/>
                <w:szCs w:val="20"/>
                <w:highlight w:val="none"/>
              </w:rPr>
            </w:pPr>
            <w:r>
              <w:rPr>
                <w:color w:val="auto"/>
                <w:sz w:val="20"/>
                <w:szCs w:val="20"/>
                <w:highlight w:val="none"/>
              </w:rPr>
              <w:t>10＜</w:t>
            </w:r>
            <w:r>
              <w:rPr>
                <w:i/>
                <w:iCs/>
                <w:color w:val="auto"/>
                <w:sz w:val="20"/>
                <w:szCs w:val="20"/>
                <w:highlight w:val="none"/>
              </w:rPr>
              <w:t>I</w:t>
            </w:r>
            <w:r>
              <w:rPr>
                <w:color w:val="auto"/>
                <w:sz w:val="20"/>
                <w:szCs w:val="20"/>
                <w:highlight w:val="none"/>
                <w:vertAlign w:val="subscript"/>
              </w:rPr>
              <w:t>P</w:t>
            </w:r>
            <w:r>
              <w:rPr>
                <w:rFonts w:hint="eastAsia" w:ascii="宋体" w:hAnsi="宋体" w:cs="宋体"/>
                <w:color w:val="auto"/>
                <w:sz w:val="20"/>
                <w:szCs w:val="20"/>
                <w:highlight w:val="none"/>
              </w:rPr>
              <w:t>≤</w:t>
            </w:r>
            <w:r>
              <w:rPr>
                <w:color w:val="auto"/>
                <w:sz w:val="20"/>
                <w:szCs w:val="20"/>
                <w:highlight w:val="none"/>
              </w:rPr>
              <w:t>17</w:t>
            </w:r>
          </w:p>
        </w:tc>
        <w:tc>
          <w:tcPr>
            <w:tcW w:w="2062" w:type="dxa"/>
            <w:vMerge w:val="restart"/>
            <w:vAlign w:val="center"/>
          </w:tcPr>
          <w:p>
            <w:pPr>
              <w:jc w:val="center"/>
              <w:rPr>
                <w:i/>
                <w:iCs/>
                <w:color w:val="auto"/>
                <w:sz w:val="20"/>
                <w:szCs w:val="20"/>
                <w:highlight w:val="none"/>
              </w:rPr>
            </w:pPr>
            <w:r>
              <w:rPr>
                <w:color w:val="auto"/>
                <w:sz w:val="20"/>
                <w:szCs w:val="20"/>
                <w:highlight w:val="none"/>
              </w:rPr>
              <w:t>1.0</w:t>
            </w:r>
            <w:r>
              <w:rPr>
                <w:rFonts w:hint="eastAsia" w:ascii="宋体" w:hAnsi="宋体" w:cs="宋体"/>
                <w:color w:val="auto"/>
                <w:sz w:val="20"/>
                <w:szCs w:val="20"/>
                <w:highlight w:val="none"/>
              </w:rPr>
              <w:t>≤</w:t>
            </w:r>
            <w:r>
              <w:rPr>
                <w:i/>
                <w:iCs/>
                <w:color w:val="auto"/>
                <w:sz w:val="20"/>
                <w:szCs w:val="20"/>
                <w:highlight w:val="none"/>
              </w:rPr>
              <w:t>e</w:t>
            </w:r>
            <w:r>
              <w:rPr>
                <w:color w:val="auto"/>
                <w:sz w:val="20"/>
                <w:szCs w:val="20"/>
                <w:highlight w:val="non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59" w:type="dxa"/>
            <w:vMerge w:val="continue"/>
            <w:vAlign w:val="center"/>
          </w:tcPr>
          <w:p>
            <w:pPr>
              <w:jc w:val="center"/>
              <w:rPr>
                <w:color w:val="auto"/>
                <w:sz w:val="20"/>
                <w:szCs w:val="20"/>
                <w:highlight w:val="none"/>
              </w:rPr>
            </w:pPr>
          </w:p>
        </w:tc>
        <w:tc>
          <w:tcPr>
            <w:tcW w:w="2059" w:type="dxa"/>
            <w:vAlign w:val="center"/>
          </w:tcPr>
          <w:p>
            <w:pPr>
              <w:jc w:val="center"/>
              <w:rPr>
                <w:color w:val="auto"/>
                <w:sz w:val="20"/>
                <w:szCs w:val="20"/>
                <w:highlight w:val="none"/>
              </w:rPr>
            </w:pPr>
            <w:r>
              <w:rPr>
                <w:color w:val="auto"/>
                <w:sz w:val="20"/>
                <w:szCs w:val="20"/>
                <w:highlight w:val="none"/>
              </w:rPr>
              <w:t>淤泥质</w:t>
            </w:r>
            <w:r>
              <w:rPr>
                <w:rFonts w:hint="eastAsia"/>
                <w:color w:val="auto"/>
                <w:sz w:val="20"/>
                <w:szCs w:val="20"/>
                <w:highlight w:val="none"/>
              </w:rPr>
              <w:t>黏土</w:t>
            </w:r>
          </w:p>
        </w:tc>
        <w:tc>
          <w:tcPr>
            <w:tcW w:w="2059" w:type="dxa"/>
            <w:vAlign w:val="center"/>
          </w:tcPr>
          <w:p>
            <w:pPr>
              <w:jc w:val="center"/>
              <w:rPr>
                <w:i/>
                <w:iCs/>
                <w:color w:val="auto"/>
                <w:sz w:val="20"/>
                <w:szCs w:val="20"/>
                <w:highlight w:val="none"/>
              </w:rPr>
            </w:pPr>
            <w:r>
              <w:rPr>
                <w:i/>
                <w:iCs/>
                <w:color w:val="auto"/>
                <w:sz w:val="20"/>
                <w:szCs w:val="20"/>
                <w:highlight w:val="none"/>
              </w:rPr>
              <w:t>I</w:t>
            </w:r>
            <w:r>
              <w:rPr>
                <w:color w:val="auto"/>
                <w:sz w:val="20"/>
                <w:szCs w:val="20"/>
                <w:highlight w:val="none"/>
                <w:vertAlign w:val="subscript"/>
              </w:rPr>
              <w:t>P</w:t>
            </w:r>
            <w:r>
              <w:rPr>
                <w:color w:val="auto"/>
                <w:sz w:val="20"/>
                <w:szCs w:val="20"/>
                <w:highlight w:val="none"/>
              </w:rPr>
              <w:t>＞17</w:t>
            </w:r>
          </w:p>
        </w:tc>
        <w:tc>
          <w:tcPr>
            <w:tcW w:w="2062" w:type="dxa"/>
            <w:vMerge w:val="continue"/>
            <w:vAlign w:val="center"/>
          </w:tcPr>
          <w:p>
            <w:pPr>
              <w:jc w:val="center"/>
              <w:rPr>
                <w:i/>
                <w:iCs/>
                <w:color w:val="auto"/>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118" w:type="dxa"/>
            <w:gridSpan w:val="2"/>
            <w:vAlign w:val="center"/>
          </w:tcPr>
          <w:p>
            <w:pPr>
              <w:jc w:val="center"/>
              <w:rPr>
                <w:color w:val="auto"/>
                <w:sz w:val="20"/>
                <w:szCs w:val="20"/>
                <w:highlight w:val="none"/>
              </w:rPr>
            </w:pPr>
            <w:r>
              <w:rPr>
                <w:color w:val="auto"/>
                <w:sz w:val="20"/>
                <w:szCs w:val="20"/>
                <w:highlight w:val="none"/>
              </w:rPr>
              <w:t>淤泥</w:t>
            </w:r>
          </w:p>
        </w:tc>
        <w:tc>
          <w:tcPr>
            <w:tcW w:w="2059" w:type="dxa"/>
            <w:vAlign w:val="center"/>
          </w:tcPr>
          <w:p>
            <w:pPr>
              <w:jc w:val="center"/>
              <w:rPr>
                <w:i/>
                <w:iCs/>
                <w:color w:val="auto"/>
                <w:sz w:val="20"/>
                <w:szCs w:val="20"/>
                <w:highlight w:val="none"/>
              </w:rPr>
            </w:pPr>
            <w:r>
              <w:rPr>
                <w:color w:val="auto"/>
                <w:sz w:val="20"/>
                <w:szCs w:val="20"/>
                <w:highlight w:val="none"/>
              </w:rPr>
              <w:t>——</w:t>
            </w:r>
          </w:p>
        </w:tc>
        <w:tc>
          <w:tcPr>
            <w:tcW w:w="2062" w:type="dxa"/>
            <w:vAlign w:val="center"/>
          </w:tcPr>
          <w:p>
            <w:pPr>
              <w:jc w:val="center"/>
              <w:rPr>
                <w:i/>
                <w:iCs/>
                <w:color w:val="auto"/>
                <w:sz w:val="20"/>
                <w:szCs w:val="20"/>
                <w:highlight w:val="none"/>
              </w:rPr>
            </w:pPr>
            <w:r>
              <w:rPr>
                <w:i/>
                <w:iCs/>
                <w:color w:val="auto"/>
                <w:sz w:val="20"/>
                <w:szCs w:val="20"/>
                <w:highlight w:val="none"/>
              </w:rPr>
              <w:t>e</w:t>
            </w:r>
            <w:r>
              <w:rPr>
                <w:rFonts w:hint="eastAsia" w:ascii="宋体" w:hAnsi="宋体" w:cs="宋体"/>
                <w:color w:val="auto"/>
                <w:sz w:val="20"/>
                <w:szCs w:val="20"/>
                <w:highlight w:val="none"/>
              </w:rPr>
              <w:t>≥</w:t>
            </w:r>
            <w:r>
              <w:rPr>
                <w:color w:val="auto"/>
                <w:sz w:val="20"/>
                <w:szCs w:val="20"/>
                <w:highlight w:val="none"/>
              </w:rPr>
              <w:t>1.5</w:t>
            </w:r>
          </w:p>
        </w:tc>
      </w:tr>
    </w:tbl>
    <w:p>
      <w:pPr>
        <w:snapToGrid w:val="0"/>
        <w:spacing w:line="360" w:lineRule="auto"/>
        <w:ind w:left="1050" w:leftChars="200" w:hanging="630" w:hangingChars="350"/>
        <w:jc w:val="left"/>
        <w:rPr>
          <w:color w:val="auto"/>
          <w:sz w:val="18"/>
          <w:szCs w:val="18"/>
          <w:highlight w:val="none"/>
        </w:rPr>
      </w:pPr>
      <w:r>
        <w:rPr>
          <w:rFonts w:hint="eastAsia"/>
          <w:color w:val="auto"/>
          <w:sz w:val="18"/>
          <w:szCs w:val="18"/>
          <w:highlight w:val="none"/>
        </w:rPr>
        <w:t>注：</w:t>
      </w:r>
      <w:r>
        <w:rPr>
          <w:i/>
          <w:iCs/>
          <w:color w:val="auto"/>
          <w:sz w:val="20"/>
          <w:szCs w:val="20"/>
          <w:highlight w:val="none"/>
        </w:rPr>
        <w:t>e</w:t>
      </w:r>
      <w:r>
        <w:rPr>
          <w:rFonts w:hint="eastAsia" w:ascii="宋体" w:hAnsi="宋体" w:cs="宋体"/>
          <w:color w:val="auto"/>
          <w:sz w:val="20"/>
          <w:szCs w:val="20"/>
          <w:highlight w:val="none"/>
        </w:rPr>
        <w:t>≥</w:t>
      </w:r>
      <w:r>
        <w:rPr>
          <w:color w:val="auto"/>
          <w:sz w:val="20"/>
          <w:szCs w:val="20"/>
          <w:highlight w:val="none"/>
        </w:rPr>
        <w:t>2.4</w:t>
      </w:r>
      <w:r>
        <w:rPr>
          <w:rFonts w:hint="eastAsia"/>
          <w:color w:val="auto"/>
          <w:sz w:val="20"/>
          <w:szCs w:val="20"/>
          <w:highlight w:val="none"/>
        </w:rPr>
        <w:t>的淤泥又称为</w:t>
      </w:r>
      <w:r>
        <w:rPr>
          <w:color w:val="auto"/>
          <w:sz w:val="20"/>
          <w:szCs w:val="20"/>
          <w:highlight w:val="none"/>
        </w:rPr>
        <w:t>流泥</w:t>
      </w:r>
      <w:r>
        <w:rPr>
          <w:rFonts w:hint="eastAsia"/>
          <w:color w:val="auto"/>
          <w:sz w:val="20"/>
          <w:szCs w:val="20"/>
          <w:highlight w:val="none"/>
        </w:rPr>
        <w:t>。</w:t>
      </w:r>
    </w:p>
    <w:p>
      <w:pPr>
        <w:spacing w:line="360" w:lineRule="auto"/>
        <w:ind w:firstLine="432"/>
        <w:rPr>
          <w:color w:val="auto"/>
          <w:szCs w:val="21"/>
          <w:highlight w:val="none"/>
        </w:rPr>
      </w:pPr>
      <w:r>
        <w:rPr>
          <w:b/>
          <w:bCs/>
          <w:color w:val="auto"/>
          <w:szCs w:val="21"/>
          <w:highlight w:val="none"/>
        </w:rPr>
        <w:t>3</w:t>
      </w:r>
      <w:r>
        <w:rPr>
          <w:rFonts w:hint="eastAsia"/>
          <w:b/>
          <w:bCs/>
          <w:color w:val="auto"/>
          <w:szCs w:val="21"/>
          <w:highlight w:val="none"/>
        </w:rPr>
        <w:t>　</w:t>
      </w:r>
      <w:r>
        <w:rPr>
          <w:color w:val="auto"/>
          <w:szCs w:val="21"/>
          <w:highlight w:val="none"/>
        </w:rPr>
        <w:t>残积土</w:t>
      </w:r>
      <w:r>
        <w:rPr>
          <w:rFonts w:hint="eastAsia"/>
          <w:color w:val="auto"/>
          <w:szCs w:val="21"/>
          <w:highlight w:val="none"/>
        </w:rPr>
        <w:t>为岩石在</w:t>
      </w:r>
      <w:r>
        <w:rPr>
          <w:color w:val="auto"/>
          <w:szCs w:val="21"/>
          <w:highlight w:val="none"/>
        </w:rPr>
        <w:t>风化</w:t>
      </w:r>
      <w:r>
        <w:rPr>
          <w:rFonts w:hint="eastAsia"/>
          <w:color w:val="auto"/>
          <w:szCs w:val="21"/>
          <w:highlight w:val="none"/>
          <w:lang w:val="en-US" w:eastAsia="zh-CN"/>
        </w:rPr>
        <w:t>引</w:t>
      </w:r>
      <w:r>
        <w:rPr>
          <w:color w:val="auto"/>
          <w:szCs w:val="21"/>
          <w:highlight w:val="none"/>
        </w:rPr>
        <w:t>力</w:t>
      </w:r>
      <w:r>
        <w:rPr>
          <w:rFonts w:hint="eastAsia"/>
          <w:color w:val="auto"/>
          <w:szCs w:val="21"/>
          <w:highlight w:val="none"/>
        </w:rPr>
        <w:t>作用下完全风化成土状且未经搬运的土</w:t>
      </w:r>
      <w:r>
        <w:rPr>
          <w:color w:val="auto"/>
          <w:szCs w:val="21"/>
          <w:highlight w:val="none"/>
        </w:rPr>
        <w:t>。花岗岩类</w:t>
      </w:r>
      <w:r>
        <w:rPr>
          <w:rFonts w:hint="eastAsia"/>
          <w:color w:val="auto"/>
          <w:szCs w:val="21"/>
          <w:highlight w:val="none"/>
        </w:rPr>
        <w:t>残积</w:t>
      </w:r>
      <w:r>
        <w:rPr>
          <w:color w:val="auto"/>
          <w:szCs w:val="21"/>
          <w:highlight w:val="none"/>
        </w:rPr>
        <w:t>土可根据颗粒组成情况，按表</w:t>
      </w:r>
      <w:r>
        <w:rPr>
          <w:color w:val="auto"/>
          <w:szCs w:val="18"/>
          <w:highlight w:val="none"/>
        </w:rPr>
        <w:t>4.3.</w:t>
      </w:r>
      <w:r>
        <w:rPr>
          <w:rFonts w:hint="eastAsia"/>
          <w:color w:val="auto"/>
          <w:szCs w:val="18"/>
          <w:highlight w:val="none"/>
        </w:rPr>
        <w:t>9</w:t>
      </w:r>
      <w:r>
        <w:rPr>
          <w:color w:val="auto"/>
          <w:szCs w:val="18"/>
          <w:highlight w:val="none"/>
        </w:rPr>
        <w:t>-</w:t>
      </w:r>
      <w:r>
        <w:rPr>
          <w:rFonts w:hint="eastAsia"/>
          <w:color w:val="auto"/>
          <w:szCs w:val="18"/>
          <w:highlight w:val="none"/>
        </w:rPr>
        <w:t>4</w:t>
      </w:r>
      <w:r>
        <w:rPr>
          <w:color w:val="auto"/>
          <w:szCs w:val="18"/>
          <w:highlight w:val="none"/>
        </w:rPr>
        <w:t>进一步分类和定名。</w:t>
      </w:r>
    </w:p>
    <w:p>
      <w:pPr>
        <w:spacing w:line="360" w:lineRule="auto"/>
        <w:ind w:firstLine="422" w:firstLineChars="200"/>
        <w:jc w:val="center"/>
        <w:rPr>
          <w:b/>
          <w:bCs/>
          <w:color w:val="auto"/>
          <w:szCs w:val="18"/>
          <w:highlight w:val="none"/>
        </w:rPr>
      </w:pPr>
      <w:r>
        <w:rPr>
          <w:b/>
          <w:bCs/>
          <w:color w:val="auto"/>
          <w:szCs w:val="18"/>
          <w:highlight w:val="none"/>
        </w:rPr>
        <w:t>表4.3.</w:t>
      </w:r>
      <w:r>
        <w:rPr>
          <w:rFonts w:hint="eastAsia"/>
          <w:b/>
          <w:bCs/>
          <w:color w:val="auto"/>
          <w:szCs w:val="18"/>
          <w:highlight w:val="none"/>
        </w:rPr>
        <w:t>9</w:t>
      </w:r>
      <w:r>
        <w:rPr>
          <w:b/>
          <w:bCs/>
          <w:color w:val="auto"/>
          <w:szCs w:val="18"/>
          <w:highlight w:val="none"/>
        </w:rPr>
        <w:t>-</w:t>
      </w:r>
      <w:r>
        <w:rPr>
          <w:rFonts w:hint="eastAsia"/>
          <w:b/>
          <w:bCs/>
          <w:color w:val="auto"/>
          <w:szCs w:val="18"/>
          <w:highlight w:val="none"/>
        </w:rPr>
        <w:t>4　</w:t>
      </w:r>
      <w:r>
        <w:rPr>
          <w:b/>
          <w:bCs/>
          <w:color w:val="auto"/>
          <w:szCs w:val="18"/>
          <w:highlight w:val="none"/>
        </w:rPr>
        <w:t>花岗岩类</w:t>
      </w:r>
      <w:r>
        <w:rPr>
          <w:rFonts w:hint="eastAsia"/>
          <w:b/>
          <w:bCs/>
          <w:color w:val="auto"/>
          <w:szCs w:val="18"/>
          <w:highlight w:val="none"/>
        </w:rPr>
        <w:t>残积</w:t>
      </w:r>
      <w:r>
        <w:rPr>
          <w:b/>
          <w:bCs/>
          <w:color w:val="auto"/>
          <w:szCs w:val="18"/>
          <w:highlight w:val="none"/>
        </w:rPr>
        <w:t>土分类和定名</w:t>
      </w:r>
    </w:p>
    <w:tbl>
      <w:tblPr>
        <w:tblStyle w:val="22"/>
        <w:tblW w:w="831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55"/>
        <w:gridCol w:w="41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55" w:type="dxa"/>
            <w:shd w:val="clear" w:color="auto" w:fill="auto"/>
          </w:tcPr>
          <w:p>
            <w:pPr>
              <w:jc w:val="center"/>
              <w:rPr>
                <w:color w:val="auto"/>
                <w:kern w:val="0"/>
                <w:sz w:val="20"/>
                <w:szCs w:val="20"/>
                <w:highlight w:val="none"/>
              </w:rPr>
            </w:pPr>
            <w:r>
              <w:rPr>
                <w:color w:val="auto"/>
                <w:kern w:val="0"/>
                <w:sz w:val="20"/>
                <w:szCs w:val="20"/>
                <w:highlight w:val="none"/>
              </w:rPr>
              <w:t>定名</w:t>
            </w:r>
          </w:p>
        </w:tc>
        <w:tc>
          <w:tcPr>
            <w:tcW w:w="4155" w:type="dxa"/>
            <w:shd w:val="clear" w:color="auto" w:fill="auto"/>
          </w:tcPr>
          <w:p>
            <w:pPr>
              <w:jc w:val="center"/>
              <w:rPr>
                <w:color w:val="auto"/>
                <w:kern w:val="0"/>
                <w:sz w:val="20"/>
                <w:szCs w:val="20"/>
                <w:highlight w:val="none"/>
              </w:rPr>
            </w:pPr>
            <w:r>
              <w:rPr>
                <w:color w:val="auto"/>
                <w:kern w:val="0"/>
                <w:sz w:val="20"/>
                <w:szCs w:val="20"/>
                <w:highlight w:val="none"/>
              </w:rPr>
              <w:t>粒径大于2mm的颗粒含量(%)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55" w:type="dxa"/>
            <w:shd w:val="clear" w:color="auto" w:fill="auto"/>
          </w:tcPr>
          <w:p>
            <w:pPr>
              <w:jc w:val="center"/>
              <w:rPr>
                <w:color w:val="auto"/>
                <w:kern w:val="0"/>
                <w:sz w:val="20"/>
                <w:szCs w:val="20"/>
                <w:highlight w:val="none"/>
              </w:rPr>
            </w:pPr>
            <w:r>
              <w:rPr>
                <w:color w:val="auto"/>
                <w:kern w:val="0"/>
                <w:sz w:val="20"/>
                <w:szCs w:val="20"/>
                <w:highlight w:val="none"/>
              </w:rPr>
              <w:t>砾质黏性土</w:t>
            </w:r>
          </w:p>
        </w:tc>
        <w:tc>
          <w:tcPr>
            <w:tcW w:w="4155" w:type="dxa"/>
            <w:shd w:val="clear" w:color="auto" w:fill="auto"/>
          </w:tcPr>
          <w:p>
            <w:pPr>
              <w:jc w:val="center"/>
              <w:rPr>
                <w:color w:val="auto"/>
                <w:kern w:val="0"/>
                <w:sz w:val="20"/>
                <w:szCs w:val="20"/>
                <w:highlight w:val="none"/>
              </w:rPr>
            </w:pPr>
            <w:r>
              <w:rPr>
                <w:color w:val="auto"/>
                <w:kern w:val="0"/>
                <w:sz w:val="20"/>
                <w:szCs w:val="20"/>
                <w:highlight w:val="none"/>
              </w:rPr>
              <w:t>&gt;20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55" w:type="dxa"/>
            <w:shd w:val="clear" w:color="auto" w:fill="auto"/>
          </w:tcPr>
          <w:p>
            <w:pPr>
              <w:jc w:val="center"/>
              <w:rPr>
                <w:color w:val="auto"/>
                <w:kern w:val="0"/>
                <w:sz w:val="20"/>
                <w:szCs w:val="20"/>
                <w:highlight w:val="none"/>
              </w:rPr>
            </w:pPr>
            <w:r>
              <w:rPr>
                <w:color w:val="auto"/>
                <w:kern w:val="0"/>
                <w:sz w:val="20"/>
                <w:szCs w:val="20"/>
                <w:highlight w:val="none"/>
              </w:rPr>
              <w:t>砂质黏性土</w:t>
            </w:r>
          </w:p>
        </w:tc>
        <w:tc>
          <w:tcPr>
            <w:tcW w:w="4155" w:type="dxa"/>
            <w:shd w:val="clear" w:color="auto" w:fill="auto"/>
          </w:tcPr>
          <w:p>
            <w:pPr>
              <w:jc w:val="center"/>
              <w:rPr>
                <w:color w:val="auto"/>
                <w:kern w:val="0"/>
                <w:sz w:val="20"/>
                <w:szCs w:val="20"/>
                <w:highlight w:val="none"/>
              </w:rPr>
            </w:pPr>
            <w:r>
              <w:rPr>
                <w:color w:val="auto"/>
                <w:kern w:val="0"/>
                <w:sz w:val="20"/>
                <w:szCs w:val="20"/>
                <w:highlight w:val="none"/>
              </w:rPr>
              <w:t>&gt;</w:t>
            </w:r>
            <w:r>
              <w:rPr>
                <w:rFonts w:hint="eastAsia"/>
                <w:color w:val="auto"/>
                <w:kern w:val="0"/>
                <w:sz w:val="20"/>
                <w:szCs w:val="20"/>
                <w:highlight w:val="none"/>
              </w:rPr>
              <w:t>0且</w:t>
            </w:r>
            <w:r>
              <w:rPr>
                <w:rFonts w:hint="eastAsia" w:ascii="宋体" w:hAnsi="宋体" w:cs="宋体"/>
                <w:color w:val="auto"/>
                <w:kern w:val="0"/>
                <w:sz w:val="20"/>
                <w:szCs w:val="20"/>
                <w:highlight w:val="none"/>
              </w:rPr>
              <w:t>≤</w:t>
            </w:r>
            <w:r>
              <w:rPr>
                <w:color w:val="auto"/>
                <w:kern w:val="0"/>
                <w:sz w:val="20"/>
                <w:szCs w:val="20"/>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55" w:type="dxa"/>
            <w:shd w:val="clear" w:color="auto" w:fill="auto"/>
          </w:tcPr>
          <w:p>
            <w:pPr>
              <w:jc w:val="center"/>
              <w:rPr>
                <w:color w:val="auto"/>
                <w:kern w:val="0"/>
                <w:sz w:val="20"/>
                <w:szCs w:val="20"/>
                <w:highlight w:val="none"/>
              </w:rPr>
            </w:pPr>
            <w:r>
              <w:rPr>
                <w:color w:val="auto"/>
                <w:kern w:val="0"/>
                <w:sz w:val="20"/>
                <w:szCs w:val="20"/>
                <w:highlight w:val="none"/>
              </w:rPr>
              <w:t>黏性土</w:t>
            </w:r>
          </w:p>
        </w:tc>
        <w:tc>
          <w:tcPr>
            <w:tcW w:w="4155" w:type="dxa"/>
            <w:shd w:val="clear" w:color="auto" w:fill="auto"/>
          </w:tcPr>
          <w:p>
            <w:pPr>
              <w:jc w:val="center"/>
              <w:rPr>
                <w:color w:val="auto"/>
                <w:kern w:val="0"/>
                <w:sz w:val="20"/>
                <w:szCs w:val="20"/>
                <w:highlight w:val="none"/>
              </w:rPr>
            </w:pPr>
            <w:r>
              <w:rPr>
                <w:rFonts w:hint="eastAsia"/>
                <w:color w:val="auto"/>
                <w:kern w:val="0"/>
                <w:sz w:val="20"/>
                <w:szCs w:val="20"/>
                <w:highlight w:val="none"/>
              </w:rPr>
              <w:t>无</w:t>
            </w:r>
          </w:p>
        </w:tc>
      </w:tr>
    </w:tbl>
    <w:p>
      <w:pPr>
        <w:rPr>
          <w:vanish/>
          <w:color w:val="auto"/>
          <w:highlight w:val="none"/>
        </w:rPr>
      </w:pPr>
    </w:p>
    <w:p>
      <w:pPr>
        <w:spacing w:line="360" w:lineRule="auto"/>
        <w:ind w:firstLine="432"/>
        <w:rPr>
          <w:color w:val="auto"/>
          <w:szCs w:val="21"/>
          <w:highlight w:val="none"/>
        </w:rPr>
      </w:pPr>
      <w:r>
        <w:rPr>
          <w:rFonts w:hint="eastAsia"/>
          <w:b/>
          <w:bCs/>
          <w:color w:val="auto"/>
          <w:szCs w:val="21"/>
          <w:highlight w:val="none"/>
        </w:rPr>
        <w:t>4　</w:t>
      </w:r>
      <w:r>
        <w:rPr>
          <w:rFonts w:hint="eastAsia"/>
          <w:color w:val="auto"/>
          <w:szCs w:val="21"/>
          <w:highlight w:val="none"/>
        </w:rPr>
        <w:t>红黏土可分为原生红黏土和次生红黏土。颜色为棕红或褐黄，覆盖于碳酸盐岩系之上，其液限大于或等于</w:t>
      </w:r>
      <w:r>
        <w:rPr>
          <w:color w:val="auto"/>
          <w:szCs w:val="21"/>
          <w:highlight w:val="none"/>
        </w:rPr>
        <w:t>50%</w:t>
      </w:r>
      <w:r>
        <w:rPr>
          <w:rFonts w:hint="eastAsia"/>
          <w:color w:val="auto"/>
          <w:szCs w:val="21"/>
          <w:highlight w:val="none"/>
        </w:rPr>
        <w:t>的高塑性黏土，应判定为原生红黏土。原生红黏土经搬运、沉积后仍保留其基本特征，且其液限大于</w:t>
      </w:r>
      <w:r>
        <w:rPr>
          <w:color w:val="auto"/>
          <w:szCs w:val="21"/>
          <w:highlight w:val="none"/>
        </w:rPr>
        <w:t>45%</w:t>
      </w:r>
      <w:r>
        <w:rPr>
          <w:rFonts w:hint="eastAsia"/>
          <w:color w:val="auto"/>
          <w:szCs w:val="21"/>
          <w:highlight w:val="none"/>
        </w:rPr>
        <w:t>的黏土，可判定为次生红黏土。</w:t>
      </w:r>
    </w:p>
    <w:p>
      <w:pPr>
        <w:spacing w:line="360" w:lineRule="auto"/>
        <w:ind w:firstLine="432"/>
        <w:rPr>
          <w:color w:val="auto"/>
          <w:szCs w:val="21"/>
          <w:highlight w:val="none"/>
        </w:rPr>
      </w:pPr>
      <w:r>
        <w:rPr>
          <w:rFonts w:hint="eastAsia"/>
          <w:b/>
          <w:bCs/>
          <w:color w:val="auto"/>
          <w:szCs w:val="21"/>
          <w:highlight w:val="none"/>
        </w:rPr>
        <w:t>5</w:t>
      </w:r>
      <w:r>
        <w:rPr>
          <w:rFonts w:hint="eastAsia"/>
          <w:color w:val="auto"/>
          <w:szCs w:val="21"/>
          <w:highlight w:val="none"/>
        </w:rPr>
        <w:t>　</w:t>
      </w:r>
      <w:r>
        <w:rPr>
          <w:color w:val="auto"/>
          <w:szCs w:val="21"/>
          <w:highlight w:val="none"/>
        </w:rPr>
        <w:t>混合</w:t>
      </w:r>
      <w:r>
        <w:rPr>
          <w:rFonts w:hint="eastAsia"/>
          <w:color w:val="auto"/>
          <w:szCs w:val="21"/>
          <w:highlight w:val="none"/>
        </w:rPr>
        <w:t>类</w:t>
      </w:r>
      <w:r>
        <w:rPr>
          <w:color w:val="auto"/>
          <w:szCs w:val="21"/>
          <w:highlight w:val="none"/>
        </w:rPr>
        <w:t>土</w:t>
      </w:r>
      <w:r>
        <w:rPr>
          <w:rFonts w:hint="eastAsia"/>
          <w:color w:val="auto"/>
          <w:szCs w:val="21"/>
          <w:highlight w:val="none"/>
          <w:lang w:val="en-US" w:eastAsia="zh-CN"/>
        </w:rPr>
        <w:t>为</w:t>
      </w:r>
      <w:r>
        <w:rPr>
          <w:color w:val="auto"/>
          <w:szCs w:val="21"/>
          <w:highlight w:val="none"/>
        </w:rPr>
        <w:t>细粒</w:t>
      </w:r>
      <w:r>
        <w:rPr>
          <w:rFonts w:hint="eastAsia"/>
          <w:color w:val="auto"/>
          <w:szCs w:val="21"/>
          <w:highlight w:val="none"/>
        </w:rPr>
        <w:t>土</w:t>
      </w:r>
      <w:r>
        <w:rPr>
          <w:color w:val="auto"/>
          <w:szCs w:val="21"/>
          <w:highlight w:val="none"/>
        </w:rPr>
        <w:t>和粗粒</w:t>
      </w:r>
      <w:r>
        <w:rPr>
          <w:rFonts w:hint="eastAsia"/>
          <w:color w:val="auto"/>
          <w:szCs w:val="21"/>
          <w:highlight w:val="none"/>
        </w:rPr>
        <w:t>土</w:t>
      </w:r>
      <w:r>
        <w:rPr>
          <w:color w:val="auto"/>
          <w:szCs w:val="21"/>
          <w:highlight w:val="none"/>
        </w:rPr>
        <w:t>混杂而成的土</w:t>
      </w:r>
      <w:r>
        <w:rPr>
          <w:rFonts w:hint="eastAsia"/>
          <w:color w:val="auto"/>
          <w:szCs w:val="21"/>
          <w:highlight w:val="none"/>
        </w:rPr>
        <w:t>，可分为混合土和类混合土</w:t>
      </w:r>
      <w:r>
        <w:rPr>
          <w:color w:val="auto"/>
          <w:szCs w:val="21"/>
          <w:highlight w:val="none"/>
        </w:rPr>
        <w:t>。</w:t>
      </w:r>
      <w:r>
        <w:rPr>
          <w:rFonts w:hint="eastAsia"/>
          <w:color w:val="auto"/>
          <w:szCs w:val="21"/>
          <w:highlight w:val="none"/>
        </w:rPr>
        <w:t>其中，混合土为</w:t>
      </w:r>
      <w:r>
        <w:rPr>
          <w:color w:val="auto"/>
          <w:szCs w:val="21"/>
          <w:highlight w:val="none"/>
        </w:rPr>
        <w:t>由细粒土和</w:t>
      </w:r>
      <w:r>
        <w:rPr>
          <w:rFonts w:hint="eastAsia"/>
          <w:color w:val="auto"/>
          <w:szCs w:val="21"/>
          <w:highlight w:val="none"/>
        </w:rPr>
        <w:t>粗粒土</w:t>
      </w:r>
      <w:r>
        <w:rPr>
          <w:color w:val="auto"/>
          <w:szCs w:val="21"/>
          <w:highlight w:val="none"/>
        </w:rPr>
        <w:t>混杂</w:t>
      </w:r>
      <w:r>
        <w:rPr>
          <w:rFonts w:hint="eastAsia"/>
          <w:color w:val="auto"/>
          <w:szCs w:val="21"/>
          <w:highlight w:val="none"/>
        </w:rPr>
        <w:t>而成</w:t>
      </w:r>
      <w:r>
        <w:rPr>
          <w:color w:val="auto"/>
          <w:szCs w:val="21"/>
          <w:highlight w:val="none"/>
        </w:rPr>
        <w:t>且缺乏中间粒径的土</w:t>
      </w:r>
      <w:r>
        <w:rPr>
          <w:rFonts w:hint="eastAsia"/>
          <w:color w:val="auto"/>
          <w:szCs w:val="21"/>
          <w:highlight w:val="none"/>
        </w:rPr>
        <w:t>；类混合土为</w:t>
      </w:r>
      <w:r>
        <w:rPr>
          <w:color w:val="auto"/>
          <w:szCs w:val="21"/>
          <w:highlight w:val="none"/>
        </w:rPr>
        <w:t>细粒土和</w:t>
      </w:r>
      <w:r>
        <w:rPr>
          <w:rFonts w:hint="eastAsia"/>
          <w:color w:val="auto"/>
          <w:szCs w:val="21"/>
          <w:highlight w:val="none"/>
        </w:rPr>
        <w:t>粗粒土</w:t>
      </w:r>
      <w:r>
        <w:rPr>
          <w:color w:val="auto"/>
          <w:szCs w:val="21"/>
          <w:highlight w:val="none"/>
        </w:rPr>
        <w:t>混杂</w:t>
      </w:r>
      <w:r>
        <w:rPr>
          <w:rFonts w:hint="eastAsia"/>
          <w:color w:val="auto"/>
          <w:szCs w:val="21"/>
          <w:highlight w:val="none"/>
        </w:rPr>
        <w:t>而成</w:t>
      </w:r>
      <w:r>
        <w:rPr>
          <w:color w:val="auto"/>
          <w:szCs w:val="21"/>
          <w:highlight w:val="none"/>
        </w:rPr>
        <w:t>且中间粒径</w:t>
      </w:r>
      <w:r>
        <w:rPr>
          <w:rFonts w:hint="eastAsia"/>
          <w:color w:val="auto"/>
          <w:szCs w:val="21"/>
          <w:highlight w:val="none"/>
        </w:rPr>
        <w:t>连续</w:t>
      </w:r>
      <w:r>
        <w:rPr>
          <w:color w:val="auto"/>
          <w:szCs w:val="21"/>
          <w:highlight w:val="none"/>
        </w:rPr>
        <w:t>的土</w:t>
      </w:r>
      <w:r>
        <w:rPr>
          <w:rFonts w:hint="eastAsia"/>
          <w:color w:val="auto"/>
          <w:szCs w:val="21"/>
          <w:highlight w:val="none"/>
        </w:rPr>
        <w:t>。</w:t>
      </w:r>
      <w:r>
        <w:rPr>
          <w:rFonts w:hint="eastAsia"/>
          <w:color w:val="auto"/>
          <w:szCs w:val="21"/>
          <w:highlight w:val="none"/>
          <w:lang w:val="en-US" w:eastAsia="zh-CN"/>
        </w:rPr>
        <w:t>混合</w:t>
      </w:r>
      <w:r>
        <w:rPr>
          <w:color w:val="auto"/>
          <w:szCs w:val="21"/>
          <w:highlight w:val="none"/>
        </w:rPr>
        <w:t>类土应同时进行颗粒分析试验和细粒土的液塑限试验，按表</w:t>
      </w:r>
      <w:r>
        <w:rPr>
          <w:color w:val="auto"/>
          <w:szCs w:val="18"/>
          <w:highlight w:val="none"/>
        </w:rPr>
        <w:t>4.3.</w:t>
      </w:r>
      <w:r>
        <w:rPr>
          <w:rFonts w:hint="eastAsia"/>
          <w:color w:val="auto"/>
          <w:szCs w:val="18"/>
          <w:highlight w:val="none"/>
        </w:rPr>
        <w:t>9</w:t>
      </w:r>
      <w:r>
        <w:rPr>
          <w:color w:val="auto"/>
          <w:szCs w:val="18"/>
          <w:highlight w:val="none"/>
        </w:rPr>
        <w:t>-</w:t>
      </w:r>
      <w:r>
        <w:rPr>
          <w:rFonts w:hint="eastAsia"/>
          <w:color w:val="auto"/>
          <w:szCs w:val="18"/>
          <w:highlight w:val="none"/>
        </w:rPr>
        <w:t>5</w:t>
      </w:r>
      <w:r>
        <w:rPr>
          <w:color w:val="auto"/>
          <w:szCs w:val="18"/>
          <w:highlight w:val="none"/>
        </w:rPr>
        <w:t>进行分类和定名。</w:t>
      </w:r>
    </w:p>
    <w:p>
      <w:pPr>
        <w:spacing w:line="360" w:lineRule="auto"/>
        <w:ind w:firstLine="422" w:firstLineChars="200"/>
        <w:jc w:val="center"/>
        <w:rPr>
          <w:b/>
          <w:bCs/>
          <w:color w:val="auto"/>
          <w:szCs w:val="18"/>
          <w:highlight w:val="none"/>
        </w:rPr>
      </w:pPr>
      <w:r>
        <w:rPr>
          <w:b/>
          <w:bCs/>
          <w:color w:val="auto"/>
          <w:szCs w:val="18"/>
          <w:highlight w:val="none"/>
        </w:rPr>
        <w:t>表4.3.</w:t>
      </w:r>
      <w:r>
        <w:rPr>
          <w:rFonts w:hint="eastAsia"/>
          <w:b/>
          <w:bCs/>
          <w:color w:val="auto"/>
          <w:szCs w:val="18"/>
          <w:highlight w:val="none"/>
        </w:rPr>
        <w:t>9</w:t>
      </w:r>
      <w:r>
        <w:rPr>
          <w:b/>
          <w:bCs/>
          <w:color w:val="auto"/>
          <w:szCs w:val="18"/>
          <w:highlight w:val="none"/>
        </w:rPr>
        <w:t>-</w:t>
      </w:r>
      <w:r>
        <w:rPr>
          <w:rFonts w:hint="eastAsia"/>
          <w:b/>
          <w:bCs/>
          <w:color w:val="auto"/>
          <w:szCs w:val="18"/>
          <w:highlight w:val="none"/>
        </w:rPr>
        <w:t>5　</w:t>
      </w:r>
      <w:r>
        <w:rPr>
          <w:b/>
          <w:bCs/>
          <w:color w:val="auto"/>
          <w:szCs w:val="18"/>
          <w:highlight w:val="none"/>
        </w:rPr>
        <w:t>混合</w:t>
      </w:r>
      <w:r>
        <w:rPr>
          <w:rFonts w:hint="eastAsia"/>
          <w:b/>
          <w:bCs/>
          <w:color w:val="auto"/>
          <w:szCs w:val="18"/>
          <w:highlight w:val="none"/>
        </w:rPr>
        <w:t>类</w:t>
      </w:r>
      <w:r>
        <w:rPr>
          <w:b/>
          <w:bCs/>
          <w:color w:val="auto"/>
          <w:szCs w:val="18"/>
          <w:highlight w:val="none"/>
        </w:rPr>
        <w:t>土分类和定名</w:t>
      </w:r>
    </w:p>
    <w:tbl>
      <w:tblPr>
        <w:tblStyle w:val="22"/>
        <w:tblW w:w="833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230"/>
        <w:gridCol w:w="4400"/>
        <w:gridCol w:w="16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026" w:type="dxa"/>
            <w:shd w:val="clear" w:color="auto" w:fill="auto"/>
            <w:vAlign w:val="center"/>
          </w:tcPr>
          <w:p>
            <w:pPr>
              <w:jc w:val="center"/>
              <w:rPr>
                <w:color w:val="auto"/>
                <w:kern w:val="0"/>
                <w:sz w:val="20"/>
                <w:szCs w:val="20"/>
                <w:highlight w:val="none"/>
              </w:rPr>
            </w:pPr>
            <w:r>
              <w:rPr>
                <w:color w:val="auto"/>
                <w:kern w:val="0"/>
                <w:sz w:val="20"/>
                <w:szCs w:val="20"/>
                <w:highlight w:val="none"/>
              </w:rPr>
              <w:t>大类</w:t>
            </w:r>
          </w:p>
        </w:tc>
        <w:tc>
          <w:tcPr>
            <w:tcW w:w="1230" w:type="dxa"/>
            <w:shd w:val="clear" w:color="auto" w:fill="auto"/>
            <w:vAlign w:val="center"/>
          </w:tcPr>
          <w:p>
            <w:pPr>
              <w:jc w:val="center"/>
              <w:rPr>
                <w:color w:val="auto"/>
                <w:kern w:val="0"/>
                <w:sz w:val="20"/>
                <w:szCs w:val="20"/>
                <w:highlight w:val="none"/>
              </w:rPr>
            </w:pPr>
            <w:r>
              <w:rPr>
                <w:color w:val="auto"/>
                <w:kern w:val="0"/>
                <w:sz w:val="20"/>
                <w:szCs w:val="20"/>
                <w:highlight w:val="none"/>
              </w:rPr>
              <w:t>小类</w:t>
            </w:r>
          </w:p>
        </w:tc>
        <w:tc>
          <w:tcPr>
            <w:tcW w:w="4400" w:type="dxa"/>
            <w:shd w:val="clear" w:color="auto" w:fill="auto"/>
            <w:vAlign w:val="center"/>
          </w:tcPr>
          <w:p>
            <w:pPr>
              <w:jc w:val="center"/>
              <w:rPr>
                <w:color w:val="auto"/>
                <w:kern w:val="0"/>
                <w:sz w:val="20"/>
                <w:szCs w:val="20"/>
                <w:highlight w:val="none"/>
              </w:rPr>
            </w:pPr>
            <w:r>
              <w:rPr>
                <w:color w:val="auto"/>
                <w:kern w:val="0"/>
                <w:sz w:val="20"/>
                <w:szCs w:val="20"/>
                <w:highlight w:val="none"/>
              </w:rPr>
              <w:t>特点</w:t>
            </w:r>
          </w:p>
        </w:tc>
        <w:tc>
          <w:tcPr>
            <w:tcW w:w="1676" w:type="dxa"/>
            <w:shd w:val="clear" w:color="auto" w:fill="auto"/>
            <w:vAlign w:val="center"/>
          </w:tcPr>
          <w:p>
            <w:pPr>
              <w:jc w:val="center"/>
              <w:rPr>
                <w:color w:val="auto"/>
                <w:kern w:val="0"/>
                <w:sz w:val="20"/>
                <w:szCs w:val="20"/>
                <w:highlight w:val="none"/>
              </w:rPr>
            </w:pPr>
            <w:r>
              <w:rPr>
                <w:color w:val="auto"/>
                <w:kern w:val="0"/>
                <w:sz w:val="20"/>
                <w:szCs w:val="20"/>
                <w:highlight w:val="none"/>
              </w:rPr>
              <w:t>定名示例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6" w:type="dxa"/>
            <w:vMerge w:val="restart"/>
            <w:shd w:val="clear" w:color="auto" w:fill="auto"/>
            <w:vAlign w:val="center"/>
          </w:tcPr>
          <w:p>
            <w:pPr>
              <w:jc w:val="center"/>
              <w:rPr>
                <w:color w:val="auto"/>
                <w:kern w:val="0"/>
                <w:sz w:val="20"/>
                <w:szCs w:val="20"/>
                <w:highlight w:val="none"/>
              </w:rPr>
            </w:pPr>
            <w:r>
              <w:rPr>
                <w:rFonts w:hint="eastAsia"/>
                <w:color w:val="auto"/>
                <w:kern w:val="0"/>
                <w:sz w:val="20"/>
                <w:szCs w:val="20"/>
                <w:highlight w:val="none"/>
              </w:rPr>
              <w:t>混合土</w:t>
            </w:r>
          </w:p>
        </w:tc>
        <w:tc>
          <w:tcPr>
            <w:tcW w:w="1230" w:type="dxa"/>
            <w:shd w:val="clear" w:color="auto" w:fill="auto"/>
            <w:vAlign w:val="center"/>
          </w:tcPr>
          <w:p>
            <w:pPr>
              <w:jc w:val="left"/>
              <w:rPr>
                <w:color w:val="auto"/>
                <w:kern w:val="0"/>
                <w:sz w:val="20"/>
                <w:szCs w:val="20"/>
                <w:highlight w:val="none"/>
              </w:rPr>
            </w:pPr>
            <w:r>
              <w:rPr>
                <w:color w:val="auto"/>
                <w:kern w:val="0"/>
                <w:sz w:val="20"/>
                <w:szCs w:val="20"/>
                <w:highlight w:val="none"/>
              </w:rPr>
              <w:t>细粒混合土</w:t>
            </w:r>
          </w:p>
        </w:tc>
        <w:tc>
          <w:tcPr>
            <w:tcW w:w="4400" w:type="dxa"/>
            <w:shd w:val="clear" w:color="auto" w:fill="auto"/>
            <w:vAlign w:val="center"/>
          </w:tcPr>
          <w:p>
            <w:pPr>
              <w:jc w:val="left"/>
              <w:rPr>
                <w:color w:val="auto"/>
                <w:kern w:val="0"/>
                <w:sz w:val="20"/>
                <w:szCs w:val="20"/>
                <w:highlight w:val="none"/>
              </w:rPr>
            </w:pPr>
            <w:r>
              <w:rPr>
                <w:color w:val="auto"/>
                <w:kern w:val="0"/>
                <w:sz w:val="20"/>
                <w:szCs w:val="20"/>
                <w:highlight w:val="none"/>
              </w:rPr>
              <w:t>细粒土中</w:t>
            </w:r>
            <w:r>
              <w:rPr>
                <w:i/>
                <w:iCs/>
                <w:color w:val="auto"/>
                <w:kern w:val="0"/>
                <w:sz w:val="20"/>
                <w:szCs w:val="20"/>
                <w:highlight w:val="none"/>
              </w:rPr>
              <w:t xml:space="preserve">d </w:t>
            </w:r>
            <w:r>
              <w:rPr>
                <w:color w:val="auto"/>
                <w:kern w:val="0"/>
                <w:sz w:val="20"/>
                <w:szCs w:val="20"/>
                <w:highlight w:val="none"/>
              </w:rPr>
              <w:t>&gt;2mm的颗粒质量超过总质量的25%</w:t>
            </w:r>
          </w:p>
        </w:tc>
        <w:tc>
          <w:tcPr>
            <w:tcW w:w="1676" w:type="dxa"/>
            <w:shd w:val="clear" w:color="auto" w:fill="auto"/>
            <w:vAlign w:val="center"/>
          </w:tcPr>
          <w:p>
            <w:pPr>
              <w:jc w:val="left"/>
              <w:rPr>
                <w:color w:val="auto"/>
                <w:kern w:val="0"/>
                <w:sz w:val="20"/>
                <w:szCs w:val="20"/>
                <w:highlight w:val="none"/>
              </w:rPr>
            </w:pPr>
            <w:r>
              <w:rPr>
                <w:rFonts w:hint="eastAsia"/>
                <w:color w:val="auto"/>
                <w:kern w:val="0"/>
                <w:sz w:val="20"/>
                <w:szCs w:val="20"/>
                <w:highlight w:val="none"/>
              </w:rPr>
              <w:t>粉土混卵石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continue"/>
            <w:shd w:val="clear" w:color="auto" w:fill="auto"/>
            <w:vAlign w:val="center"/>
          </w:tcPr>
          <w:p>
            <w:pPr>
              <w:jc w:val="center"/>
              <w:rPr>
                <w:color w:val="auto"/>
                <w:kern w:val="0"/>
                <w:sz w:val="20"/>
                <w:szCs w:val="20"/>
                <w:highlight w:val="none"/>
              </w:rPr>
            </w:pPr>
          </w:p>
        </w:tc>
        <w:tc>
          <w:tcPr>
            <w:tcW w:w="1230" w:type="dxa"/>
            <w:shd w:val="clear" w:color="auto" w:fill="auto"/>
            <w:vAlign w:val="center"/>
          </w:tcPr>
          <w:p>
            <w:pPr>
              <w:jc w:val="left"/>
              <w:rPr>
                <w:color w:val="auto"/>
                <w:kern w:val="0"/>
                <w:sz w:val="20"/>
                <w:szCs w:val="20"/>
                <w:highlight w:val="none"/>
              </w:rPr>
            </w:pPr>
            <w:r>
              <w:rPr>
                <w:color w:val="auto"/>
                <w:kern w:val="0"/>
                <w:sz w:val="20"/>
                <w:szCs w:val="20"/>
                <w:highlight w:val="none"/>
              </w:rPr>
              <w:t>粗粒混合土</w:t>
            </w:r>
          </w:p>
        </w:tc>
        <w:tc>
          <w:tcPr>
            <w:tcW w:w="4400" w:type="dxa"/>
            <w:shd w:val="clear" w:color="auto" w:fill="auto"/>
            <w:vAlign w:val="center"/>
          </w:tcPr>
          <w:p>
            <w:pPr>
              <w:jc w:val="left"/>
              <w:rPr>
                <w:color w:val="auto"/>
                <w:kern w:val="0"/>
                <w:sz w:val="20"/>
                <w:szCs w:val="20"/>
                <w:highlight w:val="none"/>
              </w:rPr>
            </w:pPr>
            <w:r>
              <w:rPr>
                <w:rFonts w:hint="eastAsia"/>
                <w:color w:val="auto"/>
                <w:kern w:val="0"/>
                <w:sz w:val="20"/>
                <w:szCs w:val="20"/>
                <w:highlight w:val="none"/>
              </w:rPr>
              <w:t>碎石土</w:t>
            </w:r>
            <w:r>
              <w:rPr>
                <w:color w:val="auto"/>
                <w:kern w:val="0"/>
                <w:sz w:val="20"/>
                <w:szCs w:val="20"/>
                <w:highlight w:val="none"/>
              </w:rPr>
              <w:t>中</w:t>
            </w:r>
            <w:r>
              <w:rPr>
                <w:i/>
                <w:iCs/>
                <w:color w:val="auto"/>
                <w:kern w:val="0"/>
                <w:sz w:val="20"/>
                <w:szCs w:val="20"/>
                <w:highlight w:val="none"/>
              </w:rPr>
              <w:t xml:space="preserve">d </w:t>
            </w:r>
            <w:r>
              <w:rPr>
                <w:color w:val="auto"/>
                <w:kern w:val="0"/>
                <w:sz w:val="20"/>
                <w:szCs w:val="20"/>
                <w:highlight w:val="none"/>
              </w:rPr>
              <w:t>&lt;0.075mm的细粒土质量超过总质量的25%</w:t>
            </w:r>
          </w:p>
        </w:tc>
        <w:tc>
          <w:tcPr>
            <w:tcW w:w="1676" w:type="dxa"/>
            <w:shd w:val="clear" w:color="auto" w:fill="auto"/>
            <w:vAlign w:val="center"/>
          </w:tcPr>
          <w:p>
            <w:pPr>
              <w:jc w:val="left"/>
              <w:rPr>
                <w:color w:val="auto"/>
                <w:kern w:val="0"/>
                <w:sz w:val="20"/>
                <w:szCs w:val="20"/>
                <w:highlight w:val="none"/>
              </w:rPr>
            </w:pPr>
            <w:r>
              <w:rPr>
                <w:rFonts w:hint="eastAsia"/>
                <w:color w:val="auto"/>
                <w:kern w:val="0"/>
                <w:sz w:val="20"/>
                <w:szCs w:val="20"/>
                <w:highlight w:val="none"/>
              </w:rPr>
              <w:t>卵石混粉质黏土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restart"/>
            <w:shd w:val="clear" w:color="auto" w:fill="auto"/>
            <w:vAlign w:val="center"/>
          </w:tcPr>
          <w:p>
            <w:pPr>
              <w:jc w:val="center"/>
              <w:rPr>
                <w:color w:val="auto"/>
                <w:kern w:val="0"/>
                <w:sz w:val="20"/>
                <w:szCs w:val="20"/>
                <w:highlight w:val="none"/>
              </w:rPr>
            </w:pPr>
            <w:r>
              <w:rPr>
                <w:rFonts w:hint="eastAsia"/>
                <w:color w:val="auto"/>
                <w:kern w:val="0"/>
                <w:sz w:val="20"/>
                <w:szCs w:val="20"/>
                <w:highlight w:val="none"/>
              </w:rPr>
              <w:t>类混合土</w:t>
            </w:r>
          </w:p>
        </w:tc>
        <w:tc>
          <w:tcPr>
            <w:tcW w:w="1230" w:type="dxa"/>
            <w:shd w:val="clear" w:color="auto" w:fill="auto"/>
            <w:vAlign w:val="center"/>
          </w:tcPr>
          <w:p>
            <w:pPr>
              <w:jc w:val="left"/>
              <w:rPr>
                <w:color w:val="auto"/>
                <w:kern w:val="0"/>
                <w:sz w:val="20"/>
                <w:szCs w:val="20"/>
                <w:highlight w:val="none"/>
              </w:rPr>
            </w:pPr>
            <w:r>
              <w:rPr>
                <w:color w:val="auto"/>
                <w:kern w:val="0"/>
                <w:sz w:val="20"/>
                <w:szCs w:val="20"/>
                <w:highlight w:val="none"/>
              </w:rPr>
              <w:t>细粒土质砂</w:t>
            </w:r>
            <w:r>
              <w:rPr>
                <w:rFonts w:hint="eastAsia"/>
                <w:color w:val="auto"/>
                <w:kern w:val="0"/>
                <w:sz w:val="20"/>
                <w:szCs w:val="20"/>
                <w:highlight w:val="none"/>
              </w:rPr>
              <w:t>（砾）</w:t>
            </w:r>
          </w:p>
        </w:tc>
        <w:tc>
          <w:tcPr>
            <w:tcW w:w="4400" w:type="dxa"/>
            <w:shd w:val="clear" w:color="auto" w:fill="auto"/>
            <w:vAlign w:val="center"/>
          </w:tcPr>
          <w:p>
            <w:pPr>
              <w:jc w:val="left"/>
              <w:rPr>
                <w:color w:val="auto"/>
                <w:kern w:val="0"/>
                <w:sz w:val="20"/>
                <w:szCs w:val="20"/>
                <w:highlight w:val="none"/>
              </w:rPr>
            </w:pPr>
            <w:r>
              <w:rPr>
                <w:color w:val="auto"/>
                <w:kern w:val="0"/>
                <w:sz w:val="20"/>
                <w:szCs w:val="20"/>
                <w:highlight w:val="none"/>
              </w:rPr>
              <w:t>砂土中</w:t>
            </w:r>
            <w:r>
              <w:rPr>
                <w:i/>
                <w:iCs/>
                <w:color w:val="auto"/>
                <w:kern w:val="0"/>
                <w:sz w:val="20"/>
                <w:szCs w:val="20"/>
                <w:highlight w:val="none"/>
              </w:rPr>
              <w:t xml:space="preserve">d </w:t>
            </w:r>
            <w:r>
              <w:rPr>
                <w:color w:val="auto"/>
                <w:kern w:val="0"/>
                <w:sz w:val="20"/>
                <w:szCs w:val="20"/>
                <w:highlight w:val="none"/>
              </w:rPr>
              <w:t>&lt;0.075mm的细粒质量</w:t>
            </w:r>
            <w:r>
              <w:rPr>
                <w:rFonts w:hint="eastAsia"/>
                <w:color w:val="auto"/>
                <w:kern w:val="0"/>
                <w:sz w:val="20"/>
                <w:szCs w:val="20"/>
                <w:highlight w:val="none"/>
              </w:rPr>
              <w:t>占</w:t>
            </w:r>
            <w:r>
              <w:rPr>
                <w:color w:val="auto"/>
                <w:kern w:val="0"/>
                <w:sz w:val="20"/>
                <w:szCs w:val="20"/>
                <w:highlight w:val="none"/>
              </w:rPr>
              <w:t>总质量的15%</w:t>
            </w:r>
            <w:r>
              <w:rPr>
                <w:rFonts w:hint="eastAsia"/>
                <w:color w:val="auto"/>
                <w:kern w:val="0"/>
                <w:sz w:val="20"/>
                <w:szCs w:val="20"/>
                <w:highlight w:val="none"/>
              </w:rPr>
              <w:t>~50%，或圆砾（角砾）</w:t>
            </w:r>
            <w:r>
              <w:rPr>
                <w:color w:val="auto"/>
                <w:kern w:val="0"/>
                <w:sz w:val="20"/>
                <w:szCs w:val="20"/>
                <w:highlight w:val="none"/>
              </w:rPr>
              <w:t>中</w:t>
            </w:r>
            <w:r>
              <w:rPr>
                <w:i/>
                <w:iCs/>
                <w:color w:val="auto"/>
                <w:kern w:val="0"/>
                <w:sz w:val="20"/>
                <w:szCs w:val="20"/>
                <w:highlight w:val="none"/>
              </w:rPr>
              <w:t xml:space="preserve">d </w:t>
            </w:r>
            <w:r>
              <w:rPr>
                <w:color w:val="auto"/>
                <w:kern w:val="0"/>
                <w:sz w:val="20"/>
                <w:szCs w:val="20"/>
                <w:highlight w:val="none"/>
              </w:rPr>
              <w:t>&lt;0.075mm的细粒质量</w:t>
            </w:r>
            <w:r>
              <w:rPr>
                <w:rFonts w:hint="eastAsia"/>
                <w:color w:val="auto"/>
                <w:kern w:val="0"/>
                <w:sz w:val="20"/>
                <w:szCs w:val="20"/>
                <w:highlight w:val="none"/>
              </w:rPr>
              <w:t>占</w:t>
            </w:r>
            <w:r>
              <w:rPr>
                <w:color w:val="auto"/>
                <w:kern w:val="0"/>
                <w:sz w:val="20"/>
                <w:szCs w:val="20"/>
                <w:highlight w:val="none"/>
              </w:rPr>
              <w:t>总质量的15%</w:t>
            </w:r>
            <w:r>
              <w:rPr>
                <w:rFonts w:hint="eastAsia"/>
                <w:color w:val="auto"/>
                <w:kern w:val="0"/>
                <w:sz w:val="20"/>
                <w:szCs w:val="20"/>
                <w:highlight w:val="none"/>
              </w:rPr>
              <w:t>~25%</w:t>
            </w:r>
            <w:r>
              <w:rPr>
                <w:color w:val="auto"/>
                <w:kern w:val="0"/>
                <w:sz w:val="20"/>
                <w:szCs w:val="20"/>
                <w:highlight w:val="none"/>
              </w:rPr>
              <w:t>。当其中的细粒土为淤泥或淤泥质土时，称为淤泥质砂</w:t>
            </w:r>
            <w:r>
              <w:rPr>
                <w:rFonts w:hint="eastAsia"/>
                <w:color w:val="auto"/>
                <w:kern w:val="0"/>
                <w:sz w:val="20"/>
                <w:szCs w:val="20"/>
                <w:highlight w:val="none"/>
              </w:rPr>
              <w:t>（砾）</w:t>
            </w:r>
          </w:p>
        </w:tc>
        <w:tc>
          <w:tcPr>
            <w:tcW w:w="1676" w:type="dxa"/>
            <w:shd w:val="clear" w:color="auto" w:fill="auto"/>
            <w:vAlign w:val="center"/>
          </w:tcPr>
          <w:p>
            <w:pPr>
              <w:jc w:val="left"/>
              <w:rPr>
                <w:color w:val="auto"/>
                <w:kern w:val="0"/>
                <w:sz w:val="20"/>
                <w:szCs w:val="20"/>
                <w:highlight w:val="none"/>
              </w:rPr>
            </w:pPr>
            <w:r>
              <w:rPr>
                <w:color w:val="auto"/>
                <w:kern w:val="0"/>
                <w:sz w:val="20"/>
                <w:szCs w:val="20"/>
                <w:highlight w:val="none"/>
              </w:rPr>
              <w:t>细粒土质粗砂</w:t>
            </w:r>
          </w:p>
          <w:p>
            <w:pPr>
              <w:jc w:val="left"/>
              <w:rPr>
                <w:color w:val="auto"/>
                <w:kern w:val="0"/>
                <w:sz w:val="20"/>
                <w:szCs w:val="20"/>
                <w:highlight w:val="none"/>
              </w:rPr>
            </w:pPr>
            <w:r>
              <w:rPr>
                <w:color w:val="auto"/>
                <w:kern w:val="0"/>
                <w:sz w:val="20"/>
                <w:szCs w:val="20"/>
                <w:highlight w:val="none"/>
              </w:rPr>
              <w:t>淤泥质粉砂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continue"/>
            <w:shd w:val="clear" w:color="auto" w:fill="auto"/>
            <w:vAlign w:val="center"/>
          </w:tcPr>
          <w:p>
            <w:pPr>
              <w:jc w:val="left"/>
              <w:rPr>
                <w:color w:val="auto"/>
                <w:kern w:val="0"/>
                <w:sz w:val="20"/>
                <w:szCs w:val="20"/>
                <w:highlight w:val="none"/>
              </w:rPr>
            </w:pPr>
          </w:p>
        </w:tc>
        <w:tc>
          <w:tcPr>
            <w:tcW w:w="1230" w:type="dxa"/>
            <w:shd w:val="clear" w:color="auto" w:fill="auto"/>
            <w:vAlign w:val="center"/>
          </w:tcPr>
          <w:p>
            <w:pPr>
              <w:jc w:val="left"/>
              <w:rPr>
                <w:color w:val="auto"/>
                <w:kern w:val="0"/>
                <w:sz w:val="20"/>
                <w:szCs w:val="20"/>
                <w:highlight w:val="none"/>
              </w:rPr>
            </w:pPr>
            <w:r>
              <w:rPr>
                <w:color w:val="auto"/>
                <w:kern w:val="0"/>
                <w:sz w:val="20"/>
                <w:szCs w:val="20"/>
                <w:highlight w:val="none"/>
              </w:rPr>
              <w:t>含砂</w:t>
            </w:r>
            <w:r>
              <w:rPr>
                <w:rFonts w:hint="eastAsia"/>
                <w:color w:val="auto"/>
                <w:kern w:val="0"/>
                <w:sz w:val="20"/>
                <w:szCs w:val="20"/>
                <w:highlight w:val="none"/>
              </w:rPr>
              <w:t>（含砾）</w:t>
            </w:r>
            <w:r>
              <w:rPr>
                <w:color w:val="auto"/>
                <w:kern w:val="0"/>
                <w:sz w:val="20"/>
                <w:szCs w:val="20"/>
                <w:highlight w:val="none"/>
              </w:rPr>
              <w:t>细粒土</w:t>
            </w:r>
          </w:p>
        </w:tc>
        <w:tc>
          <w:tcPr>
            <w:tcW w:w="4400" w:type="dxa"/>
            <w:shd w:val="clear" w:color="auto" w:fill="auto"/>
            <w:vAlign w:val="center"/>
          </w:tcPr>
          <w:p>
            <w:pPr>
              <w:jc w:val="left"/>
              <w:rPr>
                <w:color w:val="auto"/>
                <w:kern w:val="0"/>
                <w:sz w:val="20"/>
                <w:szCs w:val="20"/>
                <w:highlight w:val="none"/>
              </w:rPr>
            </w:pPr>
            <w:r>
              <w:rPr>
                <w:color w:val="auto"/>
                <w:kern w:val="0"/>
                <w:sz w:val="20"/>
                <w:szCs w:val="20"/>
                <w:highlight w:val="none"/>
              </w:rPr>
              <w:t>细粒土中</w:t>
            </w:r>
            <w:r>
              <w:rPr>
                <w:rFonts w:hint="eastAsia"/>
                <w:color w:val="auto"/>
                <w:kern w:val="0"/>
                <w:sz w:val="20"/>
                <w:szCs w:val="20"/>
                <w:highlight w:val="none"/>
              </w:rPr>
              <w:t>粒径</w:t>
            </w:r>
            <w:r>
              <w:rPr>
                <w:i/>
                <w:iCs/>
                <w:color w:val="auto"/>
                <w:kern w:val="0"/>
                <w:sz w:val="20"/>
                <w:szCs w:val="20"/>
                <w:highlight w:val="none"/>
              </w:rPr>
              <w:t>d</w:t>
            </w:r>
            <w:r>
              <w:rPr>
                <w:rFonts w:hint="eastAsia" w:ascii="宋体" w:hAnsi="宋体" w:cs="宋体"/>
                <w:color w:val="auto"/>
                <w:kern w:val="0"/>
                <w:sz w:val="20"/>
                <w:szCs w:val="20"/>
                <w:highlight w:val="none"/>
              </w:rPr>
              <w:t>≥</w:t>
            </w:r>
            <w:r>
              <w:rPr>
                <w:color w:val="auto"/>
                <w:kern w:val="0"/>
                <w:sz w:val="20"/>
                <w:szCs w:val="20"/>
                <w:highlight w:val="none"/>
              </w:rPr>
              <w:t>0.075mm的砂</w:t>
            </w:r>
            <w:r>
              <w:rPr>
                <w:rFonts w:hint="eastAsia"/>
                <w:color w:val="auto"/>
                <w:kern w:val="0"/>
                <w:sz w:val="20"/>
                <w:szCs w:val="20"/>
                <w:highlight w:val="none"/>
              </w:rPr>
              <w:t>粒、砾</w:t>
            </w:r>
            <w:r>
              <w:rPr>
                <w:color w:val="auto"/>
                <w:kern w:val="0"/>
                <w:sz w:val="20"/>
                <w:szCs w:val="20"/>
                <w:highlight w:val="none"/>
              </w:rPr>
              <w:t>粒质量</w:t>
            </w:r>
            <w:r>
              <w:rPr>
                <w:rFonts w:hint="eastAsia"/>
                <w:color w:val="auto"/>
                <w:kern w:val="0"/>
                <w:sz w:val="20"/>
                <w:szCs w:val="20"/>
                <w:highlight w:val="none"/>
              </w:rPr>
              <w:t>占</w:t>
            </w:r>
            <w:r>
              <w:rPr>
                <w:color w:val="auto"/>
                <w:kern w:val="0"/>
                <w:sz w:val="20"/>
                <w:szCs w:val="20"/>
                <w:highlight w:val="none"/>
              </w:rPr>
              <w:t>总质量的25%</w:t>
            </w:r>
            <w:r>
              <w:rPr>
                <w:rFonts w:hint="eastAsia"/>
                <w:color w:val="auto"/>
                <w:kern w:val="0"/>
                <w:sz w:val="20"/>
                <w:szCs w:val="20"/>
                <w:highlight w:val="none"/>
              </w:rPr>
              <w:t>~50%，且砾粒质量不超过总质量的25%</w:t>
            </w:r>
            <w:r>
              <w:rPr>
                <w:color w:val="auto"/>
                <w:kern w:val="0"/>
                <w:sz w:val="20"/>
                <w:szCs w:val="20"/>
                <w:highlight w:val="none"/>
              </w:rPr>
              <w:t>。当其中细粒土为淤泥或淤泥质土时，称为含砂</w:t>
            </w:r>
            <w:r>
              <w:rPr>
                <w:rFonts w:hint="eastAsia"/>
                <w:color w:val="auto"/>
                <w:kern w:val="0"/>
                <w:sz w:val="20"/>
                <w:szCs w:val="20"/>
                <w:highlight w:val="none"/>
              </w:rPr>
              <w:t>（砾）</w:t>
            </w:r>
            <w:r>
              <w:rPr>
                <w:color w:val="auto"/>
                <w:kern w:val="0"/>
                <w:sz w:val="20"/>
                <w:szCs w:val="20"/>
                <w:highlight w:val="none"/>
              </w:rPr>
              <w:t>淤泥</w:t>
            </w:r>
            <w:r>
              <w:rPr>
                <w:rFonts w:hint="eastAsia"/>
                <w:color w:val="auto"/>
                <w:kern w:val="0"/>
                <w:sz w:val="20"/>
                <w:szCs w:val="20"/>
                <w:highlight w:val="none"/>
              </w:rPr>
              <w:t>或</w:t>
            </w:r>
            <w:r>
              <w:rPr>
                <w:color w:val="auto"/>
                <w:kern w:val="0"/>
                <w:sz w:val="20"/>
                <w:szCs w:val="20"/>
                <w:highlight w:val="none"/>
              </w:rPr>
              <w:t>含砂</w:t>
            </w:r>
            <w:r>
              <w:rPr>
                <w:rFonts w:hint="eastAsia"/>
                <w:color w:val="auto"/>
                <w:kern w:val="0"/>
                <w:sz w:val="20"/>
                <w:szCs w:val="20"/>
                <w:highlight w:val="none"/>
              </w:rPr>
              <w:t>（砾）</w:t>
            </w:r>
            <w:r>
              <w:rPr>
                <w:color w:val="auto"/>
                <w:kern w:val="0"/>
                <w:sz w:val="20"/>
                <w:szCs w:val="20"/>
                <w:highlight w:val="none"/>
              </w:rPr>
              <w:t>淤泥质土</w:t>
            </w:r>
          </w:p>
        </w:tc>
        <w:tc>
          <w:tcPr>
            <w:tcW w:w="1676" w:type="dxa"/>
            <w:shd w:val="clear" w:color="auto" w:fill="auto"/>
            <w:vAlign w:val="center"/>
          </w:tcPr>
          <w:p>
            <w:pPr>
              <w:jc w:val="left"/>
              <w:rPr>
                <w:color w:val="auto"/>
                <w:kern w:val="0"/>
                <w:sz w:val="20"/>
                <w:szCs w:val="20"/>
                <w:highlight w:val="none"/>
              </w:rPr>
            </w:pPr>
            <w:r>
              <w:rPr>
                <w:color w:val="auto"/>
                <w:kern w:val="0"/>
                <w:sz w:val="20"/>
                <w:szCs w:val="20"/>
                <w:highlight w:val="none"/>
              </w:rPr>
              <w:t>含砂粉质黏土</w:t>
            </w:r>
          </w:p>
          <w:p>
            <w:pPr>
              <w:jc w:val="left"/>
              <w:rPr>
                <w:color w:val="auto"/>
                <w:kern w:val="0"/>
                <w:sz w:val="20"/>
                <w:szCs w:val="20"/>
                <w:highlight w:val="none"/>
              </w:rPr>
            </w:pPr>
            <w:r>
              <w:rPr>
                <w:color w:val="auto"/>
                <w:kern w:val="0"/>
                <w:sz w:val="20"/>
                <w:szCs w:val="20"/>
                <w:highlight w:val="none"/>
              </w:rPr>
              <w:t>含砂淤泥</w:t>
            </w:r>
          </w:p>
        </w:tc>
      </w:tr>
    </w:tbl>
    <w:p>
      <w:pPr>
        <w:snapToGrid w:val="0"/>
        <w:spacing w:line="360" w:lineRule="auto"/>
        <w:ind w:left="1120" w:leftChars="200" w:hanging="700" w:hangingChars="350"/>
        <w:jc w:val="left"/>
        <w:rPr>
          <w:color w:val="auto"/>
          <w:sz w:val="20"/>
          <w:szCs w:val="16"/>
          <w:highlight w:val="none"/>
        </w:rPr>
      </w:pPr>
      <w:r>
        <w:rPr>
          <w:rFonts w:hint="eastAsia"/>
          <w:color w:val="auto"/>
          <w:sz w:val="20"/>
          <w:szCs w:val="16"/>
          <w:highlight w:val="none"/>
        </w:rPr>
        <w:t>注：1　细粒</w:t>
      </w:r>
      <w:r>
        <w:rPr>
          <w:rFonts w:hint="eastAsia"/>
          <w:color w:val="auto"/>
          <w:sz w:val="18"/>
          <w:szCs w:val="18"/>
          <w:highlight w:val="none"/>
        </w:rPr>
        <w:t>混合</w:t>
      </w:r>
      <w:r>
        <w:rPr>
          <w:rFonts w:hint="eastAsia"/>
          <w:color w:val="auto"/>
          <w:sz w:val="20"/>
          <w:szCs w:val="16"/>
          <w:highlight w:val="none"/>
        </w:rPr>
        <w:t>土中，卵粒组含量大于砾粒组含量称之为“混卵石”或“混碎石”，反之称之为“混圆砾”或“混角砾”；</w:t>
      </w:r>
    </w:p>
    <w:p>
      <w:pPr>
        <w:snapToGrid w:val="0"/>
        <w:spacing w:line="360" w:lineRule="auto"/>
        <w:ind w:left="1058" w:leftChars="375" w:hanging="270" w:hangingChars="150"/>
        <w:rPr>
          <w:color w:val="auto"/>
          <w:sz w:val="18"/>
          <w:szCs w:val="18"/>
          <w:highlight w:val="none"/>
        </w:rPr>
      </w:pPr>
      <w:r>
        <w:rPr>
          <w:rFonts w:hint="eastAsia"/>
          <w:color w:val="auto"/>
          <w:kern w:val="0"/>
          <w:sz w:val="18"/>
          <w:szCs w:val="18"/>
          <w:highlight w:val="none"/>
        </w:rPr>
        <w:t>2　类混合土</w:t>
      </w:r>
      <w:r>
        <w:rPr>
          <w:rFonts w:hint="eastAsia"/>
          <w:color w:val="auto"/>
          <w:sz w:val="18"/>
          <w:szCs w:val="18"/>
          <w:highlight w:val="none"/>
        </w:rPr>
        <w:t>定名</w:t>
      </w:r>
      <w:r>
        <w:rPr>
          <w:rFonts w:hint="eastAsia"/>
          <w:color w:val="auto"/>
          <w:kern w:val="0"/>
          <w:sz w:val="18"/>
          <w:szCs w:val="18"/>
          <w:highlight w:val="none"/>
        </w:rPr>
        <w:t>中，砾粒组含量大于砂粒组含量称之为“含砾”，反之称之为“含砂”。</w:t>
      </w:r>
    </w:p>
    <w:p>
      <w:pPr>
        <w:spacing w:line="360" w:lineRule="auto"/>
        <w:ind w:firstLine="432"/>
        <w:rPr>
          <w:color w:val="auto"/>
          <w:highlight w:val="none"/>
        </w:rPr>
      </w:pPr>
      <w:r>
        <w:rPr>
          <w:rFonts w:hint="eastAsia"/>
          <w:b/>
          <w:bCs/>
          <w:color w:val="auto"/>
          <w:szCs w:val="21"/>
          <w:highlight w:val="none"/>
        </w:rPr>
        <w:t>6　</w:t>
      </w:r>
      <w:r>
        <w:rPr>
          <w:color w:val="auto"/>
          <w:szCs w:val="21"/>
          <w:highlight w:val="none"/>
        </w:rPr>
        <w:t>膨胀土</w:t>
      </w:r>
      <w:r>
        <w:rPr>
          <w:rFonts w:hint="eastAsia"/>
          <w:color w:val="auto"/>
          <w:szCs w:val="21"/>
          <w:highlight w:val="none"/>
        </w:rPr>
        <w:t>为</w:t>
      </w:r>
      <w:r>
        <w:rPr>
          <w:color w:val="auto"/>
          <w:szCs w:val="21"/>
          <w:highlight w:val="none"/>
        </w:rPr>
        <w:t>含有大量的亲水黏土矿物成分，在湿度变化过程中会产生较大胀缩变形，变形受约束时产生较大应力</w:t>
      </w:r>
      <w:r>
        <w:rPr>
          <w:rFonts w:hint="eastAsia"/>
          <w:color w:val="auto"/>
          <w:szCs w:val="21"/>
          <w:highlight w:val="none"/>
          <w:lang w:eastAsia="zh-CN"/>
        </w:rPr>
        <w:t>，</w:t>
      </w:r>
      <w:r>
        <w:rPr>
          <w:rFonts w:hint="eastAsia"/>
          <w:color w:val="auto"/>
          <w:szCs w:val="21"/>
          <w:highlight w:val="none"/>
          <w:lang w:val="en-US" w:eastAsia="zh-CN"/>
        </w:rPr>
        <w:t>且</w:t>
      </w:r>
      <w:r>
        <w:rPr>
          <w:color w:val="auto"/>
          <w:szCs w:val="21"/>
          <w:highlight w:val="none"/>
        </w:rPr>
        <w:t>自由膨胀率</w:t>
      </w:r>
      <w:r>
        <w:rPr>
          <w:rFonts w:hint="eastAsia"/>
          <w:i w:val="0"/>
          <w:iCs/>
          <w:color w:val="auto"/>
          <w:highlight w:val="none"/>
          <w:lang w:val="en-US" w:eastAsia="zh-CN"/>
        </w:rPr>
        <w:t>和</w:t>
      </w:r>
      <w:r>
        <w:rPr>
          <w:color w:val="auto"/>
          <w:szCs w:val="21"/>
          <w:highlight w:val="none"/>
        </w:rPr>
        <w:t>液限</w:t>
      </w:r>
      <w:r>
        <w:rPr>
          <w:rFonts w:hint="eastAsia"/>
          <w:color w:val="auto"/>
          <w:szCs w:val="21"/>
          <w:highlight w:val="none"/>
          <w:lang w:val="en-US" w:eastAsia="zh-CN"/>
        </w:rPr>
        <w:t>均</w:t>
      </w:r>
      <w:r>
        <w:rPr>
          <w:rFonts w:hint="eastAsia"/>
          <w:color w:val="auto"/>
          <w:highlight w:val="none"/>
          <w:lang w:val="en-US" w:eastAsia="zh-CN"/>
        </w:rPr>
        <w:t>大于</w:t>
      </w:r>
      <w:r>
        <w:rPr>
          <w:color w:val="auto"/>
          <w:highlight w:val="none"/>
        </w:rPr>
        <w:t>40%</w:t>
      </w:r>
      <w:r>
        <w:rPr>
          <w:color w:val="auto"/>
          <w:szCs w:val="21"/>
          <w:highlight w:val="none"/>
        </w:rPr>
        <w:t>的土</w:t>
      </w:r>
      <w:r>
        <w:rPr>
          <w:color w:val="auto"/>
          <w:highlight w:val="none"/>
        </w:rPr>
        <w:t>。</w:t>
      </w:r>
      <w:r>
        <w:rPr>
          <w:color w:val="auto"/>
          <w:szCs w:val="21"/>
          <w:highlight w:val="none"/>
        </w:rPr>
        <w:t>膨胀土的膨胀潜势可根据自由膨胀率，按表</w:t>
      </w:r>
      <w:r>
        <w:rPr>
          <w:color w:val="auto"/>
          <w:highlight w:val="none"/>
        </w:rPr>
        <w:t>4.3.</w:t>
      </w:r>
      <w:r>
        <w:rPr>
          <w:rFonts w:hint="eastAsia"/>
          <w:color w:val="auto"/>
          <w:highlight w:val="none"/>
        </w:rPr>
        <w:t>9</w:t>
      </w:r>
      <w:r>
        <w:rPr>
          <w:color w:val="auto"/>
          <w:highlight w:val="none"/>
        </w:rPr>
        <w:t>-</w:t>
      </w:r>
      <w:r>
        <w:rPr>
          <w:rFonts w:hint="eastAsia"/>
          <w:color w:val="auto"/>
          <w:highlight w:val="none"/>
        </w:rPr>
        <w:t>6</w:t>
      </w:r>
      <w:r>
        <w:rPr>
          <w:color w:val="auto"/>
          <w:szCs w:val="21"/>
          <w:highlight w:val="none"/>
        </w:rPr>
        <w:t>分类。</w:t>
      </w:r>
    </w:p>
    <w:p>
      <w:pPr>
        <w:spacing w:line="360" w:lineRule="auto"/>
        <w:ind w:firstLine="422" w:firstLineChars="200"/>
        <w:jc w:val="center"/>
        <w:rPr>
          <w:color w:val="auto"/>
          <w:highlight w:val="none"/>
        </w:rPr>
      </w:pPr>
      <w:r>
        <w:rPr>
          <w:b/>
          <w:bCs/>
          <w:color w:val="auto"/>
          <w:szCs w:val="18"/>
          <w:highlight w:val="none"/>
        </w:rPr>
        <w:t>表4.3.</w:t>
      </w:r>
      <w:r>
        <w:rPr>
          <w:rFonts w:hint="eastAsia"/>
          <w:b/>
          <w:bCs/>
          <w:color w:val="auto"/>
          <w:szCs w:val="18"/>
          <w:highlight w:val="none"/>
        </w:rPr>
        <w:t>9</w:t>
      </w:r>
      <w:r>
        <w:rPr>
          <w:b/>
          <w:bCs/>
          <w:color w:val="auto"/>
          <w:szCs w:val="18"/>
          <w:highlight w:val="none"/>
        </w:rPr>
        <w:t>-</w:t>
      </w:r>
      <w:r>
        <w:rPr>
          <w:rFonts w:hint="eastAsia"/>
          <w:b/>
          <w:bCs/>
          <w:color w:val="auto"/>
          <w:szCs w:val="18"/>
          <w:highlight w:val="none"/>
        </w:rPr>
        <w:t>6</w:t>
      </w:r>
      <w:r>
        <w:rPr>
          <w:b/>
          <w:bCs/>
          <w:color w:val="auto"/>
          <w:szCs w:val="18"/>
          <w:highlight w:val="none"/>
        </w:rPr>
        <w:t xml:space="preserve"> 膨胀土的膨胀潜势分类</w:t>
      </w:r>
    </w:p>
    <w:tbl>
      <w:tblPr>
        <w:tblStyle w:val="22"/>
        <w:tblW w:w="82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24"/>
        <w:gridCol w:w="1904"/>
        <w:gridCol w:w="1904"/>
        <w:gridCol w:w="19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524" w:type="dxa"/>
            <w:vAlign w:val="center"/>
          </w:tcPr>
          <w:p>
            <w:pPr>
              <w:jc w:val="center"/>
              <w:rPr>
                <w:color w:val="auto"/>
                <w:sz w:val="20"/>
                <w:szCs w:val="20"/>
                <w:highlight w:val="none"/>
              </w:rPr>
            </w:pPr>
            <w:r>
              <w:rPr>
                <w:color w:val="auto"/>
                <w:sz w:val="20"/>
                <w:szCs w:val="20"/>
                <w:highlight w:val="none"/>
              </w:rPr>
              <w:t>膨胀潜势</w:t>
            </w:r>
          </w:p>
        </w:tc>
        <w:tc>
          <w:tcPr>
            <w:tcW w:w="1904" w:type="dxa"/>
            <w:vAlign w:val="center"/>
          </w:tcPr>
          <w:p>
            <w:pPr>
              <w:jc w:val="center"/>
              <w:rPr>
                <w:color w:val="auto"/>
                <w:sz w:val="20"/>
                <w:szCs w:val="20"/>
                <w:highlight w:val="none"/>
              </w:rPr>
            </w:pPr>
            <w:r>
              <w:rPr>
                <w:color w:val="auto"/>
                <w:sz w:val="20"/>
                <w:szCs w:val="20"/>
                <w:highlight w:val="none"/>
              </w:rPr>
              <w:t>弱</w:t>
            </w:r>
          </w:p>
        </w:tc>
        <w:tc>
          <w:tcPr>
            <w:tcW w:w="1904" w:type="dxa"/>
            <w:vAlign w:val="center"/>
          </w:tcPr>
          <w:p>
            <w:pPr>
              <w:jc w:val="center"/>
              <w:rPr>
                <w:color w:val="auto"/>
                <w:sz w:val="20"/>
                <w:szCs w:val="20"/>
                <w:highlight w:val="none"/>
              </w:rPr>
            </w:pPr>
            <w:r>
              <w:rPr>
                <w:color w:val="auto"/>
                <w:sz w:val="20"/>
                <w:szCs w:val="20"/>
                <w:highlight w:val="none"/>
              </w:rPr>
              <w:t>中</w:t>
            </w:r>
          </w:p>
        </w:tc>
        <w:tc>
          <w:tcPr>
            <w:tcW w:w="1906" w:type="dxa"/>
            <w:vAlign w:val="center"/>
          </w:tcPr>
          <w:p>
            <w:pPr>
              <w:jc w:val="center"/>
              <w:rPr>
                <w:color w:val="auto"/>
                <w:sz w:val="20"/>
                <w:szCs w:val="20"/>
                <w:highlight w:val="none"/>
              </w:rPr>
            </w:pPr>
            <w:r>
              <w:rPr>
                <w:color w:val="auto"/>
                <w:sz w:val="20"/>
                <w:szCs w:val="20"/>
                <w:highlight w:val="none"/>
              </w:rPr>
              <w:t>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524" w:type="dxa"/>
            <w:vAlign w:val="center"/>
          </w:tcPr>
          <w:p>
            <w:pPr>
              <w:jc w:val="center"/>
              <w:rPr>
                <w:color w:val="auto"/>
                <w:sz w:val="20"/>
                <w:szCs w:val="20"/>
                <w:highlight w:val="none"/>
              </w:rPr>
            </w:pPr>
            <w:r>
              <w:rPr>
                <w:color w:val="auto"/>
                <w:sz w:val="20"/>
                <w:szCs w:val="20"/>
                <w:highlight w:val="none"/>
              </w:rPr>
              <w:t>自由膨胀率</w:t>
            </w:r>
            <w:r>
              <w:rPr>
                <w:i/>
                <w:color w:val="auto"/>
                <w:sz w:val="20"/>
                <w:szCs w:val="20"/>
                <w:highlight w:val="none"/>
              </w:rPr>
              <w:t>δ</w:t>
            </w:r>
            <w:r>
              <w:rPr>
                <w:iCs/>
                <w:color w:val="auto"/>
                <w:sz w:val="20"/>
                <w:szCs w:val="20"/>
                <w:highlight w:val="none"/>
                <w:vertAlign w:val="subscript"/>
              </w:rPr>
              <w:t>ef</w:t>
            </w:r>
            <w:r>
              <w:rPr>
                <w:color w:val="auto"/>
                <w:sz w:val="20"/>
                <w:szCs w:val="20"/>
                <w:highlight w:val="none"/>
              </w:rPr>
              <w:t>（%）</w:t>
            </w:r>
          </w:p>
        </w:tc>
        <w:tc>
          <w:tcPr>
            <w:tcW w:w="1904" w:type="dxa"/>
            <w:vAlign w:val="center"/>
          </w:tcPr>
          <w:p>
            <w:pPr>
              <w:jc w:val="center"/>
              <w:rPr>
                <w:color w:val="auto"/>
                <w:sz w:val="20"/>
                <w:szCs w:val="20"/>
                <w:highlight w:val="none"/>
              </w:rPr>
            </w:pPr>
            <w:r>
              <w:rPr>
                <w:color w:val="auto"/>
                <w:sz w:val="20"/>
                <w:szCs w:val="20"/>
                <w:highlight w:val="none"/>
              </w:rPr>
              <w:t>40</w:t>
            </w:r>
            <w:r>
              <w:rPr>
                <w:rFonts w:hint="eastAsia" w:ascii="宋体" w:hAnsi="宋体" w:cs="宋体"/>
                <w:color w:val="auto"/>
                <w:kern w:val="0"/>
                <w:sz w:val="20"/>
                <w:szCs w:val="20"/>
                <w:highlight w:val="none"/>
              </w:rPr>
              <w:t>≤</w:t>
            </w:r>
            <w:r>
              <w:rPr>
                <w:i/>
                <w:color w:val="auto"/>
                <w:sz w:val="20"/>
                <w:szCs w:val="20"/>
                <w:highlight w:val="none"/>
              </w:rPr>
              <w:t>δ</w:t>
            </w:r>
            <w:r>
              <w:rPr>
                <w:iCs/>
                <w:color w:val="auto"/>
                <w:sz w:val="20"/>
                <w:szCs w:val="20"/>
                <w:highlight w:val="none"/>
                <w:vertAlign w:val="subscript"/>
              </w:rPr>
              <w:t>ef</w:t>
            </w:r>
            <w:r>
              <w:rPr>
                <w:color w:val="auto"/>
                <w:sz w:val="20"/>
                <w:szCs w:val="20"/>
                <w:highlight w:val="none"/>
              </w:rPr>
              <w:t>＜65</w:t>
            </w:r>
          </w:p>
        </w:tc>
        <w:tc>
          <w:tcPr>
            <w:tcW w:w="1904" w:type="dxa"/>
            <w:vAlign w:val="center"/>
          </w:tcPr>
          <w:p>
            <w:pPr>
              <w:jc w:val="center"/>
              <w:rPr>
                <w:color w:val="auto"/>
                <w:sz w:val="20"/>
                <w:szCs w:val="20"/>
                <w:highlight w:val="none"/>
              </w:rPr>
            </w:pPr>
            <w:r>
              <w:rPr>
                <w:color w:val="auto"/>
                <w:sz w:val="20"/>
                <w:szCs w:val="20"/>
                <w:highlight w:val="none"/>
              </w:rPr>
              <w:t>65</w:t>
            </w:r>
            <w:r>
              <w:rPr>
                <w:rFonts w:hint="eastAsia" w:ascii="宋体" w:hAnsi="宋体" w:cs="宋体"/>
                <w:color w:val="auto"/>
                <w:kern w:val="0"/>
                <w:sz w:val="20"/>
                <w:szCs w:val="20"/>
                <w:highlight w:val="none"/>
              </w:rPr>
              <w:t>≤</w:t>
            </w:r>
            <w:r>
              <w:rPr>
                <w:i/>
                <w:color w:val="auto"/>
                <w:sz w:val="20"/>
                <w:szCs w:val="20"/>
                <w:highlight w:val="none"/>
              </w:rPr>
              <w:t>δ</w:t>
            </w:r>
            <w:r>
              <w:rPr>
                <w:iCs/>
                <w:color w:val="auto"/>
                <w:sz w:val="20"/>
                <w:szCs w:val="20"/>
                <w:highlight w:val="none"/>
                <w:vertAlign w:val="subscript"/>
              </w:rPr>
              <w:t>ef</w:t>
            </w:r>
            <w:r>
              <w:rPr>
                <w:color w:val="auto"/>
                <w:sz w:val="20"/>
                <w:szCs w:val="20"/>
                <w:highlight w:val="none"/>
              </w:rPr>
              <w:t>＜90</w:t>
            </w:r>
          </w:p>
        </w:tc>
        <w:tc>
          <w:tcPr>
            <w:tcW w:w="1906" w:type="dxa"/>
            <w:vAlign w:val="center"/>
          </w:tcPr>
          <w:p>
            <w:pPr>
              <w:jc w:val="center"/>
              <w:rPr>
                <w:color w:val="auto"/>
                <w:sz w:val="20"/>
                <w:szCs w:val="20"/>
                <w:highlight w:val="none"/>
              </w:rPr>
            </w:pPr>
            <w:r>
              <w:rPr>
                <w:i/>
                <w:color w:val="auto"/>
                <w:sz w:val="20"/>
                <w:szCs w:val="20"/>
                <w:highlight w:val="none"/>
              </w:rPr>
              <w:t>δ</w:t>
            </w:r>
            <w:r>
              <w:rPr>
                <w:iCs/>
                <w:color w:val="auto"/>
                <w:sz w:val="20"/>
                <w:szCs w:val="20"/>
                <w:highlight w:val="none"/>
                <w:vertAlign w:val="subscript"/>
              </w:rPr>
              <w:t>ef</w:t>
            </w:r>
            <w:r>
              <w:rPr>
                <w:rFonts w:hint="eastAsia" w:ascii="宋体" w:hAnsi="宋体" w:cs="宋体"/>
                <w:color w:val="auto"/>
                <w:sz w:val="20"/>
                <w:szCs w:val="20"/>
                <w:highlight w:val="none"/>
              </w:rPr>
              <w:t>≥</w:t>
            </w:r>
            <w:r>
              <w:rPr>
                <w:color w:val="auto"/>
                <w:sz w:val="20"/>
                <w:szCs w:val="20"/>
                <w:highlight w:val="none"/>
              </w:rPr>
              <w:t>90</w:t>
            </w:r>
          </w:p>
        </w:tc>
      </w:tr>
    </w:tbl>
    <w:p>
      <w:pPr>
        <w:spacing w:line="360" w:lineRule="auto"/>
        <w:ind w:firstLine="432"/>
        <w:rPr>
          <w:color w:val="auto"/>
          <w:highlight w:val="none"/>
        </w:rPr>
      </w:pPr>
      <w:r>
        <w:rPr>
          <w:rFonts w:hint="eastAsia"/>
          <w:b/>
          <w:bCs/>
          <w:color w:val="auto"/>
          <w:szCs w:val="21"/>
          <w:highlight w:val="none"/>
        </w:rPr>
        <w:t>7　</w:t>
      </w:r>
      <w:r>
        <w:rPr>
          <w:color w:val="auto"/>
          <w:szCs w:val="21"/>
          <w:highlight w:val="none"/>
        </w:rPr>
        <w:t>盐渍土</w:t>
      </w:r>
      <w:r>
        <w:rPr>
          <w:rFonts w:hint="eastAsia"/>
          <w:color w:val="auto"/>
          <w:highlight w:val="none"/>
        </w:rPr>
        <w:t>是指</w:t>
      </w:r>
      <w:r>
        <w:rPr>
          <w:color w:val="auto"/>
          <w:highlight w:val="none"/>
        </w:rPr>
        <w:t>易溶盐</w:t>
      </w:r>
      <w:r>
        <w:rPr>
          <w:color w:val="auto"/>
          <w:szCs w:val="21"/>
          <w:highlight w:val="none"/>
        </w:rPr>
        <w:t>含量</w:t>
      </w:r>
      <w:r>
        <w:rPr>
          <w:color w:val="auto"/>
          <w:highlight w:val="none"/>
        </w:rPr>
        <w:t>大于0.3%且小于20%，并具有溶陷、盐胀、腐蚀等工程特性的土。盐渍土可根据含盐量，按表4.3.</w:t>
      </w:r>
      <w:r>
        <w:rPr>
          <w:rFonts w:hint="eastAsia"/>
          <w:color w:val="auto"/>
          <w:highlight w:val="none"/>
        </w:rPr>
        <w:t>9</w:t>
      </w:r>
      <w:r>
        <w:rPr>
          <w:color w:val="auto"/>
          <w:highlight w:val="none"/>
        </w:rPr>
        <w:t>-</w:t>
      </w:r>
      <w:r>
        <w:rPr>
          <w:rFonts w:hint="eastAsia"/>
          <w:color w:val="auto"/>
          <w:highlight w:val="none"/>
        </w:rPr>
        <w:t>7</w:t>
      </w:r>
      <w:r>
        <w:rPr>
          <w:color w:val="auto"/>
          <w:highlight w:val="none"/>
        </w:rPr>
        <w:t>分类。</w:t>
      </w:r>
    </w:p>
    <w:p>
      <w:pPr>
        <w:spacing w:line="360" w:lineRule="auto"/>
        <w:jc w:val="center"/>
        <w:rPr>
          <w:b/>
          <w:color w:val="auto"/>
          <w:highlight w:val="none"/>
        </w:rPr>
      </w:pPr>
      <w:r>
        <w:rPr>
          <w:b/>
          <w:color w:val="auto"/>
          <w:highlight w:val="none"/>
        </w:rPr>
        <w:t>表4.3.</w:t>
      </w:r>
      <w:r>
        <w:rPr>
          <w:rFonts w:hint="eastAsia"/>
          <w:b/>
          <w:color w:val="auto"/>
          <w:highlight w:val="none"/>
        </w:rPr>
        <w:t>9</w:t>
      </w:r>
      <w:r>
        <w:rPr>
          <w:b/>
          <w:color w:val="auto"/>
          <w:highlight w:val="none"/>
        </w:rPr>
        <w:t>-</w:t>
      </w:r>
      <w:r>
        <w:rPr>
          <w:rFonts w:hint="eastAsia"/>
          <w:b/>
          <w:color w:val="auto"/>
          <w:highlight w:val="none"/>
        </w:rPr>
        <w:t>7</w:t>
      </w:r>
      <w:r>
        <w:rPr>
          <w:b/>
          <w:color w:val="auto"/>
          <w:highlight w:val="none"/>
        </w:rPr>
        <w:t xml:space="preserve"> 盐渍土按含盐量分类</w:t>
      </w:r>
    </w:p>
    <w:tbl>
      <w:tblPr>
        <w:tblStyle w:val="22"/>
        <w:tblW w:w="83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4"/>
        <w:gridCol w:w="2063"/>
        <w:gridCol w:w="2063"/>
        <w:gridCol w:w="20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4" w:type="dxa"/>
            <w:vMerge w:val="restart"/>
            <w:shd w:val="clear" w:color="auto" w:fill="auto"/>
            <w:vAlign w:val="center"/>
          </w:tcPr>
          <w:p>
            <w:pPr>
              <w:jc w:val="center"/>
              <w:rPr>
                <w:b/>
                <w:color w:val="auto"/>
                <w:kern w:val="0"/>
                <w:sz w:val="20"/>
                <w:szCs w:val="21"/>
                <w:highlight w:val="none"/>
              </w:rPr>
            </w:pPr>
            <w:r>
              <w:rPr>
                <w:color w:val="auto"/>
                <w:kern w:val="0"/>
                <w:sz w:val="20"/>
                <w:szCs w:val="21"/>
                <w:highlight w:val="none"/>
              </w:rPr>
              <w:t>盐渍土名称</w:t>
            </w:r>
          </w:p>
        </w:tc>
        <w:tc>
          <w:tcPr>
            <w:tcW w:w="6190" w:type="dxa"/>
            <w:gridSpan w:val="3"/>
            <w:shd w:val="clear" w:color="auto" w:fill="auto"/>
          </w:tcPr>
          <w:p>
            <w:pPr>
              <w:jc w:val="center"/>
              <w:rPr>
                <w:color w:val="auto"/>
                <w:kern w:val="0"/>
                <w:sz w:val="20"/>
                <w:szCs w:val="21"/>
                <w:highlight w:val="none"/>
              </w:rPr>
            </w:pPr>
            <w:r>
              <w:rPr>
                <w:color w:val="auto"/>
                <w:kern w:val="0"/>
                <w:sz w:val="20"/>
                <w:szCs w:val="21"/>
                <w:highlight w:val="none"/>
              </w:rPr>
              <w:t>平均含盐量（%)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4" w:type="dxa"/>
            <w:vMerge w:val="continue"/>
            <w:shd w:val="clear" w:color="auto" w:fill="auto"/>
          </w:tcPr>
          <w:p>
            <w:pPr>
              <w:jc w:val="center"/>
              <w:rPr>
                <w:b/>
                <w:color w:val="auto"/>
                <w:kern w:val="0"/>
                <w:sz w:val="20"/>
                <w:szCs w:val="21"/>
                <w:highlight w:val="none"/>
              </w:rPr>
            </w:pPr>
          </w:p>
        </w:tc>
        <w:tc>
          <w:tcPr>
            <w:tcW w:w="2063" w:type="dxa"/>
            <w:shd w:val="clear" w:color="auto" w:fill="auto"/>
          </w:tcPr>
          <w:p>
            <w:pPr>
              <w:jc w:val="center"/>
              <w:rPr>
                <w:color w:val="auto"/>
                <w:kern w:val="0"/>
                <w:sz w:val="20"/>
                <w:szCs w:val="21"/>
                <w:highlight w:val="none"/>
              </w:rPr>
            </w:pPr>
            <w:r>
              <w:rPr>
                <w:color w:val="auto"/>
                <w:kern w:val="0"/>
                <w:sz w:val="20"/>
                <w:szCs w:val="21"/>
                <w:highlight w:val="none"/>
              </w:rPr>
              <w:t>氯及亚氯盐</w:t>
            </w:r>
          </w:p>
        </w:tc>
        <w:tc>
          <w:tcPr>
            <w:tcW w:w="2063" w:type="dxa"/>
            <w:shd w:val="clear" w:color="auto" w:fill="auto"/>
          </w:tcPr>
          <w:p>
            <w:pPr>
              <w:jc w:val="center"/>
              <w:rPr>
                <w:color w:val="auto"/>
                <w:kern w:val="0"/>
                <w:sz w:val="20"/>
                <w:szCs w:val="21"/>
                <w:highlight w:val="none"/>
              </w:rPr>
            </w:pPr>
            <w:r>
              <w:rPr>
                <w:color w:val="auto"/>
                <w:kern w:val="0"/>
                <w:sz w:val="20"/>
                <w:szCs w:val="21"/>
                <w:highlight w:val="none"/>
              </w:rPr>
              <w:t>硫酸及亚硫酸盐</w:t>
            </w:r>
          </w:p>
        </w:tc>
        <w:tc>
          <w:tcPr>
            <w:tcW w:w="2064" w:type="dxa"/>
            <w:shd w:val="clear" w:color="auto" w:fill="auto"/>
          </w:tcPr>
          <w:p>
            <w:pPr>
              <w:jc w:val="center"/>
              <w:rPr>
                <w:color w:val="auto"/>
                <w:kern w:val="0"/>
                <w:sz w:val="20"/>
                <w:szCs w:val="21"/>
                <w:highlight w:val="none"/>
              </w:rPr>
            </w:pPr>
            <w:r>
              <w:rPr>
                <w:color w:val="auto"/>
                <w:kern w:val="0"/>
                <w:sz w:val="20"/>
                <w:szCs w:val="21"/>
                <w:highlight w:val="none"/>
              </w:rPr>
              <w:t>碱性盐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4" w:type="dxa"/>
            <w:shd w:val="clear" w:color="auto" w:fill="auto"/>
          </w:tcPr>
          <w:p>
            <w:pPr>
              <w:jc w:val="center"/>
              <w:rPr>
                <w:color w:val="auto"/>
                <w:kern w:val="0"/>
                <w:sz w:val="20"/>
                <w:szCs w:val="21"/>
                <w:highlight w:val="none"/>
              </w:rPr>
            </w:pPr>
            <w:r>
              <w:rPr>
                <w:color w:val="auto"/>
                <w:kern w:val="0"/>
                <w:sz w:val="20"/>
                <w:szCs w:val="21"/>
                <w:highlight w:val="none"/>
              </w:rPr>
              <w:t>弱盐渍土</w:t>
            </w:r>
          </w:p>
        </w:tc>
        <w:tc>
          <w:tcPr>
            <w:tcW w:w="2063" w:type="dxa"/>
            <w:shd w:val="clear" w:color="auto" w:fill="auto"/>
          </w:tcPr>
          <w:p>
            <w:pPr>
              <w:jc w:val="center"/>
              <w:rPr>
                <w:color w:val="auto"/>
                <w:kern w:val="0"/>
                <w:sz w:val="20"/>
                <w:szCs w:val="21"/>
                <w:highlight w:val="none"/>
              </w:rPr>
            </w:pPr>
            <w:r>
              <w:rPr>
                <w:color w:val="auto"/>
                <w:kern w:val="0"/>
                <w:sz w:val="20"/>
                <w:szCs w:val="21"/>
                <w:highlight w:val="none"/>
              </w:rPr>
              <w:t>0.3~1.0</w:t>
            </w:r>
          </w:p>
        </w:tc>
        <w:tc>
          <w:tcPr>
            <w:tcW w:w="2063" w:type="dxa"/>
            <w:shd w:val="clear" w:color="auto" w:fill="auto"/>
          </w:tcPr>
          <w:p>
            <w:pPr>
              <w:jc w:val="center"/>
              <w:rPr>
                <w:color w:val="auto"/>
                <w:kern w:val="0"/>
                <w:sz w:val="20"/>
                <w:szCs w:val="21"/>
                <w:highlight w:val="none"/>
              </w:rPr>
            </w:pPr>
            <w:r>
              <w:rPr>
                <w:color w:val="auto"/>
                <w:kern w:val="0"/>
                <w:sz w:val="20"/>
                <w:szCs w:val="21"/>
                <w:highlight w:val="none"/>
              </w:rPr>
              <w:t>——</w:t>
            </w:r>
          </w:p>
        </w:tc>
        <w:tc>
          <w:tcPr>
            <w:tcW w:w="2064" w:type="dxa"/>
            <w:shd w:val="clear" w:color="auto" w:fill="auto"/>
          </w:tcPr>
          <w:p>
            <w:pPr>
              <w:jc w:val="center"/>
              <w:rPr>
                <w:color w:val="auto"/>
                <w:kern w:val="0"/>
                <w:sz w:val="20"/>
                <w:szCs w:val="21"/>
                <w:highlight w:val="none"/>
              </w:rPr>
            </w:pPr>
            <w:r>
              <w:rPr>
                <w:color w:val="auto"/>
                <w:kern w:val="0"/>
                <w:sz w:val="2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4" w:type="dxa"/>
            <w:shd w:val="clear" w:color="auto" w:fill="auto"/>
          </w:tcPr>
          <w:p>
            <w:pPr>
              <w:jc w:val="center"/>
              <w:rPr>
                <w:color w:val="auto"/>
                <w:kern w:val="0"/>
                <w:sz w:val="20"/>
                <w:szCs w:val="21"/>
                <w:highlight w:val="none"/>
              </w:rPr>
            </w:pPr>
            <w:r>
              <w:rPr>
                <w:color w:val="auto"/>
                <w:kern w:val="0"/>
                <w:sz w:val="20"/>
                <w:szCs w:val="21"/>
                <w:highlight w:val="none"/>
              </w:rPr>
              <w:t>中盐渍土</w:t>
            </w:r>
          </w:p>
        </w:tc>
        <w:tc>
          <w:tcPr>
            <w:tcW w:w="2063" w:type="dxa"/>
            <w:shd w:val="clear" w:color="auto" w:fill="auto"/>
          </w:tcPr>
          <w:p>
            <w:pPr>
              <w:jc w:val="center"/>
              <w:rPr>
                <w:color w:val="auto"/>
                <w:kern w:val="0"/>
                <w:sz w:val="20"/>
                <w:szCs w:val="21"/>
                <w:highlight w:val="none"/>
              </w:rPr>
            </w:pPr>
            <w:r>
              <w:rPr>
                <w:color w:val="auto"/>
                <w:kern w:val="0"/>
                <w:sz w:val="20"/>
                <w:szCs w:val="21"/>
                <w:highlight w:val="none"/>
              </w:rPr>
              <w:t>1~5</w:t>
            </w:r>
          </w:p>
        </w:tc>
        <w:tc>
          <w:tcPr>
            <w:tcW w:w="2063" w:type="dxa"/>
            <w:shd w:val="clear" w:color="auto" w:fill="auto"/>
          </w:tcPr>
          <w:p>
            <w:pPr>
              <w:jc w:val="center"/>
              <w:rPr>
                <w:color w:val="auto"/>
                <w:kern w:val="0"/>
                <w:sz w:val="20"/>
                <w:szCs w:val="21"/>
                <w:highlight w:val="none"/>
              </w:rPr>
            </w:pPr>
            <w:r>
              <w:rPr>
                <w:color w:val="auto"/>
                <w:kern w:val="0"/>
                <w:sz w:val="20"/>
                <w:szCs w:val="21"/>
                <w:highlight w:val="none"/>
              </w:rPr>
              <w:t>0.3~2</w:t>
            </w:r>
          </w:p>
        </w:tc>
        <w:tc>
          <w:tcPr>
            <w:tcW w:w="2064" w:type="dxa"/>
            <w:shd w:val="clear" w:color="auto" w:fill="auto"/>
          </w:tcPr>
          <w:p>
            <w:pPr>
              <w:jc w:val="center"/>
              <w:rPr>
                <w:color w:val="auto"/>
                <w:kern w:val="0"/>
                <w:sz w:val="20"/>
                <w:szCs w:val="21"/>
                <w:highlight w:val="none"/>
              </w:rPr>
            </w:pPr>
            <w:r>
              <w:rPr>
                <w:color w:val="auto"/>
                <w:kern w:val="0"/>
                <w:sz w:val="20"/>
                <w:szCs w:val="21"/>
                <w:highlight w:val="none"/>
              </w:rPr>
              <w:t>0.3~1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4" w:type="dxa"/>
            <w:shd w:val="clear" w:color="auto" w:fill="auto"/>
          </w:tcPr>
          <w:p>
            <w:pPr>
              <w:jc w:val="center"/>
              <w:rPr>
                <w:color w:val="auto"/>
                <w:kern w:val="0"/>
                <w:sz w:val="20"/>
                <w:szCs w:val="21"/>
                <w:highlight w:val="none"/>
              </w:rPr>
            </w:pPr>
            <w:r>
              <w:rPr>
                <w:color w:val="auto"/>
                <w:kern w:val="0"/>
                <w:sz w:val="20"/>
                <w:szCs w:val="21"/>
                <w:highlight w:val="none"/>
              </w:rPr>
              <w:t>强盐渍土</w:t>
            </w:r>
          </w:p>
        </w:tc>
        <w:tc>
          <w:tcPr>
            <w:tcW w:w="2063" w:type="dxa"/>
            <w:shd w:val="clear" w:color="auto" w:fill="auto"/>
          </w:tcPr>
          <w:p>
            <w:pPr>
              <w:jc w:val="center"/>
              <w:rPr>
                <w:color w:val="auto"/>
                <w:kern w:val="0"/>
                <w:sz w:val="20"/>
                <w:szCs w:val="21"/>
                <w:highlight w:val="none"/>
              </w:rPr>
            </w:pPr>
            <w:r>
              <w:rPr>
                <w:color w:val="auto"/>
                <w:kern w:val="0"/>
                <w:sz w:val="20"/>
                <w:szCs w:val="21"/>
                <w:highlight w:val="none"/>
              </w:rPr>
              <w:t>5~8</w:t>
            </w:r>
          </w:p>
        </w:tc>
        <w:tc>
          <w:tcPr>
            <w:tcW w:w="2063" w:type="dxa"/>
            <w:shd w:val="clear" w:color="auto" w:fill="auto"/>
          </w:tcPr>
          <w:p>
            <w:pPr>
              <w:jc w:val="center"/>
              <w:rPr>
                <w:color w:val="auto"/>
                <w:kern w:val="0"/>
                <w:sz w:val="20"/>
                <w:szCs w:val="21"/>
                <w:highlight w:val="none"/>
              </w:rPr>
            </w:pPr>
            <w:r>
              <w:rPr>
                <w:color w:val="auto"/>
                <w:kern w:val="0"/>
                <w:sz w:val="20"/>
                <w:szCs w:val="21"/>
                <w:highlight w:val="none"/>
              </w:rPr>
              <w:t>2~5</w:t>
            </w:r>
          </w:p>
        </w:tc>
        <w:tc>
          <w:tcPr>
            <w:tcW w:w="2064" w:type="dxa"/>
            <w:shd w:val="clear" w:color="auto" w:fill="auto"/>
          </w:tcPr>
          <w:p>
            <w:pPr>
              <w:jc w:val="center"/>
              <w:rPr>
                <w:color w:val="auto"/>
                <w:kern w:val="0"/>
                <w:sz w:val="20"/>
                <w:szCs w:val="21"/>
                <w:highlight w:val="none"/>
              </w:rPr>
            </w:pPr>
            <w:r>
              <w:rPr>
                <w:color w:val="auto"/>
                <w:kern w:val="0"/>
                <w:sz w:val="20"/>
                <w:szCs w:val="21"/>
                <w:highlight w:val="none"/>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4" w:type="dxa"/>
            <w:shd w:val="clear" w:color="auto" w:fill="auto"/>
          </w:tcPr>
          <w:p>
            <w:pPr>
              <w:jc w:val="center"/>
              <w:rPr>
                <w:color w:val="auto"/>
                <w:kern w:val="0"/>
                <w:sz w:val="20"/>
                <w:szCs w:val="21"/>
                <w:highlight w:val="none"/>
              </w:rPr>
            </w:pPr>
            <w:r>
              <w:rPr>
                <w:color w:val="auto"/>
                <w:kern w:val="0"/>
                <w:sz w:val="20"/>
                <w:szCs w:val="21"/>
                <w:highlight w:val="none"/>
              </w:rPr>
              <w:t>超盐渍土</w:t>
            </w:r>
          </w:p>
        </w:tc>
        <w:tc>
          <w:tcPr>
            <w:tcW w:w="2063" w:type="dxa"/>
            <w:shd w:val="clear" w:color="auto" w:fill="auto"/>
          </w:tcPr>
          <w:p>
            <w:pPr>
              <w:jc w:val="center"/>
              <w:rPr>
                <w:color w:val="auto"/>
                <w:kern w:val="0"/>
                <w:sz w:val="20"/>
                <w:szCs w:val="21"/>
                <w:highlight w:val="none"/>
              </w:rPr>
            </w:pPr>
            <w:r>
              <w:rPr>
                <w:color w:val="auto"/>
                <w:kern w:val="0"/>
                <w:sz w:val="20"/>
                <w:szCs w:val="21"/>
                <w:highlight w:val="none"/>
              </w:rPr>
              <w:t>&gt;8</w:t>
            </w:r>
          </w:p>
        </w:tc>
        <w:tc>
          <w:tcPr>
            <w:tcW w:w="2063" w:type="dxa"/>
            <w:shd w:val="clear" w:color="auto" w:fill="auto"/>
          </w:tcPr>
          <w:p>
            <w:pPr>
              <w:jc w:val="center"/>
              <w:rPr>
                <w:color w:val="auto"/>
                <w:kern w:val="0"/>
                <w:sz w:val="20"/>
                <w:szCs w:val="21"/>
                <w:highlight w:val="none"/>
              </w:rPr>
            </w:pPr>
            <w:r>
              <w:rPr>
                <w:color w:val="auto"/>
                <w:kern w:val="0"/>
                <w:sz w:val="20"/>
                <w:szCs w:val="21"/>
                <w:highlight w:val="none"/>
              </w:rPr>
              <w:t>&gt;5</w:t>
            </w:r>
          </w:p>
        </w:tc>
        <w:tc>
          <w:tcPr>
            <w:tcW w:w="2064" w:type="dxa"/>
            <w:shd w:val="clear" w:color="auto" w:fill="auto"/>
          </w:tcPr>
          <w:p>
            <w:pPr>
              <w:jc w:val="center"/>
              <w:rPr>
                <w:color w:val="auto"/>
                <w:kern w:val="0"/>
                <w:sz w:val="20"/>
                <w:szCs w:val="21"/>
                <w:highlight w:val="none"/>
              </w:rPr>
            </w:pPr>
            <w:r>
              <w:rPr>
                <w:color w:val="auto"/>
                <w:kern w:val="0"/>
                <w:sz w:val="20"/>
                <w:szCs w:val="21"/>
                <w:highlight w:val="none"/>
              </w:rPr>
              <w:t>&gt;2</w:t>
            </w:r>
          </w:p>
        </w:tc>
      </w:tr>
    </w:tbl>
    <w:p>
      <w:pPr>
        <w:pStyle w:val="3"/>
        <w:rPr>
          <w:rFonts w:ascii="Times New Roman" w:hAnsi="Times New Roman" w:eastAsia="宋体"/>
          <w:color w:val="auto"/>
          <w:highlight w:val="none"/>
        </w:rPr>
      </w:pPr>
      <w:bookmarkStart w:id="45" w:name="_Toc28680"/>
      <w:bookmarkStart w:id="46" w:name="_Toc31300"/>
      <w:bookmarkStart w:id="47" w:name="_Toc2367"/>
      <w:bookmarkStart w:id="48" w:name="_4.4　土的描述"/>
      <w:r>
        <w:rPr>
          <w:rFonts w:ascii="Times New Roman" w:hAnsi="Times New Roman" w:eastAsia="宋体"/>
          <w:color w:val="auto"/>
          <w:highlight w:val="none"/>
        </w:rPr>
        <w:t>4.4</w:t>
      </w:r>
      <w:r>
        <w:rPr>
          <w:rFonts w:hint="eastAsia" w:ascii="Times New Roman" w:hAnsi="Times New Roman" w:eastAsia="宋体"/>
          <w:color w:val="auto"/>
          <w:highlight w:val="none"/>
        </w:rPr>
        <w:t>　</w:t>
      </w:r>
      <w:r>
        <w:rPr>
          <w:rFonts w:ascii="Times New Roman" w:hAnsi="Times New Roman" w:eastAsia="宋体"/>
          <w:color w:val="auto"/>
          <w:highlight w:val="none"/>
        </w:rPr>
        <w:t>土的描述</w:t>
      </w:r>
      <w:bookmarkEnd w:id="45"/>
      <w:bookmarkEnd w:id="46"/>
      <w:bookmarkEnd w:id="47"/>
    </w:p>
    <w:bookmarkEnd w:id="48"/>
    <w:p>
      <w:pPr>
        <w:spacing w:line="360" w:lineRule="auto"/>
        <w:jc w:val="left"/>
        <w:rPr>
          <w:color w:val="auto"/>
          <w:highlight w:val="none"/>
        </w:rPr>
      </w:pPr>
      <w:r>
        <w:rPr>
          <w:b/>
          <w:bCs/>
          <w:color w:val="auto"/>
          <w:highlight w:val="none"/>
        </w:rPr>
        <w:t>4.4.1</w:t>
      </w:r>
      <w:r>
        <w:rPr>
          <w:rFonts w:hint="eastAsia"/>
          <w:b/>
          <w:bCs/>
          <w:color w:val="auto"/>
          <w:highlight w:val="none"/>
        </w:rPr>
        <w:t>　</w:t>
      </w:r>
      <w:r>
        <w:rPr>
          <w:color w:val="auto"/>
          <w:highlight w:val="none"/>
        </w:rPr>
        <w:t>土的描述应在野外鉴别的基础上，结合室内试验的开土记录和试验结果综合确定。</w:t>
      </w:r>
      <w:bookmarkStart w:id="49" w:name="_Hlk70345997"/>
      <w:r>
        <w:rPr>
          <w:color w:val="auto"/>
          <w:highlight w:val="none"/>
        </w:rPr>
        <w:t>土的描述应符合下列规定：</w:t>
      </w:r>
    </w:p>
    <w:p>
      <w:pPr>
        <w:spacing w:line="360" w:lineRule="auto"/>
        <w:ind w:firstLine="408"/>
        <w:jc w:val="left"/>
        <w:rPr>
          <w:color w:val="auto"/>
          <w:highlight w:val="none"/>
        </w:rPr>
      </w:pPr>
      <w:r>
        <w:rPr>
          <w:b/>
          <w:bCs/>
          <w:color w:val="auto"/>
          <w:highlight w:val="none"/>
        </w:rPr>
        <w:t>1</w:t>
      </w:r>
      <w:r>
        <w:rPr>
          <w:rFonts w:hint="eastAsia"/>
          <w:color w:val="auto"/>
          <w:highlight w:val="none"/>
        </w:rPr>
        <w:t>　</w:t>
      </w:r>
      <w:r>
        <w:rPr>
          <w:color w:val="auto"/>
          <w:highlight w:val="none"/>
        </w:rPr>
        <w:t>碎石土宜描述颗粒级配、颗粒形状、颗粒排列、母岩成分、风化程度、充填物的性质和充填程度、密实度等；</w:t>
      </w:r>
    </w:p>
    <w:p>
      <w:pPr>
        <w:spacing w:line="360" w:lineRule="auto"/>
        <w:ind w:firstLine="408"/>
        <w:jc w:val="left"/>
        <w:rPr>
          <w:color w:val="auto"/>
          <w:highlight w:val="none"/>
        </w:rPr>
      </w:pPr>
      <w:r>
        <w:rPr>
          <w:b/>
          <w:bCs/>
          <w:color w:val="auto"/>
          <w:highlight w:val="none"/>
        </w:rPr>
        <w:t>2</w:t>
      </w:r>
      <w:r>
        <w:rPr>
          <w:rFonts w:hint="eastAsia"/>
          <w:b/>
          <w:bCs/>
          <w:color w:val="auto"/>
          <w:highlight w:val="none"/>
        </w:rPr>
        <w:t>　</w:t>
      </w:r>
      <w:r>
        <w:rPr>
          <w:color w:val="auto"/>
          <w:highlight w:val="none"/>
        </w:rPr>
        <w:t>砂土宜描述颜色、矿物组成、颗粒级配、颗粒形状、细粒含量、湿度、密实度等；</w:t>
      </w:r>
    </w:p>
    <w:p>
      <w:pPr>
        <w:spacing w:line="360" w:lineRule="auto"/>
        <w:ind w:firstLine="408"/>
        <w:jc w:val="left"/>
        <w:rPr>
          <w:color w:val="auto"/>
          <w:highlight w:val="none"/>
        </w:rPr>
      </w:pPr>
      <w:r>
        <w:rPr>
          <w:b/>
          <w:bCs/>
          <w:color w:val="auto"/>
          <w:highlight w:val="none"/>
        </w:rPr>
        <w:t>3</w:t>
      </w:r>
      <w:r>
        <w:rPr>
          <w:rFonts w:hint="eastAsia"/>
          <w:color w:val="auto"/>
          <w:highlight w:val="none"/>
        </w:rPr>
        <w:t>　</w:t>
      </w:r>
      <w:r>
        <w:rPr>
          <w:color w:val="auto"/>
          <w:highlight w:val="none"/>
        </w:rPr>
        <w:t>粉土宜描述颜色、包含物、湿度、密实度等；</w:t>
      </w:r>
    </w:p>
    <w:p>
      <w:pPr>
        <w:spacing w:line="360" w:lineRule="auto"/>
        <w:ind w:firstLine="408"/>
        <w:jc w:val="left"/>
        <w:rPr>
          <w:color w:val="auto"/>
          <w:highlight w:val="none"/>
        </w:rPr>
      </w:pPr>
      <w:r>
        <w:rPr>
          <w:b/>
          <w:bCs/>
          <w:color w:val="auto"/>
          <w:highlight w:val="none"/>
        </w:rPr>
        <w:t>4</w:t>
      </w:r>
      <w:r>
        <w:rPr>
          <w:rFonts w:hint="eastAsia"/>
          <w:b/>
          <w:bCs/>
          <w:color w:val="auto"/>
          <w:highlight w:val="none"/>
        </w:rPr>
        <w:t>　</w:t>
      </w:r>
      <w:r>
        <w:rPr>
          <w:color w:val="auto"/>
          <w:highlight w:val="none"/>
        </w:rPr>
        <w:t>黏性土宜描述颜色、状态、包含物、土的结构等；</w:t>
      </w:r>
    </w:p>
    <w:p>
      <w:pPr>
        <w:spacing w:line="360" w:lineRule="auto"/>
        <w:ind w:firstLine="408"/>
        <w:jc w:val="left"/>
        <w:rPr>
          <w:color w:val="auto"/>
          <w:highlight w:val="none"/>
        </w:rPr>
      </w:pPr>
      <w:r>
        <w:rPr>
          <w:b/>
          <w:bCs/>
          <w:color w:val="auto"/>
          <w:highlight w:val="none"/>
        </w:rPr>
        <w:t>5</w:t>
      </w:r>
      <w:r>
        <w:rPr>
          <w:rFonts w:hint="eastAsia"/>
          <w:b/>
          <w:bCs/>
          <w:color w:val="auto"/>
          <w:highlight w:val="none"/>
        </w:rPr>
        <w:t>　</w:t>
      </w:r>
      <w:r>
        <w:rPr>
          <w:color w:val="auto"/>
          <w:highlight w:val="none"/>
        </w:rPr>
        <w:t>特殊性土除应描述上述相应土类规定的内容外，还应描述其特殊成分和特殊性质，如对淤泥还应描述嗅味</w:t>
      </w:r>
      <w:r>
        <w:rPr>
          <w:rFonts w:hint="eastAsia"/>
          <w:color w:val="auto"/>
          <w:highlight w:val="none"/>
        </w:rPr>
        <w:t>、是否含有贝壳碎片等</w:t>
      </w:r>
      <w:r>
        <w:rPr>
          <w:color w:val="auto"/>
          <w:highlight w:val="none"/>
        </w:rPr>
        <w:t>，对填土还应描述物质成分、堆积年代、密实度和均匀性等；</w:t>
      </w:r>
    </w:p>
    <w:p>
      <w:pPr>
        <w:spacing w:line="360" w:lineRule="auto"/>
        <w:ind w:firstLine="408"/>
        <w:jc w:val="left"/>
        <w:rPr>
          <w:color w:val="auto"/>
          <w:highlight w:val="none"/>
        </w:rPr>
      </w:pPr>
      <w:r>
        <w:rPr>
          <w:b/>
          <w:bCs/>
          <w:color w:val="auto"/>
          <w:highlight w:val="none"/>
        </w:rPr>
        <w:t>6</w:t>
      </w:r>
      <w:r>
        <w:rPr>
          <w:rFonts w:hint="eastAsia"/>
          <w:color w:val="auto"/>
          <w:highlight w:val="none"/>
        </w:rPr>
        <w:t>　</w:t>
      </w:r>
      <w:r>
        <w:rPr>
          <w:color w:val="auto"/>
          <w:highlight w:val="none"/>
        </w:rPr>
        <w:t>对具有互层、夹层、夹薄层特征的土，还应描述各层的厚度和层理特征。</w:t>
      </w:r>
      <w:bookmarkEnd w:id="49"/>
    </w:p>
    <w:p>
      <w:pPr>
        <w:spacing w:line="360" w:lineRule="auto"/>
        <w:jc w:val="left"/>
        <w:rPr>
          <w:color w:val="auto"/>
          <w:highlight w:val="none"/>
        </w:rPr>
      </w:pPr>
      <w:r>
        <w:rPr>
          <w:b/>
          <w:bCs/>
          <w:color w:val="auto"/>
          <w:highlight w:val="none"/>
        </w:rPr>
        <w:t>4.4.2</w:t>
      </w:r>
      <w:r>
        <w:rPr>
          <w:rFonts w:hint="eastAsia"/>
          <w:b/>
          <w:bCs/>
          <w:color w:val="auto"/>
          <w:highlight w:val="none"/>
        </w:rPr>
        <w:t>　</w:t>
      </w:r>
      <w:r>
        <w:rPr>
          <w:rFonts w:hint="eastAsia"/>
          <w:color w:val="auto"/>
          <w:highlight w:val="none"/>
        </w:rPr>
        <w:t>碎石土的</w:t>
      </w:r>
      <w:r>
        <w:rPr>
          <w:color w:val="auto"/>
          <w:highlight w:val="none"/>
        </w:rPr>
        <w:t>定性描述可按表4.4.2-1执行</w:t>
      </w:r>
      <w:r>
        <w:rPr>
          <w:rFonts w:hint="eastAsia"/>
          <w:color w:val="auto"/>
          <w:highlight w:val="none"/>
        </w:rPr>
        <w:t>，其</w:t>
      </w:r>
      <w:r>
        <w:rPr>
          <w:color w:val="auto"/>
          <w:highlight w:val="none"/>
        </w:rPr>
        <w:t>密实度可根据经杆长修正后的重型或超重型圆锥动力触探锤击数按表4.4.2-2或表4.4.2-3划分。重型或超重型圆锥动力触探锤击数</w:t>
      </w:r>
      <w:r>
        <w:rPr>
          <w:rFonts w:hint="eastAsia"/>
          <w:color w:val="auto"/>
          <w:highlight w:val="none"/>
        </w:rPr>
        <w:t>的</w:t>
      </w:r>
      <w:r>
        <w:rPr>
          <w:color w:val="auto"/>
          <w:highlight w:val="none"/>
        </w:rPr>
        <w:t>杆长修正</w:t>
      </w:r>
      <w:r>
        <w:rPr>
          <w:rFonts w:hint="eastAsia"/>
          <w:color w:val="auto"/>
          <w:highlight w:val="none"/>
        </w:rPr>
        <w:t>系数取值应符合附录D的规定。</w:t>
      </w:r>
    </w:p>
    <w:p>
      <w:pPr>
        <w:spacing w:line="360" w:lineRule="auto"/>
        <w:jc w:val="center"/>
        <w:rPr>
          <w:b/>
          <w:color w:val="auto"/>
          <w:szCs w:val="21"/>
          <w:highlight w:val="none"/>
        </w:rPr>
      </w:pPr>
      <w:r>
        <w:rPr>
          <w:b/>
          <w:color w:val="auto"/>
          <w:szCs w:val="21"/>
          <w:highlight w:val="none"/>
        </w:rPr>
        <w:t>表</w:t>
      </w:r>
      <w:r>
        <w:rPr>
          <w:b/>
          <w:color w:val="auto"/>
          <w:highlight w:val="none"/>
        </w:rPr>
        <w:t>4.4.2-1</w:t>
      </w:r>
      <w:r>
        <w:rPr>
          <w:rFonts w:hint="eastAsia"/>
          <w:b/>
          <w:color w:val="auto"/>
          <w:szCs w:val="21"/>
          <w:highlight w:val="none"/>
        </w:rPr>
        <w:t>碎石土</w:t>
      </w:r>
      <w:r>
        <w:rPr>
          <w:b/>
          <w:color w:val="auto"/>
          <w:szCs w:val="21"/>
          <w:highlight w:val="none"/>
        </w:rPr>
        <w:t>密实度野外鉴别</w:t>
      </w:r>
    </w:p>
    <w:tbl>
      <w:tblPr>
        <w:tblStyle w:val="22"/>
        <w:tblW w:w="833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650"/>
        <w:gridCol w:w="2648"/>
        <w:gridCol w:w="21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46" w:type="dxa"/>
            <w:vAlign w:val="center"/>
          </w:tcPr>
          <w:p>
            <w:pPr>
              <w:jc w:val="center"/>
              <w:rPr>
                <w:color w:val="auto"/>
                <w:sz w:val="20"/>
                <w:szCs w:val="20"/>
                <w:highlight w:val="none"/>
              </w:rPr>
            </w:pPr>
            <w:r>
              <w:rPr>
                <w:color w:val="auto"/>
                <w:sz w:val="20"/>
                <w:szCs w:val="20"/>
                <w:highlight w:val="none"/>
              </w:rPr>
              <w:t>密实度</w:t>
            </w:r>
          </w:p>
        </w:tc>
        <w:tc>
          <w:tcPr>
            <w:tcW w:w="2650" w:type="dxa"/>
            <w:vAlign w:val="center"/>
          </w:tcPr>
          <w:p>
            <w:pPr>
              <w:jc w:val="center"/>
              <w:rPr>
                <w:color w:val="auto"/>
                <w:sz w:val="20"/>
                <w:szCs w:val="20"/>
                <w:highlight w:val="none"/>
              </w:rPr>
            </w:pPr>
            <w:r>
              <w:rPr>
                <w:color w:val="auto"/>
                <w:sz w:val="20"/>
                <w:szCs w:val="20"/>
                <w:highlight w:val="none"/>
              </w:rPr>
              <w:t>骨架颗粒的质量和排列</w:t>
            </w:r>
          </w:p>
        </w:tc>
        <w:tc>
          <w:tcPr>
            <w:tcW w:w="2648" w:type="dxa"/>
            <w:vAlign w:val="center"/>
          </w:tcPr>
          <w:p>
            <w:pPr>
              <w:jc w:val="center"/>
              <w:rPr>
                <w:color w:val="auto"/>
                <w:sz w:val="20"/>
                <w:szCs w:val="20"/>
                <w:highlight w:val="none"/>
              </w:rPr>
            </w:pPr>
            <w:r>
              <w:rPr>
                <w:color w:val="auto"/>
                <w:sz w:val="20"/>
                <w:szCs w:val="20"/>
                <w:highlight w:val="none"/>
              </w:rPr>
              <w:t>可挖性</w:t>
            </w:r>
          </w:p>
        </w:tc>
        <w:tc>
          <w:tcPr>
            <w:tcW w:w="2189" w:type="dxa"/>
            <w:vAlign w:val="center"/>
          </w:tcPr>
          <w:p>
            <w:pPr>
              <w:jc w:val="center"/>
              <w:rPr>
                <w:color w:val="auto"/>
                <w:sz w:val="20"/>
                <w:szCs w:val="20"/>
                <w:highlight w:val="none"/>
              </w:rPr>
            </w:pPr>
            <w:r>
              <w:rPr>
                <w:color w:val="auto"/>
                <w:sz w:val="20"/>
                <w:szCs w:val="20"/>
                <w:highlight w:val="none"/>
              </w:rPr>
              <w:t>可钻性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jc w:val="center"/>
              <w:rPr>
                <w:color w:val="auto"/>
                <w:sz w:val="20"/>
                <w:szCs w:val="20"/>
                <w:highlight w:val="none"/>
              </w:rPr>
            </w:pPr>
            <w:r>
              <w:rPr>
                <w:color w:val="auto"/>
                <w:sz w:val="20"/>
                <w:szCs w:val="20"/>
                <w:highlight w:val="none"/>
              </w:rPr>
              <w:t>松散</w:t>
            </w:r>
          </w:p>
        </w:tc>
        <w:tc>
          <w:tcPr>
            <w:tcW w:w="2650" w:type="dxa"/>
          </w:tcPr>
          <w:p>
            <w:pPr>
              <w:rPr>
                <w:color w:val="auto"/>
                <w:sz w:val="20"/>
                <w:szCs w:val="20"/>
                <w:highlight w:val="none"/>
              </w:rPr>
            </w:pPr>
            <w:r>
              <w:rPr>
                <w:color w:val="auto"/>
                <w:sz w:val="20"/>
                <w:szCs w:val="20"/>
                <w:highlight w:val="none"/>
              </w:rPr>
              <w:t>骨架颗粒的质量小于总质量的60%，排列混乱，大部分不接触</w:t>
            </w:r>
          </w:p>
        </w:tc>
        <w:tc>
          <w:tcPr>
            <w:tcW w:w="2648" w:type="dxa"/>
            <w:vAlign w:val="center"/>
          </w:tcPr>
          <w:p>
            <w:pPr>
              <w:rPr>
                <w:color w:val="auto"/>
                <w:sz w:val="20"/>
                <w:szCs w:val="20"/>
                <w:highlight w:val="none"/>
              </w:rPr>
            </w:pPr>
            <w:r>
              <w:rPr>
                <w:color w:val="auto"/>
                <w:sz w:val="20"/>
                <w:szCs w:val="20"/>
                <w:highlight w:val="none"/>
              </w:rPr>
              <w:t>锹可以挖掘，井壁易坍塌，从井壁取出大颗粒后，立即塌落</w:t>
            </w:r>
          </w:p>
        </w:tc>
        <w:tc>
          <w:tcPr>
            <w:tcW w:w="2189" w:type="dxa"/>
            <w:vAlign w:val="center"/>
          </w:tcPr>
          <w:p>
            <w:pPr>
              <w:rPr>
                <w:color w:val="auto"/>
                <w:sz w:val="20"/>
                <w:szCs w:val="20"/>
                <w:highlight w:val="none"/>
              </w:rPr>
            </w:pPr>
            <w:r>
              <w:rPr>
                <w:color w:val="auto"/>
                <w:sz w:val="20"/>
                <w:szCs w:val="20"/>
                <w:highlight w:val="none"/>
              </w:rPr>
              <w:t>较易钻进，钻杆稍有跳动，孔壁易坍塌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jc w:val="center"/>
              <w:rPr>
                <w:color w:val="auto"/>
                <w:sz w:val="20"/>
                <w:szCs w:val="20"/>
                <w:highlight w:val="none"/>
              </w:rPr>
            </w:pPr>
            <w:r>
              <w:rPr>
                <w:color w:val="auto"/>
                <w:sz w:val="20"/>
                <w:szCs w:val="20"/>
                <w:highlight w:val="none"/>
              </w:rPr>
              <w:t>中密</w:t>
            </w:r>
          </w:p>
        </w:tc>
        <w:tc>
          <w:tcPr>
            <w:tcW w:w="2650" w:type="dxa"/>
          </w:tcPr>
          <w:p>
            <w:pPr>
              <w:rPr>
                <w:color w:val="auto"/>
                <w:spacing w:val="-4"/>
                <w:sz w:val="20"/>
                <w:szCs w:val="20"/>
                <w:highlight w:val="none"/>
              </w:rPr>
            </w:pPr>
            <w:r>
              <w:rPr>
                <w:color w:val="auto"/>
                <w:spacing w:val="-4"/>
                <w:sz w:val="20"/>
                <w:szCs w:val="20"/>
                <w:highlight w:val="none"/>
              </w:rPr>
              <w:t>骨架颗粒质量等于总质量的60% ~70%，交错排列，大部分接触</w:t>
            </w:r>
          </w:p>
        </w:tc>
        <w:tc>
          <w:tcPr>
            <w:tcW w:w="2648" w:type="dxa"/>
            <w:vAlign w:val="center"/>
          </w:tcPr>
          <w:p>
            <w:pPr>
              <w:rPr>
                <w:color w:val="auto"/>
                <w:spacing w:val="-4"/>
                <w:sz w:val="20"/>
                <w:szCs w:val="20"/>
                <w:highlight w:val="none"/>
              </w:rPr>
            </w:pPr>
            <w:r>
              <w:rPr>
                <w:color w:val="auto"/>
                <w:spacing w:val="-4"/>
                <w:sz w:val="20"/>
                <w:szCs w:val="20"/>
                <w:highlight w:val="none"/>
              </w:rPr>
              <w:t>锹镐可挖掘，井壁有掉块现象，从井壁取出大颗粒处能保持凹面形状</w:t>
            </w:r>
          </w:p>
        </w:tc>
        <w:tc>
          <w:tcPr>
            <w:tcW w:w="2189" w:type="dxa"/>
            <w:vAlign w:val="center"/>
          </w:tcPr>
          <w:p>
            <w:pPr>
              <w:rPr>
                <w:color w:val="auto"/>
                <w:sz w:val="20"/>
                <w:szCs w:val="20"/>
                <w:highlight w:val="none"/>
              </w:rPr>
            </w:pPr>
            <w:r>
              <w:rPr>
                <w:color w:val="auto"/>
                <w:sz w:val="20"/>
                <w:szCs w:val="20"/>
                <w:highlight w:val="none"/>
              </w:rPr>
              <w:t>较难钻进，钻杆、吊锤跳动不剧烈，孔壁有坍塌现象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jc w:val="center"/>
              <w:rPr>
                <w:color w:val="auto"/>
                <w:sz w:val="20"/>
                <w:szCs w:val="20"/>
                <w:highlight w:val="none"/>
              </w:rPr>
            </w:pPr>
            <w:r>
              <w:rPr>
                <w:color w:val="auto"/>
                <w:sz w:val="20"/>
                <w:szCs w:val="20"/>
                <w:highlight w:val="none"/>
              </w:rPr>
              <w:t>密实</w:t>
            </w:r>
          </w:p>
        </w:tc>
        <w:tc>
          <w:tcPr>
            <w:tcW w:w="2650" w:type="dxa"/>
          </w:tcPr>
          <w:p>
            <w:pPr>
              <w:rPr>
                <w:color w:val="auto"/>
                <w:sz w:val="20"/>
                <w:szCs w:val="20"/>
                <w:highlight w:val="none"/>
              </w:rPr>
            </w:pPr>
            <w:r>
              <w:rPr>
                <w:color w:val="auto"/>
                <w:sz w:val="20"/>
                <w:szCs w:val="20"/>
                <w:highlight w:val="none"/>
              </w:rPr>
              <w:t>骨架颗粒的质量大于总质量的70%，交错排列，连续接触</w:t>
            </w:r>
          </w:p>
        </w:tc>
        <w:tc>
          <w:tcPr>
            <w:tcW w:w="2648" w:type="dxa"/>
            <w:vAlign w:val="center"/>
          </w:tcPr>
          <w:p>
            <w:pPr>
              <w:rPr>
                <w:color w:val="auto"/>
                <w:sz w:val="20"/>
                <w:szCs w:val="20"/>
                <w:highlight w:val="none"/>
              </w:rPr>
            </w:pPr>
            <w:r>
              <w:rPr>
                <w:color w:val="auto"/>
                <w:sz w:val="20"/>
                <w:szCs w:val="20"/>
                <w:highlight w:val="none"/>
              </w:rPr>
              <w:t>锹镐挖掘困难，用撬棍方能松动，井壁较稳定</w:t>
            </w:r>
          </w:p>
        </w:tc>
        <w:tc>
          <w:tcPr>
            <w:tcW w:w="2189" w:type="dxa"/>
            <w:vAlign w:val="center"/>
          </w:tcPr>
          <w:p>
            <w:pPr>
              <w:rPr>
                <w:color w:val="auto"/>
                <w:sz w:val="20"/>
                <w:szCs w:val="20"/>
                <w:highlight w:val="none"/>
              </w:rPr>
            </w:pPr>
            <w:r>
              <w:rPr>
                <w:color w:val="auto"/>
                <w:sz w:val="20"/>
                <w:szCs w:val="20"/>
                <w:highlight w:val="none"/>
              </w:rPr>
              <w:t>很难钻进，钻杆、吊锤跳动剧烈，孔壁较稳定</w:t>
            </w:r>
          </w:p>
        </w:tc>
      </w:tr>
    </w:tbl>
    <w:p>
      <w:pPr>
        <w:autoSpaceDE w:val="0"/>
        <w:autoSpaceDN w:val="0"/>
        <w:adjustRightInd w:val="0"/>
        <w:snapToGrid w:val="0"/>
        <w:spacing w:before="156" w:beforeLines="50" w:line="360" w:lineRule="auto"/>
        <w:jc w:val="center"/>
        <w:rPr>
          <w:b/>
          <w:bCs/>
          <w:color w:val="auto"/>
          <w:szCs w:val="21"/>
          <w:highlight w:val="none"/>
        </w:rPr>
      </w:pPr>
      <w:r>
        <w:rPr>
          <w:b/>
          <w:bCs/>
          <w:color w:val="auto"/>
          <w:kern w:val="0"/>
          <w:szCs w:val="21"/>
          <w:highlight w:val="none"/>
        </w:rPr>
        <w:t>表4.4.2-2</w:t>
      </w:r>
      <w:r>
        <w:rPr>
          <w:rFonts w:hint="eastAsia"/>
          <w:b/>
          <w:bCs/>
          <w:color w:val="auto"/>
          <w:kern w:val="0"/>
          <w:szCs w:val="21"/>
          <w:highlight w:val="none"/>
        </w:rPr>
        <w:t>　碎石土</w:t>
      </w:r>
      <w:r>
        <w:rPr>
          <w:b/>
          <w:bCs/>
          <w:color w:val="auto"/>
          <w:kern w:val="0"/>
          <w:szCs w:val="21"/>
          <w:highlight w:val="none"/>
        </w:rPr>
        <w:t>密实度按修正后的重型圆锥动力触探锤击数</w:t>
      </w:r>
      <w:r>
        <w:rPr>
          <w:b/>
          <w:bCs/>
          <w:color w:val="auto"/>
          <w:kern w:val="0"/>
          <w:szCs w:val="18"/>
          <w:highlight w:val="none"/>
        </w:rPr>
        <w:t>划分</w:t>
      </w:r>
    </w:p>
    <w:tbl>
      <w:tblPr>
        <w:tblStyle w:val="22"/>
        <w:tblW w:w="83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09"/>
        <w:gridCol w:w="1452"/>
        <w:gridCol w:w="1452"/>
        <w:gridCol w:w="1452"/>
        <w:gridCol w:w="14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509" w:type="dxa"/>
            <w:vAlign w:val="center"/>
          </w:tcPr>
          <w:p>
            <w:pPr>
              <w:jc w:val="center"/>
              <w:rPr>
                <w:color w:val="auto"/>
                <w:sz w:val="20"/>
                <w:szCs w:val="20"/>
                <w:highlight w:val="none"/>
              </w:rPr>
            </w:pPr>
            <w:r>
              <w:rPr>
                <w:color w:val="auto"/>
                <w:sz w:val="20"/>
                <w:szCs w:val="20"/>
                <w:highlight w:val="none"/>
              </w:rPr>
              <w:t>密实度</w:t>
            </w:r>
          </w:p>
        </w:tc>
        <w:tc>
          <w:tcPr>
            <w:tcW w:w="1452" w:type="dxa"/>
            <w:vAlign w:val="center"/>
          </w:tcPr>
          <w:p>
            <w:pPr>
              <w:jc w:val="center"/>
              <w:rPr>
                <w:color w:val="auto"/>
                <w:sz w:val="20"/>
                <w:szCs w:val="20"/>
                <w:highlight w:val="none"/>
              </w:rPr>
            </w:pPr>
            <w:r>
              <w:rPr>
                <w:color w:val="auto"/>
                <w:sz w:val="20"/>
                <w:szCs w:val="20"/>
                <w:highlight w:val="none"/>
              </w:rPr>
              <w:t>松散</w:t>
            </w:r>
          </w:p>
        </w:tc>
        <w:tc>
          <w:tcPr>
            <w:tcW w:w="1452" w:type="dxa"/>
            <w:vAlign w:val="center"/>
          </w:tcPr>
          <w:p>
            <w:pPr>
              <w:jc w:val="center"/>
              <w:rPr>
                <w:color w:val="auto"/>
                <w:sz w:val="20"/>
                <w:szCs w:val="20"/>
                <w:highlight w:val="none"/>
              </w:rPr>
            </w:pPr>
            <w:r>
              <w:rPr>
                <w:color w:val="auto"/>
                <w:spacing w:val="2"/>
                <w:kern w:val="0"/>
                <w:sz w:val="20"/>
                <w:szCs w:val="20"/>
                <w:highlight w:val="none"/>
              </w:rPr>
              <w:t>稍密</w:t>
            </w:r>
          </w:p>
        </w:tc>
        <w:tc>
          <w:tcPr>
            <w:tcW w:w="1452" w:type="dxa"/>
            <w:vAlign w:val="center"/>
          </w:tcPr>
          <w:p>
            <w:pPr>
              <w:jc w:val="center"/>
              <w:rPr>
                <w:color w:val="auto"/>
                <w:sz w:val="20"/>
                <w:szCs w:val="20"/>
                <w:highlight w:val="none"/>
              </w:rPr>
            </w:pPr>
            <w:r>
              <w:rPr>
                <w:color w:val="auto"/>
                <w:spacing w:val="2"/>
                <w:kern w:val="0"/>
                <w:sz w:val="20"/>
                <w:szCs w:val="20"/>
                <w:highlight w:val="none"/>
              </w:rPr>
              <w:t>中密</w:t>
            </w:r>
          </w:p>
        </w:tc>
        <w:tc>
          <w:tcPr>
            <w:tcW w:w="1452" w:type="dxa"/>
            <w:vAlign w:val="center"/>
          </w:tcPr>
          <w:p>
            <w:pPr>
              <w:jc w:val="center"/>
              <w:rPr>
                <w:color w:val="auto"/>
                <w:sz w:val="20"/>
                <w:szCs w:val="20"/>
                <w:highlight w:val="none"/>
              </w:rPr>
            </w:pPr>
            <w:r>
              <w:rPr>
                <w:color w:val="auto"/>
                <w:sz w:val="20"/>
                <w:szCs w:val="20"/>
                <w:highlight w:val="none"/>
              </w:rPr>
              <w:t>密实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509" w:type="dxa"/>
            <w:vAlign w:val="center"/>
          </w:tcPr>
          <w:p>
            <w:pPr>
              <w:jc w:val="center"/>
              <w:rPr>
                <w:color w:val="auto"/>
                <w:sz w:val="20"/>
                <w:szCs w:val="20"/>
                <w:highlight w:val="none"/>
              </w:rPr>
            </w:pPr>
            <w:r>
              <w:rPr>
                <w:color w:val="auto"/>
                <w:spacing w:val="2"/>
                <w:kern w:val="0"/>
                <w:sz w:val="20"/>
                <w:szCs w:val="20"/>
                <w:highlight w:val="none"/>
              </w:rPr>
              <w:t>重型圆锥动力触探锤击</w:t>
            </w:r>
            <w:r>
              <w:rPr>
                <w:rFonts w:hint="eastAsia"/>
                <w:color w:val="auto"/>
                <w:spacing w:val="2"/>
                <w:kern w:val="0"/>
                <w:sz w:val="20"/>
                <w:szCs w:val="20"/>
                <w:highlight w:val="none"/>
              </w:rPr>
              <w:t>数</w:t>
            </w:r>
            <w:r>
              <w:rPr>
                <w:i/>
                <w:color w:val="auto"/>
                <w:sz w:val="20"/>
                <w:szCs w:val="20"/>
                <w:highlight w:val="none"/>
              </w:rPr>
              <w:t>N</w:t>
            </w:r>
            <w:r>
              <w:rPr>
                <w:iCs/>
                <w:color w:val="auto"/>
                <w:sz w:val="20"/>
                <w:szCs w:val="20"/>
                <w:highlight w:val="none"/>
                <w:vertAlign w:val="subscript"/>
              </w:rPr>
              <w:t>63.5</w:t>
            </w:r>
          </w:p>
        </w:tc>
        <w:tc>
          <w:tcPr>
            <w:tcW w:w="1452" w:type="dxa"/>
            <w:vAlign w:val="center"/>
          </w:tcPr>
          <w:p>
            <w:pPr>
              <w:jc w:val="center"/>
              <w:rPr>
                <w:i/>
                <w:color w:val="auto"/>
                <w:sz w:val="20"/>
                <w:szCs w:val="20"/>
                <w:highlight w:val="none"/>
              </w:rPr>
            </w:pPr>
            <w:r>
              <w:rPr>
                <w:i/>
                <w:color w:val="auto"/>
                <w:sz w:val="20"/>
                <w:szCs w:val="20"/>
                <w:highlight w:val="none"/>
              </w:rPr>
              <w:t>N</w:t>
            </w:r>
            <w:r>
              <w:rPr>
                <w:iCs/>
                <w:color w:val="auto"/>
                <w:sz w:val="20"/>
                <w:szCs w:val="20"/>
                <w:highlight w:val="none"/>
                <w:vertAlign w:val="subscript"/>
              </w:rPr>
              <w:t>63.5</w:t>
            </w:r>
            <w:r>
              <w:rPr>
                <w:rFonts w:hint="eastAsia" w:ascii="宋体" w:hAnsi="宋体" w:cs="宋体"/>
                <w:color w:val="auto"/>
                <w:sz w:val="20"/>
                <w:szCs w:val="20"/>
                <w:highlight w:val="none"/>
              </w:rPr>
              <w:t>≤</w:t>
            </w:r>
            <w:r>
              <w:rPr>
                <w:color w:val="auto"/>
                <w:spacing w:val="2"/>
                <w:kern w:val="0"/>
                <w:sz w:val="20"/>
                <w:szCs w:val="20"/>
                <w:highlight w:val="none"/>
              </w:rPr>
              <w:t>5</w:t>
            </w:r>
          </w:p>
        </w:tc>
        <w:tc>
          <w:tcPr>
            <w:tcW w:w="1452" w:type="dxa"/>
            <w:vAlign w:val="center"/>
          </w:tcPr>
          <w:p>
            <w:pPr>
              <w:jc w:val="center"/>
              <w:rPr>
                <w:color w:val="auto"/>
                <w:sz w:val="20"/>
                <w:szCs w:val="20"/>
                <w:highlight w:val="none"/>
              </w:rPr>
            </w:pPr>
            <w:r>
              <w:rPr>
                <w:color w:val="auto"/>
                <w:spacing w:val="2"/>
                <w:kern w:val="0"/>
                <w:sz w:val="20"/>
                <w:szCs w:val="20"/>
                <w:highlight w:val="none"/>
              </w:rPr>
              <w:t>5＜</w:t>
            </w:r>
            <w:r>
              <w:rPr>
                <w:i/>
                <w:color w:val="auto"/>
                <w:sz w:val="20"/>
                <w:szCs w:val="20"/>
                <w:highlight w:val="none"/>
              </w:rPr>
              <w:t>N</w:t>
            </w:r>
            <w:r>
              <w:rPr>
                <w:iCs/>
                <w:color w:val="auto"/>
                <w:sz w:val="20"/>
                <w:szCs w:val="20"/>
                <w:highlight w:val="none"/>
                <w:vertAlign w:val="subscript"/>
              </w:rPr>
              <w:t>63.5</w:t>
            </w:r>
            <w:r>
              <w:rPr>
                <w:rFonts w:hint="eastAsia" w:ascii="宋体" w:hAnsi="宋体" w:cs="宋体"/>
                <w:color w:val="auto"/>
                <w:sz w:val="20"/>
                <w:szCs w:val="20"/>
                <w:highlight w:val="none"/>
              </w:rPr>
              <w:t>≤</w:t>
            </w:r>
            <w:r>
              <w:rPr>
                <w:color w:val="auto"/>
                <w:spacing w:val="2"/>
                <w:kern w:val="0"/>
                <w:sz w:val="20"/>
                <w:szCs w:val="20"/>
                <w:highlight w:val="none"/>
              </w:rPr>
              <w:t>10</w:t>
            </w:r>
          </w:p>
        </w:tc>
        <w:tc>
          <w:tcPr>
            <w:tcW w:w="1452" w:type="dxa"/>
            <w:vAlign w:val="center"/>
          </w:tcPr>
          <w:p>
            <w:pPr>
              <w:jc w:val="center"/>
              <w:rPr>
                <w:color w:val="auto"/>
                <w:sz w:val="20"/>
                <w:szCs w:val="20"/>
                <w:highlight w:val="none"/>
              </w:rPr>
            </w:pPr>
            <w:r>
              <w:rPr>
                <w:color w:val="auto"/>
                <w:spacing w:val="2"/>
                <w:kern w:val="0"/>
                <w:sz w:val="20"/>
                <w:szCs w:val="20"/>
                <w:highlight w:val="none"/>
              </w:rPr>
              <w:t>10＜</w:t>
            </w:r>
            <w:r>
              <w:rPr>
                <w:i/>
                <w:color w:val="auto"/>
                <w:sz w:val="20"/>
                <w:szCs w:val="20"/>
                <w:highlight w:val="none"/>
              </w:rPr>
              <w:t>N</w:t>
            </w:r>
            <w:r>
              <w:rPr>
                <w:iCs/>
                <w:color w:val="auto"/>
                <w:sz w:val="20"/>
                <w:szCs w:val="20"/>
                <w:highlight w:val="none"/>
                <w:vertAlign w:val="subscript"/>
              </w:rPr>
              <w:t>63.5</w:t>
            </w:r>
            <w:r>
              <w:rPr>
                <w:rFonts w:hint="eastAsia" w:ascii="宋体" w:hAnsi="宋体" w:cs="宋体"/>
                <w:color w:val="auto"/>
                <w:sz w:val="20"/>
                <w:szCs w:val="20"/>
                <w:highlight w:val="none"/>
              </w:rPr>
              <w:t>≤</w:t>
            </w:r>
            <w:r>
              <w:rPr>
                <w:color w:val="auto"/>
                <w:spacing w:val="2"/>
                <w:kern w:val="0"/>
                <w:sz w:val="20"/>
                <w:szCs w:val="20"/>
                <w:highlight w:val="none"/>
              </w:rPr>
              <w:t>20</w:t>
            </w:r>
          </w:p>
        </w:tc>
        <w:tc>
          <w:tcPr>
            <w:tcW w:w="1452" w:type="dxa"/>
            <w:vAlign w:val="center"/>
          </w:tcPr>
          <w:p>
            <w:pPr>
              <w:jc w:val="center"/>
              <w:rPr>
                <w:color w:val="auto"/>
                <w:sz w:val="20"/>
                <w:szCs w:val="20"/>
                <w:highlight w:val="none"/>
              </w:rPr>
            </w:pPr>
            <w:r>
              <w:rPr>
                <w:i/>
                <w:color w:val="auto"/>
                <w:sz w:val="20"/>
                <w:szCs w:val="20"/>
                <w:highlight w:val="none"/>
              </w:rPr>
              <w:t>N</w:t>
            </w:r>
            <w:r>
              <w:rPr>
                <w:iCs/>
                <w:color w:val="auto"/>
                <w:sz w:val="20"/>
                <w:szCs w:val="20"/>
                <w:highlight w:val="none"/>
                <w:vertAlign w:val="subscript"/>
              </w:rPr>
              <w:t>63.5</w:t>
            </w:r>
            <w:r>
              <w:rPr>
                <w:color w:val="auto"/>
                <w:spacing w:val="2"/>
                <w:kern w:val="0"/>
                <w:sz w:val="20"/>
                <w:szCs w:val="20"/>
                <w:highlight w:val="none"/>
              </w:rPr>
              <w:t>＞20</w:t>
            </w:r>
          </w:p>
        </w:tc>
      </w:tr>
    </w:tbl>
    <w:p>
      <w:pPr>
        <w:adjustRightInd w:val="0"/>
        <w:snapToGrid w:val="0"/>
        <w:spacing w:line="360" w:lineRule="auto"/>
        <w:ind w:firstLine="400" w:firstLineChars="200"/>
        <w:jc w:val="left"/>
        <w:rPr>
          <w:color w:val="auto"/>
          <w:kern w:val="0"/>
          <w:sz w:val="20"/>
          <w:szCs w:val="20"/>
          <w:highlight w:val="none"/>
        </w:rPr>
      </w:pPr>
      <w:r>
        <w:rPr>
          <w:color w:val="auto"/>
          <w:kern w:val="0"/>
          <w:sz w:val="20"/>
          <w:szCs w:val="20"/>
          <w:highlight w:val="none"/>
        </w:rPr>
        <w:t>注：本表适用于平均粒径等于或小于50mm，且最大粒径小于100mm的碎石土。</w:t>
      </w:r>
    </w:p>
    <w:p>
      <w:pPr>
        <w:autoSpaceDE w:val="0"/>
        <w:autoSpaceDN w:val="0"/>
        <w:adjustRightInd w:val="0"/>
        <w:snapToGrid w:val="0"/>
        <w:spacing w:before="156" w:beforeLines="50" w:line="360" w:lineRule="auto"/>
        <w:jc w:val="center"/>
        <w:rPr>
          <w:b/>
          <w:bCs/>
          <w:color w:val="auto"/>
          <w:szCs w:val="21"/>
          <w:highlight w:val="none"/>
        </w:rPr>
      </w:pPr>
      <w:r>
        <w:rPr>
          <w:b/>
          <w:bCs/>
          <w:color w:val="auto"/>
          <w:kern w:val="0"/>
          <w:szCs w:val="21"/>
          <w:highlight w:val="none"/>
        </w:rPr>
        <w:t>表4.4.2-3</w:t>
      </w:r>
      <w:r>
        <w:rPr>
          <w:rFonts w:hint="eastAsia"/>
          <w:b/>
          <w:bCs/>
          <w:color w:val="auto"/>
          <w:kern w:val="0"/>
          <w:szCs w:val="21"/>
          <w:highlight w:val="none"/>
        </w:rPr>
        <w:t>　碎石土</w:t>
      </w:r>
      <w:r>
        <w:rPr>
          <w:b/>
          <w:bCs/>
          <w:color w:val="auto"/>
          <w:kern w:val="0"/>
          <w:szCs w:val="21"/>
          <w:highlight w:val="none"/>
        </w:rPr>
        <w:t>密实度按修正后的超重型圆锥动力触探锤击数</w:t>
      </w:r>
      <w:r>
        <w:rPr>
          <w:b/>
          <w:bCs/>
          <w:color w:val="auto"/>
          <w:kern w:val="0"/>
          <w:szCs w:val="18"/>
          <w:highlight w:val="none"/>
        </w:rPr>
        <w:t>划分</w:t>
      </w:r>
    </w:p>
    <w:tbl>
      <w:tblPr>
        <w:tblStyle w:val="22"/>
        <w:tblW w:w="83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1005"/>
        <w:gridCol w:w="1290"/>
        <w:gridCol w:w="1380"/>
        <w:gridCol w:w="1455"/>
        <w:gridCol w:w="10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192" w:type="dxa"/>
            <w:vAlign w:val="center"/>
          </w:tcPr>
          <w:p>
            <w:pPr>
              <w:jc w:val="center"/>
              <w:rPr>
                <w:color w:val="auto"/>
                <w:sz w:val="20"/>
                <w:szCs w:val="20"/>
                <w:highlight w:val="none"/>
              </w:rPr>
            </w:pPr>
            <w:r>
              <w:rPr>
                <w:color w:val="auto"/>
                <w:spacing w:val="2"/>
                <w:kern w:val="0"/>
                <w:sz w:val="20"/>
                <w:szCs w:val="20"/>
                <w:highlight w:val="none"/>
              </w:rPr>
              <w:t>密实度</w:t>
            </w:r>
          </w:p>
        </w:tc>
        <w:tc>
          <w:tcPr>
            <w:tcW w:w="1005" w:type="dxa"/>
            <w:vAlign w:val="center"/>
          </w:tcPr>
          <w:p>
            <w:pPr>
              <w:jc w:val="center"/>
              <w:rPr>
                <w:color w:val="auto"/>
                <w:spacing w:val="2"/>
                <w:kern w:val="0"/>
                <w:sz w:val="20"/>
                <w:szCs w:val="20"/>
                <w:highlight w:val="none"/>
              </w:rPr>
            </w:pPr>
            <w:r>
              <w:rPr>
                <w:color w:val="auto"/>
                <w:spacing w:val="2"/>
                <w:kern w:val="0"/>
                <w:sz w:val="20"/>
                <w:szCs w:val="20"/>
                <w:highlight w:val="none"/>
              </w:rPr>
              <w:t>松散</w:t>
            </w:r>
          </w:p>
        </w:tc>
        <w:tc>
          <w:tcPr>
            <w:tcW w:w="1290" w:type="dxa"/>
            <w:vAlign w:val="center"/>
          </w:tcPr>
          <w:p>
            <w:pPr>
              <w:jc w:val="center"/>
              <w:rPr>
                <w:color w:val="auto"/>
                <w:sz w:val="20"/>
                <w:szCs w:val="20"/>
                <w:highlight w:val="none"/>
              </w:rPr>
            </w:pPr>
            <w:r>
              <w:rPr>
                <w:color w:val="auto"/>
                <w:spacing w:val="2"/>
                <w:kern w:val="0"/>
                <w:sz w:val="20"/>
                <w:szCs w:val="20"/>
                <w:highlight w:val="none"/>
              </w:rPr>
              <w:t>稍密</w:t>
            </w:r>
          </w:p>
        </w:tc>
        <w:tc>
          <w:tcPr>
            <w:tcW w:w="1380" w:type="dxa"/>
            <w:vAlign w:val="center"/>
          </w:tcPr>
          <w:p>
            <w:pPr>
              <w:jc w:val="center"/>
              <w:rPr>
                <w:color w:val="auto"/>
                <w:spacing w:val="2"/>
                <w:kern w:val="0"/>
                <w:sz w:val="20"/>
                <w:szCs w:val="20"/>
                <w:highlight w:val="none"/>
              </w:rPr>
            </w:pPr>
            <w:r>
              <w:rPr>
                <w:color w:val="auto"/>
                <w:spacing w:val="2"/>
                <w:kern w:val="0"/>
                <w:sz w:val="20"/>
                <w:szCs w:val="20"/>
                <w:highlight w:val="none"/>
              </w:rPr>
              <w:t>中密</w:t>
            </w:r>
          </w:p>
        </w:tc>
        <w:tc>
          <w:tcPr>
            <w:tcW w:w="1455" w:type="dxa"/>
            <w:vAlign w:val="center"/>
          </w:tcPr>
          <w:p>
            <w:pPr>
              <w:jc w:val="center"/>
              <w:rPr>
                <w:color w:val="auto"/>
                <w:sz w:val="20"/>
                <w:szCs w:val="20"/>
                <w:highlight w:val="none"/>
              </w:rPr>
            </w:pPr>
            <w:r>
              <w:rPr>
                <w:color w:val="auto"/>
                <w:spacing w:val="2"/>
                <w:kern w:val="0"/>
                <w:sz w:val="20"/>
                <w:szCs w:val="20"/>
                <w:highlight w:val="none"/>
              </w:rPr>
              <w:t>密实</w:t>
            </w:r>
          </w:p>
        </w:tc>
        <w:tc>
          <w:tcPr>
            <w:tcW w:w="1002" w:type="dxa"/>
            <w:vAlign w:val="center"/>
          </w:tcPr>
          <w:p>
            <w:pPr>
              <w:jc w:val="center"/>
              <w:rPr>
                <w:color w:val="auto"/>
                <w:sz w:val="20"/>
                <w:szCs w:val="20"/>
                <w:highlight w:val="none"/>
              </w:rPr>
            </w:pPr>
            <w:r>
              <w:rPr>
                <w:color w:val="auto"/>
                <w:sz w:val="20"/>
                <w:szCs w:val="20"/>
                <w:highlight w:val="none"/>
              </w:rPr>
              <w:t>很密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192" w:type="dxa"/>
            <w:vAlign w:val="center"/>
          </w:tcPr>
          <w:p>
            <w:pPr>
              <w:jc w:val="center"/>
              <w:rPr>
                <w:color w:val="auto"/>
                <w:sz w:val="20"/>
                <w:szCs w:val="20"/>
                <w:highlight w:val="none"/>
              </w:rPr>
            </w:pPr>
            <w:r>
              <w:rPr>
                <w:color w:val="auto"/>
                <w:spacing w:val="2"/>
                <w:kern w:val="0"/>
                <w:sz w:val="20"/>
                <w:szCs w:val="20"/>
                <w:highlight w:val="none"/>
              </w:rPr>
              <w:t>超重型圆锥动力触探锤击数</w:t>
            </w:r>
            <w:r>
              <w:rPr>
                <w:i/>
                <w:color w:val="auto"/>
                <w:sz w:val="20"/>
                <w:szCs w:val="20"/>
                <w:highlight w:val="none"/>
              </w:rPr>
              <w:t>N</w:t>
            </w:r>
            <w:r>
              <w:rPr>
                <w:iCs/>
                <w:color w:val="auto"/>
                <w:sz w:val="20"/>
                <w:szCs w:val="20"/>
                <w:highlight w:val="none"/>
                <w:vertAlign w:val="subscript"/>
              </w:rPr>
              <w:t>120</w:t>
            </w:r>
          </w:p>
        </w:tc>
        <w:tc>
          <w:tcPr>
            <w:tcW w:w="1005" w:type="dxa"/>
            <w:vAlign w:val="center"/>
          </w:tcPr>
          <w:p>
            <w:pPr>
              <w:jc w:val="center"/>
              <w:rPr>
                <w:i/>
                <w:color w:val="auto"/>
                <w:sz w:val="20"/>
                <w:szCs w:val="20"/>
                <w:highlight w:val="none"/>
              </w:rPr>
            </w:pPr>
            <w:r>
              <w:rPr>
                <w:i/>
                <w:color w:val="auto"/>
                <w:sz w:val="20"/>
                <w:szCs w:val="20"/>
                <w:highlight w:val="none"/>
              </w:rPr>
              <w:t>N</w:t>
            </w:r>
            <w:r>
              <w:rPr>
                <w:iCs/>
                <w:color w:val="auto"/>
                <w:sz w:val="20"/>
                <w:szCs w:val="20"/>
                <w:highlight w:val="none"/>
                <w:vertAlign w:val="subscript"/>
              </w:rPr>
              <w:t>120</w:t>
            </w:r>
            <w:r>
              <w:rPr>
                <w:rFonts w:hint="eastAsia" w:ascii="宋体" w:hAnsi="宋体" w:cs="宋体"/>
                <w:color w:val="auto"/>
                <w:sz w:val="20"/>
                <w:szCs w:val="20"/>
                <w:highlight w:val="none"/>
              </w:rPr>
              <w:t>≤</w:t>
            </w:r>
            <w:r>
              <w:rPr>
                <w:color w:val="auto"/>
                <w:spacing w:val="2"/>
                <w:kern w:val="0"/>
                <w:sz w:val="20"/>
                <w:szCs w:val="20"/>
                <w:highlight w:val="none"/>
              </w:rPr>
              <w:t>3</w:t>
            </w:r>
          </w:p>
        </w:tc>
        <w:tc>
          <w:tcPr>
            <w:tcW w:w="1290" w:type="dxa"/>
            <w:vAlign w:val="center"/>
          </w:tcPr>
          <w:p>
            <w:pPr>
              <w:jc w:val="center"/>
              <w:rPr>
                <w:color w:val="auto"/>
                <w:sz w:val="20"/>
                <w:szCs w:val="20"/>
                <w:highlight w:val="none"/>
              </w:rPr>
            </w:pPr>
            <w:r>
              <w:rPr>
                <w:color w:val="auto"/>
                <w:spacing w:val="2"/>
                <w:kern w:val="0"/>
                <w:sz w:val="20"/>
                <w:szCs w:val="20"/>
                <w:highlight w:val="none"/>
              </w:rPr>
              <w:t>3＜</w:t>
            </w:r>
            <w:r>
              <w:rPr>
                <w:i/>
                <w:color w:val="auto"/>
                <w:sz w:val="20"/>
                <w:szCs w:val="20"/>
                <w:highlight w:val="none"/>
              </w:rPr>
              <w:t>N</w:t>
            </w:r>
            <w:r>
              <w:rPr>
                <w:iCs/>
                <w:color w:val="auto"/>
                <w:sz w:val="20"/>
                <w:szCs w:val="20"/>
                <w:highlight w:val="none"/>
                <w:vertAlign w:val="subscript"/>
              </w:rPr>
              <w:t>120</w:t>
            </w:r>
            <w:r>
              <w:rPr>
                <w:rFonts w:hint="eastAsia" w:ascii="宋体" w:hAnsi="宋体" w:cs="宋体"/>
                <w:color w:val="auto"/>
                <w:sz w:val="20"/>
                <w:szCs w:val="20"/>
                <w:highlight w:val="none"/>
              </w:rPr>
              <w:t>≤</w:t>
            </w:r>
            <w:r>
              <w:rPr>
                <w:color w:val="auto"/>
                <w:spacing w:val="2"/>
                <w:kern w:val="0"/>
                <w:sz w:val="20"/>
                <w:szCs w:val="20"/>
                <w:highlight w:val="none"/>
              </w:rPr>
              <w:t>6</w:t>
            </w:r>
          </w:p>
        </w:tc>
        <w:tc>
          <w:tcPr>
            <w:tcW w:w="1380" w:type="dxa"/>
            <w:vAlign w:val="center"/>
          </w:tcPr>
          <w:p>
            <w:pPr>
              <w:jc w:val="center"/>
              <w:rPr>
                <w:color w:val="auto"/>
                <w:spacing w:val="2"/>
                <w:kern w:val="0"/>
                <w:sz w:val="20"/>
                <w:szCs w:val="20"/>
                <w:highlight w:val="none"/>
              </w:rPr>
            </w:pPr>
            <w:r>
              <w:rPr>
                <w:color w:val="auto"/>
                <w:spacing w:val="2"/>
                <w:kern w:val="0"/>
                <w:sz w:val="20"/>
                <w:szCs w:val="20"/>
                <w:highlight w:val="none"/>
              </w:rPr>
              <w:t>6＜</w:t>
            </w:r>
            <w:r>
              <w:rPr>
                <w:i/>
                <w:color w:val="auto"/>
                <w:sz w:val="20"/>
                <w:szCs w:val="20"/>
                <w:highlight w:val="none"/>
              </w:rPr>
              <w:t>N</w:t>
            </w:r>
            <w:r>
              <w:rPr>
                <w:iCs/>
                <w:color w:val="auto"/>
                <w:sz w:val="20"/>
                <w:szCs w:val="20"/>
                <w:highlight w:val="none"/>
                <w:vertAlign w:val="subscript"/>
              </w:rPr>
              <w:t>120</w:t>
            </w:r>
            <w:r>
              <w:rPr>
                <w:rFonts w:hint="eastAsia" w:ascii="宋体" w:hAnsi="宋体" w:cs="宋体"/>
                <w:color w:val="auto"/>
                <w:sz w:val="20"/>
                <w:szCs w:val="20"/>
                <w:highlight w:val="none"/>
              </w:rPr>
              <w:t>≤</w:t>
            </w:r>
            <w:r>
              <w:rPr>
                <w:color w:val="auto"/>
                <w:spacing w:val="2"/>
                <w:kern w:val="0"/>
                <w:sz w:val="20"/>
                <w:szCs w:val="20"/>
                <w:highlight w:val="none"/>
              </w:rPr>
              <w:t>11</w:t>
            </w:r>
          </w:p>
        </w:tc>
        <w:tc>
          <w:tcPr>
            <w:tcW w:w="1455" w:type="dxa"/>
            <w:vAlign w:val="center"/>
          </w:tcPr>
          <w:p>
            <w:pPr>
              <w:jc w:val="center"/>
              <w:rPr>
                <w:color w:val="auto"/>
                <w:sz w:val="20"/>
                <w:szCs w:val="20"/>
                <w:highlight w:val="none"/>
              </w:rPr>
            </w:pPr>
            <w:r>
              <w:rPr>
                <w:color w:val="auto"/>
                <w:spacing w:val="2"/>
                <w:kern w:val="0"/>
                <w:sz w:val="20"/>
                <w:szCs w:val="20"/>
                <w:highlight w:val="none"/>
              </w:rPr>
              <w:t>11＜</w:t>
            </w:r>
            <w:r>
              <w:rPr>
                <w:i/>
                <w:color w:val="auto"/>
                <w:sz w:val="20"/>
                <w:szCs w:val="20"/>
                <w:highlight w:val="none"/>
              </w:rPr>
              <w:t>N</w:t>
            </w:r>
            <w:r>
              <w:rPr>
                <w:iCs/>
                <w:color w:val="auto"/>
                <w:sz w:val="20"/>
                <w:szCs w:val="20"/>
                <w:highlight w:val="none"/>
                <w:vertAlign w:val="subscript"/>
              </w:rPr>
              <w:t>120</w:t>
            </w:r>
            <w:r>
              <w:rPr>
                <w:rFonts w:hint="eastAsia" w:ascii="宋体" w:hAnsi="宋体" w:cs="宋体"/>
                <w:color w:val="auto"/>
                <w:sz w:val="20"/>
                <w:szCs w:val="20"/>
                <w:highlight w:val="none"/>
              </w:rPr>
              <w:t>≤</w:t>
            </w:r>
            <w:r>
              <w:rPr>
                <w:color w:val="auto"/>
                <w:spacing w:val="2"/>
                <w:kern w:val="0"/>
                <w:sz w:val="20"/>
                <w:szCs w:val="20"/>
                <w:highlight w:val="none"/>
              </w:rPr>
              <w:t>14</w:t>
            </w:r>
          </w:p>
        </w:tc>
        <w:tc>
          <w:tcPr>
            <w:tcW w:w="1002" w:type="dxa"/>
            <w:vAlign w:val="center"/>
          </w:tcPr>
          <w:p>
            <w:pPr>
              <w:adjustRightInd w:val="0"/>
              <w:snapToGrid w:val="0"/>
              <w:ind w:left="-90"/>
              <w:jc w:val="center"/>
              <w:rPr>
                <w:color w:val="auto"/>
                <w:sz w:val="20"/>
                <w:szCs w:val="20"/>
                <w:highlight w:val="none"/>
              </w:rPr>
            </w:pPr>
            <w:r>
              <w:rPr>
                <w:i/>
                <w:color w:val="auto"/>
                <w:sz w:val="20"/>
                <w:szCs w:val="20"/>
                <w:highlight w:val="none"/>
              </w:rPr>
              <w:t>N</w:t>
            </w:r>
            <w:r>
              <w:rPr>
                <w:iCs/>
                <w:color w:val="auto"/>
                <w:sz w:val="20"/>
                <w:szCs w:val="20"/>
                <w:highlight w:val="none"/>
                <w:vertAlign w:val="subscript"/>
              </w:rPr>
              <w:t>120</w:t>
            </w:r>
            <w:r>
              <w:rPr>
                <w:color w:val="auto"/>
                <w:spacing w:val="2"/>
                <w:kern w:val="0"/>
                <w:sz w:val="20"/>
                <w:szCs w:val="20"/>
                <w:highlight w:val="none"/>
              </w:rPr>
              <w:t>＞14</w:t>
            </w:r>
          </w:p>
        </w:tc>
      </w:tr>
    </w:tbl>
    <w:p>
      <w:pPr>
        <w:adjustRightInd w:val="0"/>
        <w:snapToGrid w:val="0"/>
        <w:spacing w:line="360" w:lineRule="auto"/>
        <w:ind w:firstLine="400" w:firstLineChars="200"/>
        <w:jc w:val="left"/>
        <w:rPr>
          <w:color w:val="auto"/>
          <w:kern w:val="0"/>
          <w:sz w:val="20"/>
          <w:szCs w:val="20"/>
          <w:highlight w:val="none"/>
        </w:rPr>
      </w:pPr>
      <w:r>
        <w:rPr>
          <w:color w:val="auto"/>
          <w:kern w:val="0"/>
          <w:sz w:val="20"/>
          <w:szCs w:val="20"/>
          <w:highlight w:val="none"/>
        </w:rPr>
        <w:t>注：本表适用于平均粒径大于50mm，或最大粒径大于100mm的碎石土。</w:t>
      </w:r>
    </w:p>
    <w:p>
      <w:pPr>
        <w:spacing w:line="360" w:lineRule="auto"/>
        <w:jc w:val="left"/>
        <w:rPr>
          <w:color w:val="auto"/>
          <w:highlight w:val="none"/>
        </w:rPr>
      </w:pPr>
      <w:r>
        <w:rPr>
          <w:b/>
          <w:bCs/>
          <w:color w:val="auto"/>
          <w:highlight w:val="none"/>
        </w:rPr>
        <w:t>4.4.3</w:t>
      </w:r>
      <w:r>
        <w:rPr>
          <w:rFonts w:hint="eastAsia"/>
          <w:b/>
          <w:bCs/>
          <w:color w:val="auto"/>
          <w:highlight w:val="none"/>
        </w:rPr>
        <w:t>　</w:t>
      </w:r>
      <w:r>
        <w:rPr>
          <w:color w:val="auto"/>
          <w:highlight w:val="none"/>
        </w:rPr>
        <w:t>砂土</w:t>
      </w:r>
      <w:r>
        <w:rPr>
          <w:rFonts w:hint="eastAsia"/>
          <w:color w:val="auto"/>
          <w:highlight w:val="none"/>
        </w:rPr>
        <w:t>的</w:t>
      </w:r>
      <w:r>
        <w:rPr>
          <w:color w:val="auto"/>
          <w:highlight w:val="none"/>
        </w:rPr>
        <w:t>密实度应根据标准贯入试验锤击数实测值</w:t>
      </w:r>
      <w:r>
        <w:rPr>
          <w:rFonts w:hint="eastAsia"/>
          <w:i/>
          <w:color w:val="auto"/>
          <w:szCs w:val="21"/>
          <w:highlight w:val="none"/>
        </w:rPr>
        <w:t>N'</w:t>
      </w:r>
      <w:r>
        <w:rPr>
          <w:color w:val="auto"/>
          <w:highlight w:val="none"/>
        </w:rPr>
        <w:t>按表4.4.3划分。</w:t>
      </w:r>
    </w:p>
    <w:p>
      <w:pPr>
        <w:tabs>
          <w:tab w:val="left" w:pos="930"/>
          <w:tab w:val="center" w:pos="4535"/>
          <w:tab w:val="left" w:pos="7544"/>
        </w:tabs>
        <w:spacing w:line="360" w:lineRule="auto"/>
        <w:jc w:val="center"/>
        <w:rPr>
          <w:b/>
          <w:color w:val="auto"/>
          <w:sz w:val="28"/>
          <w:szCs w:val="28"/>
          <w:highlight w:val="none"/>
        </w:rPr>
      </w:pPr>
      <w:r>
        <w:rPr>
          <w:b/>
          <w:color w:val="auto"/>
          <w:highlight w:val="none"/>
        </w:rPr>
        <w:t>表4.4.3 砂土的密实度划分</w:t>
      </w:r>
    </w:p>
    <w:tbl>
      <w:tblPr>
        <w:tblStyle w:val="22"/>
        <w:tblW w:w="83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62"/>
        <w:gridCol w:w="1588"/>
        <w:gridCol w:w="1588"/>
        <w:gridCol w:w="1588"/>
        <w:gridCol w:w="15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962" w:type="dxa"/>
            <w:vAlign w:val="center"/>
          </w:tcPr>
          <w:p>
            <w:pPr>
              <w:tabs>
                <w:tab w:val="left" w:pos="930"/>
              </w:tabs>
              <w:jc w:val="center"/>
              <w:rPr>
                <w:color w:val="auto"/>
                <w:sz w:val="20"/>
                <w:szCs w:val="20"/>
                <w:highlight w:val="none"/>
              </w:rPr>
            </w:pPr>
            <w:r>
              <w:rPr>
                <w:color w:val="auto"/>
                <w:kern w:val="0"/>
                <w:sz w:val="20"/>
                <w:szCs w:val="20"/>
                <w:highlight w:val="none"/>
              </w:rPr>
              <w:t>密实度</w:t>
            </w:r>
          </w:p>
        </w:tc>
        <w:tc>
          <w:tcPr>
            <w:tcW w:w="1588" w:type="dxa"/>
            <w:vAlign w:val="center"/>
          </w:tcPr>
          <w:p>
            <w:pPr>
              <w:tabs>
                <w:tab w:val="left" w:pos="930"/>
              </w:tabs>
              <w:jc w:val="center"/>
              <w:rPr>
                <w:color w:val="auto"/>
                <w:kern w:val="0"/>
                <w:sz w:val="20"/>
                <w:szCs w:val="20"/>
                <w:highlight w:val="none"/>
              </w:rPr>
            </w:pPr>
            <w:r>
              <w:rPr>
                <w:color w:val="auto"/>
                <w:kern w:val="0"/>
                <w:sz w:val="20"/>
                <w:szCs w:val="20"/>
                <w:highlight w:val="none"/>
              </w:rPr>
              <w:t>松散</w:t>
            </w:r>
          </w:p>
        </w:tc>
        <w:tc>
          <w:tcPr>
            <w:tcW w:w="1588" w:type="dxa"/>
            <w:vAlign w:val="center"/>
          </w:tcPr>
          <w:p>
            <w:pPr>
              <w:tabs>
                <w:tab w:val="left" w:pos="930"/>
              </w:tabs>
              <w:jc w:val="center"/>
              <w:rPr>
                <w:color w:val="auto"/>
                <w:kern w:val="0"/>
                <w:sz w:val="20"/>
                <w:szCs w:val="20"/>
                <w:highlight w:val="none"/>
              </w:rPr>
            </w:pPr>
            <w:r>
              <w:rPr>
                <w:color w:val="auto"/>
                <w:kern w:val="0"/>
                <w:sz w:val="20"/>
                <w:szCs w:val="20"/>
                <w:highlight w:val="none"/>
              </w:rPr>
              <w:t>稍密</w:t>
            </w:r>
          </w:p>
        </w:tc>
        <w:tc>
          <w:tcPr>
            <w:tcW w:w="1588" w:type="dxa"/>
            <w:vAlign w:val="center"/>
          </w:tcPr>
          <w:p>
            <w:pPr>
              <w:tabs>
                <w:tab w:val="left" w:pos="930"/>
              </w:tabs>
              <w:jc w:val="center"/>
              <w:rPr>
                <w:color w:val="auto"/>
                <w:kern w:val="0"/>
                <w:sz w:val="20"/>
                <w:szCs w:val="20"/>
                <w:highlight w:val="none"/>
              </w:rPr>
            </w:pPr>
            <w:r>
              <w:rPr>
                <w:color w:val="auto"/>
                <w:kern w:val="0"/>
                <w:sz w:val="20"/>
                <w:szCs w:val="20"/>
                <w:highlight w:val="none"/>
              </w:rPr>
              <w:t>中密</w:t>
            </w:r>
          </w:p>
        </w:tc>
        <w:tc>
          <w:tcPr>
            <w:tcW w:w="1588" w:type="dxa"/>
            <w:vAlign w:val="center"/>
          </w:tcPr>
          <w:p>
            <w:pPr>
              <w:tabs>
                <w:tab w:val="left" w:pos="930"/>
              </w:tabs>
              <w:jc w:val="center"/>
              <w:rPr>
                <w:color w:val="auto"/>
                <w:kern w:val="0"/>
                <w:sz w:val="20"/>
                <w:szCs w:val="20"/>
                <w:highlight w:val="none"/>
              </w:rPr>
            </w:pPr>
            <w:r>
              <w:rPr>
                <w:color w:val="auto"/>
                <w:kern w:val="0"/>
                <w:sz w:val="20"/>
                <w:szCs w:val="20"/>
                <w:highlight w:val="none"/>
              </w:rPr>
              <w:t>密实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962" w:type="dxa"/>
            <w:vAlign w:val="center"/>
          </w:tcPr>
          <w:p>
            <w:pPr>
              <w:tabs>
                <w:tab w:val="left" w:pos="930"/>
              </w:tabs>
              <w:jc w:val="center"/>
              <w:rPr>
                <w:color w:val="auto"/>
                <w:sz w:val="20"/>
                <w:szCs w:val="20"/>
                <w:highlight w:val="none"/>
              </w:rPr>
            </w:pPr>
            <w:r>
              <w:rPr>
                <w:color w:val="auto"/>
                <w:sz w:val="20"/>
                <w:szCs w:val="20"/>
                <w:highlight w:val="none"/>
              </w:rPr>
              <w:t>标准贯入锤击数</w:t>
            </w:r>
            <w:r>
              <w:rPr>
                <w:rFonts w:hint="eastAsia"/>
                <w:i/>
                <w:color w:val="auto"/>
                <w:sz w:val="20"/>
                <w:szCs w:val="20"/>
                <w:highlight w:val="none"/>
              </w:rPr>
              <w:t>N'</w:t>
            </w:r>
          </w:p>
        </w:tc>
        <w:tc>
          <w:tcPr>
            <w:tcW w:w="1588" w:type="dxa"/>
            <w:vAlign w:val="center"/>
          </w:tcPr>
          <w:p>
            <w:pPr>
              <w:tabs>
                <w:tab w:val="left" w:pos="930"/>
              </w:tabs>
              <w:jc w:val="center"/>
              <w:rPr>
                <w:color w:val="auto"/>
                <w:sz w:val="20"/>
                <w:szCs w:val="20"/>
                <w:highlight w:val="none"/>
              </w:rPr>
            </w:pPr>
            <w:r>
              <w:rPr>
                <w:rFonts w:hint="eastAsia"/>
                <w:i/>
                <w:color w:val="auto"/>
                <w:sz w:val="20"/>
                <w:szCs w:val="20"/>
                <w:highlight w:val="none"/>
              </w:rPr>
              <w:t>N'</w:t>
            </w:r>
            <w:r>
              <w:rPr>
                <w:i/>
                <w:color w:val="auto"/>
                <w:sz w:val="20"/>
                <w:szCs w:val="20"/>
                <w:highlight w:val="none"/>
                <w:vertAlign w:val="subscript"/>
              </w:rPr>
              <w:t xml:space="preserve"> </w:t>
            </w:r>
            <w:r>
              <w:rPr>
                <w:rFonts w:hint="eastAsia" w:ascii="宋体" w:hAnsi="宋体" w:cs="宋体"/>
                <w:color w:val="auto"/>
                <w:sz w:val="20"/>
                <w:szCs w:val="20"/>
                <w:highlight w:val="none"/>
              </w:rPr>
              <w:t>≤</w:t>
            </w:r>
            <w:r>
              <w:rPr>
                <w:color w:val="auto"/>
                <w:kern w:val="0"/>
                <w:sz w:val="20"/>
                <w:szCs w:val="20"/>
                <w:highlight w:val="none"/>
              </w:rPr>
              <w:t>10</w:t>
            </w:r>
          </w:p>
        </w:tc>
        <w:tc>
          <w:tcPr>
            <w:tcW w:w="1588" w:type="dxa"/>
            <w:vAlign w:val="center"/>
          </w:tcPr>
          <w:p>
            <w:pPr>
              <w:autoSpaceDE w:val="0"/>
              <w:autoSpaceDN w:val="0"/>
              <w:adjustRightInd w:val="0"/>
              <w:jc w:val="center"/>
              <w:rPr>
                <w:color w:val="auto"/>
                <w:kern w:val="0"/>
                <w:sz w:val="20"/>
                <w:szCs w:val="20"/>
                <w:highlight w:val="none"/>
              </w:rPr>
            </w:pPr>
            <w:r>
              <w:rPr>
                <w:color w:val="auto"/>
                <w:kern w:val="0"/>
                <w:sz w:val="20"/>
                <w:szCs w:val="20"/>
                <w:highlight w:val="none"/>
              </w:rPr>
              <w:t>10＜</w:t>
            </w:r>
            <w:r>
              <w:rPr>
                <w:rFonts w:hint="eastAsia"/>
                <w:i/>
                <w:color w:val="auto"/>
                <w:sz w:val="20"/>
                <w:szCs w:val="20"/>
                <w:highlight w:val="none"/>
              </w:rPr>
              <w:t>N'</w:t>
            </w:r>
            <w:r>
              <w:rPr>
                <w:rFonts w:hint="eastAsia" w:ascii="宋体" w:hAnsi="宋体" w:cs="宋体"/>
                <w:color w:val="auto"/>
                <w:sz w:val="20"/>
                <w:szCs w:val="20"/>
                <w:highlight w:val="none"/>
              </w:rPr>
              <w:t>≤</w:t>
            </w:r>
            <w:r>
              <w:rPr>
                <w:color w:val="auto"/>
                <w:kern w:val="0"/>
                <w:sz w:val="20"/>
                <w:szCs w:val="20"/>
                <w:highlight w:val="none"/>
              </w:rPr>
              <w:t>15</w:t>
            </w:r>
          </w:p>
        </w:tc>
        <w:tc>
          <w:tcPr>
            <w:tcW w:w="1588" w:type="dxa"/>
            <w:vAlign w:val="center"/>
          </w:tcPr>
          <w:p>
            <w:pPr>
              <w:autoSpaceDE w:val="0"/>
              <w:autoSpaceDN w:val="0"/>
              <w:adjustRightInd w:val="0"/>
              <w:jc w:val="center"/>
              <w:rPr>
                <w:color w:val="auto"/>
                <w:kern w:val="0"/>
                <w:sz w:val="20"/>
                <w:szCs w:val="20"/>
                <w:highlight w:val="none"/>
              </w:rPr>
            </w:pPr>
            <w:r>
              <w:rPr>
                <w:color w:val="auto"/>
                <w:kern w:val="0"/>
                <w:sz w:val="20"/>
                <w:szCs w:val="20"/>
                <w:highlight w:val="none"/>
              </w:rPr>
              <w:t>15＜</w:t>
            </w:r>
            <w:r>
              <w:rPr>
                <w:rFonts w:hint="eastAsia"/>
                <w:i/>
                <w:color w:val="auto"/>
                <w:sz w:val="20"/>
                <w:szCs w:val="20"/>
                <w:highlight w:val="none"/>
              </w:rPr>
              <w:t>N'</w:t>
            </w:r>
            <w:r>
              <w:rPr>
                <w:i/>
                <w:color w:val="auto"/>
                <w:sz w:val="20"/>
                <w:szCs w:val="20"/>
                <w:highlight w:val="none"/>
                <w:vertAlign w:val="subscript"/>
              </w:rPr>
              <w:t xml:space="preserve"> </w:t>
            </w:r>
            <w:r>
              <w:rPr>
                <w:rFonts w:hint="eastAsia" w:ascii="宋体" w:hAnsi="宋体" w:cs="宋体"/>
                <w:color w:val="auto"/>
                <w:sz w:val="20"/>
                <w:szCs w:val="20"/>
                <w:highlight w:val="none"/>
              </w:rPr>
              <w:t>≤</w:t>
            </w:r>
            <w:r>
              <w:rPr>
                <w:color w:val="auto"/>
                <w:kern w:val="0"/>
                <w:sz w:val="20"/>
                <w:szCs w:val="20"/>
                <w:highlight w:val="none"/>
              </w:rPr>
              <w:t>30</w:t>
            </w:r>
          </w:p>
        </w:tc>
        <w:tc>
          <w:tcPr>
            <w:tcW w:w="1588" w:type="dxa"/>
            <w:vAlign w:val="center"/>
          </w:tcPr>
          <w:p>
            <w:pPr>
              <w:tabs>
                <w:tab w:val="left" w:pos="930"/>
              </w:tabs>
              <w:jc w:val="center"/>
              <w:rPr>
                <w:color w:val="auto"/>
                <w:sz w:val="20"/>
                <w:szCs w:val="20"/>
                <w:highlight w:val="none"/>
              </w:rPr>
            </w:pPr>
            <w:r>
              <w:rPr>
                <w:rFonts w:hint="eastAsia"/>
                <w:i/>
                <w:color w:val="auto"/>
                <w:sz w:val="20"/>
                <w:szCs w:val="20"/>
                <w:highlight w:val="none"/>
              </w:rPr>
              <w:t>N'</w:t>
            </w:r>
            <w:r>
              <w:rPr>
                <w:color w:val="auto"/>
                <w:kern w:val="0"/>
                <w:sz w:val="20"/>
                <w:szCs w:val="20"/>
                <w:highlight w:val="none"/>
              </w:rPr>
              <w:t>＞30</w:t>
            </w:r>
          </w:p>
        </w:tc>
      </w:tr>
    </w:tbl>
    <w:p>
      <w:pPr>
        <w:spacing w:before="156" w:beforeLines="50" w:line="360" w:lineRule="auto"/>
        <w:jc w:val="left"/>
        <w:rPr>
          <w:color w:val="auto"/>
          <w:highlight w:val="none"/>
        </w:rPr>
      </w:pPr>
      <w:r>
        <w:rPr>
          <w:b/>
          <w:bCs/>
          <w:color w:val="auto"/>
          <w:highlight w:val="none"/>
        </w:rPr>
        <w:t>4.4.4</w:t>
      </w:r>
      <w:r>
        <w:rPr>
          <w:rFonts w:hint="eastAsia"/>
          <w:b/>
          <w:bCs/>
          <w:color w:val="auto"/>
          <w:highlight w:val="none"/>
        </w:rPr>
        <w:t>　</w:t>
      </w:r>
      <w:r>
        <w:rPr>
          <w:color w:val="auto"/>
          <w:highlight w:val="none"/>
        </w:rPr>
        <w:t>粉土的密实度宜根据孔隙比</w:t>
      </w:r>
      <w:r>
        <w:rPr>
          <w:i/>
          <w:color w:val="auto"/>
          <w:highlight w:val="none"/>
        </w:rPr>
        <w:t>e</w:t>
      </w:r>
      <w:r>
        <w:rPr>
          <w:color w:val="auto"/>
          <w:highlight w:val="none"/>
        </w:rPr>
        <w:t>按表4.4.4-1划分；粉土的湿度应根据含水率</w:t>
      </w:r>
      <w:r>
        <w:rPr>
          <w:i/>
          <w:color w:val="auto"/>
          <w:highlight w:val="none"/>
        </w:rPr>
        <w:t>w</w:t>
      </w:r>
      <w:r>
        <w:rPr>
          <w:iCs/>
          <w:color w:val="auto"/>
          <w:highlight w:val="none"/>
        </w:rPr>
        <w:t>(%)按</w:t>
      </w:r>
      <w:r>
        <w:rPr>
          <w:color w:val="auto"/>
          <w:highlight w:val="none"/>
        </w:rPr>
        <w:t>表4.4.4-</w:t>
      </w:r>
      <w:r>
        <w:rPr>
          <w:rFonts w:hint="eastAsia"/>
          <w:color w:val="auto"/>
          <w:highlight w:val="none"/>
          <w:lang w:val="en-US" w:eastAsia="zh-CN"/>
        </w:rPr>
        <w:t>2</w:t>
      </w:r>
      <w:r>
        <w:rPr>
          <w:color w:val="auto"/>
          <w:highlight w:val="none"/>
        </w:rPr>
        <w:t xml:space="preserve">划分。 </w:t>
      </w:r>
    </w:p>
    <w:p>
      <w:pPr>
        <w:autoSpaceDE w:val="0"/>
        <w:autoSpaceDN w:val="0"/>
        <w:adjustRightInd w:val="0"/>
        <w:snapToGrid w:val="0"/>
        <w:spacing w:before="62" w:beforeLines="20" w:line="360" w:lineRule="auto"/>
        <w:jc w:val="center"/>
        <w:rPr>
          <w:b/>
          <w:bCs/>
          <w:color w:val="auto"/>
          <w:szCs w:val="18"/>
          <w:highlight w:val="none"/>
        </w:rPr>
      </w:pPr>
      <w:r>
        <w:rPr>
          <w:b/>
          <w:bCs/>
          <w:color w:val="auto"/>
          <w:spacing w:val="9"/>
          <w:kern w:val="0"/>
          <w:szCs w:val="18"/>
          <w:highlight w:val="none"/>
        </w:rPr>
        <w:t>表4.4.4-1</w:t>
      </w:r>
      <w:r>
        <w:rPr>
          <w:rFonts w:hint="eastAsia"/>
          <w:b/>
          <w:bCs/>
          <w:color w:val="auto"/>
          <w:spacing w:val="9"/>
          <w:kern w:val="0"/>
          <w:szCs w:val="18"/>
          <w:highlight w:val="none"/>
        </w:rPr>
        <w:t>　</w:t>
      </w:r>
      <w:r>
        <w:rPr>
          <w:b/>
          <w:bCs/>
          <w:color w:val="auto"/>
          <w:kern w:val="0"/>
          <w:szCs w:val="18"/>
          <w:highlight w:val="none"/>
        </w:rPr>
        <w:t>粉土的密实度按</w:t>
      </w:r>
      <w:r>
        <w:rPr>
          <w:b/>
          <w:i/>
          <w:color w:val="auto"/>
          <w:highlight w:val="none"/>
        </w:rPr>
        <w:t>e</w:t>
      </w:r>
      <w:r>
        <w:rPr>
          <w:b/>
          <w:bCs/>
          <w:color w:val="auto"/>
          <w:kern w:val="0"/>
          <w:szCs w:val="18"/>
          <w:highlight w:val="none"/>
        </w:rPr>
        <w:t>划分</w:t>
      </w:r>
    </w:p>
    <w:tbl>
      <w:tblPr>
        <w:tblStyle w:val="22"/>
        <w:tblW w:w="83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52"/>
        <w:gridCol w:w="41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52" w:type="dxa"/>
          </w:tcPr>
          <w:p>
            <w:pPr>
              <w:ind w:left="-91"/>
              <w:jc w:val="center"/>
              <w:rPr>
                <w:color w:val="auto"/>
                <w:sz w:val="20"/>
                <w:szCs w:val="16"/>
                <w:highlight w:val="none"/>
              </w:rPr>
            </w:pPr>
            <w:r>
              <w:rPr>
                <w:color w:val="auto"/>
                <w:spacing w:val="3"/>
                <w:kern w:val="0"/>
                <w:sz w:val="20"/>
                <w:szCs w:val="16"/>
                <w:highlight w:val="none"/>
              </w:rPr>
              <w:t>密实度</w:t>
            </w:r>
          </w:p>
        </w:tc>
        <w:tc>
          <w:tcPr>
            <w:tcW w:w="4152" w:type="dxa"/>
          </w:tcPr>
          <w:p>
            <w:pPr>
              <w:ind w:left="-91"/>
              <w:jc w:val="center"/>
              <w:rPr>
                <w:color w:val="auto"/>
                <w:sz w:val="20"/>
                <w:szCs w:val="16"/>
                <w:highlight w:val="none"/>
              </w:rPr>
            </w:pPr>
            <w:r>
              <w:rPr>
                <w:color w:val="auto"/>
                <w:spacing w:val="3"/>
                <w:kern w:val="0"/>
                <w:sz w:val="20"/>
                <w:szCs w:val="16"/>
                <w:highlight w:val="none"/>
              </w:rPr>
              <w:t>孔隙比</w:t>
            </w:r>
            <w:r>
              <w:rPr>
                <w:i/>
                <w:iCs/>
                <w:color w:val="auto"/>
                <w:spacing w:val="3"/>
                <w:kern w:val="0"/>
                <w:sz w:val="20"/>
                <w:szCs w:val="16"/>
                <w:highlight w:val="none"/>
              </w:rPr>
              <w:t>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52" w:type="dxa"/>
          </w:tcPr>
          <w:p>
            <w:pPr>
              <w:ind w:left="-91"/>
              <w:jc w:val="center"/>
              <w:rPr>
                <w:color w:val="auto"/>
                <w:sz w:val="20"/>
                <w:szCs w:val="16"/>
                <w:highlight w:val="none"/>
              </w:rPr>
            </w:pPr>
            <w:r>
              <w:rPr>
                <w:color w:val="auto"/>
                <w:spacing w:val="3"/>
                <w:kern w:val="0"/>
                <w:sz w:val="20"/>
                <w:szCs w:val="16"/>
                <w:highlight w:val="none"/>
              </w:rPr>
              <w:t>密实</w:t>
            </w:r>
          </w:p>
        </w:tc>
        <w:tc>
          <w:tcPr>
            <w:tcW w:w="4152" w:type="dxa"/>
          </w:tcPr>
          <w:p>
            <w:pPr>
              <w:ind w:left="-91"/>
              <w:jc w:val="center"/>
              <w:rPr>
                <w:color w:val="auto"/>
                <w:sz w:val="20"/>
                <w:szCs w:val="16"/>
                <w:highlight w:val="none"/>
              </w:rPr>
            </w:pPr>
            <w:r>
              <w:rPr>
                <w:i/>
                <w:iCs/>
                <w:color w:val="auto"/>
                <w:spacing w:val="3"/>
                <w:kern w:val="0"/>
                <w:sz w:val="20"/>
                <w:szCs w:val="16"/>
                <w:highlight w:val="none"/>
              </w:rPr>
              <w:t>e</w:t>
            </w:r>
            <w:r>
              <w:rPr>
                <w:color w:val="auto"/>
                <w:spacing w:val="3"/>
                <w:kern w:val="0"/>
                <w:sz w:val="20"/>
                <w:szCs w:val="16"/>
                <w:highlight w:val="none"/>
              </w:rPr>
              <w:t>＜0.75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52" w:type="dxa"/>
          </w:tcPr>
          <w:p>
            <w:pPr>
              <w:ind w:left="-91"/>
              <w:jc w:val="center"/>
              <w:rPr>
                <w:color w:val="auto"/>
                <w:spacing w:val="3"/>
                <w:kern w:val="0"/>
                <w:sz w:val="20"/>
                <w:szCs w:val="16"/>
                <w:highlight w:val="none"/>
              </w:rPr>
            </w:pPr>
            <w:r>
              <w:rPr>
                <w:color w:val="auto"/>
                <w:spacing w:val="3"/>
                <w:kern w:val="0"/>
                <w:sz w:val="20"/>
                <w:szCs w:val="16"/>
                <w:highlight w:val="none"/>
              </w:rPr>
              <w:t>中密</w:t>
            </w:r>
          </w:p>
        </w:tc>
        <w:tc>
          <w:tcPr>
            <w:tcW w:w="4152" w:type="dxa"/>
          </w:tcPr>
          <w:p>
            <w:pPr>
              <w:ind w:left="-91"/>
              <w:jc w:val="center"/>
              <w:rPr>
                <w:i/>
                <w:iCs/>
                <w:color w:val="auto"/>
                <w:spacing w:val="3"/>
                <w:kern w:val="0"/>
                <w:sz w:val="20"/>
                <w:szCs w:val="16"/>
                <w:highlight w:val="none"/>
              </w:rPr>
            </w:pPr>
            <w:r>
              <w:rPr>
                <w:color w:val="auto"/>
                <w:spacing w:val="3"/>
                <w:kern w:val="0"/>
                <w:sz w:val="20"/>
                <w:szCs w:val="16"/>
                <w:highlight w:val="none"/>
              </w:rPr>
              <w:t>0.75</w:t>
            </w:r>
            <w:r>
              <w:rPr>
                <w:rFonts w:hint="eastAsia" w:ascii="宋体" w:hAnsi="宋体" w:cs="宋体"/>
                <w:color w:val="auto"/>
                <w:sz w:val="20"/>
                <w:szCs w:val="20"/>
                <w:highlight w:val="none"/>
              </w:rPr>
              <w:t>≤</w:t>
            </w:r>
            <w:r>
              <w:rPr>
                <w:i/>
                <w:iCs/>
                <w:color w:val="auto"/>
                <w:spacing w:val="3"/>
                <w:kern w:val="0"/>
                <w:sz w:val="20"/>
                <w:szCs w:val="16"/>
                <w:highlight w:val="none"/>
              </w:rPr>
              <w:t>e</w:t>
            </w:r>
            <w:r>
              <w:rPr>
                <w:rFonts w:hint="eastAsia" w:ascii="宋体" w:hAnsi="宋体" w:cs="宋体"/>
                <w:color w:val="auto"/>
                <w:sz w:val="20"/>
                <w:szCs w:val="20"/>
                <w:highlight w:val="none"/>
              </w:rPr>
              <w:t>≤</w:t>
            </w:r>
            <w:r>
              <w:rPr>
                <w:color w:val="auto"/>
                <w:spacing w:val="3"/>
                <w:kern w:val="0"/>
                <w:sz w:val="20"/>
                <w:szCs w:val="16"/>
                <w:highlight w:val="none"/>
              </w:rPr>
              <w:t>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152" w:type="dxa"/>
          </w:tcPr>
          <w:p>
            <w:pPr>
              <w:ind w:left="-91"/>
              <w:jc w:val="center"/>
              <w:rPr>
                <w:color w:val="auto"/>
                <w:spacing w:val="3"/>
                <w:kern w:val="0"/>
                <w:sz w:val="20"/>
                <w:szCs w:val="16"/>
                <w:highlight w:val="none"/>
              </w:rPr>
            </w:pPr>
            <w:r>
              <w:rPr>
                <w:color w:val="auto"/>
                <w:spacing w:val="3"/>
                <w:kern w:val="0"/>
                <w:sz w:val="20"/>
                <w:szCs w:val="16"/>
                <w:highlight w:val="none"/>
              </w:rPr>
              <w:t>稍密</w:t>
            </w:r>
          </w:p>
        </w:tc>
        <w:tc>
          <w:tcPr>
            <w:tcW w:w="4152" w:type="dxa"/>
          </w:tcPr>
          <w:p>
            <w:pPr>
              <w:ind w:left="-91"/>
              <w:jc w:val="center"/>
              <w:rPr>
                <w:color w:val="auto"/>
                <w:spacing w:val="3"/>
                <w:kern w:val="0"/>
                <w:sz w:val="20"/>
                <w:szCs w:val="16"/>
                <w:highlight w:val="none"/>
              </w:rPr>
            </w:pPr>
            <w:r>
              <w:rPr>
                <w:i/>
                <w:iCs/>
                <w:color w:val="auto"/>
                <w:spacing w:val="3"/>
                <w:kern w:val="0"/>
                <w:sz w:val="20"/>
                <w:szCs w:val="16"/>
                <w:highlight w:val="none"/>
              </w:rPr>
              <w:t>e</w:t>
            </w:r>
            <w:r>
              <w:rPr>
                <w:color w:val="auto"/>
                <w:spacing w:val="3"/>
                <w:kern w:val="0"/>
                <w:sz w:val="20"/>
                <w:szCs w:val="16"/>
                <w:highlight w:val="none"/>
              </w:rPr>
              <w:t>＞0.9</w:t>
            </w:r>
          </w:p>
        </w:tc>
      </w:tr>
    </w:tbl>
    <w:p>
      <w:pPr>
        <w:autoSpaceDE w:val="0"/>
        <w:autoSpaceDN w:val="0"/>
        <w:adjustRightInd w:val="0"/>
        <w:snapToGrid w:val="0"/>
        <w:spacing w:before="156" w:beforeLines="50" w:line="360" w:lineRule="auto"/>
        <w:jc w:val="center"/>
        <w:rPr>
          <w:b/>
          <w:bCs/>
          <w:color w:val="auto"/>
          <w:kern w:val="0"/>
          <w:szCs w:val="18"/>
          <w:highlight w:val="none"/>
        </w:rPr>
      </w:pPr>
      <w:r>
        <w:rPr>
          <w:b/>
          <w:bCs/>
          <w:color w:val="auto"/>
          <w:kern w:val="0"/>
          <w:szCs w:val="18"/>
          <w:highlight w:val="none"/>
        </w:rPr>
        <w:t>表4.4.4-</w:t>
      </w:r>
      <w:r>
        <w:rPr>
          <w:rFonts w:hint="eastAsia"/>
          <w:b/>
          <w:bCs/>
          <w:color w:val="auto"/>
          <w:kern w:val="0"/>
          <w:szCs w:val="18"/>
          <w:highlight w:val="none"/>
        </w:rPr>
        <w:t>2　</w:t>
      </w:r>
      <w:r>
        <w:rPr>
          <w:b/>
          <w:bCs/>
          <w:color w:val="auto"/>
          <w:kern w:val="0"/>
          <w:szCs w:val="18"/>
          <w:highlight w:val="none"/>
        </w:rPr>
        <w:t>粉土的湿度划分</w:t>
      </w:r>
    </w:p>
    <w:tbl>
      <w:tblPr>
        <w:tblStyle w:val="22"/>
        <w:tblW w:w="83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99"/>
        <w:gridCol w:w="41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99" w:type="dxa"/>
          </w:tcPr>
          <w:p>
            <w:pPr>
              <w:ind w:left="-91"/>
              <w:jc w:val="center"/>
              <w:rPr>
                <w:color w:val="auto"/>
                <w:sz w:val="20"/>
                <w:szCs w:val="16"/>
                <w:highlight w:val="none"/>
              </w:rPr>
            </w:pPr>
            <w:r>
              <w:rPr>
                <w:color w:val="auto"/>
                <w:spacing w:val="3"/>
                <w:kern w:val="0"/>
                <w:sz w:val="20"/>
                <w:szCs w:val="16"/>
                <w:highlight w:val="none"/>
              </w:rPr>
              <w:t>湿度</w:t>
            </w:r>
          </w:p>
        </w:tc>
        <w:tc>
          <w:tcPr>
            <w:tcW w:w="4198" w:type="dxa"/>
          </w:tcPr>
          <w:p>
            <w:pPr>
              <w:ind w:left="-91"/>
              <w:jc w:val="center"/>
              <w:rPr>
                <w:color w:val="auto"/>
                <w:sz w:val="20"/>
                <w:szCs w:val="16"/>
                <w:highlight w:val="none"/>
              </w:rPr>
            </w:pPr>
            <w:r>
              <w:rPr>
                <w:color w:val="auto"/>
                <w:spacing w:val="3"/>
                <w:kern w:val="0"/>
                <w:sz w:val="20"/>
                <w:szCs w:val="16"/>
                <w:highlight w:val="none"/>
              </w:rPr>
              <w:t>含水率</w:t>
            </w:r>
            <w:r>
              <w:rPr>
                <w:color w:val="auto"/>
                <w:position w:val="-6"/>
                <w:sz w:val="18"/>
                <w:szCs w:val="18"/>
                <w:highlight w:val="none"/>
              </w:rPr>
              <w:object>
                <v:shape id="_x0000_i1034" o:spt="75" type="#_x0000_t75" style="height:9.75pt;width:10.15pt;" o:ole="t" filled="f" o:preferrelative="t" stroked="f" coordsize="21600,21600">
                  <v:path/>
                  <v:fill on="f" focussize="0,0"/>
                  <v:stroke on="f"/>
                  <v:imagedata r:id="rId25" o:title=""/>
                  <o:lock v:ext="edit" aspectratio="t"/>
                  <w10:wrap type="none"/>
                  <w10:anchorlock/>
                </v:shape>
                <o:OLEObject Type="Embed" ProgID="Equation.3" ShapeID="_x0000_i1034" DrawAspect="Content" ObjectID="_1468075730" r:id="rId24">
                  <o:LockedField>false</o:LockedField>
                </o:OLEObject>
              </w:object>
            </w:r>
            <w:r>
              <w:rPr>
                <w:iCs/>
                <w:color w:val="auto"/>
                <w:sz w:val="20"/>
                <w:szCs w:val="20"/>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99" w:type="dxa"/>
          </w:tcPr>
          <w:p>
            <w:pPr>
              <w:ind w:left="-91"/>
              <w:jc w:val="center"/>
              <w:rPr>
                <w:color w:val="auto"/>
                <w:sz w:val="20"/>
                <w:szCs w:val="16"/>
                <w:highlight w:val="none"/>
              </w:rPr>
            </w:pPr>
            <w:r>
              <w:rPr>
                <w:color w:val="auto"/>
                <w:spacing w:val="3"/>
                <w:kern w:val="0"/>
                <w:sz w:val="20"/>
                <w:szCs w:val="16"/>
                <w:highlight w:val="none"/>
              </w:rPr>
              <w:t>稍湿</w:t>
            </w:r>
          </w:p>
        </w:tc>
        <w:tc>
          <w:tcPr>
            <w:tcW w:w="4198" w:type="dxa"/>
          </w:tcPr>
          <w:p>
            <w:pPr>
              <w:ind w:left="-91"/>
              <w:jc w:val="center"/>
              <w:rPr>
                <w:color w:val="auto"/>
                <w:sz w:val="20"/>
                <w:szCs w:val="16"/>
                <w:highlight w:val="none"/>
              </w:rPr>
            </w:pPr>
            <w:r>
              <w:rPr>
                <w:color w:val="auto"/>
                <w:position w:val="-6"/>
                <w:sz w:val="18"/>
                <w:szCs w:val="18"/>
                <w:highlight w:val="none"/>
              </w:rPr>
              <w:object>
                <v:shape id="_x0000_i1035" o:spt="75" type="#_x0000_t75" style="height:9.75pt;width:10.15pt;" o:ole="t" filled="f" o:preferrelative="t" stroked="f" coordsize="21600,21600">
                  <v:path/>
                  <v:fill on="f" focussize="0,0"/>
                  <v:stroke on="f"/>
                  <v:imagedata r:id="rId25" o:title=""/>
                  <o:lock v:ext="edit" aspectratio="t"/>
                  <w10:wrap type="none"/>
                  <w10:anchorlock/>
                </v:shape>
                <o:OLEObject Type="Embed" ProgID="Equation.3" ShapeID="_x0000_i1035" DrawAspect="Content" ObjectID="_1468075731" r:id="rId26">
                  <o:LockedField>false</o:LockedField>
                </o:OLEObject>
              </w:object>
            </w:r>
            <w:r>
              <w:rPr>
                <w:color w:val="auto"/>
                <w:spacing w:val="3"/>
                <w:kern w:val="0"/>
                <w:sz w:val="20"/>
                <w:szCs w:val="16"/>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99" w:type="dxa"/>
          </w:tcPr>
          <w:p>
            <w:pPr>
              <w:ind w:left="-91"/>
              <w:jc w:val="center"/>
              <w:rPr>
                <w:color w:val="auto"/>
                <w:spacing w:val="3"/>
                <w:kern w:val="0"/>
                <w:sz w:val="20"/>
                <w:szCs w:val="16"/>
                <w:highlight w:val="none"/>
              </w:rPr>
            </w:pPr>
            <w:r>
              <w:rPr>
                <w:color w:val="auto"/>
                <w:spacing w:val="3"/>
                <w:kern w:val="0"/>
                <w:sz w:val="20"/>
                <w:szCs w:val="16"/>
                <w:highlight w:val="none"/>
              </w:rPr>
              <w:t>湿</w:t>
            </w:r>
          </w:p>
        </w:tc>
        <w:tc>
          <w:tcPr>
            <w:tcW w:w="4198" w:type="dxa"/>
          </w:tcPr>
          <w:p>
            <w:pPr>
              <w:ind w:left="-91"/>
              <w:jc w:val="center"/>
              <w:rPr>
                <w:i/>
                <w:iCs/>
                <w:color w:val="auto"/>
                <w:spacing w:val="3"/>
                <w:kern w:val="0"/>
                <w:sz w:val="20"/>
                <w:szCs w:val="16"/>
                <w:highlight w:val="none"/>
              </w:rPr>
            </w:pPr>
            <w:r>
              <w:rPr>
                <w:color w:val="auto"/>
                <w:spacing w:val="3"/>
                <w:kern w:val="0"/>
                <w:sz w:val="20"/>
                <w:szCs w:val="16"/>
                <w:highlight w:val="none"/>
              </w:rPr>
              <w:t>20</w:t>
            </w:r>
            <w:r>
              <w:rPr>
                <w:rFonts w:hint="eastAsia" w:ascii="宋体" w:hAnsi="宋体" w:cs="宋体"/>
                <w:color w:val="auto"/>
                <w:sz w:val="20"/>
                <w:szCs w:val="20"/>
                <w:highlight w:val="none"/>
              </w:rPr>
              <w:t>≤</w:t>
            </w:r>
            <w:r>
              <w:rPr>
                <w:color w:val="auto"/>
                <w:position w:val="-6"/>
                <w:sz w:val="18"/>
                <w:szCs w:val="18"/>
                <w:highlight w:val="none"/>
              </w:rPr>
              <w:object>
                <v:shape id="_x0000_i1036" o:spt="75" type="#_x0000_t75" style="height:9.75pt;width:10.15pt;" o:ole="t" filled="f" o:preferrelative="t" stroked="f" coordsize="21600,21600">
                  <v:path/>
                  <v:fill on="f" focussize="0,0"/>
                  <v:stroke on="f"/>
                  <v:imagedata r:id="rId25" o:title=""/>
                  <o:lock v:ext="edit" aspectratio="t"/>
                  <w10:wrap type="none"/>
                  <w10:anchorlock/>
                </v:shape>
                <o:OLEObject Type="Embed" ProgID="Equation.3" ShapeID="_x0000_i1036" DrawAspect="Content" ObjectID="_1468075732" r:id="rId27">
                  <o:LockedField>false</o:LockedField>
                </o:OLEObject>
              </w:object>
            </w:r>
            <w:r>
              <w:rPr>
                <w:rFonts w:hint="eastAsia" w:ascii="宋体" w:hAnsi="宋体" w:cs="宋体"/>
                <w:color w:val="auto"/>
                <w:sz w:val="20"/>
                <w:szCs w:val="20"/>
                <w:highlight w:val="none"/>
              </w:rPr>
              <w:t>≤</w:t>
            </w:r>
            <w:r>
              <w:rPr>
                <w:color w:val="auto"/>
                <w:spacing w:val="3"/>
                <w:kern w:val="0"/>
                <w:sz w:val="20"/>
                <w:szCs w:val="16"/>
                <w:highlight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99" w:type="dxa"/>
          </w:tcPr>
          <w:p>
            <w:pPr>
              <w:ind w:left="-91"/>
              <w:jc w:val="center"/>
              <w:rPr>
                <w:color w:val="auto"/>
                <w:spacing w:val="3"/>
                <w:kern w:val="0"/>
                <w:sz w:val="20"/>
                <w:szCs w:val="16"/>
                <w:highlight w:val="none"/>
              </w:rPr>
            </w:pPr>
            <w:r>
              <w:rPr>
                <w:color w:val="auto"/>
                <w:spacing w:val="3"/>
                <w:kern w:val="0"/>
                <w:sz w:val="20"/>
                <w:szCs w:val="16"/>
                <w:highlight w:val="none"/>
              </w:rPr>
              <w:t>很湿</w:t>
            </w:r>
          </w:p>
        </w:tc>
        <w:tc>
          <w:tcPr>
            <w:tcW w:w="4198" w:type="dxa"/>
          </w:tcPr>
          <w:p>
            <w:pPr>
              <w:ind w:left="-91"/>
              <w:jc w:val="center"/>
              <w:rPr>
                <w:color w:val="auto"/>
                <w:spacing w:val="3"/>
                <w:kern w:val="0"/>
                <w:sz w:val="20"/>
                <w:szCs w:val="16"/>
                <w:highlight w:val="none"/>
              </w:rPr>
            </w:pPr>
            <w:r>
              <w:rPr>
                <w:color w:val="auto"/>
                <w:position w:val="-6"/>
                <w:sz w:val="18"/>
                <w:szCs w:val="18"/>
                <w:highlight w:val="none"/>
              </w:rPr>
              <w:object>
                <v:shape id="_x0000_i1037" o:spt="75" type="#_x0000_t75" style="height:9.75pt;width:10.15pt;" o:ole="t" filled="f" o:preferrelative="t" stroked="f" coordsize="21600,21600">
                  <v:path/>
                  <v:fill on="f" focussize="0,0"/>
                  <v:stroke on="f"/>
                  <v:imagedata r:id="rId25" o:title=""/>
                  <o:lock v:ext="edit" aspectratio="t"/>
                  <w10:wrap type="none"/>
                  <w10:anchorlock/>
                </v:shape>
                <o:OLEObject Type="Embed" ProgID="Equation.3" ShapeID="_x0000_i1037" DrawAspect="Content" ObjectID="_1468075733" r:id="rId28">
                  <o:LockedField>false</o:LockedField>
                </o:OLEObject>
              </w:object>
            </w:r>
            <w:r>
              <w:rPr>
                <w:color w:val="auto"/>
                <w:spacing w:val="3"/>
                <w:kern w:val="0"/>
                <w:sz w:val="20"/>
                <w:szCs w:val="16"/>
                <w:highlight w:val="none"/>
              </w:rPr>
              <w:t>＞30</w:t>
            </w:r>
          </w:p>
        </w:tc>
      </w:tr>
    </w:tbl>
    <w:p>
      <w:pPr>
        <w:spacing w:before="156" w:beforeLines="50" w:line="360" w:lineRule="auto"/>
        <w:jc w:val="left"/>
        <w:rPr>
          <w:color w:val="auto"/>
          <w:highlight w:val="none"/>
        </w:rPr>
      </w:pPr>
      <w:r>
        <w:rPr>
          <w:b/>
          <w:bCs/>
          <w:color w:val="auto"/>
          <w:highlight w:val="none"/>
        </w:rPr>
        <w:t>4.4.5</w:t>
      </w:r>
      <w:r>
        <w:rPr>
          <w:rFonts w:hint="eastAsia"/>
          <w:b/>
          <w:bCs/>
          <w:color w:val="auto"/>
          <w:highlight w:val="none"/>
        </w:rPr>
        <w:t>　</w:t>
      </w:r>
      <w:r>
        <w:rPr>
          <w:color w:val="auto"/>
          <w:highlight w:val="none"/>
        </w:rPr>
        <w:t>黏性土的状态应根据液性指数</w:t>
      </w:r>
      <w:r>
        <w:rPr>
          <w:i/>
          <w:color w:val="auto"/>
          <w:highlight w:val="none"/>
        </w:rPr>
        <w:t>I</w:t>
      </w:r>
      <w:r>
        <w:rPr>
          <w:iCs/>
          <w:color w:val="auto"/>
          <w:highlight w:val="none"/>
          <w:vertAlign w:val="subscript"/>
        </w:rPr>
        <w:t>L</w:t>
      </w:r>
      <w:r>
        <w:rPr>
          <w:color w:val="auto"/>
          <w:highlight w:val="none"/>
        </w:rPr>
        <w:t>按表4.4.5划分</w:t>
      </w:r>
      <w:r>
        <w:rPr>
          <w:rFonts w:hint="eastAsia"/>
          <w:color w:val="auto"/>
          <w:szCs w:val="18"/>
          <w:highlight w:val="none"/>
        </w:rPr>
        <w:t>。</w:t>
      </w:r>
    </w:p>
    <w:p>
      <w:pPr>
        <w:autoSpaceDE w:val="0"/>
        <w:autoSpaceDN w:val="0"/>
        <w:adjustRightInd w:val="0"/>
        <w:snapToGrid w:val="0"/>
        <w:spacing w:line="360" w:lineRule="auto"/>
        <w:jc w:val="center"/>
        <w:rPr>
          <w:b/>
          <w:color w:val="auto"/>
          <w:sz w:val="24"/>
          <w:szCs w:val="21"/>
          <w:highlight w:val="none"/>
        </w:rPr>
      </w:pPr>
      <w:r>
        <w:rPr>
          <w:b/>
          <w:bCs/>
          <w:color w:val="auto"/>
          <w:kern w:val="0"/>
          <w:szCs w:val="18"/>
          <w:highlight w:val="none"/>
        </w:rPr>
        <w:t>表4.4.5-1 黏性土的状态按</w:t>
      </w:r>
      <w:r>
        <w:rPr>
          <w:b/>
          <w:i/>
          <w:color w:val="auto"/>
          <w:highlight w:val="none"/>
        </w:rPr>
        <w:t>I</w:t>
      </w:r>
      <w:r>
        <w:rPr>
          <w:b/>
          <w:iCs/>
          <w:color w:val="auto"/>
          <w:highlight w:val="none"/>
          <w:vertAlign w:val="subscript"/>
        </w:rPr>
        <w:t>L</w:t>
      </w:r>
      <w:r>
        <w:rPr>
          <w:b/>
          <w:bCs/>
          <w:color w:val="auto"/>
          <w:kern w:val="0"/>
          <w:szCs w:val="18"/>
          <w:highlight w:val="none"/>
        </w:rPr>
        <w:t>划分</w:t>
      </w:r>
    </w:p>
    <w:tbl>
      <w:tblPr>
        <w:tblStyle w:val="22"/>
        <w:tblW w:w="82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05"/>
        <w:gridCol w:w="2215"/>
        <w:gridCol w:w="41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0" w:type="dxa"/>
            <w:gridSpan w:val="2"/>
          </w:tcPr>
          <w:p>
            <w:pPr>
              <w:ind w:left="-91"/>
              <w:jc w:val="center"/>
              <w:rPr>
                <w:color w:val="auto"/>
                <w:sz w:val="20"/>
                <w:szCs w:val="20"/>
                <w:highlight w:val="none"/>
              </w:rPr>
            </w:pPr>
            <w:r>
              <w:rPr>
                <w:color w:val="auto"/>
                <w:spacing w:val="3"/>
                <w:kern w:val="0"/>
                <w:sz w:val="20"/>
                <w:szCs w:val="20"/>
                <w:highlight w:val="none"/>
              </w:rPr>
              <w:t>状态</w:t>
            </w:r>
          </w:p>
        </w:tc>
        <w:tc>
          <w:tcPr>
            <w:tcW w:w="4119" w:type="dxa"/>
          </w:tcPr>
          <w:p>
            <w:pPr>
              <w:ind w:left="-91"/>
              <w:jc w:val="center"/>
              <w:rPr>
                <w:color w:val="auto"/>
                <w:sz w:val="20"/>
                <w:szCs w:val="20"/>
                <w:highlight w:val="none"/>
              </w:rPr>
            </w:pPr>
            <w:r>
              <w:rPr>
                <w:color w:val="auto"/>
                <w:spacing w:val="3"/>
                <w:kern w:val="0"/>
                <w:sz w:val="20"/>
                <w:szCs w:val="20"/>
                <w:highlight w:val="none"/>
              </w:rPr>
              <w:t>液性指数</w:t>
            </w:r>
            <w:r>
              <w:rPr>
                <w:i/>
                <w:iCs/>
                <w:color w:val="auto"/>
                <w:sz w:val="20"/>
                <w:szCs w:val="20"/>
                <w:highlight w:val="none"/>
              </w:rPr>
              <w:t>I</w:t>
            </w:r>
            <w:r>
              <w:rPr>
                <w:color w:val="auto"/>
                <w:sz w:val="20"/>
                <w:szCs w:val="20"/>
                <w:highlight w:val="none"/>
                <w:vertAlign w:val="subscript"/>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0" w:type="dxa"/>
            <w:gridSpan w:val="2"/>
          </w:tcPr>
          <w:p>
            <w:pPr>
              <w:ind w:left="-91"/>
              <w:jc w:val="center"/>
              <w:rPr>
                <w:i/>
                <w:iCs/>
                <w:color w:val="auto"/>
                <w:sz w:val="20"/>
                <w:szCs w:val="20"/>
                <w:highlight w:val="none"/>
              </w:rPr>
            </w:pPr>
            <w:r>
              <w:rPr>
                <w:color w:val="auto"/>
                <w:sz w:val="20"/>
                <w:szCs w:val="20"/>
                <w:highlight w:val="none"/>
              </w:rPr>
              <w:t>坚硬</w:t>
            </w:r>
          </w:p>
        </w:tc>
        <w:tc>
          <w:tcPr>
            <w:tcW w:w="4119" w:type="dxa"/>
          </w:tcPr>
          <w:p>
            <w:pPr>
              <w:ind w:left="-91"/>
              <w:jc w:val="center"/>
              <w:rPr>
                <w:color w:val="auto"/>
                <w:sz w:val="20"/>
                <w:szCs w:val="20"/>
                <w:highlight w:val="none"/>
              </w:rPr>
            </w:pPr>
            <w:r>
              <w:rPr>
                <w:i/>
                <w:iCs/>
                <w:color w:val="auto"/>
                <w:sz w:val="20"/>
                <w:szCs w:val="20"/>
                <w:highlight w:val="none"/>
              </w:rPr>
              <w:t>I</w:t>
            </w:r>
            <w:r>
              <w:rPr>
                <w:color w:val="auto"/>
                <w:sz w:val="20"/>
                <w:szCs w:val="20"/>
                <w:highlight w:val="none"/>
                <w:vertAlign w:val="subscript"/>
              </w:rPr>
              <w:t>L</w:t>
            </w:r>
            <w:r>
              <w:rPr>
                <w:rFonts w:hint="eastAsia" w:ascii="宋体" w:hAnsi="宋体" w:cs="宋体"/>
                <w:color w:val="auto"/>
                <w:sz w:val="20"/>
                <w:szCs w:val="20"/>
                <w:highlight w:val="none"/>
              </w:rPr>
              <w:t>≤</w:t>
            </w:r>
            <w:r>
              <w:rPr>
                <w:color w:val="auto"/>
                <w:sz w:val="20"/>
                <w:szCs w:val="20"/>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0" w:type="dxa"/>
            <w:gridSpan w:val="2"/>
          </w:tcPr>
          <w:p>
            <w:pPr>
              <w:ind w:left="-91"/>
              <w:jc w:val="center"/>
              <w:rPr>
                <w:color w:val="auto"/>
                <w:sz w:val="20"/>
                <w:szCs w:val="20"/>
                <w:highlight w:val="none"/>
              </w:rPr>
            </w:pPr>
            <w:r>
              <w:rPr>
                <w:color w:val="auto"/>
                <w:sz w:val="20"/>
                <w:szCs w:val="20"/>
                <w:highlight w:val="none"/>
              </w:rPr>
              <w:t>硬塑</w:t>
            </w:r>
          </w:p>
        </w:tc>
        <w:tc>
          <w:tcPr>
            <w:tcW w:w="4119" w:type="dxa"/>
          </w:tcPr>
          <w:p>
            <w:pPr>
              <w:ind w:left="-91"/>
              <w:jc w:val="center"/>
              <w:rPr>
                <w:i/>
                <w:iCs/>
                <w:color w:val="auto"/>
                <w:sz w:val="20"/>
                <w:szCs w:val="20"/>
                <w:highlight w:val="none"/>
              </w:rPr>
            </w:pPr>
            <w:r>
              <w:rPr>
                <w:color w:val="auto"/>
                <w:sz w:val="20"/>
                <w:szCs w:val="20"/>
                <w:highlight w:val="none"/>
              </w:rPr>
              <w:t>0</w:t>
            </w:r>
            <w:r>
              <w:rPr>
                <w:color w:val="auto"/>
                <w:spacing w:val="3"/>
                <w:kern w:val="0"/>
                <w:sz w:val="20"/>
                <w:szCs w:val="20"/>
                <w:highlight w:val="none"/>
              </w:rPr>
              <w:t>＜</w:t>
            </w:r>
            <w:r>
              <w:rPr>
                <w:i/>
                <w:iCs/>
                <w:color w:val="auto"/>
                <w:sz w:val="20"/>
                <w:szCs w:val="20"/>
                <w:highlight w:val="none"/>
              </w:rPr>
              <w:t>I</w:t>
            </w:r>
            <w:r>
              <w:rPr>
                <w:color w:val="auto"/>
                <w:sz w:val="20"/>
                <w:szCs w:val="20"/>
                <w:highlight w:val="none"/>
                <w:vertAlign w:val="subscript"/>
              </w:rPr>
              <w:t>L</w:t>
            </w:r>
            <w:r>
              <w:rPr>
                <w:rFonts w:hint="eastAsia" w:ascii="宋体" w:hAnsi="宋体" w:cs="宋体"/>
                <w:color w:val="auto"/>
                <w:sz w:val="20"/>
                <w:szCs w:val="20"/>
                <w:highlight w:val="none"/>
              </w:rPr>
              <w:t>≤</w:t>
            </w:r>
            <w:r>
              <w:rPr>
                <w:color w:val="auto"/>
                <w:sz w:val="20"/>
                <w:szCs w:val="20"/>
                <w:highlight w:val="none"/>
              </w:rPr>
              <w:t>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05" w:type="dxa"/>
            <w:vMerge w:val="restart"/>
            <w:vAlign w:val="center"/>
          </w:tcPr>
          <w:p>
            <w:pPr>
              <w:ind w:left="-91"/>
              <w:jc w:val="center"/>
              <w:rPr>
                <w:color w:val="auto"/>
                <w:sz w:val="20"/>
                <w:szCs w:val="20"/>
                <w:highlight w:val="none"/>
              </w:rPr>
            </w:pPr>
            <w:r>
              <w:rPr>
                <w:rFonts w:hint="eastAsia"/>
                <w:color w:val="auto"/>
                <w:sz w:val="20"/>
                <w:szCs w:val="20"/>
                <w:highlight w:val="none"/>
              </w:rPr>
              <w:t>可塑</w:t>
            </w:r>
          </w:p>
        </w:tc>
        <w:tc>
          <w:tcPr>
            <w:tcW w:w="2215" w:type="dxa"/>
          </w:tcPr>
          <w:p>
            <w:pPr>
              <w:ind w:left="-91"/>
              <w:jc w:val="center"/>
              <w:rPr>
                <w:color w:val="auto"/>
                <w:sz w:val="20"/>
                <w:szCs w:val="20"/>
                <w:highlight w:val="none"/>
              </w:rPr>
            </w:pPr>
            <w:r>
              <w:rPr>
                <w:rFonts w:hint="eastAsia"/>
                <w:color w:val="auto"/>
                <w:sz w:val="20"/>
                <w:szCs w:val="20"/>
                <w:highlight w:val="none"/>
              </w:rPr>
              <w:t>硬</w:t>
            </w:r>
            <w:r>
              <w:rPr>
                <w:color w:val="auto"/>
                <w:sz w:val="20"/>
                <w:szCs w:val="20"/>
                <w:highlight w:val="none"/>
              </w:rPr>
              <w:t>可塑</w:t>
            </w:r>
          </w:p>
        </w:tc>
        <w:tc>
          <w:tcPr>
            <w:tcW w:w="4119" w:type="dxa"/>
          </w:tcPr>
          <w:p>
            <w:pPr>
              <w:ind w:left="-91"/>
              <w:jc w:val="center"/>
              <w:rPr>
                <w:color w:val="auto"/>
                <w:sz w:val="20"/>
                <w:szCs w:val="20"/>
                <w:highlight w:val="none"/>
              </w:rPr>
            </w:pPr>
            <w:r>
              <w:rPr>
                <w:color w:val="auto"/>
                <w:sz w:val="20"/>
                <w:szCs w:val="20"/>
                <w:highlight w:val="none"/>
              </w:rPr>
              <w:t>0.5</w:t>
            </w:r>
            <w:r>
              <w:rPr>
                <w:color w:val="auto"/>
                <w:spacing w:val="3"/>
                <w:kern w:val="0"/>
                <w:sz w:val="20"/>
                <w:szCs w:val="20"/>
                <w:highlight w:val="none"/>
              </w:rPr>
              <w:t>＜</w:t>
            </w:r>
            <w:r>
              <w:rPr>
                <w:i/>
                <w:iCs/>
                <w:color w:val="auto"/>
                <w:sz w:val="20"/>
                <w:szCs w:val="20"/>
                <w:highlight w:val="none"/>
              </w:rPr>
              <w:t>I</w:t>
            </w:r>
            <w:r>
              <w:rPr>
                <w:color w:val="auto"/>
                <w:sz w:val="20"/>
                <w:szCs w:val="20"/>
                <w:highlight w:val="none"/>
                <w:vertAlign w:val="subscript"/>
              </w:rPr>
              <w:t>L</w:t>
            </w:r>
            <w:r>
              <w:rPr>
                <w:rFonts w:hint="eastAsia" w:ascii="宋体" w:hAnsi="宋体" w:cs="宋体"/>
                <w:color w:val="auto"/>
                <w:sz w:val="20"/>
                <w:szCs w:val="20"/>
                <w:highlight w:val="none"/>
              </w:rPr>
              <w:t>≤</w:t>
            </w:r>
            <w:r>
              <w:rPr>
                <w:color w:val="auto"/>
                <w:sz w:val="20"/>
                <w:szCs w:val="20"/>
                <w:highlight w:val="none"/>
              </w:rPr>
              <w:t>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05" w:type="dxa"/>
            <w:vMerge w:val="continue"/>
          </w:tcPr>
          <w:p>
            <w:pPr>
              <w:ind w:left="-91"/>
              <w:jc w:val="center"/>
              <w:rPr>
                <w:color w:val="auto"/>
                <w:sz w:val="20"/>
                <w:szCs w:val="20"/>
                <w:highlight w:val="none"/>
              </w:rPr>
            </w:pPr>
          </w:p>
        </w:tc>
        <w:tc>
          <w:tcPr>
            <w:tcW w:w="2215" w:type="dxa"/>
          </w:tcPr>
          <w:p>
            <w:pPr>
              <w:ind w:left="-91"/>
              <w:jc w:val="center"/>
              <w:rPr>
                <w:color w:val="auto"/>
                <w:sz w:val="20"/>
                <w:szCs w:val="20"/>
                <w:highlight w:val="none"/>
              </w:rPr>
            </w:pPr>
            <w:r>
              <w:rPr>
                <w:rFonts w:hint="eastAsia"/>
                <w:color w:val="auto"/>
                <w:sz w:val="20"/>
                <w:szCs w:val="20"/>
                <w:highlight w:val="none"/>
              </w:rPr>
              <w:t>软可塑</w:t>
            </w:r>
          </w:p>
        </w:tc>
        <w:tc>
          <w:tcPr>
            <w:tcW w:w="4119" w:type="dxa"/>
          </w:tcPr>
          <w:p>
            <w:pPr>
              <w:ind w:left="-91"/>
              <w:jc w:val="center"/>
              <w:rPr>
                <w:color w:val="auto"/>
                <w:sz w:val="20"/>
                <w:szCs w:val="20"/>
                <w:highlight w:val="none"/>
              </w:rPr>
            </w:pPr>
            <w:r>
              <w:rPr>
                <w:color w:val="auto"/>
                <w:sz w:val="20"/>
                <w:szCs w:val="20"/>
                <w:highlight w:val="none"/>
              </w:rPr>
              <w:t>0.25</w:t>
            </w:r>
            <w:r>
              <w:rPr>
                <w:color w:val="auto"/>
                <w:spacing w:val="3"/>
                <w:kern w:val="0"/>
                <w:sz w:val="20"/>
                <w:szCs w:val="20"/>
                <w:highlight w:val="none"/>
              </w:rPr>
              <w:t>＜</w:t>
            </w:r>
            <w:r>
              <w:rPr>
                <w:i/>
                <w:iCs/>
                <w:color w:val="auto"/>
                <w:sz w:val="20"/>
                <w:szCs w:val="20"/>
                <w:highlight w:val="none"/>
              </w:rPr>
              <w:t>I</w:t>
            </w:r>
            <w:r>
              <w:rPr>
                <w:color w:val="auto"/>
                <w:sz w:val="20"/>
                <w:szCs w:val="20"/>
                <w:highlight w:val="none"/>
                <w:vertAlign w:val="subscript"/>
              </w:rPr>
              <w:t>L</w:t>
            </w:r>
            <w:r>
              <w:rPr>
                <w:rFonts w:hint="eastAsia" w:ascii="宋体" w:hAnsi="宋体" w:cs="宋体"/>
                <w:color w:val="auto"/>
                <w:sz w:val="20"/>
                <w:szCs w:val="20"/>
                <w:highlight w:val="none"/>
              </w:rPr>
              <w:t>≤</w:t>
            </w:r>
            <w:r>
              <w:rPr>
                <w:color w:val="auto"/>
                <w:sz w:val="20"/>
                <w:szCs w:val="20"/>
                <w:highlight w:val="none"/>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0" w:type="dxa"/>
            <w:gridSpan w:val="2"/>
          </w:tcPr>
          <w:p>
            <w:pPr>
              <w:ind w:left="-91"/>
              <w:jc w:val="center"/>
              <w:rPr>
                <w:color w:val="auto"/>
                <w:sz w:val="20"/>
                <w:szCs w:val="20"/>
                <w:highlight w:val="none"/>
              </w:rPr>
            </w:pPr>
            <w:r>
              <w:rPr>
                <w:color w:val="auto"/>
                <w:sz w:val="20"/>
                <w:szCs w:val="20"/>
                <w:highlight w:val="none"/>
              </w:rPr>
              <w:t>软塑</w:t>
            </w:r>
          </w:p>
        </w:tc>
        <w:tc>
          <w:tcPr>
            <w:tcW w:w="4119" w:type="dxa"/>
          </w:tcPr>
          <w:p>
            <w:pPr>
              <w:ind w:left="-91"/>
              <w:jc w:val="center"/>
              <w:rPr>
                <w:color w:val="auto"/>
                <w:sz w:val="20"/>
                <w:szCs w:val="20"/>
                <w:highlight w:val="none"/>
              </w:rPr>
            </w:pPr>
            <w:r>
              <w:rPr>
                <w:color w:val="auto"/>
                <w:sz w:val="20"/>
                <w:szCs w:val="20"/>
                <w:highlight w:val="none"/>
              </w:rPr>
              <w:t>0.75</w:t>
            </w:r>
            <w:r>
              <w:rPr>
                <w:color w:val="auto"/>
                <w:spacing w:val="3"/>
                <w:kern w:val="0"/>
                <w:sz w:val="20"/>
                <w:szCs w:val="20"/>
                <w:highlight w:val="none"/>
              </w:rPr>
              <w:t>＜</w:t>
            </w:r>
            <w:r>
              <w:rPr>
                <w:i/>
                <w:iCs/>
                <w:color w:val="auto"/>
                <w:sz w:val="20"/>
                <w:szCs w:val="20"/>
                <w:highlight w:val="none"/>
              </w:rPr>
              <w:t>I</w:t>
            </w:r>
            <w:r>
              <w:rPr>
                <w:color w:val="auto"/>
                <w:sz w:val="20"/>
                <w:szCs w:val="20"/>
                <w:highlight w:val="none"/>
                <w:vertAlign w:val="subscript"/>
              </w:rPr>
              <w:t>L</w:t>
            </w:r>
            <w:r>
              <w:rPr>
                <w:rFonts w:hint="eastAsia" w:ascii="宋体" w:hAnsi="宋体" w:cs="宋体"/>
                <w:color w:val="auto"/>
                <w:sz w:val="20"/>
                <w:szCs w:val="20"/>
                <w:highlight w:val="none"/>
              </w:rPr>
              <w:t>≤</w:t>
            </w:r>
            <w:r>
              <w:rPr>
                <w:color w:val="auto"/>
                <w:sz w:val="20"/>
                <w:szCs w:val="20"/>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0" w:type="dxa"/>
            <w:gridSpan w:val="2"/>
          </w:tcPr>
          <w:p>
            <w:pPr>
              <w:ind w:left="-91"/>
              <w:jc w:val="center"/>
              <w:rPr>
                <w:color w:val="auto"/>
                <w:sz w:val="20"/>
                <w:szCs w:val="20"/>
                <w:highlight w:val="none"/>
              </w:rPr>
            </w:pPr>
            <w:r>
              <w:rPr>
                <w:color w:val="auto"/>
                <w:sz w:val="20"/>
                <w:szCs w:val="20"/>
                <w:highlight w:val="none"/>
              </w:rPr>
              <w:t>流塑</w:t>
            </w:r>
          </w:p>
        </w:tc>
        <w:tc>
          <w:tcPr>
            <w:tcW w:w="4119" w:type="dxa"/>
          </w:tcPr>
          <w:p>
            <w:pPr>
              <w:ind w:left="-91"/>
              <w:jc w:val="center"/>
              <w:rPr>
                <w:color w:val="auto"/>
                <w:sz w:val="20"/>
                <w:szCs w:val="20"/>
                <w:highlight w:val="none"/>
              </w:rPr>
            </w:pPr>
            <w:r>
              <w:rPr>
                <w:i/>
                <w:iCs/>
                <w:color w:val="auto"/>
                <w:sz w:val="20"/>
                <w:szCs w:val="20"/>
                <w:highlight w:val="none"/>
              </w:rPr>
              <w:t>I</w:t>
            </w:r>
            <w:r>
              <w:rPr>
                <w:color w:val="auto"/>
                <w:sz w:val="20"/>
                <w:szCs w:val="20"/>
                <w:highlight w:val="none"/>
                <w:vertAlign w:val="subscript"/>
              </w:rPr>
              <w:t>L</w:t>
            </w:r>
            <w:r>
              <w:rPr>
                <w:color w:val="auto"/>
                <w:sz w:val="20"/>
                <w:szCs w:val="20"/>
                <w:highlight w:val="none"/>
              </w:rPr>
              <w:t>＞1.0</w:t>
            </w:r>
          </w:p>
        </w:tc>
      </w:tr>
    </w:tbl>
    <w:p>
      <w:pPr>
        <w:adjustRightInd w:val="0"/>
        <w:snapToGrid w:val="0"/>
        <w:spacing w:line="360" w:lineRule="auto"/>
        <w:ind w:firstLine="360" w:firstLineChars="200"/>
        <w:jc w:val="left"/>
        <w:rPr>
          <w:b/>
          <w:bCs/>
          <w:color w:val="auto"/>
          <w:spacing w:val="9"/>
          <w:kern w:val="0"/>
          <w:szCs w:val="15"/>
          <w:highlight w:val="none"/>
        </w:rPr>
      </w:pPr>
      <w:r>
        <w:rPr>
          <w:color w:val="auto"/>
          <w:sz w:val="18"/>
          <w:szCs w:val="15"/>
          <w:highlight w:val="none"/>
        </w:rPr>
        <w:t>注：液性</w:t>
      </w:r>
      <w:r>
        <w:rPr>
          <w:color w:val="auto"/>
          <w:kern w:val="0"/>
          <w:sz w:val="20"/>
          <w:szCs w:val="20"/>
          <w:highlight w:val="none"/>
        </w:rPr>
        <w:t>指数</w:t>
      </w:r>
      <w:r>
        <w:rPr>
          <w:color w:val="auto"/>
          <w:sz w:val="18"/>
          <w:szCs w:val="15"/>
          <w:highlight w:val="none"/>
        </w:rPr>
        <w:t>由相应于76g圆锥体沉入土样中深度为10mm时测定的液限计算而得。</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color w:val="auto"/>
          <w:highlight w:val="none"/>
        </w:rPr>
      </w:pPr>
      <w:r>
        <w:rPr>
          <w:b/>
          <w:bCs/>
          <w:color w:val="auto"/>
          <w:highlight w:val="none"/>
        </w:rPr>
        <w:t>4.4.</w:t>
      </w:r>
      <w:r>
        <w:rPr>
          <w:rFonts w:hint="eastAsia"/>
          <w:b/>
          <w:bCs/>
          <w:color w:val="auto"/>
          <w:highlight w:val="none"/>
        </w:rPr>
        <w:t>6　</w:t>
      </w:r>
      <w:r>
        <w:rPr>
          <w:rFonts w:hint="eastAsia"/>
          <w:color w:val="auto"/>
          <w:highlight w:val="none"/>
        </w:rPr>
        <w:t>地基</w:t>
      </w:r>
      <w:r>
        <w:rPr>
          <w:rFonts w:hint="eastAsia"/>
          <w:color w:val="auto"/>
          <w:szCs w:val="21"/>
          <w:highlight w:val="none"/>
        </w:rPr>
        <w:t>土的压缩性可按压力范围[100kPa，200kPa]的压缩系数</w:t>
      </w:r>
      <w:r>
        <w:rPr>
          <w:rFonts w:hint="eastAsia"/>
          <w:i/>
          <w:iCs/>
          <w:color w:val="auto"/>
          <w:szCs w:val="21"/>
          <w:highlight w:val="none"/>
        </w:rPr>
        <w:t>a</w:t>
      </w:r>
      <w:r>
        <w:rPr>
          <w:rFonts w:hint="eastAsia"/>
          <w:color w:val="auto"/>
          <w:szCs w:val="21"/>
          <w:highlight w:val="none"/>
          <w:vertAlign w:val="subscript"/>
        </w:rPr>
        <w:t>1-2</w:t>
      </w:r>
      <w:r>
        <w:rPr>
          <w:rFonts w:hint="eastAsia"/>
          <w:color w:val="auto"/>
          <w:szCs w:val="21"/>
          <w:highlight w:val="none"/>
        </w:rPr>
        <w:t>，按表</w:t>
      </w:r>
      <w:r>
        <w:rPr>
          <w:color w:val="auto"/>
          <w:szCs w:val="18"/>
          <w:highlight w:val="none"/>
        </w:rPr>
        <w:t>4.</w:t>
      </w:r>
      <w:r>
        <w:rPr>
          <w:rFonts w:hint="eastAsia"/>
          <w:color w:val="auto"/>
          <w:szCs w:val="18"/>
          <w:highlight w:val="none"/>
        </w:rPr>
        <w:t>4</w:t>
      </w:r>
      <w:r>
        <w:rPr>
          <w:color w:val="auto"/>
          <w:szCs w:val="18"/>
          <w:highlight w:val="none"/>
        </w:rPr>
        <w:t>.</w:t>
      </w:r>
      <w:r>
        <w:rPr>
          <w:rFonts w:hint="eastAsia"/>
          <w:color w:val="auto"/>
          <w:szCs w:val="18"/>
          <w:highlight w:val="none"/>
        </w:rPr>
        <w:t>6确定。</w:t>
      </w:r>
    </w:p>
    <w:p>
      <w:pPr>
        <w:spacing w:line="360" w:lineRule="auto"/>
        <w:ind w:firstLine="422" w:firstLineChars="200"/>
        <w:jc w:val="center"/>
        <w:rPr>
          <w:b/>
          <w:bCs/>
          <w:color w:val="auto"/>
          <w:szCs w:val="18"/>
          <w:highlight w:val="none"/>
        </w:rPr>
      </w:pPr>
      <w:r>
        <w:rPr>
          <w:b/>
          <w:bCs/>
          <w:color w:val="auto"/>
          <w:szCs w:val="18"/>
          <w:highlight w:val="none"/>
        </w:rPr>
        <w:t>表4.</w:t>
      </w:r>
      <w:r>
        <w:rPr>
          <w:rFonts w:hint="eastAsia"/>
          <w:b/>
          <w:bCs/>
          <w:color w:val="auto"/>
          <w:szCs w:val="18"/>
          <w:highlight w:val="none"/>
        </w:rPr>
        <w:t>4</w:t>
      </w:r>
      <w:r>
        <w:rPr>
          <w:b/>
          <w:bCs/>
          <w:color w:val="auto"/>
          <w:szCs w:val="18"/>
          <w:highlight w:val="none"/>
        </w:rPr>
        <w:t>.</w:t>
      </w:r>
      <w:r>
        <w:rPr>
          <w:rFonts w:hint="eastAsia"/>
          <w:b/>
          <w:bCs/>
          <w:color w:val="auto"/>
          <w:szCs w:val="18"/>
          <w:highlight w:val="none"/>
        </w:rPr>
        <w:t>6　</w:t>
      </w:r>
      <w:r>
        <w:rPr>
          <w:b/>
          <w:bCs/>
          <w:color w:val="auto"/>
          <w:szCs w:val="18"/>
          <w:highlight w:val="none"/>
        </w:rPr>
        <w:t>黏性土</w:t>
      </w:r>
      <w:r>
        <w:rPr>
          <w:rFonts w:hint="eastAsia"/>
          <w:b/>
          <w:bCs/>
          <w:color w:val="auto"/>
          <w:szCs w:val="18"/>
          <w:highlight w:val="none"/>
        </w:rPr>
        <w:t>压缩性划分</w:t>
      </w:r>
    </w:p>
    <w:tbl>
      <w:tblPr>
        <w:tblStyle w:val="22"/>
        <w:tblW w:w="81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49"/>
        <w:gridCol w:w="40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49" w:type="dxa"/>
            <w:vAlign w:val="center"/>
          </w:tcPr>
          <w:p>
            <w:pPr>
              <w:jc w:val="center"/>
              <w:rPr>
                <w:color w:val="auto"/>
                <w:sz w:val="20"/>
                <w:szCs w:val="20"/>
                <w:highlight w:val="none"/>
              </w:rPr>
            </w:pPr>
            <w:r>
              <w:rPr>
                <w:rFonts w:hint="eastAsia"/>
                <w:color w:val="auto"/>
                <w:sz w:val="20"/>
                <w:szCs w:val="20"/>
                <w:highlight w:val="none"/>
              </w:rPr>
              <w:t>压缩性分级</w:t>
            </w:r>
          </w:p>
        </w:tc>
        <w:tc>
          <w:tcPr>
            <w:tcW w:w="4045" w:type="dxa"/>
            <w:vAlign w:val="center"/>
          </w:tcPr>
          <w:p>
            <w:pPr>
              <w:jc w:val="center"/>
              <w:rPr>
                <w:color w:val="auto"/>
                <w:sz w:val="20"/>
                <w:szCs w:val="20"/>
                <w:highlight w:val="none"/>
              </w:rPr>
            </w:pPr>
            <w:r>
              <w:rPr>
                <w:rFonts w:hint="eastAsia"/>
                <w:color w:val="auto"/>
                <w:sz w:val="20"/>
                <w:szCs w:val="20"/>
                <w:highlight w:val="none"/>
              </w:rPr>
              <w:t>压缩系数</w:t>
            </w:r>
            <w:r>
              <w:rPr>
                <w:rFonts w:hint="eastAsia"/>
                <w:i/>
                <w:iCs/>
                <w:color w:val="auto"/>
                <w:sz w:val="20"/>
                <w:szCs w:val="20"/>
                <w:highlight w:val="none"/>
              </w:rPr>
              <w:t>a</w:t>
            </w:r>
            <w:r>
              <w:rPr>
                <w:rFonts w:hint="eastAsia"/>
                <w:color w:val="auto"/>
                <w:sz w:val="18"/>
                <w:szCs w:val="18"/>
                <w:highlight w:val="none"/>
                <w:vertAlign w:val="subscript"/>
              </w:rPr>
              <w:t>1-2</w:t>
            </w:r>
            <w:r>
              <w:rPr>
                <w:rFonts w:hint="eastAsia"/>
                <w:color w:val="auto"/>
                <w:sz w:val="20"/>
                <w:szCs w:val="20"/>
                <w:highlight w:val="none"/>
              </w:rPr>
              <w:t>（MPa</w:t>
            </w:r>
            <w:r>
              <w:rPr>
                <w:rFonts w:hint="eastAsia"/>
                <w:color w:val="auto"/>
                <w:sz w:val="20"/>
                <w:szCs w:val="20"/>
                <w:highlight w:val="none"/>
                <w:vertAlign w:val="superscript"/>
              </w:rPr>
              <w:t>-1</w:t>
            </w:r>
            <w:r>
              <w:rPr>
                <w:rFonts w:hint="eastAsia"/>
                <w:color w:val="auto"/>
                <w:sz w:val="20"/>
                <w:szCs w:val="20"/>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49" w:type="dxa"/>
            <w:vAlign w:val="center"/>
          </w:tcPr>
          <w:p>
            <w:pPr>
              <w:jc w:val="center"/>
              <w:rPr>
                <w:color w:val="auto"/>
                <w:sz w:val="20"/>
                <w:szCs w:val="20"/>
                <w:highlight w:val="none"/>
              </w:rPr>
            </w:pPr>
            <w:r>
              <w:rPr>
                <w:rFonts w:hint="eastAsia"/>
                <w:color w:val="auto"/>
                <w:sz w:val="20"/>
                <w:szCs w:val="20"/>
                <w:highlight w:val="none"/>
              </w:rPr>
              <w:t>低压缩性</w:t>
            </w:r>
          </w:p>
        </w:tc>
        <w:tc>
          <w:tcPr>
            <w:tcW w:w="4045" w:type="dxa"/>
            <w:vAlign w:val="center"/>
          </w:tcPr>
          <w:p>
            <w:pPr>
              <w:jc w:val="center"/>
              <w:rPr>
                <w:color w:val="auto"/>
                <w:sz w:val="20"/>
                <w:szCs w:val="20"/>
                <w:highlight w:val="none"/>
              </w:rPr>
            </w:pPr>
            <w:r>
              <w:rPr>
                <w:rFonts w:hint="eastAsia"/>
                <w:i/>
                <w:iCs/>
                <w:color w:val="auto"/>
                <w:sz w:val="20"/>
                <w:szCs w:val="20"/>
                <w:highlight w:val="none"/>
              </w:rPr>
              <w:t>a</w:t>
            </w:r>
            <w:r>
              <w:rPr>
                <w:rFonts w:hint="eastAsia"/>
                <w:color w:val="auto"/>
                <w:sz w:val="18"/>
                <w:szCs w:val="18"/>
                <w:highlight w:val="none"/>
                <w:vertAlign w:val="subscript"/>
              </w:rPr>
              <w:t>1-2</w:t>
            </w:r>
            <w:r>
              <w:rPr>
                <w:color w:val="auto"/>
                <w:sz w:val="20"/>
                <w:szCs w:val="20"/>
                <w:highlight w:val="none"/>
              </w:rPr>
              <w:t>＜</w:t>
            </w:r>
            <w:r>
              <w:rPr>
                <w:rFonts w:hint="eastAsia"/>
                <w:color w:val="auto"/>
                <w:sz w:val="20"/>
                <w:szCs w:val="20"/>
                <w:highlight w:val="none"/>
              </w:rPr>
              <w:t>0.</w:t>
            </w:r>
            <w:r>
              <w:rPr>
                <w:color w:val="auto"/>
                <w:sz w:val="20"/>
                <w:szCs w:val="20"/>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49" w:type="dxa"/>
            <w:vAlign w:val="center"/>
          </w:tcPr>
          <w:p>
            <w:pPr>
              <w:jc w:val="center"/>
              <w:rPr>
                <w:color w:val="auto"/>
                <w:sz w:val="20"/>
                <w:szCs w:val="20"/>
                <w:highlight w:val="none"/>
              </w:rPr>
            </w:pPr>
            <w:r>
              <w:rPr>
                <w:rFonts w:hint="eastAsia"/>
                <w:color w:val="auto"/>
                <w:sz w:val="20"/>
                <w:szCs w:val="20"/>
                <w:highlight w:val="none"/>
              </w:rPr>
              <w:t>中压缩性</w:t>
            </w:r>
          </w:p>
        </w:tc>
        <w:tc>
          <w:tcPr>
            <w:tcW w:w="4045" w:type="dxa"/>
            <w:vAlign w:val="center"/>
          </w:tcPr>
          <w:p>
            <w:pPr>
              <w:jc w:val="center"/>
              <w:rPr>
                <w:color w:val="auto"/>
                <w:sz w:val="20"/>
                <w:szCs w:val="20"/>
                <w:highlight w:val="none"/>
              </w:rPr>
            </w:pPr>
            <w:r>
              <w:rPr>
                <w:rFonts w:hint="eastAsia"/>
                <w:color w:val="auto"/>
                <w:sz w:val="20"/>
                <w:szCs w:val="20"/>
                <w:highlight w:val="none"/>
              </w:rPr>
              <w:t>0.1</w:t>
            </w:r>
            <w:r>
              <w:rPr>
                <w:rFonts w:hint="eastAsia" w:ascii="宋体" w:hAnsi="宋体" w:cs="宋体"/>
                <w:color w:val="auto"/>
                <w:sz w:val="20"/>
                <w:szCs w:val="20"/>
                <w:highlight w:val="none"/>
              </w:rPr>
              <w:t>≤</w:t>
            </w:r>
            <w:r>
              <w:rPr>
                <w:rFonts w:hint="eastAsia"/>
                <w:i/>
                <w:iCs/>
                <w:color w:val="auto"/>
                <w:sz w:val="20"/>
                <w:szCs w:val="20"/>
                <w:highlight w:val="none"/>
              </w:rPr>
              <w:t>a</w:t>
            </w:r>
            <w:r>
              <w:rPr>
                <w:rFonts w:hint="eastAsia"/>
                <w:color w:val="auto"/>
                <w:sz w:val="18"/>
                <w:szCs w:val="18"/>
                <w:highlight w:val="none"/>
                <w:vertAlign w:val="subscript"/>
              </w:rPr>
              <w:t>1-2</w:t>
            </w:r>
            <w:r>
              <w:rPr>
                <w:color w:val="auto"/>
                <w:sz w:val="20"/>
                <w:szCs w:val="20"/>
                <w:highlight w:val="none"/>
              </w:rPr>
              <w:t>＜</w:t>
            </w:r>
            <w:r>
              <w:rPr>
                <w:rFonts w:hint="eastAsia"/>
                <w:color w:val="auto"/>
                <w:sz w:val="20"/>
                <w:szCs w:val="20"/>
                <w:highlight w:val="none"/>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49" w:type="dxa"/>
            <w:vAlign w:val="center"/>
          </w:tcPr>
          <w:p>
            <w:pPr>
              <w:jc w:val="center"/>
              <w:rPr>
                <w:color w:val="auto"/>
                <w:sz w:val="20"/>
                <w:szCs w:val="20"/>
                <w:highlight w:val="none"/>
              </w:rPr>
            </w:pPr>
            <w:r>
              <w:rPr>
                <w:rFonts w:hint="eastAsia"/>
                <w:color w:val="auto"/>
                <w:sz w:val="20"/>
                <w:szCs w:val="20"/>
                <w:highlight w:val="none"/>
              </w:rPr>
              <w:t>高压缩性</w:t>
            </w:r>
          </w:p>
        </w:tc>
        <w:tc>
          <w:tcPr>
            <w:tcW w:w="4045" w:type="dxa"/>
            <w:vAlign w:val="center"/>
          </w:tcPr>
          <w:p>
            <w:pPr>
              <w:jc w:val="center"/>
              <w:rPr>
                <w:i/>
                <w:iCs/>
                <w:color w:val="auto"/>
                <w:sz w:val="20"/>
                <w:szCs w:val="20"/>
                <w:highlight w:val="none"/>
              </w:rPr>
            </w:pPr>
            <w:r>
              <w:rPr>
                <w:rFonts w:hint="eastAsia"/>
                <w:i/>
                <w:iCs/>
                <w:color w:val="auto"/>
                <w:sz w:val="20"/>
                <w:szCs w:val="20"/>
                <w:highlight w:val="none"/>
              </w:rPr>
              <w:t>a</w:t>
            </w:r>
            <w:r>
              <w:rPr>
                <w:rFonts w:hint="eastAsia"/>
                <w:color w:val="auto"/>
                <w:sz w:val="18"/>
                <w:szCs w:val="18"/>
                <w:highlight w:val="none"/>
                <w:vertAlign w:val="subscript"/>
              </w:rPr>
              <w:t>1-2</w:t>
            </w:r>
            <w:r>
              <w:rPr>
                <w:rFonts w:hint="eastAsia" w:ascii="宋体" w:hAnsi="宋体" w:cs="宋体"/>
                <w:color w:val="auto"/>
                <w:kern w:val="0"/>
                <w:sz w:val="20"/>
                <w:szCs w:val="20"/>
                <w:highlight w:val="none"/>
              </w:rPr>
              <w:t>≥</w:t>
            </w:r>
            <w:r>
              <w:rPr>
                <w:rFonts w:hint="eastAsia"/>
                <w:color w:val="auto"/>
                <w:sz w:val="20"/>
                <w:szCs w:val="20"/>
                <w:highlight w:val="none"/>
              </w:rPr>
              <w:t>0.5</w:t>
            </w:r>
          </w:p>
        </w:tc>
      </w:tr>
    </w:tbl>
    <w:p>
      <w:pPr>
        <w:widowControl/>
        <w:jc w:val="left"/>
        <w:rPr>
          <w:color w:val="auto"/>
          <w:kern w:val="44"/>
          <w:sz w:val="16"/>
          <w:szCs w:val="10"/>
          <w:highlight w:val="none"/>
        </w:rPr>
      </w:pPr>
      <w:r>
        <w:rPr>
          <w:color w:val="auto"/>
          <w:kern w:val="44"/>
          <w:sz w:val="16"/>
          <w:szCs w:val="10"/>
          <w:highlight w:val="none"/>
        </w:rPr>
        <w:br w:type="page"/>
      </w:r>
    </w:p>
    <w:p>
      <w:pPr>
        <w:widowControl/>
        <w:jc w:val="left"/>
        <w:rPr>
          <w:color w:val="auto"/>
          <w:kern w:val="44"/>
          <w:sz w:val="16"/>
          <w:szCs w:val="10"/>
          <w:highlight w:val="none"/>
        </w:rPr>
      </w:pPr>
    </w:p>
    <w:p>
      <w:pPr>
        <w:pStyle w:val="2"/>
        <w:spacing w:before="480" w:after="480" w:line="240" w:lineRule="auto"/>
        <w:rPr>
          <w:color w:val="auto"/>
          <w:highlight w:val="none"/>
        </w:rPr>
      </w:pPr>
      <w:bookmarkStart w:id="50" w:name="_Toc13199"/>
      <w:bookmarkStart w:id="51" w:name="_Toc14662"/>
      <w:bookmarkStart w:id="52" w:name="_Toc17365"/>
      <w:bookmarkStart w:id="53" w:name="_5　城市道路工程"/>
      <w:r>
        <w:rPr>
          <w:rFonts w:hint="eastAsia"/>
          <w:color w:val="auto"/>
          <w:highlight w:val="none"/>
        </w:rPr>
        <w:t>5　城市道路工程</w:t>
      </w:r>
      <w:bookmarkEnd w:id="50"/>
      <w:bookmarkEnd w:id="51"/>
      <w:bookmarkEnd w:id="52"/>
    </w:p>
    <w:bookmarkEnd w:id="53"/>
    <w:p>
      <w:pPr>
        <w:pStyle w:val="3"/>
        <w:rPr>
          <w:rFonts w:ascii="Times New Roman" w:hAnsi="Times New Roman" w:eastAsia="宋体"/>
          <w:color w:val="auto"/>
          <w:highlight w:val="none"/>
        </w:rPr>
      </w:pPr>
      <w:bookmarkStart w:id="54" w:name="_Toc13900"/>
      <w:bookmarkStart w:id="55" w:name="_Toc1665"/>
      <w:bookmarkStart w:id="56" w:name="_Toc20303"/>
      <w:bookmarkStart w:id="57" w:name="_5.1　一般规定"/>
      <w:r>
        <w:rPr>
          <w:rFonts w:ascii="Times New Roman" w:hAnsi="Times New Roman" w:eastAsia="宋体"/>
          <w:color w:val="auto"/>
          <w:highlight w:val="none"/>
        </w:rPr>
        <w:t>5.1</w:t>
      </w:r>
      <w:r>
        <w:rPr>
          <w:color w:val="auto"/>
          <w:highlight w:val="none"/>
        </w:rPr>
        <w:t>　</w:t>
      </w:r>
      <w:r>
        <w:rPr>
          <w:rFonts w:ascii="Times New Roman" w:hAnsi="Times New Roman" w:eastAsia="宋体"/>
          <w:color w:val="auto"/>
          <w:highlight w:val="none"/>
        </w:rPr>
        <w:t>一般规定</w:t>
      </w:r>
      <w:bookmarkEnd w:id="54"/>
      <w:bookmarkEnd w:id="55"/>
      <w:bookmarkEnd w:id="56"/>
      <w:r>
        <w:rPr>
          <w:rFonts w:ascii="Times New Roman" w:hAnsi="Times New Roman" w:eastAsia="宋体"/>
          <w:color w:val="auto"/>
          <w:highlight w:val="none"/>
        </w:rPr>
        <w:tab/>
      </w:r>
    </w:p>
    <w:bookmarkEnd w:id="57"/>
    <w:p>
      <w:pPr>
        <w:spacing w:line="360" w:lineRule="auto"/>
        <w:rPr>
          <w:color w:val="auto"/>
          <w:szCs w:val="21"/>
          <w:highlight w:val="none"/>
        </w:rPr>
      </w:pPr>
      <w:r>
        <w:rPr>
          <w:b/>
          <w:bCs/>
          <w:color w:val="auto"/>
          <w:highlight w:val="none"/>
        </w:rPr>
        <w:t>5.1.1</w:t>
      </w:r>
      <w:r>
        <w:rPr>
          <w:rFonts w:hint="eastAsia"/>
          <w:b/>
          <w:bCs/>
          <w:color w:val="auto"/>
          <w:highlight w:val="none"/>
        </w:rPr>
        <w:t>　</w:t>
      </w:r>
      <w:r>
        <w:rPr>
          <w:color w:val="auto"/>
          <w:highlight w:val="none"/>
        </w:rPr>
        <w:t>本章适用于</w:t>
      </w:r>
      <w:r>
        <w:rPr>
          <w:rFonts w:hint="eastAsia"/>
          <w:color w:val="auto"/>
          <w:highlight w:val="none"/>
        </w:rPr>
        <w:t>城市</w:t>
      </w:r>
      <w:r>
        <w:rPr>
          <w:color w:val="auto"/>
          <w:highlight w:val="none"/>
        </w:rPr>
        <w:t>道路、公交场站和</w:t>
      </w:r>
      <w:r>
        <w:rPr>
          <w:rFonts w:hint="eastAsia"/>
          <w:color w:val="auto"/>
          <w:highlight w:val="none"/>
        </w:rPr>
        <w:t>城市</w:t>
      </w:r>
      <w:r>
        <w:rPr>
          <w:color w:val="auto"/>
          <w:highlight w:val="none"/>
        </w:rPr>
        <w:t>广场</w:t>
      </w:r>
      <w:r>
        <w:rPr>
          <w:rFonts w:hint="eastAsia"/>
          <w:color w:val="auto"/>
          <w:szCs w:val="24"/>
          <w:highlight w:val="none"/>
        </w:rPr>
        <w:t>的</w:t>
      </w:r>
      <w:r>
        <w:rPr>
          <w:rFonts w:hint="eastAsia"/>
          <w:color w:val="auto"/>
          <w:highlight w:val="none"/>
        </w:rPr>
        <w:t>道路与地面工程</w:t>
      </w:r>
      <w:r>
        <w:rPr>
          <w:color w:val="auto"/>
          <w:highlight w:val="none"/>
        </w:rPr>
        <w:t>及附属支挡工程的岩土工程勘察</w:t>
      </w:r>
      <w:r>
        <w:rPr>
          <w:rFonts w:hint="eastAsia"/>
          <w:color w:val="auto"/>
          <w:highlight w:val="none"/>
        </w:rPr>
        <w:t>；</w:t>
      </w:r>
      <w:r>
        <w:rPr>
          <w:color w:val="auto"/>
          <w:highlight w:val="none"/>
        </w:rPr>
        <w:t>城市地下广场、地下</w:t>
      </w:r>
      <w:r>
        <w:rPr>
          <w:rFonts w:hint="eastAsia"/>
          <w:color w:val="auto"/>
          <w:highlight w:val="none"/>
        </w:rPr>
        <w:t>公交</w:t>
      </w:r>
      <w:r>
        <w:rPr>
          <w:color w:val="auto"/>
          <w:highlight w:val="none"/>
        </w:rPr>
        <w:t>场站</w:t>
      </w:r>
      <w:r>
        <w:rPr>
          <w:rFonts w:hint="eastAsia"/>
          <w:color w:val="auto"/>
          <w:highlight w:val="none"/>
        </w:rPr>
        <w:t>和</w:t>
      </w:r>
      <w:r>
        <w:rPr>
          <w:color w:val="auto"/>
          <w:highlight w:val="none"/>
        </w:rPr>
        <w:t>地上多层</w:t>
      </w:r>
      <w:r>
        <w:rPr>
          <w:rFonts w:hint="eastAsia"/>
          <w:color w:val="auto"/>
          <w:highlight w:val="none"/>
        </w:rPr>
        <w:t>公交</w:t>
      </w:r>
      <w:r>
        <w:rPr>
          <w:color w:val="auto"/>
          <w:highlight w:val="none"/>
        </w:rPr>
        <w:t>场站的勘察</w:t>
      </w:r>
      <w:r>
        <w:rPr>
          <w:rFonts w:hint="eastAsia"/>
          <w:color w:val="auto"/>
          <w:highlight w:val="none"/>
          <w:lang w:eastAsia="zh-CN"/>
        </w:rPr>
        <w:t>可</w:t>
      </w:r>
      <w:r>
        <w:rPr>
          <w:color w:val="auto"/>
          <w:highlight w:val="none"/>
        </w:rPr>
        <w:t>参照《岩土工程勘察规范》GB 50021的有关规定执行。</w:t>
      </w:r>
    </w:p>
    <w:p>
      <w:pPr>
        <w:spacing w:line="360" w:lineRule="auto"/>
        <w:rPr>
          <w:color w:val="auto"/>
          <w:highlight w:val="none"/>
        </w:rPr>
      </w:pPr>
      <w:r>
        <w:rPr>
          <w:b/>
          <w:bCs/>
          <w:color w:val="auto"/>
          <w:highlight w:val="none"/>
        </w:rPr>
        <w:t>5.1.2</w:t>
      </w:r>
      <w:r>
        <w:rPr>
          <w:rFonts w:hint="eastAsia"/>
          <w:color w:val="auto"/>
          <w:highlight w:val="none"/>
        </w:rPr>
        <w:t>　</w:t>
      </w:r>
      <w:r>
        <w:rPr>
          <w:color w:val="auto"/>
          <w:highlight w:val="none"/>
        </w:rPr>
        <w:t>勘察前应根据不同阶段勘察的工作需要，取得下列图纸和资料：</w:t>
      </w:r>
    </w:p>
    <w:p>
      <w:pPr>
        <w:spacing w:line="360" w:lineRule="auto"/>
        <w:ind w:firstLine="422" w:firstLineChars="200"/>
        <w:rPr>
          <w:color w:val="auto"/>
          <w:highlight w:val="none"/>
        </w:rPr>
      </w:pPr>
      <w:r>
        <w:rPr>
          <w:b/>
          <w:bCs/>
          <w:color w:val="auto"/>
          <w:highlight w:val="none"/>
        </w:rPr>
        <w:t>1</w:t>
      </w:r>
      <w:r>
        <w:rPr>
          <w:rFonts w:hint="eastAsia"/>
          <w:b/>
          <w:bCs/>
          <w:color w:val="auto"/>
          <w:highlight w:val="none"/>
        </w:rPr>
        <w:t>　</w:t>
      </w:r>
      <w:r>
        <w:rPr>
          <w:color w:val="auto"/>
          <w:highlight w:val="none"/>
        </w:rPr>
        <w:t>道路、公交场站、</w:t>
      </w:r>
      <w:r>
        <w:rPr>
          <w:rFonts w:hint="eastAsia"/>
          <w:color w:val="auto"/>
          <w:highlight w:val="none"/>
        </w:rPr>
        <w:t>城市</w:t>
      </w:r>
      <w:r>
        <w:rPr>
          <w:color w:val="auto"/>
          <w:highlight w:val="none"/>
        </w:rPr>
        <w:t>广场及附属支挡工程的设计</w:t>
      </w:r>
      <w:r>
        <w:rPr>
          <w:rFonts w:hint="eastAsia"/>
          <w:color w:val="auto"/>
          <w:highlight w:val="none"/>
        </w:rPr>
        <w:t>总</w:t>
      </w:r>
      <w:r>
        <w:rPr>
          <w:color w:val="auto"/>
          <w:highlight w:val="none"/>
        </w:rPr>
        <w:t>平面</w:t>
      </w:r>
      <w:r>
        <w:rPr>
          <w:rFonts w:hint="eastAsia"/>
          <w:color w:val="auto"/>
          <w:highlight w:val="none"/>
        </w:rPr>
        <w:t>布置</w:t>
      </w:r>
      <w:r>
        <w:rPr>
          <w:color w:val="auto"/>
          <w:highlight w:val="none"/>
        </w:rPr>
        <w:t>图</w:t>
      </w:r>
      <w:r>
        <w:rPr>
          <w:rFonts w:hint="eastAsia"/>
          <w:color w:val="auto"/>
          <w:highlight w:val="none"/>
          <w:lang w:eastAsia="zh-CN"/>
        </w:rPr>
        <w:t>、</w:t>
      </w:r>
      <w:r>
        <w:rPr>
          <w:rFonts w:hint="eastAsia"/>
          <w:color w:val="auto"/>
          <w:highlight w:val="none"/>
        </w:rPr>
        <w:t>纵断面图、横断面图</w:t>
      </w:r>
      <w:r>
        <w:rPr>
          <w:color w:val="auto"/>
          <w:highlight w:val="none"/>
        </w:rPr>
        <w:t>；</w:t>
      </w:r>
    </w:p>
    <w:p>
      <w:pPr>
        <w:spacing w:line="360" w:lineRule="auto"/>
        <w:ind w:firstLine="422" w:firstLineChars="200"/>
        <w:rPr>
          <w:color w:val="auto"/>
          <w:highlight w:val="none"/>
        </w:rPr>
      </w:pPr>
      <w:r>
        <w:rPr>
          <w:rFonts w:hint="eastAsia"/>
          <w:b/>
          <w:bCs/>
          <w:color w:val="auto"/>
          <w:highlight w:val="none"/>
          <w:lang w:val="en-US" w:eastAsia="zh-CN"/>
        </w:rPr>
        <w:t>2</w:t>
      </w:r>
      <w:r>
        <w:rPr>
          <w:rFonts w:hint="eastAsia"/>
          <w:b/>
          <w:bCs/>
          <w:color w:val="auto"/>
          <w:highlight w:val="none"/>
        </w:rPr>
        <w:t>　</w:t>
      </w:r>
      <w:r>
        <w:rPr>
          <w:color w:val="auto"/>
          <w:highlight w:val="none"/>
        </w:rPr>
        <w:t>道路的</w:t>
      </w:r>
      <w:r>
        <w:rPr>
          <w:rFonts w:hint="eastAsia"/>
          <w:color w:val="auto"/>
          <w:highlight w:val="none"/>
        </w:rPr>
        <w:t>类别、</w:t>
      </w:r>
      <w:r>
        <w:rPr>
          <w:color w:val="auto"/>
          <w:highlight w:val="none"/>
        </w:rPr>
        <w:t>等级、设计速度</w:t>
      </w:r>
      <w:r>
        <w:rPr>
          <w:rFonts w:hint="eastAsia"/>
          <w:color w:val="auto"/>
          <w:highlight w:val="none"/>
        </w:rPr>
        <w:t>、路基及路面结构类型</w:t>
      </w:r>
      <w:r>
        <w:rPr>
          <w:color w:val="auto"/>
          <w:highlight w:val="none"/>
        </w:rPr>
        <w:t>、起止位置和里程、</w:t>
      </w:r>
      <w:r>
        <w:rPr>
          <w:rFonts w:hint="eastAsia"/>
          <w:color w:val="auto"/>
          <w:highlight w:val="none"/>
        </w:rPr>
        <w:t>路面设计标高</w:t>
      </w:r>
      <w:r>
        <w:rPr>
          <w:color w:val="auto"/>
          <w:highlight w:val="none"/>
        </w:rPr>
        <w:t>、路幅宽度、路基填</w:t>
      </w:r>
      <w:r>
        <w:rPr>
          <w:rFonts w:hint="eastAsia"/>
          <w:color w:val="auto"/>
          <w:highlight w:val="none"/>
        </w:rPr>
        <w:t>挖</w:t>
      </w:r>
      <w:r>
        <w:rPr>
          <w:color w:val="auto"/>
          <w:highlight w:val="none"/>
        </w:rPr>
        <w:t>高</w:t>
      </w:r>
      <w:r>
        <w:rPr>
          <w:rFonts w:hint="eastAsia"/>
          <w:color w:val="auto"/>
          <w:highlight w:val="none"/>
        </w:rPr>
        <w:t>度，城市广场的基底高程，与其他道路</w:t>
      </w:r>
      <w:r>
        <w:rPr>
          <w:color w:val="auto"/>
          <w:highlight w:val="none"/>
        </w:rPr>
        <w:t>的</w:t>
      </w:r>
      <w:r>
        <w:rPr>
          <w:rFonts w:hint="eastAsia"/>
          <w:color w:val="auto"/>
          <w:highlight w:val="none"/>
        </w:rPr>
        <w:t>交叉位置和交叉</w:t>
      </w:r>
      <w:r>
        <w:rPr>
          <w:color w:val="auto"/>
          <w:highlight w:val="none"/>
        </w:rPr>
        <w:t>形式</w:t>
      </w:r>
      <w:r>
        <w:rPr>
          <w:rFonts w:hint="eastAsia"/>
          <w:color w:val="auto"/>
          <w:highlight w:val="none"/>
        </w:rPr>
        <w:t>，</w:t>
      </w:r>
      <w:r>
        <w:rPr>
          <w:color w:val="auto"/>
          <w:highlight w:val="none"/>
        </w:rPr>
        <w:t>边坡的规模和级数</w:t>
      </w:r>
      <w:r>
        <w:rPr>
          <w:rFonts w:hint="eastAsia"/>
          <w:color w:val="auto"/>
          <w:highlight w:val="none"/>
        </w:rPr>
        <w:t>，</w:t>
      </w:r>
      <w:r>
        <w:rPr>
          <w:color w:val="auto"/>
          <w:highlight w:val="none"/>
        </w:rPr>
        <w:t>主要支挡构筑物起止位置和形式</w:t>
      </w:r>
      <w:r>
        <w:rPr>
          <w:rFonts w:hint="eastAsia"/>
          <w:color w:val="auto"/>
          <w:highlight w:val="none"/>
        </w:rPr>
        <w:t>，</w:t>
      </w:r>
      <w:r>
        <w:rPr>
          <w:color w:val="auto"/>
          <w:highlight w:val="none"/>
        </w:rPr>
        <w:t>沿线配套建设的管网和相关附属设施</w:t>
      </w:r>
      <w:r>
        <w:rPr>
          <w:rFonts w:hint="eastAsia"/>
          <w:color w:val="auto"/>
          <w:highlight w:val="none"/>
        </w:rPr>
        <w:t>情况</w:t>
      </w:r>
      <w:r>
        <w:rPr>
          <w:color w:val="auto"/>
          <w:highlight w:val="none"/>
        </w:rPr>
        <w:t>等；</w:t>
      </w:r>
    </w:p>
    <w:p>
      <w:pPr>
        <w:spacing w:line="360" w:lineRule="auto"/>
        <w:ind w:firstLine="422" w:firstLineChars="200"/>
        <w:rPr>
          <w:color w:val="auto"/>
          <w:highlight w:val="none"/>
        </w:rPr>
      </w:pPr>
      <w:r>
        <w:rPr>
          <w:rFonts w:hint="eastAsia"/>
          <w:b/>
          <w:bCs/>
          <w:color w:val="auto"/>
          <w:highlight w:val="none"/>
          <w:lang w:val="en-US" w:eastAsia="zh-CN"/>
        </w:rPr>
        <w:t>3</w:t>
      </w:r>
      <w:r>
        <w:rPr>
          <w:rFonts w:hint="eastAsia"/>
          <w:b/>
          <w:bCs/>
          <w:color w:val="auto"/>
          <w:highlight w:val="none"/>
        </w:rPr>
        <w:t>　</w:t>
      </w:r>
      <w:r>
        <w:rPr>
          <w:rFonts w:hint="eastAsia"/>
          <w:bCs/>
          <w:color w:val="auto"/>
          <w:highlight w:val="none"/>
        </w:rPr>
        <w:t>路基稳定</w:t>
      </w:r>
      <w:r>
        <w:rPr>
          <w:bCs/>
          <w:color w:val="auto"/>
          <w:highlight w:val="none"/>
        </w:rPr>
        <w:t>和沉降控制</w:t>
      </w:r>
      <w:r>
        <w:rPr>
          <w:rFonts w:hint="eastAsia"/>
          <w:bCs/>
          <w:color w:val="auto"/>
          <w:highlight w:val="none"/>
        </w:rPr>
        <w:t>标准</w:t>
      </w:r>
      <w:r>
        <w:rPr>
          <w:rFonts w:hint="eastAsia"/>
          <w:color w:val="auto"/>
          <w:highlight w:val="none"/>
        </w:rPr>
        <w:t>；</w:t>
      </w:r>
    </w:p>
    <w:p>
      <w:pPr>
        <w:spacing w:line="360" w:lineRule="auto"/>
        <w:ind w:firstLine="422" w:firstLineChars="200"/>
        <w:rPr>
          <w:bCs/>
          <w:color w:val="auto"/>
          <w:highlight w:val="none"/>
        </w:rPr>
      </w:pPr>
      <w:r>
        <w:rPr>
          <w:rFonts w:hint="eastAsia"/>
          <w:b/>
          <w:color w:val="auto"/>
          <w:highlight w:val="none"/>
          <w:lang w:val="en-US" w:eastAsia="zh-CN"/>
        </w:rPr>
        <w:t>4</w:t>
      </w:r>
      <w:r>
        <w:rPr>
          <w:rFonts w:hint="eastAsia"/>
          <w:bCs/>
          <w:color w:val="auto"/>
          <w:highlight w:val="none"/>
        </w:rPr>
        <w:t>　对改扩建道路工程，收集原设计和竣工资料</w:t>
      </w:r>
      <w:r>
        <w:rPr>
          <w:bCs/>
          <w:color w:val="auto"/>
          <w:highlight w:val="none"/>
        </w:rPr>
        <w:t>。</w:t>
      </w:r>
    </w:p>
    <w:p>
      <w:pPr>
        <w:spacing w:line="360" w:lineRule="auto"/>
        <w:rPr>
          <w:color w:val="auto"/>
          <w:highlight w:val="none"/>
        </w:rPr>
      </w:pPr>
      <w:r>
        <w:rPr>
          <w:b/>
          <w:bCs/>
          <w:color w:val="auto"/>
          <w:highlight w:val="none"/>
        </w:rPr>
        <w:t>5.1.</w:t>
      </w:r>
      <w:r>
        <w:rPr>
          <w:rFonts w:hint="eastAsia"/>
          <w:b/>
          <w:bCs/>
          <w:color w:val="auto"/>
          <w:highlight w:val="none"/>
        </w:rPr>
        <w:t>3　</w:t>
      </w:r>
      <w:r>
        <w:rPr>
          <w:color w:val="auto"/>
          <w:highlight w:val="none"/>
        </w:rPr>
        <w:t>勘探</w:t>
      </w:r>
      <w:r>
        <w:rPr>
          <w:rFonts w:hint="eastAsia"/>
          <w:color w:val="auto"/>
          <w:highlight w:val="none"/>
        </w:rPr>
        <w:t>点</w:t>
      </w:r>
      <w:r>
        <w:rPr>
          <w:color w:val="auto"/>
          <w:highlight w:val="none"/>
        </w:rPr>
        <w:t>宜根据道路拟新建或扩建的宽度，按以下方式布置：</w:t>
      </w:r>
    </w:p>
    <w:p>
      <w:pPr>
        <w:spacing w:line="360" w:lineRule="auto"/>
        <w:ind w:firstLine="422" w:firstLineChars="200"/>
        <w:rPr>
          <w:color w:val="auto"/>
          <w:highlight w:val="none"/>
        </w:rPr>
      </w:pPr>
      <w:r>
        <w:rPr>
          <w:b/>
          <w:bCs/>
          <w:color w:val="auto"/>
          <w:highlight w:val="none"/>
        </w:rPr>
        <w:t>1</w:t>
      </w:r>
      <w:r>
        <w:rPr>
          <w:rFonts w:hint="eastAsia"/>
          <w:b/>
          <w:bCs/>
          <w:color w:val="auto"/>
          <w:highlight w:val="none"/>
        </w:rPr>
        <w:t>　</w:t>
      </w:r>
      <w:r>
        <w:rPr>
          <w:color w:val="auto"/>
          <w:highlight w:val="none"/>
        </w:rPr>
        <w:t>宽度小于20m</w:t>
      </w:r>
      <w:r>
        <w:rPr>
          <w:rFonts w:hint="eastAsia"/>
          <w:color w:val="auto"/>
          <w:highlight w:val="none"/>
        </w:rPr>
        <w:t>的道路</w:t>
      </w:r>
      <w:r>
        <w:rPr>
          <w:color w:val="auto"/>
          <w:highlight w:val="none"/>
        </w:rPr>
        <w:t>，宜沿道路中线布置</w:t>
      </w:r>
      <w:r>
        <w:rPr>
          <w:rFonts w:hint="eastAsia"/>
          <w:color w:val="auto"/>
          <w:highlight w:val="none"/>
        </w:rPr>
        <w:t>或</w:t>
      </w:r>
      <w:r>
        <w:rPr>
          <w:color w:val="auto"/>
          <w:highlight w:val="none"/>
        </w:rPr>
        <w:t>呈</w:t>
      </w:r>
      <w:r>
        <w:rPr>
          <w:rFonts w:hint="eastAsia" w:ascii="宋体" w:hAnsi="宋体"/>
          <w:color w:val="auto"/>
          <w:highlight w:val="none"/>
        </w:rPr>
        <w:t>左右</w:t>
      </w:r>
      <w:r>
        <w:rPr>
          <w:color w:val="auto"/>
          <w:highlight w:val="none"/>
        </w:rPr>
        <w:t>交错布置</w:t>
      </w:r>
      <w:r>
        <w:rPr>
          <w:rFonts w:hint="eastAsia"/>
          <w:color w:val="auto"/>
          <w:highlight w:val="none"/>
        </w:rPr>
        <w:t>，生成一条纵断面</w:t>
      </w:r>
      <w:r>
        <w:rPr>
          <w:color w:val="auto"/>
          <w:highlight w:val="none"/>
        </w:rPr>
        <w:t>；</w:t>
      </w:r>
    </w:p>
    <w:p>
      <w:pPr>
        <w:spacing w:line="360" w:lineRule="auto"/>
        <w:ind w:firstLine="422" w:firstLineChars="200"/>
        <w:rPr>
          <w:color w:val="auto"/>
          <w:highlight w:val="none"/>
        </w:rPr>
      </w:pPr>
      <w:r>
        <w:rPr>
          <w:b/>
          <w:bCs/>
          <w:color w:val="auto"/>
          <w:highlight w:val="none"/>
        </w:rPr>
        <w:t>2</w:t>
      </w:r>
      <w:r>
        <w:rPr>
          <w:rFonts w:hint="eastAsia"/>
          <w:b/>
          <w:bCs/>
          <w:color w:val="auto"/>
          <w:highlight w:val="none"/>
        </w:rPr>
        <w:t>　</w:t>
      </w:r>
      <w:r>
        <w:rPr>
          <w:color w:val="auto"/>
          <w:highlight w:val="none"/>
        </w:rPr>
        <w:t>宽度</w:t>
      </w:r>
      <w:r>
        <w:rPr>
          <w:color w:val="auto"/>
          <w:kern w:val="0"/>
          <w:highlight w:val="none"/>
        </w:rPr>
        <w:t>20m</w:t>
      </w:r>
      <w:r>
        <w:rPr>
          <w:color w:val="auto"/>
          <w:highlight w:val="none"/>
        </w:rPr>
        <w:t>~50m</w:t>
      </w:r>
      <w:r>
        <w:rPr>
          <w:rFonts w:hint="eastAsia"/>
          <w:color w:val="auto"/>
          <w:highlight w:val="none"/>
        </w:rPr>
        <w:t>的道路</w:t>
      </w:r>
      <w:r>
        <w:rPr>
          <w:color w:val="auto"/>
          <w:highlight w:val="none"/>
        </w:rPr>
        <w:t>，宜沿道路两侧呈</w:t>
      </w:r>
      <w:r>
        <w:rPr>
          <w:rFonts w:hint="eastAsia"/>
          <w:color w:val="auto"/>
          <w:highlight w:val="none"/>
        </w:rPr>
        <w:t>左右</w:t>
      </w:r>
      <w:r>
        <w:rPr>
          <w:color w:val="auto"/>
          <w:highlight w:val="none"/>
        </w:rPr>
        <w:t>交错布置</w:t>
      </w:r>
      <w:r>
        <w:rPr>
          <w:rFonts w:hint="eastAsia"/>
          <w:color w:val="auto"/>
          <w:highlight w:val="none"/>
        </w:rPr>
        <w:t>，生成一条纵断面</w:t>
      </w:r>
      <w:r>
        <w:rPr>
          <w:color w:val="auto"/>
          <w:highlight w:val="none"/>
        </w:rPr>
        <w:t xml:space="preserve">； </w:t>
      </w:r>
    </w:p>
    <w:p>
      <w:pPr>
        <w:spacing w:line="360" w:lineRule="auto"/>
        <w:ind w:firstLine="422" w:firstLineChars="200"/>
        <w:rPr>
          <w:color w:val="auto"/>
          <w:highlight w:val="none"/>
        </w:rPr>
      </w:pPr>
      <w:r>
        <w:rPr>
          <w:b/>
          <w:bCs/>
          <w:color w:val="auto"/>
          <w:highlight w:val="none"/>
        </w:rPr>
        <w:t>3</w:t>
      </w:r>
      <w:r>
        <w:rPr>
          <w:rFonts w:hint="eastAsia"/>
          <w:color w:val="auto"/>
          <w:highlight w:val="none"/>
        </w:rPr>
        <w:t>　</w:t>
      </w:r>
      <w:r>
        <w:rPr>
          <w:color w:val="auto"/>
          <w:highlight w:val="none"/>
        </w:rPr>
        <w:t>宽度</w:t>
      </w:r>
      <w:r>
        <w:rPr>
          <w:color w:val="auto"/>
          <w:kern w:val="0"/>
          <w:highlight w:val="none"/>
        </w:rPr>
        <w:t>大于</w:t>
      </w:r>
      <w:r>
        <w:rPr>
          <w:color w:val="auto"/>
          <w:highlight w:val="none"/>
        </w:rPr>
        <w:t>50m</w:t>
      </w:r>
      <w:r>
        <w:rPr>
          <w:rFonts w:hint="eastAsia"/>
          <w:color w:val="auto"/>
          <w:highlight w:val="none"/>
        </w:rPr>
        <w:t>的道路</w:t>
      </w:r>
      <w:r>
        <w:rPr>
          <w:color w:val="auto"/>
          <w:highlight w:val="none"/>
        </w:rPr>
        <w:t>，宜分左右幅分别布置勘探点</w:t>
      </w:r>
      <w:r>
        <w:rPr>
          <w:rFonts w:hint="eastAsia"/>
          <w:color w:val="auto"/>
          <w:highlight w:val="none"/>
        </w:rPr>
        <w:t>，分别生成纵断面；</w:t>
      </w:r>
    </w:p>
    <w:p>
      <w:pPr>
        <w:spacing w:line="360" w:lineRule="auto"/>
        <w:ind w:firstLine="422" w:firstLineChars="200"/>
        <w:rPr>
          <w:color w:val="auto"/>
          <w:highlight w:val="none"/>
        </w:rPr>
      </w:pPr>
      <w:r>
        <w:rPr>
          <w:rFonts w:hint="eastAsia"/>
          <w:b/>
          <w:bCs/>
          <w:color w:val="auto"/>
          <w:highlight w:val="none"/>
        </w:rPr>
        <w:t>4</w:t>
      </w:r>
      <w:r>
        <w:rPr>
          <w:rFonts w:hint="eastAsia"/>
          <w:color w:val="auto"/>
          <w:highlight w:val="none"/>
        </w:rPr>
        <w:t>　公交场站和城市广场的道路与地面工程可按方格网</w:t>
      </w:r>
      <w:r>
        <w:rPr>
          <w:color w:val="auto"/>
          <w:highlight w:val="none"/>
        </w:rPr>
        <w:t>布置勘探点</w:t>
      </w:r>
      <w:r>
        <w:rPr>
          <w:rFonts w:hint="eastAsia"/>
          <w:color w:val="auto"/>
          <w:highlight w:val="none"/>
        </w:rPr>
        <w:t>，分别生成纵断面、横断面。</w:t>
      </w:r>
      <w:bookmarkStart w:id="58" w:name="_Hlk68771675"/>
    </w:p>
    <w:bookmarkEnd w:id="58"/>
    <w:p>
      <w:pPr>
        <w:spacing w:line="360" w:lineRule="auto"/>
        <w:rPr>
          <w:color w:val="auto"/>
          <w:highlight w:val="none"/>
        </w:rPr>
      </w:pPr>
      <w:r>
        <w:rPr>
          <w:b/>
          <w:bCs/>
          <w:color w:val="auto"/>
          <w:highlight w:val="none"/>
        </w:rPr>
        <w:t>5.</w:t>
      </w:r>
      <w:r>
        <w:rPr>
          <w:rFonts w:hint="eastAsia"/>
          <w:b/>
          <w:bCs/>
          <w:color w:val="auto"/>
          <w:highlight w:val="none"/>
        </w:rPr>
        <w:t>1</w:t>
      </w:r>
      <w:r>
        <w:rPr>
          <w:b/>
          <w:bCs/>
          <w:color w:val="auto"/>
          <w:highlight w:val="none"/>
        </w:rPr>
        <w:t>.</w:t>
      </w:r>
      <w:r>
        <w:rPr>
          <w:rFonts w:hint="eastAsia"/>
          <w:b/>
          <w:bCs/>
          <w:color w:val="auto"/>
          <w:highlight w:val="none"/>
        </w:rPr>
        <w:t>4　</w:t>
      </w:r>
      <w:r>
        <w:rPr>
          <w:rFonts w:hint="eastAsia"/>
          <w:color w:val="auto"/>
          <w:highlight w:val="none"/>
        </w:rPr>
        <w:t>取样和测试工作除符合本规范第3.0.7、3.0.9条的规定外，尚</w:t>
      </w:r>
      <w:r>
        <w:rPr>
          <w:color w:val="auto"/>
          <w:highlight w:val="none"/>
        </w:rPr>
        <w:t>应符合下列规定：</w:t>
      </w:r>
    </w:p>
    <w:p>
      <w:pPr>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一般路基段，基底以下</w:t>
      </w:r>
      <w:r>
        <w:rPr>
          <w:color w:val="auto"/>
          <w:highlight w:val="none"/>
        </w:rPr>
        <w:t>3.0m深度范围内，</w:t>
      </w:r>
      <w:r>
        <w:rPr>
          <w:rFonts w:hint="eastAsia"/>
          <w:color w:val="auto"/>
          <w:highlight w:val="none"/>
        </w:rPr>
        <w:t>宜加密采取土样和进行原位测试；</w:t>
      </w:r>
    </w:p>
    <w:p>
      <w:pPr>
        <w:spacing w:line="360" w:lineRule="auto"/>
        <w:ind w:firstLine="422" w:firstLineChars="200"/>
        <w:rPr>
          <w:color w:val="auto"/>
          <w:highlight w:val="none"/>
        </w:rPr>
      </w:pPr>
      <w:r>
        <w:rPr>
          <w:rFonts w:hint="eastAsia"/>
          <w:b/>
          <w:bCs/>
          <w:color w:val="auto"/>
          <w:highlight w:val="none"/>
        </w:rPr>
        <w:t>2　</w:t>
      </w:r>
      <w:r>
        <w:rPr>
          <w:rFonts w:hint="eastAsia"/>
          <w:color w:val="auto"/>
          <w:highlight w:val="none"/>
        </w:rPr>
        <w:t>高路堤段软土层宜进行标准固结试验、不固结不排水三轴剪切试验、固结不排水三轴剪切试验、无侧限抗压强度试验和十字板剪切试验；</w:t>
      </w:r>
    </w:p>
    <w:p>
      <w:pPr>
        <w:spacing w:line="360" w:lineRule="auto"/>
        <w:ind w:firstLine="422" w:firstLineChars="200"/>
        <w:rPr>
          <w:color w:val="auto"/>
          <w:highlight w:val="none"/>
        </w:rPr>
      </w:pPr>
      <w:r>
        <w:rPr>
          <w:rFonts w:hint="eastAsia"/>
          <w:b/>
          <w:bCs/>
          <w:color w:val="auto"/>
          <w:highlight w:val="none"/>
        </w:rPr>
        <w:t>3</w:t>
      </w:r>
      <w:bookmarkStart w:id="59" w:name="_Hlk68772260"/>
      <w:r>
        <w:rPr>
          <w:rFonts w:hint="eastAsia"/>
          <w:color w:val="auto"/>
          <w:highlight w:val="none"/>
        </w:rPr>
        <w:t>　路堑边坡宜根据需要开展水文地质试验，边坡</w:t>
      </w:r>
      <w:r>
        <w:rPr>
          <w:color w:val="auto"/>
          <w:highlight w:val="none"/>
        </w:rPr>
        <w:t>土样宜</w:t>
      </w:r>
      <w:r>
        <w:rPr>
          <w:rFonts w:hint="eastAsia"/>
          <w:color w:val="auto"/>
          <w:highlight w:val="none"/>
        </w:rPr>
        <w:t>分别进行天然状态和</w:t>
      </w:r>
      <w:r>
        <w:rPr>
          <w:color w:val="auto"/>
          <w:highlight w:val="none"/>
        </w:rPr>
        <w:t>饱和状态</w:t>
      </w:r>
      <w:r>
        <w:rPr>
          <w:rFonts w:hint="eastAsia"/>
          <w:color w:val="auto"/>
          <w:highlight w:val="none"/>
        </w:rPr>
        <w:t>的</w:t>
      </w:r>
      <w:r>
        <w:rPr>
          <w:color w:val="auto"/>
          <w:highlight w:val="none"/>
        </w:rPr>
        <w:t>直接快剪试验</w:t>
      </w:r>
      <w:r>
        <w:rPr>
          <w:rFonts w:hint="eastAsia"/>
          <w:color w:val="auto"/>
          <w:highlight w:val="none"/>
        </w:rPr>
        <w:t>；</w:t>
      </w:r>
    </w:p>
    <w:p>
      <w:pPr>
        <w:spacing w:line="360" w:lineRule="auto"/>
        <w:ind w:firstLine="422" w:firstLineChars="200"/>
        <w:rPr>
          <w:color w:val="auto"/>
          <w:highlight w:val="none"/>
        </w:rPr>
      </w:pPr>
      <w:r>
        <w:rPr>
          <w:rFonts w:hint="eastAsia"/>
          <w:b/>
          <w:bCs/>
          <w:color w:val="auto"/>
          <w:highlight w:val="none"/>
        </w:rPr>
        <w:t>4　</w:t>
      </w:r>
      <w:r>
        <w:rPr>
          <w:color w:val="auto"/>
          <w:highlight w:val="none"/>
        </w:rPr>
        <w:t>拟用作填筑土料的挖方土应进行击实试验</w:t>
      </w:r>
      <w:r>
        <w:rPr>
          <w:rFonts w:hint="eastAsia"/>
          <w:color w:val="auto"/>
          <w:highlight w:val="none"/>
        </w:rPr>
        <w:t>和承载比（CBR）试验</w:t>
      </w:r>
      <w:r>
        <w:rPr>
          <w:color w:val="auto"/>
          <w:highlight w:val="none"/>
        </w:rPr>
        <w:t>。</w:t>
      </w:r>
    </w:p>
    <w:bookmarkEnd w:id="59"/>
    <w:p>
      <w:pPr>
        <w:spacing w:line="360" w:lineRule="auto"/>
        <w:rPr>
          <w:color w:val="auto"/>
          <w:highlight w:val="none"/>
        </w:rPr>
      </w:pPr>
      <w:r>
        <w:rPr>
          <w:b/>
          <w:bCs/>
          <w:color w:val="auto"/>
          <w:highlight w:val="none"/>
        </w:rPr>
        <w:t>5.1.</w:t>
      </w:r>
      <w:r>
        <w:rPr>
          <w:rFonts w:hint="eastAsia"/>
          <w:b/>
          <w:bCs/>
          <w:color w:val="auto"/>
          <w:highlight w:val="none"/>
        </w:rPr>
        <w:t>5　</w:t>
      </w:r>
      <w:r>
        <w:rPr>
          <w:rFonts w:hint="eastAsia"/>
          <w:color w:val="auto"/>
          <w:highlight w:val="none"/>
        </w:rPr>
        <w:t>城市</w:t>
      </w:r>
      <w:r>
        <w:rPr>
          <w:color w:val="auto"/>
          <w:highlight w:val="none"/>
        </w:rPr>
        <w:t>既有道路改造工程应对</w:t>
      </w:r>
      <w:r>
        <w:rPr>
          <w:rFonts w:hint="eastAsia"/>
          <w:color w:val="auto"/>
          <w:highlight w:val="none"/>
        </w:rPr>
        <w:t>存在下列情况的路段进行</w:t>
      </w:r>
      <w:r>
        <w:rPr>
          <w:color w:val="auto"/>
          <w:highlight w:val="none"/>
        </w:rPr>
        <w:t>勘察：</w:t>
      </w:r>
    </w:p>
    <w:p>
      <w:pPr>
        <w:spacing w:line="360" w:lineRule="auto"/>
        <w:ind w:firstLine="422" w:firstLineChars="200"/>
        <w:rPr>
          <w:color w:val="auto"/>
          <w:highlight w:val="none"/>
        </w:rPr>
      </w:pPr>
      <w:r>
        <w:rPr>
          <w:rFonts w:hint="eastAsia"/>
          <w:b/>
          <w:bCs/>
          <w:color w:val="auto"/>
          <w:highlight w:val="none"/>
        </w:rPr>
        <w:t>1　</w:t>
      </w:r>
      <w:r>
        <w:rPr>
          <w:color w:val="auto"/>
          <w:highlight w:val="none"/>
        </w:rPr>
        <w:t>道路标高大幅调整，道路原有勘察资料不满足设计要求的</w:t>
      </w:r>
      <w:r>
        <w:rPr>
          <w:rFonts w:hint="eastAsia"/>
          <w:color w:val="auto"/>
          <w:highlight w:val="none"/>
        </w:rPr>
        <w:t>路段</w:t>
      </w:r>
      <w:r>
        <w:rPr>
          <w:color w:val="auto"/>
          <w:highlight w:val="none"/>
        </w:rPr>
        <w:t>；</w:t>
      </w:r>
    </w:p>
    <w:p>
      <w:pPr>
        <w:spacing w:line="360" w:lineRule="auto"/>
        <w:ind w:firstLine="422" w:firstLineChars="200"/>
        <w:rPr>
          <w:color w:val="auto"/>
          <w:highlight w:val="none"/>
        </w:rPr>
      </w:pPr>
      <w:r>
        <w:rPr>
          <w:rFonts w:hint="eastAsia"/>
          <w:b/>
          <w:bCs/>
          <w:color w:val="auto"/>
          <w:highlight w:val="none"/>
        </w:rPr>
        <w:t>2</w:t>
      </w:r>
      <w:r>
        <w:rPr>
          <w:rFonts w:hint="eastAsia"/>
          <w:color w:val="auto"/>
          <w:highlight w:val="none"/>
        </w:rPr>
        <w:t>　</w:t>
      </w:r>
      <w:r>
        <w:rPr>
          <w:color w:val="auto"/>
          <w:highlight w:val="none"/>
        </w:rPr>
        <w:t>出现较严重路基病害，需要勘察查明</w:t>
      </w:r>
      <w:r>
        <w:rPr>
          <w:rFonts w:hint="eastAsia"/>
          <w:color w:val="auto"/>
          <w:highlight w:val="none"/>
        </w:rPr>
        <w:t>地质原因</w:t>
      </w:r>
      <w:r>
        <w:rPr>
          <w:color w:val="auto"/>
          <w:highlight w:val="none"/>
        </w:rPr>
        <w:t>的路段；</w:t>
      </w:r>
    </w:p>
    <w:p>
      <w:pPr>
        <w:spacing w:line="360" w:lineRule="auto"/>
        <w:ind w:firstLine="422" w:firstLineChars="200"/>
        <w:rPr>
          <w:color w:val="auto"/>
          <w:highlight w:val="none"/>
        </w:rPr>
      </w:pPr>
      <w:r>
        <w:rPr>
          <w:rFonts w:hint="eastAsia"/>
          <w:b/>
          <w:bCs/>
          <w:color w:val="auto"/>
          <w:highlight w:val="none"/>
        </w:rPr>
        <w:t>3　</w:t>
      </w:r>
      <w:r>
        <w:rPr>
          <w:color w:val="auto"/>
          <w:highlight w:val="none"/>
        </w:rPr>
        <w:t>原道路勘察资料缺失，需要重新</w:t>
      </w:r>
      <w:r>
        <w:rPr>
          <w:rFonts w:hint="eastAsia"/>
          <w:color w:val="auto"/>
          <w:highlight w:val="none"/>
        </w:rPr>
        <w:t>或补充</w:t>
      </w:r>
      <w:r>
        <w:rPr>
          <w:color w:val="auto"/>
          <w:highlight w:val="none"/>
        </w:rPr>
        <w:t>查明的</w:t>
      </w:r>
      <w:r>
        <w:rPr>
          <w:rFonts w:hint="eastAsia"/>
          <w:color w:val="auto"/>
          <w:highlight w:val="none"/>
        </w:rPr>
        <w:t>路段</w:t>
      </w:r>
      <w:r>
        <w:rPr>
          <w:color w:val="auto"/>
          <w:highlight w:val="none"/>
        </w:rPr>
        <w:t>。</w:t>
      </w:r>
    </w:p>
    <w:p>
      <w:pPr>
        <w:spacing w:line="360" w:lineRule="auto"/>
        <w:rPr>
          <w:color w:val="auto"/>
          <w:highlight w:val="none"/>
        </w:rPr>
      </w:pPr>
      <w:r>
        <w:rPr>
          <w:b/>
          <w:bCs/>
          <w:color w:val="auto"/>
          <w:highlight w:val="none"/>
        </w:rPr>
        <w:t>5.</w:t>
      </w:r>
      <w:r>
        <w:rPr>
          <w:rFonts w:hint="eastAsia"/>
          <w:b/>
          <w:bCs/>
          <w:color w:val="auto"/>
          <w:highlight w:val="none"/>
        </w:rPr>
        <w:t>1.6　</w:t>
      </w:r>
      <w:r>
        <w:rPr>
          <w:color w:val="auto"/>
          <w:highlight w:val="none"/>
        </w:rPr>
        <w:t>存在以下情况时，宜参照附录</w:t>
      </w:r>
      <w:r>
        <w:rPr>
          <w:rFonts w:hint="eastAsia"/>
          <w:color w:val="auto"/>
          <w:highlight w:val="none"/>
        </w:rPr>
        <w:t>C</w:t>
      </w:r>
      <w:r>
        <w:rPr>
          <w:color w:val="auto"/>
          <w:highlight w:val="none"/>
        </w:rPr>
        <w:t>开展物探工作：</w:t>
      </w:r>
    </w:p>
    <w:p>
      <w:pPr>
        <w:spacing w:line="360" w:lineRule="auto"/>
        <w:ind w:firstLine="422" w:firstLineChars="200"/>
        <w:rPr>
          <w:color w:val="auto"/>
          <w:highlight w:val="none"/>
        </w:rPr>
      </w:pPr>
      <w:r>
        <w:rPr>
          <w:b/>
          <w:bCs/>
          <w:color w:val="auto"/>
          <w:highlight w:val="none"/>
        </w:rPr>
        <w:t>1</w:t>
      </w:r>
      <w:r>
        <w:rPr>
          <w:rFonts w:hint="eastAsia"/>
          <w:b/>
          <w:bCs/>
          <w:color w:val="auto"/>
          <w:highlight w:val="none"/>
        </w:rPr>
        <w:t>　</w:t>
      </w:r>
      <w:r>
        <w:rPr>
          <w:rFonts w:hint="eastAsia"/>
          <w:color w:val="auto"/>
          <w:highlight w:val="none"/>
        </w:rPr>
        <w:t>场地存在可能影响路基稳定性的</w:t>
      </w:r>
      <w:r>
        <w:rPr>
          <w:color w:val="auto"/>
          <w:highlight w:val="none"/>
        </w:rPr>
        <w:t>岩溶区、采空区</w:t>
      </w:r>
      <w:r>
        <w:rPr>
          <w:rFonts w:hint="eastAsia"/>
          <w:color w:val="auto"/>
          <w:highlight w:val="none"/>
          <w:lang w:eastAsia="zh-CN"/>
        </w:rPr>
        <w:t>、</w:t>
      </w:r>
      <w:r>
        <w:rPr>
          <w:rFonts w:hint="eastAsia"/>
          <w:color w:val="auto"/>
          <w:highlight w:val="none"/>
          <w:lang w:val="en-US" w:eastAsia="zh-CN"/>
        </w:rPr>
        <w:t>脱空区</w:t>
      </w:r>
      <w:r>
        <w:rPr>
          <w:rFonts w:hint="eastAsia"/>
          <w:color w:val="auto"/>
          <w:highlight w:val="none"/>
        </w:rPr>
        <w:t>时</w:t>
      </w:r>
      <w:r>
        <w:rPr>
          <w:color w:val="auto"/>
          <w:highlight w:val="none"/>
        </w:rPr>
        <w:t>；</w:t>
      </w:r>
    </w:p>
    <w:p>
      <w:pPr>
        <w:spacing w:line="360" w:lineRule="auto"/>
        <w:ind w:firstLine="422" w:firstLineChars="200"/>
        <w:rPr>
          <w:color w:val="auto"/>
          <w:highlight w:val="none"/>
        </w:rPr>
      </w:pPr>
      <w:r>
        <w:rPr>
          <w:b/>
          <w:bCs/>
          <w:color w:val="auto"/>
          <w:highlight w:val="none"/>
        </w:rPr>
        <w:t>2</w:t>
      </w:r>
      <w:r>
        <w:rPr>
          <w:rFonts w:hint="eastAsia"/>
          <w:b/>
          <w:bCs/>
          <w:color w:val="auto"/>
          <w:highlight w:val="none"/>
        </w:rPr>
        <w:t>　</w:t>
      </w:r>
      <w:r>
        <w:rPr>
          <w:color w:val="auto"/>
          <w:highlight w:val="none"/>
        </w:rPr>
        <w:t>历史上发生过地面塌陷的</w:t>
      </w:r>
      <w:r>
        <w:rPr>
          <w:rFonts w:hint="eastAsia"/>
          <w:color w:val="auto"/>
          <w:highlight w:val="none"/>
        </w:rPr>
        <w:t>路段</w:t>
      </w:r>
      <w:r>
        <w:rPr>
          <w:color w:val="auto"/>
          <w:highlight w:val="none"/>
        </w:rPr>
        <w:t>；</w:t>
      </w:r>
    </w:p>
    <w:p>
      <w:pPr>
        <w:spacing w:line="360" w:lineRule="auto"/>
        <w:ind w:firstLine="422" w:firstLineChars="200"/>
        <w:rPr>
          <w:color w:val="auto"/>
          <w:highlight w:val="none"/>
        </w:rPr>
      </w:pPr>
      <w:r>
        <w:rPr>
          <w:b/>
          <w:bCs/>
          <w:color w:val="auto"/>
          <w:highlight w:val="none"/>
        </w:rPr>
        <w:t>3</w:t>
      </w:r>
      <w:r>
        <w:rPr>
          <w:rFonts w:hint="eastAsia"/>
          <w:color w:val="auto"/>
          <w:highlight w:val="none"/>
        </w:rPr>
        <w:t>　场地</w:t>
      </w:r>
      <w:r>
        <w:rPr>
          <w:color w:val="auto"/>
          <w:highlight w:val="none"/>
        </w:rPr>
        <w:t>大范围无进场</w:t>
      </w:r>
      <w:r>
        <w:rPr>
          <w:rFonts w:hint="eastAsia"/>
          <w:color w:val="auto"/>
          <w:highlight w:val="none"/>
        </w:rPr>
        <w:t>勘探</w:t>
      </w:r>
      <w:r>
        <w:rPr>
          <w:color w:val="auto"/>
          <w:highlight w:val="none"/>
        </w:rPr>
        <w:t>条件</w:t>
      </w:r>
      <w:r>
        <w:rPr>
          <w:rFonts w:hint="eastAsia"/>
          <w:color w:val="auto"/>
          <w:highlight w:val="none"/>
        </w:rPr>
        <w:t>而需要提供勘察资料时</w:t>
      </w:r>
      <w:r>
        <w:rPr>
          <w:color w:val="auto"/>
          <w:highlight w:val="none"/>
        </w:rPr>
        <w:t>；</w:t>
      </w:r>
    </w:p>
    <w:p>
      <w:pPr>
        <w:spacing w:line="360" w:lineRule="auto"/>
        <w:ind w:firstLine="422" w:firstLineChars="200"/>
        <w:rPr>
          <w:color w:val="auto"/>
          <w:highlight w:val="none"/>
        </w:rPr>
      </w:pPr>
      <w:r>
        <w:rPr>
          <w:b/>
          <w:bCs/>
          <w:color w:val="auto"/>
          <w:highlight w:val="none"/>
        </w:rPr>
        <w:t>4</w:t>
      </w:r>
      <w:r>
        <w:rPr>
          <w:rFonts w:hint="eastAsia"/>
          <w:b/>
          <w:bCs/>
          <w:color w:val="auto"/>
          <w:highlight w:val="none"/>
        </w:rPr>
        <w:t>　</w:t>
      </w:r>
      <w:r>
        <w:rPr>
          <w:color w:val="auto"/>
          <w:highlight w:val="none"/>
        </w:rPr>
        <w:t>边坡范围存在古滑坡、松散堆积体等不良地质体，可能导致边坡失稳</w:t>
      </w:r>
      <w:r>
        <w:rPr>
          <w:rFonts w:hint="eastAsia"/>
          <w:color w:val="auto"/>
          <w:highlight w:val="none"/>
        </w:rPr>
        <w:t>时</w:t>
      </w:r>
      <w:r>
        <w:rPr>
          <w:color w:val="auto"/>
          <w:highlight w:val="none"/>
        </w:rPr>
        <w:t>。</w:t>
      </w:r>
    </w:p>
    <w:p>
      <w:pPr>
        <w:pStyle w:val="3"/>
        <w:rPr>
          <w:rFonts w:ascii="Times New Roman" w:hAnsi="Times New Roman" w:eastAsia="宋体"/>
          <w:color w:val="auto"/>
          <w:highlight w:val="none"/>
        </w:rPr>
      </w:pPr>
      <w:bookmarkStart w:id="60" w:name="_Toc21498"/>
      <w:bookmarkStart w:id="61" w:name="_Toc25643"/>
      <w:bookmarkStart w:id="62" w:name="_Toc15420"/>
      <w:bookmarkStart w:id="63" w:name="_5.2　可行性研究勘察"/>
      <w:r>
        <w:rPr>
          <w:rFonts w:ascii="Times New Roman" w:hAnsi="Times New Roman" w:eastAsia="宋体"/>
          <w:color w:val="auto"/>
          <w:highlight w:val="none"/>
        </w:rPr>
        <w:t>5.2</w:t>
      </w:r>
      <w:r>
        <w:rPr>
          <w:color w:val="auto"/>
          <w:highlight w:val="none"/>
        </w:rPr>
        <w:t>　</w:t>
      </w:r>
      <w:r>
        <w:rPr>
          <w:rFonts w:ascii="Times New Roman" w:hAnsi="Times New Roman" w:eastAsia="宋体"/>
          <w:color w:val="auto"/>
          <w:highlight w:val="none"/>
        </w:rPr>
        <w:t>可行性研究勘察</w:t>
      </w:r>
      <w:bookmarkEnd w:id="60"/>
      <w:bookmarkEnd w:id="61"/>
      <w:bookmarkEnd w:id="62"/>
      <w:r>
        <w:rPr>
          <w:rFonts w:ascii="Times New Roman" w:hAnsi="Times New Roman" w:eastAsia="宋体"/>
          <w:color w:val="auto"/>
          <w:highlight w:val="none"/>
        </w:rPr>
        <w:tab/>
      </w:r>
    </w:p>
    <w:bookmarkEnd w:id="63"/>
    <w:p>
      <w:pPr>
        <w:spacing w:line="360" w:lineRule="auto"/>
        <w:rPr>
          <w:color w:val="auto"/>
          <w:kern w:val="0"/>
          <w:highlight w:val="none"/>
        </w:rPr>
      </w:pPr>
      <w:r>
        <w:rPr>
          <w:rFonts w:hint="eastAsia"/>
          <w:b/>
          <w:bCs/>
          <w:color w:val="auto"/>
          <w:kern w:val="0"/>
          <w:highlight w:val="none"/>
        </w:rPr>
        <w:t>5.2.1　</w:t>
      </w:r>
      <w:r>
        <w:rPr>
          <w:color w:val="auto"/>
          <w:highlight w:val="none"/>
        </w:rPr>
        <w:t>可行性研究勘察应以收集资料、现场踏勘、工程地质</w:t>
      </w:r>
      <w:r>
        <w:rPr>
          <w:rFonts w:hint="eastAsia"/>
          <w:color w:val="auto"/>
          <w:highlight w:val="none"/>
        </w:rPr>
        <w:t>调查与测绘</w:t>
      </w:r>
      <w:r>
        <w:rPr>
          <w:color w:val="auto"/>
          <w:highlight w:val="none"/>
        </w:rPr>
        <w:t>为主</w:t>
      </w:r>
      <w:r>
        <w:rPr>
          <w:rFonts w:hint="eastAsia"/>
          <w:color w:val="auto"/>
          <w:highlight w:val="none"/>
        </w:rPr>
        <w:t>。</w:t>
      </w:r>
    </w:p>
    <w:p>
      <w:pPr>
        <w:spacing w:line="360" w:lineRule="auto"/>
        <w:rPr>
          <w:color w:val="auto"/>
          <w:kern w:val="0"/>
          <w:highlight w:val="none"/>
        </w:rPr>
      </w:pPr>
      <w:r>
        <w:rPr>
          <w:rFonts w:hint="eastAsia"/>
          <w:b/>
          <w:bCs/>
          <w:color w:val="auto"/>
          <w:kern w:val="0"/>
          <w:highlight w:val="none"/>
        </w:rPr>
        <w:t>5</w:t>
      </w:r>
      <w:r>
        <w:rPr>
          <w:b/>
          <w:bCs/>
          <w:color w:val="auto"/>
          <w:kern w:val="0"/>
          <w:highlight w:val="none"/>
        </w:rPr>
        <w:t>.2.</w:t>
      </w:r>
      <w:r>
        <w:rPr>
          <w:rFonts w:hint="eastAsia"/>
          <w:b/>
          <w:bCs/>
          <w:color w:val="auto"/>
          <w:kern w:val="0"/>
          <w:highlight w:val="none"/>
        </w:rPr>
        <w:t>2</w:t>
      </w:r>
      <w:r>
        <w:rPr>
          <w:rFonts w:hint="eastAsia"/>
          <w:color w:val="auto"/>
          <w:kern w:val="0"/>
          <w:highlight w:val="none"/>
        </w:rPr>
        <w:t>　可行性研究勘察宜进行比例尺为1:2</w:t>
      </w:r>
      <w:r>
        <w:rPr>
          <w:color w:val="auto"/>
          <w:kern w:val="0"/>
          <w:highlight w:val="none"/>
        </w:rPr>
        <w:t>000</w:t>
      </w:r>
      <w:r>
        <w:rPr>
          <w:rFonts w:hint="eastAsia"/>
          <w:color w:val="auto"/>
          <w:kern w:val="0"/>
          <w:highlight w:val="none"/>
        </w:rPr>
        <w:t>~</w:t>
      </w:r>
      <w:r>
        <w:rPr>
          <w:color w:val="auto"/>
          <w:kern w:val="0"/>
          <w:highlight w:val="none"/>
        </w:rPr>
        <w:t>1:5000</w:t>
      </w:r>
      <w:r>
        <w:rPr>
          <w:rFonts w:hint="eastAsia"/>
          <w:color w:val="auto"/>
          <w:kern w:val="0"/>
          <w:highlight w:val="none"/>
        </w:rPr>
        <w:t>的工程地质调查与测绘，范围不宜小于道路两侧边线外100m~200m。</w:t>
      </w:r>
    </w:p>
    <w:p>
      <w:pPr>
        <w:spacing w:line="360" w:lineRule="auto"/>
        <w:rPr>
          <w:color w:val="auto"/>
          <w:kern w:val="0"/>
          <w:highlight w:val="none"/>
        </w:rPr>
      </w:pPr>
      <w:r>
        <w:rPr>
          <w:b/>
          <w:bCs/>
          <w:color w:val="auto"/>
          <w:kern w:val="0"/>
          <w:highlight w:val="none"/>
        </w:rPr>
        <w:t>5.2.</w:t>
      </w:r>
      <w:r>
        <w:rPr>
          <w:rFonts w:hint="eastAsia"/>
          <w:b/>
          <w:bCs/>
          <w:color w:val="auto"/>
          <w:kern w:val="0"/>
          <w:highlight w:val="none"/>
        </w:rPr>
        <w:t>3</w:t>
      </w:r>
      <w:r>
        <w:rPr>
          <w:rFonts w:hint="eastAsia"/>
          <w:color w:val="auto"/>
          <w:kern w:val="0"/>
          <w:highlight w:val="none"/>
        </w:rPr>
        <w:t>　</w:t>
      </w:r>
      <w:r>
        <w:rPr>
          <w:color w:val="auto"/>
          <w:kern w:val="0"/>
          <w:highlight w:val="none"/>
        </w:rPr>
        <w:t>可行性研究</w:t>
      </w:r>
      <w:r>
        <w:rPr>
          <w:rFonts w:hint="eastAsia"/>
          <w:color w:val="auto"/>
          <w:kern w:val="0"/>
          <w:highlight w:val="none"/>
        </w:rPr>
        <w:t>勘察</w:t>
      </w:r>
      <w:r>
        <w:rPr>
          <w:color w:val="auto"/>
          <w:kern w:val="0"/>
          <w:highlight w:val="none"/>
        </w:rPr>
        <w:t>应重点分析评价下列内容：</w:t>
      </w:r>
    </w:p>
    <w:p>
      <w:pPr>
        <w:spacing w:line="360" w:lineRule="auto"/>
        <w:ind w:firstLine="422" w:firstLineChars="200"/>
        <w:rPr>
          <w:color w:val="auto"/>
          <w:kern w:val="0"/>
          <w:highlight w:val="none"/>
        </w:rPr>
      </w:pPr>
      <w:r>
        <w:rPr>
          <w:b/>
          <w:bCs/>
          <w:color w:val="auto"/>
          <w:kern w:val="0"/>
          <w:highlight w:val="none"/>
        </w:rPr>
        <w:t>1</w:t>
      </w:r>
      <w:r>
        <w:rPr>
          <w:rFonts w:hint="eastAsia"/>
          <w:color w:val="auto"/>
          <w:kern w:val="0"/>
          <w:highlight w:val="none"/>
        </w:rPr>
        <w:t>　</w:t>
      </w:r>
      <w:r>
        <w:rPr>
          <w:color w:val="auto"/>
          <w:kern w:val="0"/>
          <w:highlight w:val="none"/>
        </w:rPr>
        <w:t>场地的稳定性和</w:t>
      </w:r>
      <w:r>
        <w:rPr>
          <w:rFonts w:hint="eastAsia"/>
          <w:color w:val="auto"/>
          <w:kern w:val="0"/>
          <w:highlight w:val="none"/>
        </w:rPr>
        <w:t>工程建设的</w:t>
      </w:r>
      <w:r>
        <w:rPr>
          <w:color w:val="auto"/>
          <w:kern w:val="0"/>
          <w:highlight w:val="none"/>
        </w:rPr>
        <w:t>适宜性；</w:t>
      </w:r>
    </w:p>
    <w:p>
      <w:pPr>
        <w:spacing w:line="360" w:lineRule="auto"/>
        <w:ind w:firstLine="422" w:firstLineChars="200"/>
        <w:rPr>
          <w:color w:val="auto"/>
          <w:kern w:val="0"/>
          <w:highlight w:val="none"/>
        </w:rPr>
      </w:pPr>
      <w:r>
        <w:rPr>
          <w:b/>
          <w:bCs/>
          <w:color w:val="auto"/>
          <w:kern w:val="0"/>
          <w:highlight w:val="none"/>
        </w:rPr>
        <w:t>2</w:t>
      </w:r>
      <w:r>
        <w:rPr>
          <w:rFonts w:hint="eastAsia"/>
          <w:b/>
          <w:bCs/>
          <w:color w:val="auto"/>
          <w:kern w:val="0"/>
          <w:highlight w:val="none"/>
        </w:rPr>
        <w:t>　</w:t>
      </w:r>
      <w:r>
        <w:rPr>
          <w:rFonts w:hint="eastAsia"/>
          <w:color w:val="auto"/>
          <w:kern w:val="0"/>
          <w:highlight w:val="none"/>
        </w:rPr>
        <w:t>初步划分场地类别，初步评价场地</w:t>
      </w:r>
      <w:r>
        <w:rPr>
          <w:color w:val="auto"/>
          <w:kern w:val="0"/>
          <w:highlight w:val="none"/>
        </w:rPr>
        <w:t>抗震危险地段地震诱发地质灾害的可能性及其对工程的不利影响；</w:t>
      </w:r>
    </w:p>
    <w:p>
      <w:pPr>
        <w:spacing w:line="360" w:lineRule="auto"/>
        <w:ind w:firstLine="422" w:firstLineChars="200"/>
        <w:rPr>
          <w:color w:val="auto"/>
          <w:kern w:val="0"/>
          <w:highlight w:val="none"/>
        </w:rPr>
      </w:pPr>
      <w:r>
        <w:rPr>
          <w:b/>
          <w:bCs/>
          <w:color w:val="auto"/>
          <w:kern w:val="0"/>
          <w:highlight w:val="none"/>
        </w:rPr>
        <w:t>3</w:t>
      </w:r>
      <w:r>
        <w:rPr>
          <w:rFonts w:hint="eastAsia"/>
          <w:color w:val="auto"/>
          <w:kern w:val="0"/>
          <w:highlight w:val="none"/>
        </w:rPr>
        <w:t>　</w:t>
      </w:r>
      <w:r>
        <w:rPr>
          <w:color w:val="auto"/>
          <w:kern w:val="0"/>
          <w:highlight w:val="none"/>
        </w:rPr>
        <w:t>涉及不良地质作用时，初步了解其分布范围</w:t>
      </w:r>
      <w:r>
        <w:rPr>
          <w:rFonts w:hint="eastAsia"/>
          <w:color w:val="auto"/>
          <w:kern w:val="0"/>
          <w:highlight w:val="none"/>
        </w:rPr>
        <w:t>，分析评价</w:t>
      </w:r>
      <w:r>
        <w:rPr>
          <w:color w:val="auto"/>
          <w:kern w:val="0"/>
          <w:highlight w:val="none"/>
        </w:rPr>
        <w:t>其对工程</w:t>
      </w:r>
      <w:r>
        <w:rPr>
          <w:rFonts w:hint="eastAsia"/>
          <w:color w:val="auto"/>
          <w:kern w:val="0"/>
          <w:highlight w:val="none"/>
        </w:rPr>
        <w:t>可能造成</w:t>
      </w:r>
      <w:r>
        <w:rPr>
          <w:color w:val="auto"/>
          <w:kern w:val="0"/>
          <w:highlight w:val="none"/>
        </w:rPr>
        <w:t>的不利影响；</w:t>
      </w:r>
    </w:p>
    <w:p>
      <w:pPr>
        <w:spacing w:line="360" w:lineRule="auto"/>
        <w:ind w:firstLine="422" w:firstLineChars="200"/>
        <w:rPr>
          <w:color w:val="auto"/>
          <w:kern w:val="0"/>
          <w:highlight w:val="none"/>
        </w:rPr>
      </w:pPr>
      <w:r>
        <w:rPr>
          <w:b/>
          <w:bCs/>
          <w:color w:val="auto"/>
          <w:kern w:val="0"/>
          <w:highlight w:val="none"/>
        </w:rPr>
        <w:t>4</w:t>
      </w:r>
      <w:r>
        <w:rPr>
          <w:rFonts w:hint="eastAsia"/>
          <w:color w:val="auto"/>
          <w:kern w:val="0"/>
          <w:highlight w:val="none"/>
        </w:rPr>
        <w:t>　</w:t>
      </w:r>
      <w:r>
        <w:rPr>
          <w:color w:val="auto"/>
          <w:kern w:val="0"/>
          <w:highlight w:val="none"/>
        </w:rPr>
        <w:t>涉及特殊性岩土时，初步了解其分布范围、工程特性</w:t>
      </w:r>
      <w:r>
        <w:rPr>
          <w:rFonts w:hint="eastAsia"/>
          <w:color w:val="auto"/>
          <w:kern w:val="0"/>
          <w:highlight w:val="none"/>
        </w:rPr>
        <w:t>，分析评价</w:t>
      </w:r>
      <w:r>
        <w:rPr>
          <w:color w:val="auto"/>
          <w:kern w:val="0"/>
          <w:highlight w:val="none"/>
        </w:rPr>
        <w:t>其对工程可能造成的不利影响。</w:t>
      </w:r>
    </w:p>
    <w:p>
      <w:pPr>
        <w:pStyle w:val="3"/>
        <w:rPr>
          <w:rFonts w:ascii="Times New Roman" w:hAnsi="Times New Roman" w:eastAsia="宋体"/>
          <w:color w:val="auto"/>
          <w:highlight w:val="none"/>
        </w:rPr>
      </w:pPr>
      <w:bookmarkStart w:id="64" w:name="_Toc20021"/>
      <w:bookmarkStart w:id="65" w:name="_Toc23531"/>
      <w:bookmarkStart w:id="66" w:name="_Toc18542"/>
      <w:bookmarkStart w:id="67" w:name="_5.3　初步勘察"/>
      <w:r>
        <w:rPr>
          <w:rFonts w:ascii="Times New Roman" w:hAnsi="Times New Roman" w:eastAsia="宋体"/>
          <w:color w:val="auto"/>
          <w:highlight w:val="none"/>
        </w:rPr>
        <w:t>5.3</w:t>
      </w:r>
      <w:r>
        <w:rPr>
          <w:color w:val="auto"/>
          <w:highlight w:val="none"/>
        </w:rPr>
        <w:t>　</w:t>
      </w:r>
      <w:r>
        <w:rPr>
          <w:rFonts w:ascii="Times New Roman" w:hAnsi="Times New Roman" w:eastAsia="宋体"/>
          <w:color w:val="auto"/>
          <w:highlight w:val="none"/>
        </w:rPr>
        <w:t>初步勘察</w:t>
      </w:r>
      <w:bookmarkEnd w:id="64"/>
      <w:bookmarkEnd w:id="65"/>
      <w:bookmarkEnd w:id="66"/>
      <w:r>
        <w:rPr>
          <w:rFonts w:ascii="Times New Roman" w:hAnsi="Times New Roman" w:eastAsia="宋体"/>
          <w:color w:val="auto"/>
          <w:highlight w:val="none"/>
        </w:rPr>
        <w:tab/>
      </w:r>
    </w:p>
    <w:bookmarkEnd w:id="67"/>
    <w:p>
      <w:pPr>
        <w:spacing w:line="360" w:lineRule="auto"/>
        <w:rPr>
          <w:color w:val="auto"/>
          <w:kern w:val="0"/>
          <w:highlight w:val="none"/>
        </w:rPr>
      </w:pPr>
      <w:r>
        <w:rPr>
          <w:rFonts w:hint="eastAsia"/>
          <w:b/>
          <w:bCs/>
          <w:color w:val="auto"/>
          <w:kern w:val="0"/>
          <w:highlight w:val="none"/>
        </w:rPr>
        <w:t>5.3.1</w:t>
      </w:r>
      <w:r>
        <w:rPr>
          <w:rFonts w:hint="eastAsia"/>
          <w:color w:val="auto"/>
          <w:kern w:val="0"/>
          <w:highlight w:val="none"/>
        </w:rPr>
        <w:t>　</w:t>
      </w:r>
      <w:r>
        <w:rPr>
          <w:rFonts w:hint="eastAsia"/>
          <w:color w:val="auto"/>
          <w:highlight w:val="none"/>
        </w:rPr>
        <w:t>初步勘察宜开展比例尺为1:500~1:1000的工程地质调绘，范围不宜小于道路两侧边线外100m~200m。对路堑边坡宜开展</w:t>
      </w:r>
      <w:r>
        <w:rPr>
          <w:rFonts w:hint="eastAsia"/>
          <w:color w:val="auto"/>
          <w:kern w:val="0"/>
          <w:highlight w:val="none"/>
        </w:rPr>
        <w:t>比例尺为1:5</w:t>
      </w:r>
      <w:r>
        <w:rPr>
          <w:color w:val="auto"/>
          <w:kern w:val="0"/>
          <w:highlight w:val="none"/>
        </w:rPr>
        <w:t>00</w:t>
      </w:r>
      <w:r>
        <w:rPr>
          <w:rFonts w:hint="eastAsia"/>
          <w:color w:val="auto"/>
          <w:kern w:val="0"/>
          <w:highlight w:val="none"/>
        </w:rPr>
        <w:t>的</w:t>
      </w:r>
      <w:r>
        <w:rPr>
          <w:color w:val="auto"/>
          <w:highlight w:val="none"/>
        </w:rPr>
        <w:t>工程地质</w:t>
      </w:r>
      <w:r>
        <w:rPr>
          <w:rFonts w:hint="eastAsia"/>
          <w:color w:val="auto"/>
          <w:highlight w:val="none"/>
        </w:rPr>
        <w:t>及</w:t>
      </w:r>
      <w:r>
        <w:rPr>
          <w:color w:val="auto"/>
          <w:highlight w:val="none"/>
        </w:rPr>
        <w:t>水文地质</w:t>
      </w:r>
      <w:r>
        <w:rPr>
          <w:rFonts w:hint="eastAsia"/>
          <w:color w:val="auto"/>
          <w:highlight w:val="none"/>
        </w:rPr>
        <w:t>调查与测绘</w:t>
      </w:r>
      <w:r>
        <w:rPr>
          <w:color w:val="auto"/>
          <w:highlight w:val="none"/>
        </w:rPr>
        <w:t>，</w:t>
      </w:r>
      <w:r>
        <w:rPr>
          <w:rFonts w:hint="eastAsia"/>
          <w:color w:val="auto"/>
          <w:highlight w:val="none"/>
        </w:rPr>
        <w:t>调查与测绘</w:t>
      </w:r>
      <w:r>
        <w:rPr>
          <w:color w:val="auto"/>
          <w:highlight w:val="none"/>
        </w:rPr>
        <w:t>宽度不宜小于边坡高度的3倍，且不小于边坡稳定影响范围。</w:t>
      </w:r>
    </w:p>
    <w:p>
      <w:pPr>
        <w:autoSpaceDE w:val="0"/>
        <w:autoSpaceDN w:val="0"/>
        <w:adjustRightInd w:val="0"/>
        <w:spacing w:line="360" w:lineRule="auto"/>
        <w:jc w:val="left"/>
        <w:rPr>
          <w:color w:val="auto"/>
          <w:kern w:val="0"/>
          <w:highlight w:val="none"/>
        </w:rPr>
      </w:pPr>
      <w:r>
        <w:rPr>
          <w:b/>
          <w:bCs/>
          <w:color w:val="auto"/>
          <w:highlight w:val="none"/>
        </w:rPr>
        <w:t>5.3.</w:t>
      </w:r>
      <w:r>
        <w:rPr>
          <w:rFonts w:hint="eastAsia"/>
          <w:b/>
          <w:bCs/>
          <w:color w:val="auto"/>
          <w:highlight w:val="none"/>
        </w:rPr>
        <w:t>2　</w:t>
      </w:r>
      <w:r>
        <w:rPr>
          <w:color w:val="auto"/>
          <w:kern w:val="0"/>
          <w:highlight w:val="none"/>
        </w:rPr>
        <w:t>初步勘察应初步查明以下内容：</w:t>
      </w:r>
    </w:p>
    <w:p>
      <w:pPr>
        <w:autoSpaceDE w:val="0"/>
        <w:autoSpaceDN w:val="0"/>
        <w:adjustRightInd w:val="0"/>
        <w:spacing w:line="360" w:lineRule="auto"/>
        <w:ind w:firstLine="422" w:firstLineChars="200"/>
        <w:jc w:val="left"/>
        <w:rPr>
          <w:rFonts w:hint="default" w:eastAsia="宋体"/>
          <w:b w:val="0"/>
          <w:bCs w:val="0"/>
          <w:color w:val="auto"/>
          <w:kern w:val="0"/>
          <w:highlight w:val="none"/>
          <w:lang w:val="en-US" w:eastAsia="zh-CN"/>
        </w:rPr>
      </w:pPr>
      <w:r>
        <w:rPr>
          <w:rFonts w:hint="eastAsia"/>
          <w:b/>
          <w:bCs/>
          <w:color w:val="auto"/>
          <w:kern w:val="0"/>
          <w:highlight w:val="none"/>
          <w:lang w:val="en-US" w:eastAsia="zh-CN"/>
        </w:rPr>
        <w:t>1</w:t>
      </w:r>
      <w:r>
        <w:rPr>
          <w:rFonts w:hint="eastAsia"/>
          <w:color w:val="auto"/>
          <w:highlight w:val="none"/>
        </w:rPr>
        <w:t>　</w:t>
      </w:r>
      <w:r>
        <w:rPr>
          <w:rFonts w:hint="eastAsia"/>
          <w:b w:val="0"/>
          <w:bCs w:val="0"/>
          <w:color w:val="auto"/>
          <w:kern w:val="0"/>
          <w:highlight w:val="none"/>
          <w:lang w:val="en-US" w:eastAsia="zh-CN"/>
        </w:rPr>
        <w:t>场地的</w:t>
      </w:r>
      <w:r>
        <w:rPr>
          <w:color w:val="auto"/>
          <w:kern w:val="0"/>
          <w:highlight w:val="none"/>
        </w:rPr>
        <w:t>地貌类型、</w:t>
      </w:r>
      <w:r>
        <w:rPr>
          <w:rFonts w:hint="eastAsia"/>
          <w:color w:val="auto"/>
          <w:kern w:val="0"/>
          <w:highlight w:val="none"/>
        </w:rPr>
        <w:t>地形起伏变化情况</w:t>
      </w:r>
      <w:r>
        <w:rPr>
          <w:rFonts w:hint="eastAsia"/>
          <w:color w:val="auto"/>
          <w:highlight w:val="none"/>
          <w:lang w:val="en-US" w:eastAsia="zh-CN"/>
        </w:rPr>
        <w:t>、场地类别</w:t>
      </w:r>
      <w:r>
        <w:rPr>
          <w:color w:val="auto"/>
          <w:kern w:val="0"/>
          <w:highlight w:val="none"/>
        </w:rPr>
        <w:t>及</w:t>
      </w:r>
      <w:r>
        <w:rPr>
          <w:rFonts w:hint="eastAsia"/>
          <w:b w:val="0"/>
          <w:bCs w:val="0"/>
          <w:color w:val="auto"/>
          <w:kern w:val="0"/>
          <w:highlight w:val="none"/>
          <w:lang w:val="en-US" w:eastAsia="zh-CN"/>
        </w:rPr>
        <w:t>地震动参数；</w:t>
      </w:r>
    </w:p>
    <w:p>
      <w:pPr>
        <w:spacing w:line="360" w:lineRule="auto"/>
        <w:ind w:firstLine="422" w:firstLineChars="200"/>
        <w:rPr>
          <w:color w:val="auto"/>
          <w:highlight w:val="none"/>
        </w:rPr>
      </w:pPr>
      <w:r>
        <w:rPr>
          <w:rFonts w:hint="eastAsia"/>
          <w:b/>
          <w:bCs/>
          <w:color w:val="auto"/>
          <w:highlight w:val="none"/>
          <w:lang w:val="en-US" w:eastAsia="zh-CN"/>
        </w:rPr>
        <w:t>2</w:t>
      </w:r>
      <w:r>
        <w:rPr>
          <w:rFonts w:hint="eastAsia"/>
          <w:b/>
          <w:bCs/>
          <w:color w:val="auto"/>
          <w:highlight w:val="none"/>
        </w:rPr>
        <w:t>　</w:t>
      </w:r>
      <w:r>
        <w:rPr>
          <w:color w:val="auto"/>
          <w:highlight w:val="none"/>
        </w:rPr>
        <w:t>场地地层的组成和分布情况</w:t>
      </w:r>
      <w:r>
        <w:rPr>
          <w:rFonts w:hint="eastAsia"/>
          <w:color w:val="auto"/>
          <w:highlight w:val="none"/>
        </w:rPr>
        <w:t>，</w:t>
      </w:r>
      <w:r>
        <w:rPr>
          <w:color w:val="auto"/>
          <w:highlight w:val="none"/>
        </w:rPr>
        <w:t>主要控制性地层的岩土特性；</w:t>
      </w:r>
    </w:p>
    <w:p>
      <w:pPr>
        <w:spacing w:line="360" w:lineRule="auto"/>
        <w:ind w:firstLine="422" w:firstLineChars="200"/>
        <w:rPr>
          <w:color w:val="auto"/>
          <w:highlight w:val="none"/>
        </w:rPr>
      </w:pPr>
      <w:r>
        <w:rPr>
          <w:rFonts w:hint="eastAsia"/>
          <w:b/>
          <w:bCs/>
          <w:color w:val="auto"/>
          <w:highlight w:val="none"/>
          <w:lang w:val="en-US" w:eastAsia="zh-CN"/>
        </w:rPr>
        <w:t>3</w:t>
      </w:r>
      <w:r>
        <w:rPr>
          <w:rFonts w:hint="eastAsia"/>
          <w:b/>
          <w:bCs/>
          <w:color w:val="auto"/>
          <w:highlight w:val="none"/>
        </w:rPr>
        <w:t>　</w:t>
      </w:r>
      <w:r>
        <w:rPr>
          <w:color w:val="auto"/>
          <w:highlight w:val="none"/>
        </w:rPr>
        <w:t>场地及周边的不良地质作用分布、规模和类型；</w:t>
      </w:r>
    </w:p>
    <w:p>
      <w:pPr>
        <w:spacing w:line="360" w:lineRule="auto"/>
        <w:ind w:firstLine="422" w:firstLineChars="200"/>
        <w:rPr>
          <w:color w:val="auto"/>
          <w:highlight w:val="none"/>
        </w:rPr>
      </w:pPr>
      <w:r>
        <w:rPr>
          <w:rFonts w:hint="eastAsia"/>
          <w:b/>
          <w:bCs/>
          <w:color w:val="auto"/>
          <w:highlight w:val="none"/>
          <w:lang w:val="en-US" w:eastAsia="zh-CN"/>
        </w:rPr>
        <w:t>4</w:t>
      </w:r>
      <w:r>
        <w:rPr>
          <w:rFonts w:hint="eastAsia"/>
          <w:color w:val="auto"/>
          <w:highlight w:val="none"/>
        </w:rPr>
        <w:t>　</w:t>
      </w:r>
      <w:r>
        <w:rPr>
          <w:color w:val="auto"/>
          <w:highlight w:val="none"/>
        </w:rPr>
        <w:t>特殊性岩土的分布、成因和工程地质特性；</w:t>
      </w:r>
    </w:p>
    <w:p>
      <w:pPr>
        <w:autoSpaceDE w:val="0"/>
        <w:autoSpaceDN w:val="0"/>
        <w:adjustRightInd w:val="0"/>
        <w:spacing w:line="360" w:lineRule="auto"/>
        <w:ind w:firstLine="422" w:firstLineChars="200"/>
        <w:jc w:val="left"/>
        <w:rPr>
          <w:color w:val="auto"/>
          <w:highlight w:val="none"/>
        </w:rPr>
      </w:pPr>
      <w:r>
        <w:rPr>
          <w:rFonts w:hint="eastAsia"/>
          <w:b/>
          <w:bCs/>
          <w:color w:val="auto"/>
          <w:highlight w:val="none"/>
          <w:lang w:val="en-US" w:eastAsia="zh-CN"/>
        </w:rPr>
        <w:t>5</w:t>
      </w:r>
      <w:r>
        <w:rPr>
          <w:rFonts w:hint="eastAsia"/>
          <w:b/>
          <w:bCs/>
          <w:color w:val="auto"/>
          <w:highlight w:val="none"/>
        </w:rPr>
        <w:t>　</w:t>
      </w:r>
      <w:r>
        <w:rPr>
          <w:rFonts w:hint="eastAsia"/>
          <w:color w:val="auto"/>
          <w:highlight w:val="none"/>
        </w:rPr>
        <w:t>场地土和地表水、地下水对建筑材料的腐蚀性；</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lang w:val="en-US" w:eastAsia="zh-CN"/>
        </w:rPr>
        <w:t>6</w:t>
      </w:r>
      <w:r>
        <w:rPr>
          <w:rFonts w:hint="eastAsia"/>
          <w:color w:val="auto"/>
          <w:kern w:val="0"/>
          <w:highlight w:val="none"/>
        </w:rPr>
        <w:t>　深路堑</w:t>
      </w:r>
      <w:r>
        <w:rPr>
          <w:color w:val="auto"/>
          <w:kern w:val="0"/>
          <w:highlight w:val="none"/>
        </w:rPr>
        <w:t>边坡</w:t>
      </w:r>
      <w:r>
        <w:rPr>
          <w:rFonts w:hint="eastAsia"/>
          <w:color w:val="auto"/>
          <w:kern w:val="0"/>
          <w:highlight w:val="none"/>
        </w:rPr>
        <w:t>的类型；对岩质深路堑边坡，应初步查明</w:t>
      </w:r>
      <w:r>
        <w:rPr>
          <w:color w:val="auto"/>
          <w:kern w:val="0"/>
          <w:highlight w:val="none"/>
        </w:rPr>
        <w:t>地质构造</w:t>
      </w:r>
      <w:r>
        <w:rPr>
          <w:rFonts w:hint="eastAsia"/>
          <w:color w:val="auto"/>
          <w:kern w:val="0"/>
          <w:highlight w:val="none"/>
        </w:rPr>
        <w:t>作用的影响及</w:t>
      </w:r>
      <w:r>
        <w:rPr>
          <w:color w:val="auto"/>
          <w:kern w:val="0"/>
          <w:highlight w:val="none"/>
        </w:rPr>
        <w:t>岩体结构面的产状</w:t>
      </w:r>
      <w:r>
        <w:rPr>
          <w:rFonts w:hint="eastAsia"/>
          <w:color w:val="auto"/>
          <w:kern w:val="0"/>
          <w:highlight w:val="none"/>
        </w:rPr>
        <w:t>和特性</w:t>
      </w:r>
      <w:r>
        <w:rPr>
          <w:color w:val="auto"/>
          <w:kern w:val="0"/>
          <w:highlight w:val="none"/>
        </w:rPr>
        <w:t>。</w:t>
      </w:r>
    </w:p>
    <w:p>
      <w:pPr>
        <w:spacing w:line="360" w:lineRule="auto"/>
        <w:rPr>
          <w:color w:val="auto"/>
          <w:kern w:val="0"/>
          <w:highlight w:val="none"/>
        </w:rPr>
      </w:pPr>
      <w:r>
        <w:rPr>
          <w:b/>
          <w:bCs/>
          <w:color w:val="auto"/>
          <w:highlight w:val="none"/>
        </w:rPr>
        <w:t>5.3.</w:t>
      </w:r>
      <w:r>
        <w:rPr>
          <w:rFonts w:hint="eastAsia"/>
          <w:b/>
          <w:bCs/>
          <w:color w:val="auto"/>
          <w:highlight w:val="none"/>
        </w:rPr>
        <w:t>3　</w:t>
      </w:r>
      <w:r>
        <w:rPr>
          <w:color w:val="auto"/>
          <w:kern w:val="0"/>
          <w:highlight w:val="none"/>
        </w:rPr>
        <w:t>初步勘察勘探点布置应</w:t>
      </w:r>
      <w:r>
        <w:rPr>
          <w:color w:val="auto"/>
          <w:highlight w:val="none"/>
        </w:rPr>
        <w:t>符合下列规定</w:t>
      </w:r>
      <w:r>
        <w:rPr>
          <w:color w:val="auto"/>
          <w:kern w:val="0"/>
          <w:highlight w:val="none"/>
        </w:rPr>
        <w:t>：</w:t>
      </w:r>
    </w:p>
    <w:p>
      <w:pPr>
        <w:spacing w:line="360" w:lineRule="auto"/>
        <w:ind w:firstLine="422" w:firstLineChars="200"/>
        <w:rPr>
          <w:color w:val="auto"/>
          <w:highlight w:val="none"/>
        </w:rPr>
      </w:pPr>
      <w:r>
        <w:rPr>
          <w:b/>
          <w:bCs/>
          <w:color w:val="auto"/>
          <w:kern w:val="0"/>
          <w:highlight w:val="none"/>
        </w:rPr>
        <w:t>1</w:t>
      </w:r>
      <w:r>
        <w:rPr>
          <w:rFonts w:hint="eastAsia"/>
          <w:b/>
          <w:bCs/>
          <w:color w:val="auto"/>
          <w:kern w:val="0"/>
          <w:highlight w:val="none"/>
        </w:rPr>
        <w:t>　</w:t>
      </w:r>
      <w:r>
        <w:rPr>
          <w:color w:val="auto"/>
          <w:highlight w:val="none"/>
        </w:rPr>
        <w:t>勘探点沿</w:t>
      </w:r>
      <w:r>
        <w:rPr>
          <w:rFonts w:hint="eastAsia"/>
          <w:color w:val="auto"/>
          <w:highlight w:val="none"/>
        </w:rPr>
        <w:t>道路</w:t>
      </w:r>
      <w:r>
        <w:rPr>
          <w:color w:val="auto"/>
          <w:highlight w:val="none"/>
        </w:rPr>
        <w:t>中线投影间距宜根据道路</w:t>
      </w:r>
      <w:r>
        <w:rPr>
          <w:rFonts w:hint="eastAsia"/>
          <w:color w:val="auto"/>
          <w:highlight w:val="none"/>
        </w:rPr>
        <w:t>分类</w:t>
      </w:r>
      <w:r>
        <w:rPr>
          <w:color w:val="auto"/>
          <w:highlight w:val="none"/>
        </w:rPr>
        <w:t>、场地</w:t>
      </w:r>
      <w:r>
        <w:rPr>
          <w:rFonts w:hint="eastAsia"/>
          <w:color w:val="auto"/>
          <w:highlight w:val="none"/>
        </w:rPr>
        <w:t>和</w:t>
      </w:r>
      <w:r>
        <w:rPr>
          <w:color w:val="auto"/>
          <w:highlight w:val="none"/>
        </w:rPr>
        <w:t>岩土条件复杂程度</w:t>
      </w:r>
      <w:r>
        <w:rPr>
          <w:rFonts w:hint="eastAsia"/>
          <w:color w:val="auto"/>
          <w:highlight w:val="none"/>
        </w:rPr>
        <w:t>等级</w:t>
      </w:r>
      <w:r>
        <w:rPr>
          <w:color w:val="auto"/>
          <w:highlight w:val="none"/>
        </w:rPr>
        <w:t>按表5.3.</w:t>
      </w:r>
      <w:r>
        <w:rPr>
          <w:rFonts w:hint="eastAsia"/>
          <w:color w:val="auto"/>
          <w:highlight w:val="none"/>
        </w:rPr>
        <w:t>3</w:t>
      </w:r>
      <w:r>
        <w:rPr>
          <w:color w:val="auto"/>
          <w:highlight w:val="none"/>
        </w:rPr>
        <w:t>确定</w:t>
      </w:r>
      <w:r>
        <w:rPr>
          <w:rFonts w:hint="eastAsia"/>
          <w:color w:val="auto"/>
          <w:highlight w:val="none"/>
        </w:rPr>
        <w:t>。公交场站和城市广场的道路与地面工程勘探点间距宜为100m~200m。</w:t>
      </w:r>
    </w:p>
    <w:p>
      <w:pPr>
        <w:spacing w:line="360" w:lineRule="auto"/>
        <w:jc w:val="center"/>
        <w:rPr>
          <w:b/>
          <w:bCs/>
          <w:color w:val="auto"/>
          <w:highlight w:val="none"/>
        </w:rPr>
      </w:pPr>
      <w:r>
        <w:rPr>
          <w:b/>
          <w:bCs/>
          <w:color w:val="auto"/>
          <w:highlight w:val="none"/>
        </w:rPr>
        <w:t>表5.3.</w:t>
      </w:r>
      <w:r>
        <w:rPr>
          <w:rFonts w:hint="eastAsia"/>
          <w:b/>
          <w:bCs/>
          <w:color w:val="auto"/>
          <w:highlight w:val="none"/>
        </w:rPr>
        <w:t>3</w:t>
      </w:r>
      <w:r>
        <w:rPr>
          <w:b/>
          <w:bCs/>
          <w:color w:val="auto"/>
          <w:highlight w:val="none"/>
        </w:rPr>
        <w:t>　初步勘察勘探点间距(m)</w:t>
      </w:r>
    </w:p>
    <w:tbl>
      <w:tblPr>
        <w:tblStyle w:val="22"/>
        <w:tblW w:w="82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58"/>
        <w:gridCol w:w="2594"/>
        <w:gridCol w:w="25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058" w:type="dxa"/>
            <w:tcBorders>
              <w:top w:val="single" w:color="auto" w:sz="12" w:space="0"/>
              <w:bottom w:val="single" w:color="auto" w:sz="4" w:space="0"/>
              <w:tl2br w:val="single" w:color="auto" w:sz="4" w:space="0"/>
            </w:tcBorders>
            <w:vAlign w:val="center"/>
          </w:tcPr>
          <w:p>
            <w:pPr>
              <w:spacing w:line="0" w:lineRule="atLeast"/>
              <w:jc w:val="right"/>
              <w:rPr>
                <w:color w:val="auto"/>
                <w:sz w:val="20"/>
                <w:szCs w:val="20"/>
                <w:highlight w:val="none"/>
              </w:rPr>
            </w:pPr>
            <w:r>
              <w:rPr>
                <w:rFonts w:hint="eastAsia"/>
                <w:color w:val="auto"/>
                <w:sz w:val="20"/>
                <w:szCs w:val="20"/>
                <w:highlight w:val="none"/>
              </w:rPr>
              <w:t>道路分类</w:t>
            </w:r>
          </w:p>
          <w:p>
            <w:pPr>
              <w:spacing w:line="0" w:lineRule="atLeast"/>
              <w:jc w:val="left"/>
              <w:rPr>
                <w:color w:val="auto"/>
                <w:sz w:val="20"/>
                <w:szCs w:val="20"/>
                <w:highlight w:val="none"/>
              </w:rPr>
            </w:pPr>
            <w:r>
              <w:rPr>
                <w:color w:val="auto"/>
                <w:sz w:val="20"/>
                <w:szCs w:val="20"/>
                <w:highlight w:val="none"/>
              </w:rPr>
              <w:t>场地</w:t>
            </w:r>
            <w:r>
              <w:rPr>
                <w:rFonts w:hint="eastAsia"/>
                <w:color w:val="auto"/>
                <w:sz w:val="20"/>
                <w:szCs w:val="20"/>
                <w:highlight w:val="none"/>
              </w:rPr>
              <w:t>和岩土</w:t>
            </w:r>
          </w:p>
          <w:p>
            <w:pPr>
              <w:spacing w:line="240" w:lineRule="atLeast"/>
              <w:jc w:val="left"/>
              <w:rPr>
                <w:color w:val="auto"/>
                <w:sz w:val="20"/>
                <w:szCs w:val="20"/>
                <w:highlight w:val="none"/>
              </w:rPr>
            </w:pPr>
            <w:r>
              <w:rPr>
                <w:rFonts w:hint="eastAsia"/>
                <w:color w:val="auto"/>
                <w:sz w:val="20"/>
                <w:szCs w:val="20"/>
                <w:highlight w:val="none"/>
              </w:rPr>
              <w:t>条件</w:t>
            </w:r>
            <w:r>
              <w:rPr>
                <w:color w:val="auto"/>
                <w:sz w:val="20"/>
                <w:szCs w:val="20"/>
                <w:highlight w:val="none"/>
              </w:rPr>
              <w:t>复杂程度等级</w:t>
            </w:r>
          </w:p>
        </w:tc>
        <w:tc>
          <w:tcPr>
            <w:tcW w:w="2594" w:type="dxa"/>
            <w:vAlign w:val="center"/>
          </w:tcPr>
          <w:p>
            <w:pPr>
              <w:spacing w:line="240" w:lineRule="atLeast"/>
              <w:jc w:val="center"/>
              <w:rPr>
                <w:color w:val="auto"/>
                <w:sz w:val="20"/>
                <w:szCs w:val="20"/>
                <w:highlight w:val="none"/>
              </w:rPr>
            </w:pPr>
            <w:r>
              <w:rPr>
                <w:rFonts w:hint="eastAsia"/>
                <w:color w:val="auto"/>
                <w:sz w:val="20"/>
                <w:szCs w:val="20"/>
                <w:highlight w:val="none"/>
              </w:rPr>
              <w:t>一般路基</w:t>
            </w:r>
          </w:p>
        </w:tc>
        <w:tc>
          <w:tcPr>
            <w:tcW w:w="2594" w:type="dxa"/>
            <w:vAlign w:val="center"/>
          </w:tcPr>
          <w:p>
            <w:pPr>
              <w:spacing w:line="240" w:lineRule="atLeast"/>
              <w:jc w:val="center"/>
              <w:rPr>
                <w:color w:val="auto"/>
                <w:sz w:val="18"/>
                <w:szCs w:val="20"/>
                <w:highlight w:val="none"/>
              </w:rPr>
            </w:pPr>
            <w:r>
              <w:rPr>
                <w:rFonts w:hint="eastAsia"/>
                <w:color w:val="auto"/>
                <w:sz w:val="18"/>
                <w:szCs w:val="20"/>
                <w:highlight w:val="none"/>
              </w:rPr>
              <w:t>高路堤、陡坡路堤、</w:t>
            </w:r>
          </w:p>
          <w:p>
            <w:pPr>
              <w:spacing w:line="240" w:lineRule="atLeast"/>
              <w:jc w:val="center"/>
              <w:rPr>
                <w:color w:val="auto"/>
                <w:sz w:val="20"/>
                <w:szCs w:val="20"/>
                <w:highlight w:val="none"/>
              </w:rPr>
            </w:pPr>
            <w:r>
              <w:rPr>
                <w:rFonts w:hint="eastAsia"/>
                <w:color w:val="auto"/>
                <w:sz w:val="18"/>
                <w:szCs w:val="20"/>
                <w:highlight w:val="none"/>
              </w:rPr>
              <w:t>路堑和支挡结构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58" w:type="dxa"/>
            <w:tcBorders>
              <w:top w:val="single" w:color="auto" w:sz="4" w:space="0"/>
            </w:tcBorders>
            <w:vAlign w:val="center"/>
          </w:tcPr>
          <w:p>
            <w:pPr>
              <w:spacing w:before="62" w:beforeLines="20" w:after="62" w:afterLines="20"/>
              <w:jc w:val="center"/>
              <w:rPr>
                <w:color w:val="auto"/>
                <w:sz w:val="20"/>
                <w:szCs w:val="20"/>
                <w:highlight w:val="none"/>
              </w:rPr>
            </w:pPr>
            <w:r>
              <w:rPr>
                <w:color w:val="auto"/>
                <w:sz w:val="20"/>
                <w:szCs w:val="20"/>
                <w:highlight w:val="none"/>
              </w:rPr>
              <w:t>一级</w:t>
            </w:r>
          </w:p>
        </w:tc>
        <w:tc>
          <w:tcPr>
            <w:tcW w:w="2594" w:type="dxa"/>
            <w:vAlign w:val="center"/>
          </w:tcPr>
          <w:p>
            <w:pPr>
              <w:spacing w:before="62" w:beforeLines="20" w:after="62" w:afterLines="20"/>
              <w:jc w:val="center"/>
              <w:rPr>
                <w:color w:val="auto"/>
                <w:sz w:val="20"/>
                <w:szCs w:val="20"/>
                <w:highlight w:val="none"/>
              </w:rPr>
            </w:pPr>
            <w:r>
              <w:rPr>
                <w:rFonts w:hint="eastAsia"/>
                <w:color w:val="auto"/>
                <w:sz w:val="20"/>
                <w:szCs w:val="20"/>
                <w:highlight w:val="none"/>
              </w:rPr>
              <w:t>1</w:t>
            </w:r>
            <w:r>
              <w:rPr>
                <w:color w:val="auto"/>
                <w:sz w:val="20"/>
                <w:szCs w:val="20"/>
                <w:highlight w:val="none"/>
              </w:rPr>
              <w:t>50~</w:t>
            </w:r>
            <w:r>
              <w:rPr>
                <w:rFonts w:hint="eastAsia"/>
                <w:color w:val="auto"/>
                <w:sz w:val="20"/>
                <w:szCs w:val="20"/>
                <w:highlight w:val="none"/>
              </w:rPr>
              <w:t>250</w:t>
            </w:r>
          </w:p>
        </w:tc>
        <w:tc>
          <w:tcPr>
            <w:tcW w:w="2594" w:type="dxa"/>
            <w:vAlign w:val="center"/>
          </w:tcPr>
          <w:p>
            <w:pPr>
              <w:spacing w:before="62" w:beforeLines="20" w:after="62" w:afterLines="20"/>
              <w:jc w:val="center"/>
              <w:rPr>
                <w:color w:val="auto"/>
                <w:sz w:val="20"/>
                <w:szCs w:val="20"/>
                <w:highlight w:val="none"/>
              </w:rPr>
            </w:pPr>
            <w:r>
              <w:rPr>
                <w:rFonts w:hint="eastAsia"/>
                <w:color w:val="auto"/>
                <w:sz w:val="20"/>
                <w:szCs w:val="20"/>
                <w:highlight w:val="none"/>
              </w:rPr>
              <w:t>6</w:t>
            </w:r>
            <w:r>
              <w:rPr>
                <w:color w:val="auto"/>
                <w:sz w:val="20"/>
                <w:szCs w:val="20"/>
                <w:highlight w:val="none"/>
              </w:rPr>
              <w:t>0~</w:t>
            </w:r>
            <w:r>
              <w:rPr>
                <w:rFonts w:hint="eastAsia"/>
                <w:color w:val="auto"/>
                <w:sz w:val="20"/>
                <w:szCs w:val="20"/>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58" w:type="dxa"/>
            <w:vAlign w:val="center"/>
          </w:tcPr>
          <w:p>
            <w:pPr>
              <w:spacing w:before="62" w:beforeLines="20" w:after="62" w:afterLines="20"/>
              <w:jc w:val="center"/>
              <w:rPr>
                <w:color w:val="auto"/>
                <w:sz w:val="20"/>
                <w:szCs w:val="20"/>
                <w:highlight w:val="none"/>
              </w:rPr>
            </w:pPr>
            <w:r>
              <w:rPr>
                <w:color w:val="auto"/>
                <w:sz w:val="20"/>
                <w:szCs w:val="20"/>
                <w:highlight w:val="none"/>
              </w:rPr>
              <w:t>二级</w:t>
            </w:r>
          </w:p>
        </w:tc>
        <w:tc>
          <w:tcPr>
            <w:tcW w:w="2594" w:type="dxa"/>
            <w:vAlign w:val="center"/>
          </w:tcPr>
          <w:p>
            <w:pPr>
              <w:spacing w:before="62" w:beforeLines="20" w:after="62" w:afterLines="20"/>
              <w:jc w:val="center"/>
              <w:rPr>
                <w:color w:val="auto"/>
                <w:sz w:val="20"/>
                <w:szCs w:val="20"/>
                <w:highlight w:val="none"/>
              </w:rPr>
            </w:pPr>
            <w:r>
              <w:rPr>
                <w:rFonts w:hint="eastAsia"/>
                <w:color w:val="auto"/>
                <w:sz w:val="20"/>
                <w:szCs w:val="20"/>
                <w:highlight w:val="none"/>
              </w:rPr>
              <w:t>250</w:t>
            </w:r>
            <w:r>
              <w:rPr>
                <w:color w:val="auto"/>
                <w:sz w:val="20"/>
                <w:szCs w:val="20"/>
                <w:highlight w:val="none"/>
              </w:rPr>
              <w:t>~</w:t>
            </w:r>
            <w:r>
              <w:rPr>
                <w:rFonts w:hint="eastAsia"/>
                <w:color w:val="auto"/>
                <w:sz w:val="20"/>
                <w:szCs w:val="20"/>
                <w:highlight w:val="none"/>
              </w:rPr>
              <w:t>3</w:t>
            </w:r>
            <w:r>
              <w:rPr>
                <w:color w:val="auto"/>
                <w:sz w:val="20"/>
                <w:szCs w:val="20"/>
                <w:highlight w:val="none"/>
              </w:rPr>
              <w:t>00</w:t>
            </w:r>
          </w:p>
        </w:tc>
        <w:tc>
          <w:tcPr>
            <w:tcW w:w="2594" w:type="dxa"/>
            <w:vAlign w:val="center"/>
          </w:tcPr>
          <w:p>
            <w:pPr>
              <w:spacing w:before="62" w:beforeLines="20" w:after="62" w:afterLines="20"/>
              <w:jc w:val="center"/>
              <w:rPr>
                <w:color w:val="auto"/>
                <w:sz w:val="20"/>
                <w:szCs w:val="20"/>
                <w:highlight w:val="none"/>
              </w:rPr>
            </w:pPr>
            <w:r>
              <w:rPr>
                <w:rFonts w:hint="eastAsia"/>
                <w:color w:val="auto"/>
                <w:sz w:val="20"/>
                <w:szCs w:val="20"/>
                <w:highlight w:val="none"/>
              </w:rPr>
              <w:t>100</w:t>
            </w:r>
            <w:r>
              <w:rPr>
                <w:color w:val="auto"/>
                <w:sz w:val="20"/>
                <w:szCs w:val="20"/>
                <w:highlight w:val="none"/>
              </w:rPr>
              <w:t>~</w:t>
            </w:r>
            <w:r>
              <w:rPr>
                <w:rFonts w:hint="eastAsia"/>
                <w:color w:val="auto"/>
                <w:sz w:val="20"/>
                <w:szCs w:val="20"/>
                <w:highlight w:val="none"/>
              </w:rPr>
              <w:t>15</w:t>
            </w:r>
            <w:r>
              <w:rPr>
                <w:color w:val="auto"/>
                <w:sz w:val="20"/>
                <w:szCs w:val="20"/>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58" w:type="dxa"/>
            <w:vAlign w:val="center"/>
          </w:tcPr>
          <w:p>
            <w:pPr>
              <w:spacing w:before="62" w:beforeLines="20" w:after="62" w:afterLines="20"/>
              <w:jc w:val="center"/>
              <w:rPr>
                <w:color w:val="auto"/>
                <w:sz w:val="20"/>
                <w:szCs w:val="20"/>
                <w:highlight w:val="none"/>
              </w:rPr>
            </w:pPr>
            <w:r>
              <w:rPr>
                <w:color w:val="auto"/>
                <w:sz w:val="20"/>
                <w:szCs w:val="20"/>
                <w:highlight w:val="none"/>
              </w:rPr>
              <w:t>三级</w:t>
            </w:r>
          </w:p>
        </w:tc>
        <w:tc>
          <w:tcPr>
            <w:tcW w:w="2594" w:type="dxa"/>
            <w:vAlign w:val="center"/>
          </w:tcPr>
          <w:p>
            <w:pPr>
              <w:spacing w:before="62" w:beforeLines="20" w:after="62" w:afterLines="20"/>
              <w:jc w:val="center"/>
              <w:rPr>
                <w:color w:val="auto"/>
                <w:sz w:val="20"/>
                <w:szCs w:val="20"/>
                <w:highlight w:val="none"/>
              </w:rPr>
            </w:pPr>
            <w:r>
              <w:rPr>
                <w:rFonts w:hint="eastAsia"/>
                <w:color w:val="auto"/>
                <w:sz w:val="20"/>
                <w:szCs w:val="20"/>
                <w:highlight w:val="none"/>
              </w:rPr>
              <w:t>300</w:t>
            </w:r>
            <w:r>
              <w:rPr>
                <w:color w:val="auto"/>
                <w:sz w:val="20"/>
                <w:szCs w:val="20"/>
                <w:highlight w:val="none"/>
              </w:rPr>
              <w:t>~</w:t>
            </w:r>
            <w:r>
              <w:rPr>
                <w:rFonts w:hint="eastAsia"/>
                <w:color w:val="auto"/>
                <w:sz w:val="20"/>
                <w:szCs w:val="20"/>
                <w:highlight w:val="none"/>
              </w:rPr>
              <w:t>5</w:t>
            </w:r>
            <w:r>
              <w:rPr>
                <w:color w:val="auto"/>
                <w:sz w:val="20"/>
                <w:szCs w:val="20"/>
                <w:highlight w:val="none"/>
              </w:rPr>
              <w:t>00</w:t>
            </w:r>
          </w:p>
        </w:tc>
        <w:tc>
          <w:tcPr>
            <w:tcW w:w="2594" w:type="dxa"/>
            <w:vAlign w:val="center"/>
          </w:tcPr>
          <w:p>
            <w:pPr>
              <w:spacing w:before="62" w:beforeLines="20" w:after="62" w:afterLines="20"/>
              <w:jc w:val="center"/>
              <w:rPr>
                <w:color w:val="auto"/>
                <w:sz w:val="20"/>
                <w:szCs w:val="20"/>
                <w:highlight w:val="none"/>
              </w:rPr>
            </w:pPr>
            <w:r>
              <w:rPr>
                <w:rFonts w:hint="eastAsia"/>
                <w:color w:val="auto"/>
                <w:sz w:val="20"/>
                <w:szCs w:val="20"/>
                <w:highlight w:val="none"/>
              </w:rPr>
              <w:t>15</w:t>
            </w:r>
            <w:r>
              <w:rPr>
                <w:color w:val="auto"/>
                <w:sz w:val="20"/>
                <w:szCs w:val="20"/>
                <w:highlight w:val="none"/>
              </w:rPr>
              <w:t>0~</w:t>
            </w:r>
            <w:r>
              <w:rPr>
                <w:rFonts w:hint="eastAsia"/>
                <w:color w:val="auto"/>
                <w:sz w:val="20"/>
                <w:szCs w:val="20"/>
                <w:highlight w:val="none"/>
              </w:rPr>
              <w:t>20</w:t>
            </w:r>
            <w:r>
              <w:rPr>
                <w:color w:val="auto"/>
                <w:sz w:val="20"/>
                <w:szCs w:val="20"/>
                <w:highlight w:val="none"/>
              </w:rPr>
              <w:t>0</w:t>
            </w:r>
          </w:p>
        </w:tc>
      </w:tr>
    </w:tbl>
    <w:p>
      <w:pPr>
        <w:spacing w:line="360" w:lineRule="auto"/>
        <w:ind w:firstLine="422" w:firstLineChars="200"/>
        <w:rPr>
          <w:color w:val="auto"/>
          <w:highlight w:val="none"/>
        </w:rPr>
      </w:pPr>
      <w:r>
        <w:rPr>
          <w:b/>
          <w:bCs/>
          <w:color w:val="auto"/>
          <w:highlight w:val="none"/>
        </w:rPr>
        <w:t>2</w:t>
      </w:r>
      <w:r>
        <w:rPr>
          <w:rFonts w:hint="eastAsia"/>
          <w:color w:val="auto"/>
          <w:highlight w:val="none"/>
        </w:rPr>
        <w:t>　</w:t>
      </w:r>
      <w:r>
        <w:rPr>
          <w:color w:val="auto"/>
          <w:highlight w:val="none"/>
        </w:rPr>
        <w:t>不同地貌单元应布置勘探点；</w:t>
      </w:r>
    </w:p>
    <w:p>
      <w:pPr>
        <w:spacing w:line="360" w:lineRule="auto"/>
        <w:ind w:firstLine="422" w:firstLineChars="200"/>
        <w:rPr>
          <w:color w:val="auto"/>
          <w:highlight w:val="none"/>
        </w:rPr>
      </w:pPr>
      <w:r>
        <w:rPr>
          <w:b/>
          <w:bCs/>
          <w:color w:val="auto"/>
          <w:highlight w:val="none"/>
        </w:rPr>
        <w:t>3</w:t>
      </w:r>
      <w:r>
        <w:rPr>
          <w:rFonts w:hint="eastAsia"/>
          <w:color w:val="auto"/>
          <w:highlight w:val="none"/>
        </w:rPr>
        <w:t>　高路堤、</w:t>
      </w:r>
      <w:r>
        <w:rPr>
          <w:color w:val="auto"/>
          <w:highlight w:val="none"/>
        </w:rPr>
        <w:t>陡坡路堤、路堑</w:t>
      </w:r>
      <w:r>
        <w:rPr>
          <w:rFonts w:hint="eastAsia"/>
          <w:color w:val="auto"/>
          <w:highlight w:val="none"/>
        </w:rPr>
        <w:t>和支挡结构</w:t>
      </w:r>
      <w:r>
        <w:rPr>
          <w:color w:val="auto"/>
          <w:highlight w:val="none"/>
        </w:rPr>
        <w:t>应布置勘探点。</w:t>
      </w:r>
    </w:p>
    <w:p>
      <w:pPr>
        <w:spacing w:line="360" w:lineRule="auto"/>
        <w:rPr>
          <w:color w:val="auto"/>
          <w:highlight w:val="none"/>
        </w:rPr>
      </w:pPr>
      <w:r>
        <w:rPr>
          <w:b/>
          <w:bCs/>
          <w:color w:val="auto"/>
          <w:highlight w:val="none"/>
        </w:rPr>
        <w:t>5.3.</w:t>
      </w:r>
      <w:r>
        <w:rPr>
          <w:rFonts w:hint="eastAsia"/>
          <w:b/>
          <w:bCs/>
          <w:color w:val="auto"/>
          <w:highlight w:val="none"/>
        </w:rPr>
        <w:t>4　</w:t>
      </w:r>
      <w:r>
        <w:rPr>
          <w:color w:val="auto"/>
          <w:highlight w:val="none"/>
        </w:rPr>
        <w:t>初步勘察勘探孔</w:t>
      </w:r>
      <w:r>
        <w:rPr>
          <w:rFonts w:hint="eastAsia"/>
          <w:color w:val="auto"/>
          <w:highlight w:val="none"/>
        </w:rPr>
        <w:t>深度</w:t>
      </w:r>
      <w:r>
        <w:rPr>
          <w:color w:val="auto"/>
          <w:highlight w:val="none"/>
        </w:rPr>
        <w:t>应符合下列规定：</w:t>
      </w:r>
    </w:p>
    <w:p>
      <w:pPr>
        <w:spacing w:line="360" w:lineRule="auto"/>
        <w:ind w:firstLine="422" w:firstLineChars="200"/>
        <w:rPr>
          <w:color w:val="auto"/>
          <w:highlight w:val="none"/>
        </w:rPr>
      </w:pPr>
      <w:r>
        <w:rPr>
          <w:b/>
          <w:bCs/>
          <w:color w:val="auto"/>
          <w:highlight w:val="none"/>
        </w:rPr>
        <w:t>1</w:t>
      </w:r>
      <w:r>
        <w:rPr>
          <w:rFonts w:hint="eastAsia"/>
          <w:color w:val="auto"/>
          <w:highlight w:val="none"/>
        </w:rPr>
        <w:t>　一般路基、公交站场及城市广场的道路与地面的勘探孔深度应</w:t>
      </w:r>
      <w:r>
        <w:rPr>
          <w:color w:val="auto"/>
          <w:highlight w:val="none"/>
        </w:rPr>
        <w:t>满足地基稳定性分析、变形计算、地基处理方案比选的要求；</w:t>
      </w:r>
      <w:r>
        <w:rPr>
          <w:rFonts w:hint="eastAsia"/>
          <w:color w:val="auto"/>
          <w:highlight w:val="none"/>
        </w:rPr>
        <w:t>宜</w:t>
      </w:r>
      <w:r>
        <w:rPr>
          <w:color w:val="auto"/>
          <w:highlight w:val="none"/>
        </w:rPr>
        <w:t>钻穿</w:t>
      </w:r>
      <w:r>
        <w:rPr>
          <w:rFonts w:hint="eastAsia"/>
          <w:color w:val="auto"/>
          <w:highlight w:val="none"/>
        </w:rPr>
        <w:t>填土、</w:t>
      </w:r>
      <w:r>
        <w:rPr>
          <w:color w:val="auto"/>
          <w:highlight w:val="none"/>
        </w:rPr>
        <w:t>软土</w:t>
      </w:r>
      <w:r>
        <w:rPr>
          <w:rFonts w:hint="eastAsia"/>
          <w:color w:val="auto"/>
          <w:highlight w:val="none"/>
        </w:rPr>
        <w:t>、可液化土</w:t>
      </w:r>
      <w:r>
        <w:rPr>
          <w:color w:val="auto"/>
          <w:highlight w:val="none"/>
        </w:rPr>
        <w:t>至可塑土或</w:t>
      </w:r>
      <w:r>
        <w:rPr>
          <w:rFonts w:hint="eastAsia"/>
          <w:color w:val="auto"/>
          <w:highlight w:val="none"/>
        </w:rPr>
        <w:t>稍</w:t>
      </w:r>
      <w:r>
        <w:rPr>
          <w:color w:val="auto"/>
          <w:highlight w:val="none"/>
        </w:rPr>
        <w:t>密</w:t>
      </w:r>
      <w:r>
        <w:rPr>
          <w:rFonts w:hint="eastAsia"/>
          <w:color w:val="auto"/>
          <w:highlight w:val="none"/>
          <w:lang w:val="en-US" w:eastAsia="zh-CN"/>
        </w:rPr>
        <w:t>砂</w:t>
      </w:r>
      <w:r>
        <w:rPr>
          <w:color w:val="auto"/>
          <w:highlight w:val="none"/>
        </w:rPr>
        <w:t>层</w:t>
      </w:r>
      <w:r>
        <w:rPr>
          <w:rFonts w:hint="eastAsia"/>
          <w:color w:val="auto"/>
          <w:highlight w:val="none"/>
        </w:rPr>
        <w:t>不小于</w:t>
      </w:r>
      <w:r>
        <w:rPr>
          <w:color w:val="auto"/>
          <w:highlight w:val="none"/>
        </w:rPr>
        <w:t>3m，且不小于</w:t>
      </w:r>
      <w:r>
        <w:rPr>
          <w:rFonts w:hint="eastAsia"/>
          <w:color w:val="auto"/>
          <w:highlight w:val="none"/>
        </w:rPr>
        <w:t>原地面及</w:t>
      </w:r>
      <w:r>
        <w:rPr>
          <w:color w:val="auto"/>
          <w:highlight w:val="none"/>
        </w:rPr>
        <w:t>设计标高以下</w:t>
      </w:r>
      <w:r>
        <w:rPr>
          <w:rFonts w:hint="eastAsia"/>
          <w:color w:val="auto"/>
          <w:highlight w:val="none"/>
        </w:rPr>
        <w:t>5</w:t>
      </w:r>
      <w:r>
        <w:rPr>
          <w:color w:val="auto"/>
          <w:highlight w:val="none"/>
        </w:rPr>
        <w:t>m；</w:t>
      </w:r>
    </w:p>
    <w:p>
      <w:pPr>
        <w:spacing w:line="360" w:lineRule="auto"/>
        <w:ind w:firstLine="422" w:firstLineChars="200"/>
        <w:rPr>
          <w:color w:val="auto"/>
          <w:highlight w:val="none"/>
        </w:rPr>
      </w:pPr>
      <w:r>
        <w:rPr>
          <w:b/>
          <w:bCs/>
          <w:color w:val="auto"/>
          <w:highlight w:val="none"/>
        </w:rPr>
        <w:t>2</w:t>
      </w:r>
      <w:r>
        <w:rPr>
          <w:rFonts w:hint="eastAsia"/>
          <w:color w:val="auto"/>
          <w:highlight w:val="none"/>
        </w:rPr>
        <w:t>　高填路堤、</w:t>
      </w:r>
      <w:r>
        <w:rPr>
          <w:color w:val="auto"/>
          <w:highlight w:val="none"/>
        </w:rPr>
        <w:t>陡坡路堤</w:t>
      </w:r>
      <w:r>
        <w:rPr>
          <w:rFonts w:hint="eastAsia"/>
          <w:color w:val="auto"/>
          <w:highlight w:val="none"/>
        </w:rPr>
        <w:t>勘探孔</w:t>
      </w:r>
      <w:r>
        <w:rPr>
          <w:color w:val="auto"/>
          <w:highlight w:val="none"/>
        </w:rPr>
        <w:t>深度应</w:t>
      </w:r>
      <w:r>
        <w:rPr>
          <w:rFonts w:hint="eastAsia"/>
          <w:color w:val="auto"/>
          <w:highlight w:val="none"/>
        </w:rPr>
        <w:t>穿过</w:t>
      </w:r>
      <w:r>
        <w:rPr>
          <w:color w:val="auto"/>
          <w:highlight w:val="none"/>
        </w:rPr>
        <w:t>潜在滑移面</w:t>
      </w:r>
      <w:r>
        <w:rPr>
          <w:rFonts w:hint="eastAsia"/>
          <w:color w:val="auto"/>
          <w:highlight w:val="none"/>
        </w:rPr>
        <w:t>至</w:t>
      </w:r>
      <w:r>
        <w:rPr>
          <w:color w:val="auto"/>
          <w:highlight w:val="none"/>
        </w:rPr>
        <w:t>稳定的</w:t>
      </w:r>
      <w:r>
        <w:rPr>
          <w:rFonts w:hint="eastAsia"/>
          <w:color w:val="auto"/>
          <w:highlight w:val="none"/>
        </w:rPr>
        <w:t>持力层</w:t>
      </w:r>
      <w:r>
        <w:rPr>
          <w:color w:val="auto"/>
          <w:highlight w:val="none"/>
        </w:rPr>
        <w:t>或基岩面以下不小于3m；</w:t>
      </w:r>
    </w:p>
    <w:p>
      <w:pPr>
        <w:spacing w:line="360" w:lineRule="auto"/>
        <w:ind w:firstLine="422" w:firstLineChars="200"/>
        <w:rPr>
          <w:color w:val="auto"/>
          <w:highlight w:val="none"/>
        </w:rPr>
      </w:pPr>
      <w:r>
        <w:rPr>
          <w:b/>
          <w:bCs/>
          <w:color w:val="auto"/>
          <w:highlight w:val="none"/>
        </w:rPr>
        <w:t>3</w:t>
      </w:r>
      <w:r>
        <w:rPr>
          <w:rFonts w:hint="eastAsia"/>
          <w:color w:val="auto"/>
          <w:highlight w:val="none"/>
        </w:rPr>
        <w:t>　</w:t>
      </w:r>
      <w:r>
        <w:rPr>
          <w:color w:val="auto"/>
          <w:highlight w:val="none"/>
        </w:rPr>
        <w:t>路堑</w:t>
      </w:r>
      <w:r>
        <w:rPr>
          <w:rFonts w:hint="eastAsia"/>
          <w:color w:val="auto"/>
          <w:highlight w:val="none"/>
        </w:rPr>
        <w:t>勘探孔</w:t>
      </w:r>
      <w:r>
        <w:rPr>
          <w:color w:val="auto"/>
          <w:highlight w:val="none"/>
        </w:rPr>
        <w:t>深度应至设计路面标高以下稳定地层不小于3m</w:t>
      </w:r>
      <w:r>
        <w:rPr>
          <w:rFonts w:hint="eastAsia"/>
          <w:color w:val="auto"/>
          <w:highlight w:val="none"/>
        </w:rPr>
        <w:t>；</w:t>
      </w:r>
      <w:r>
        <w:rPr>
          <w:color w:val="auto"/>
          <w:highlight w:val="none"/>
        </w:rPr>
        <w:t>地下水发育路段，应根据排水工程需要</w:t>
      </w:r>
      <w:r>
        <w:rPr>
          <w:rFonts w:hint="eastAsia"/>
          <w:color w:val="auto"/>
          <w:highlight w:val="none"/>
        </w:rPr>
        <w:t>适当加深</w:t>
      </w:r>
      <w:r>
        <w:rPr>
          <w:color w:val="auto"/>
          <w:highlight w:val="none"/>
        </w:rPr>
        <w:t>；</w:t>
      </w:r>
    </w:p>
    <w:p>
      <w:pPr>
        <w:spacing w:line="360" w:lineRule="auto"/>
        <w:ind w:firstLine="422" w:firstLineChars="200"/>
        <w:rPr>
          <w:color w:val="auto"/>
          <w:highlight w:val="none"/>
        </w:rPr>
      </w:pPr>
      <w:r>
        <w:rPr>
          <w:b/>
          <w:bCs/>
          <w:color w:val="auto"/>
          <w:highlight w:val="none"/>
        </w:rPr>
        <w:t>4</w:t>
      </w:r>
      <w:r>
        <w:rPr>
          <w:rFonts w:hint="eastAsia"/>
          <w:color w:val="auto"/>
          <w:highlight w:val="none"/>
        </w:rPr>
        <w:t>　</w:t>
      </w:r>
      <w:r>
        <w:rPr>
          <w:color w:val="auto"/>
          <w:highlight w:val="none"/>
        </w:rPr>
        <w:t>支挡工程勘探孔深度应满足支挡结构地基稳定性分析、变形计算及锚固设计的要求。</w:t>
      </w:r>
    </w:p>
    <w:p>
      <w:pPr>
        <w:spacing w:line="360" w:lineRule="auto"/>
        <w:rPr>
          <w:color w:val="auto"/>
          <w:highlight w:val="none"/>
        </w:rPr>
      </w:pPr>
      <w:r>
        <w:rPr>
          <w:b/>
          <w:bCs/>
          <w:color w:val="auto"/>
          <w:highlight w:val="none"/>
        </w:rPr>
        <w:t>5.3.</w:t>
      </w:r>
      <w:r>
        <w:rPr>
          <w:rFonts w:hint="eastAsia"/>
          <w:b/>
          <w:bCs/>
          <w:color w:val="auto"/>
          <w:highlight w:val="none"/>
        </w:rPr>
        <w:t>5</w:t>
      </w:r>
      <w:r>
        <w:rPr>
          <w:rFonts w:hint="eastAsia"/>
          <w:color w:val="auto"/>
          <w:highlight w:val="none"/>
        </w:rPr>
        <w:t>　初步勘察应评价</w:t>
      </w:r>
      <w:r>
        <w:rPr>
          <w:color w:val="auto"/>
          <w:kern w:val="0"/>
          <w:highlight w:val="none"/>
        </w:rPr>
        <w:t>场地的稳定性和</w:t>
      </w:r>
      <w:r>
        <w:rPr>
          <w:rFonts w:hint="eastAsia"/>
          <w:color w:val="auto"/>
          <w:kern w:val="0"/>
          <w:highlight w:val="none"/>
        </w:rPr>
        <w:t>工程建设的</w:t>
      </w:r>
      <w:r>
        <w:rPr>
          <w:color w:val="auto"/>
          <w:kern w:val="0"/>
          <w:highlight w:val="none"/>
        </w:rPr>
        <w:t>适宜性</w:t>
      </w:r>
      <w:r>
        <w:rPr>
          <w:rFonts w:hint="eastAsia"/>
          <w:color w:val="auto"/>
          <w:highlight w:val="none"/>
        </w:rPr>
        <w:t>，并初步</w:t>
      </w:r>
      <w:r>
        <w:rPr>
          <w:color w:val="auto"/>
          <w:highlight w:val="none"/>
        </w:rPr>
        <w:t>分析评价下列内容：</w:t>
      </w:r>
    </w:p>
    <w:p>
      <w:pPr>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评价场地与地基的地震效应；</w:t>
      </w:r>
    </w:p>
    <w:p>
      <w:pPr>
        <w:spacing w:line="360" w:lineRule="auto"/>
        <w:ind w:firstLine="422" w:firstLineChars="200"/>
        <w:rPr>
          <w:color w:val="auto"/>
          <w:highlight w:val="none"/>
        </w:rPr>
      </w:pPr>
      <w:r>
        <w:rPr>
          <w:rFonts w:hint="eastAsia"/>
          <w:b/>
          <w:bCs/>
          <w:color w:val="auto"/>
          <w:highlight w:val="none"/>
        </w:rPr>
        <w:t>2　</w:t>
      </w:r>
      <w:r>
        <w:rPr>
          <w:rFonts w:hint="eastAsia"/>
          <w:color w:val="auto"/>
          <w:highlight w:val="none"/>
        </w:rPr>
        <w:t>评价</w:t>
      </w:r>
      <w:r>
        <w:rPr>
          <w:color w:val="auto"/>
          <w:highlight w:val="none"/>
        </w:rPr>
        <w:t>地基</w:t>
      </w:r>
      <w:r>
        <w:rPr>
          <w:rFonts w:hint="eastAsia"/>
          <w:color w:val="auto"/>
          <w:highlight w:val="none"/>
        </w:rPr>
        <w:t>的稳定性</w:t>
      </w:r>
      <w:r>
        <w:rPr>
          <w:color w:val="auto"/>
          <w:highlight w:val="none"/>
        </w:rPr>
        <w:t>和均匀性</w:t>
      </w:r>
      <w:r>
        <w:rPr>
          <w:rFonts w:hint="eastAsia"/>
          <w:color w:val="auto"/>
          <w:highlight w:val="none"/>
        </w:rPr>
        <w:t>，提供初步设计所需的岩土参数；</w:t>
      </w:r>
    </w:p>
    <w:p>
      <w:pPr>
        <w:spacing w:line="360" w:lineRule="auto"/>
        <w:ind w:firstLine="422" w:firstLineChars="200"/>
        <w:rPr>
          <w:color w:val="auto"/>
          <w:highlight w:val="none"/>
        </w:rPr>
      </w:pPr>
      <w:r>
        <w:rPr>
          <w:rFonts w:hint="eastAsia"/>
          <w:b/>
          <w:bCs/>
          <w:color w:val="auto"/>
          <w:highlight w:val="none"/>
        </w:rPr>
        <w:t>3　</w:t>
      </w:r>
      <w:r>
        <w:rPr>
          <w:rFonts w:hint="eastAsia"/>
          <w:color w:val="auto"/>
          <w:highlight w:val="none"/>
        </w:rPr>
        <w:t>提出对不良地质作用的初步防治措施建议</w:t>
      </w:r>
      <w:r>
        <w:rPr>
          <w:color w:val="auto"/>
          <w:highlight w:val="none"/>
        </w:rPr>
        <w:t>；</w:t>
      </w:r>
    </w:p>
    <w:p>
      <w:pPr>
        <w:spacing w:line="360" w:lineRule="auto"/>
        <w:ind w:firstLine="422" w:firstLineChars="200"/>
        <w:rPr>
          <w:color w:val="auto"/>
          <w:highlight w:val="none"/>
        </w:rPr>
      </w:pPr>
      <w:r>
        <w:rPr>
          <w:rFonts w:hint="eastAsia"/>
          <w:b/>
          <w:bCs/>
          <w:color w:val="auto"/>
          <w:highlight w:val="none"/>
        </w:rPr>
        <w:t>4　</w:t>
      </w:r>
      <w:r>
        <w:rPr>
          <w:rFonts w:hint="eastAsia"/>
          <w:color w:val="auto"/>
          <w:highlight w:val="none"/>
        </w:rPr>
        <w:t>提出对特殊性岩土的初步处理建议；</w:t>
      </w:r>
    </w:p>
    <w:p>
      <w:pPr>
        <w:spacing w:line="360" w:lineRule="auto"/>
        <w:ind w:firstLine="422" w:firstLineChars="200"/>
        <w:rPr>
          <w:color w:val="auto"/>
          <w:highlight w:val="none"/>
        </w:rPr>
      </w:pPr>
      <w:r>
        <w:rPr>
          <w:rFonts w:hint="eastAsia"/>
          <w:b/>
          <w:bCs/>
          <w:color w:val="auto"/>
          <w:highlight w:val="none"/>
        </w:rPr>
        <w:t>5</w:t>
      </w:r>
      <w:r>
        <w:rPr>
          <w:rFonts w:hint="eastAsia"/>
          <w:color w:val="auto"/>
          <w:highlight w:val="none"/>
        </w:rPr>
        <w:t>　评价高路堤、</w:t>
      </w:r>
      <w:r>
        <w:rPr>
          <w:color w:val="auto"/>
          <w:highlight w:val="none"/>
        </w:rPr>
        <w:t>陡坡路堤</w:t>
      </w:r>
      <w:r>
        <w:rPr>
          <w:rFonts w:hint="eastAsia"/>
          <w:color w:val="auto"/>
          <w:highlight w:val="none"/>
        </w:rPr>
        <w:t>和路堑</w:t>
      </w:r>
      <w:r>
        <w:rPr>
          <w:color w:val="auto"/>
          <w:highlight w:val="none"/>
        </w:rPr>
        <w:t>边坡的稳定性，</w:t>
      </w:r>
      <w:r>
        <w:rPr>
          <w:rFonts w:hint="eastAsia"/>
          <w:color w:val="auto"/>
          <w:highlight w:val="none"/>
        </w:rPr>
        <w:t>以及</w:t>
      </w:r>
      <w:r>
        <w:rPr>
          <w:color w:val="auto"/>
          <w:highlight w:val="none"/>
        </w:rPr>
        <w:t>边坡支挡、防护可能遇到的岩土工程问题</w:t>
      </w:r>
      <w:r>
        <w:rPr>
          <w:rFonts w:hint="eastAsia"/>
          <w:color w:val="auto"/>
          <w:highlight w:val="none"/>
        </w:rPr>
        <w:t>，提出初步支护措施建议。</w:t>
      </w:r>
    </w:p>
    <w:p>
      <w:pPr>
        <w:pStyle w:val="3"/>
        <w:rPr>
          <w:rFonts w:ascii="Times New Roman" w:hAnsi="Times New Roman" w:eastAsia="宋体"/>
          <w:color w:val="auto"/>
          <w:highlight w:val="none"/>
        </w:rPr>
      </w:pPr>
      <w:bookmarkStart w:id="68" w:name="_Toc32030"/>
      <w:bookmarkStart w:id="69" w:name="_Toc7288"/>
      <w:bookmarkStart w:id="70" w:name="_Toc1290"/>
      <w:r>
        <w:rPr>
          <w:rFonts w:ascii="Times New Roman" w:hAnsi="Times New Roman" w:eastAsia="宋体"/>
          <w:color w:val="auto"/>
          <w:highlight w:val="none"/>
        </w:rPr>
        <w:t>5.4</w:t>
      </w:r>
      <w:r>
        <w:rPr>
          <w:color w:val="auto"/>
          <w:highlight w:val="none"/>
        </w:rPr>
        <w:t>　</w:t>
      </w:r>
      <w:r>
        <w:rPr>
          <w:rFonts w:ascii="Times New Roman" w:hAnsi="Times New Roman" w:eastAsia="宋体"/>
          <w:color w:val="auto"/>
          <w:highlight w:val="none"/>
        </w:rPr>
        <w:t>详细勘察</w:t>
      </w:r>
      <w:bookmarkEnd w:id="68"/>
      <w:bookmarkEnd w:id="69"/>
      <w:bookmarkEnd w:id="70"/>
      <w:r>
        <w:rPr>
          <w:rFonts w:ascii="Times New Roman" w:hAnsi="Times New Roman" w:eastAsia="宋体"/>
          <w:color w:val="auto"/>
          <w:highlight w:val="none"/>
        </w:rPr>
        <w:tab/>
      </w:r>
    </w:p>
    <w:p>
      <w:pPr>
        <w:spacing w:line="360" w:lineRule="auto"/>
        <w:rPr>
          <w:color w:val="auto"/>
          <w:kern w:val="0"/>
          <w:highlight w:val="none"/>
        </w:rPr>
      </w:pPr>
      <w:r>
        <w:rPr>
          <w:b/>
          <w:bCs/>
          <w:color w:val="auto"/>
          <w:highlight w:val="none"/>
        </w:rPr>
        <w:t>5.4.</w:t>
      </w:r>
      <w:r>
        <w:rPr>
          <w:rFonts w:hint="eastAsia"/>
          <w:b/>
          <w:bCs/>
          <w:color w:val="auto"/>
          <w:highlight w:val="none"/>
        </w:rPr>
        <w:t>1　</w:t>
      </w:r>
      <w:r>
        <w:rPr>
          <w:color w:val="auto"/>
          <w:highlight w:val="none"/>
        </w:rPr>
        <w:t>详细勘察</w:t>
      </w:r>
      <w:r>
        <w:rPr>
          <w:color w:val="auto"/>
          <w:kern w:val="0"/>
          <w:highlight w:val="none"/>
        </w:rPr>
        <w:t>应重点查明以下内容：</w:t>
      </w:r>
    </w:p>
    <w:p>
      <w:pPr>
        <w:autoSpaceDE w:val="0"/>
        <w:spacing w:line="360" w:lineRule="auto"/>
        <w:ind w:firstLine="422" w:firstLineChars="200"/>
        <w:jc w:val="left"/>
        <w:rPr>
          <w:color w:val="auto"/>
          <w:szCs w:val="21"/>
          <w:highlight w:val="none"/>
        </w:rPr>
      </w:pPr>
      <w:r>
        <w:rPr>
          <w:b/>
          <w:bCs/>
          <w:color w:val="auto"/>
          <w:szCs w:val="21"/>
          <w:highlight w:val="none"/>
        </w:rPr>
        <w:t>1</w:t>
      </w:r>
      <w:r>
        <w:rPr>
          <w:rFonts w:hint="eastAsia"/>
          <w:b/>
          <w:bCs/>
          <w:color w:val="auto"/>
          <w:szCs w:val="21"/>
          <w:highlight w:val="none"/>
        </w:rPr>
        <w:t>　</w:t>
      </w:r>
      <w:r>
        <w:rPr>
          <w:color w:val="auto"/>
          <w:szCs w:val="21"/>
          <w:highlight w:val="none"/>
        </w:rPr>
        <w:t>场地地层的组成和分布情况</w:t>
      </w:r>
      <w:r>
        <w:rPr>
          <w:rFonts w:hint="eastAsia"/>
          <w:color w:val="auto"/>
          <w:szCs w:val="21"/>
          <w:highlight w:val="none"/>
        </w:rPr>
        <w:t>，</w:t>
      </w:r>
      <w:r>
        <w:rPr>
          <w:color w:val="auto"/>
          <w:szCs w:val="21"/>
          <w:highlight w:val="none"/>
        </w:rPr>
        <w:t>主要控制性地层的空间分布及岩土特性；</w:t>
      </w:r>
    </w:p>
    <w:p>
      <w:pPr>
        <w:autoSpaceDE w:val="0"/>
        <w:spacing w:line="360" w:lineRule="auto"/>
        <w:ind w:firstLine="422" w:firstLineChars="200"/>
        <w:jc w:val="left"/>
        <w:rPr>
          <w:color w:val="auto"/>
          <w:szCs w:val="21"/>
          <w:highlight w:val="none"/>
        </w:rPr>
      </w:pPr>
      <w:r>
        <w:rPr>
          <w:rFonts w:hint="eastAsia"/>
          <w:b/>
          <w:bCs/>
          <w:color w:val="auto"/>
          <w:szCs w:val="21"/>
          <w:highlight w:val="none"/>
        </w:rPr>
        <w:t>2　</w:t>
      </w:r>
      <w:r>
        <w:rPr>
          <w:color w:val="auto"/>
          <w:szCs w:val="21"/>
          <w:highlight w:val="none"/>
        </w:rPr>
        <w:t>场地及周边对工程有影响的不良地质作用</w:t>
      </w:r>
      <w:r>
        <w:rPr>
          <w:rFonts w:hint="eastAsia"/>
          <w:color w:val="auto"/>
          <w:szCs w:val="21"/>
          <w:highlight w:val="none"/>
        </w:rPr>
        <w:t>的</w:t>
      </w:r>
      <w:r>
        <w:rPr>
          <w:color w:val="auto"/>
          <w:szCs w:val="21"/>
          <w:highlight w:val="none"/>
        </w:rPr>
        <w:t>分布、规模、类型</w:t>
      </w:r>
      <w:r>
        <w:rPr>
          <w:rFonts w:hint="eastAsia"/>
          <w:color w:val="auto"/>
          <w:szCs w:val="21"/>
          <w:highlight w:val="none"/>
        </w:rPr>
        <w:t>和</w:t>
      </w:r>
      <w:r>
        <w:rPr>
          <w:color w:val="auto"/>
          <w:szCs w:val="21"/>
          <w:highlight w:val="none"/>
        </w:rPr>
        <w:t>成因；</w:t>
      </w:r>
    </w:p>
    <w:p>
      <w:pPr>
        <w:autoSpaceDE w:val="0"/>
        <w:spacing w:line="360" w:lineRule="auto"/>
        <w:ind w:firstLine="422" w:firstLineChars="200"/>
        <w:jc w:val="left"/>
        <w:rPr>
          <w:color w:val="auto"/>
          <w:szCs w:val="21"/>
          <w:highlight w:val="none"/>
        </w:rPr>
      </w:pPr>
      <w:r>
        <w:rPr>
          <w:rFonts w:hint="eastAsia"/>
          <w:b/>
          <w:bCs/>
          <w:color w:val="auto"/>
          <w:szCs w:val="21"/>
          <w:highlight w:val="none"/>
        </w:rPr>
        <w:t>3</w:t>
      </w:r>
      <w:r>
        <w:rPr>
          <w:rFonts w:hint="eastAsia"/>
          <w:color w:val="auto"/>
          <w:szCs w:val="21"/>
          <w:highlight w:val="none"/>
        </w:rPr>
        <w:t>　软土的分布、厚度、均匀性、成因、应力历史、物理力学性质和排水条件；</w:t>
      </w:r>
    </w:p>
    <w:p>
      <w:pPr>
        <w:autoSpaceDE w:val="0"/>
        <w:spacing w:line="360" w:lineRule="auto"/>
        <w:ind w:firstLine="422" w:firstLineChars="200"/>
        <w:jc w:val="left"/>
        <w:rPr>
          <w:color w:val="auto"/>
          <w:szCs w:val="21"/>
          <w:highlight w:val="none"/>
        </w:rPr>
      </w:pPr>
      <w:r>
        <w:rPr>
          <w:rFonts w:hint="eastAsia"/>
          <w:b/>
          <w:bCs/>
          <w:color w:val="auto"/>
          <w:szCs w:val="21"/>
          <w:highlight w:val="none"/>
        </w:rPr>
        <w:t>4　</w:t>
      </w:r>
      <w:r>
        <w:rPr>
          <w:rFonts w:hint="eastAsia"/>
          <w:color w:val="auto"/>
          <w:szCs w:val="21"/>
          <w:highlight w:val="none"/>
        </w:rPr>
        <w:t>液化土层的分布、厚度、均匀性和液化等级；</w:t>
      </w:r>
    </w:p>
    <w:p>
      <w:pPr>
        <w:autoSpaceDE w:val="0"/>
        <w:spacing w:line="360" w:lineRule="auto"/>
        <w:ind w:firstLine="422" w:firstLineChars="200"/>
        <w:jc w:val="left"/>
        <w:rPr>
          <w:color w:val="auto"/>
          <w:szCs w:val="21"/>
          <w:highlight w:val="none"/>
        </w:rPr>
      </w:pPr>
      <w:r>
        <w:rPr>
          <w:rFonts w:hint="eastAsia"/>
          <w:b/>
          <w:bCs/>
          <w:color w:val="auto"/>
          <w:szCs w:val="21"/>
          <w:highlight w:val="none"/>
        </w:rPr>
        <w:t>5</w:t>
      </w:r>
      <w:r>
        <w:rPr>
          <w:rFonts w:hint="eastAsia"/>
          <w:color w:val="auto"/>
          <w:szCs w:val="21"/>
          <w:highlight w:val="none"/>
        </w:rPr>
        <w:t>　厚层填土的分布、厚度、成分、类型、均匀性、密实度和岩土特性；</w:t>
      </w:r>
    </w:p>
    <w:p>
      <w:pPr>
        <w:autoSpaceDE w:val="0"/>
        <w:spacing w:line="360" w:lineRule="auto"/>
        <w:ind w:firstLine="422" w:firstLineChars="200"/>
        <w:jc w:val="left"/>
        <w:rPr>
          <w:color w:val="auto"/>
          <w:szCs w:val="21"/>
          <w:highlight w:val="none"/>
        </w:rPr>
      </w:pPr>
      <w:r>
        <w:rPr>
          <w:rFonts w:hint="eastAsia"/>
          <w:b/>
          <w:bCs/>
          <w:color w:val="auto"/>
          <w:szCs w:val="21"/>
          <w:highlight w:val="none"/>
        </w:rPr>
        <w:t>6</w:t>
      </w:r>
      <w:r>
        <w:rPr>
          <w:rFonts w:hint="eastAsia"/>
          <w:color w:val="auto"/>
          <w:szCs w:val="21"/>
          <w:highlight w:val="none"/>
        </w:rPr>
        <w:t>　膨胀土的分布、厚度、成因、胀缩特性及其它岩土特征；</w:t>
      </w:r>
    </w:p>
    <w:p>
      <w:pPr>
        <w:autoSpaceDE w:val="0"/>
        <w:spacing w:line="360" w:lineRule="auto"/>
        <w:ind w:firstLine="422" w:firstLineChars="200"/>
        <w:jc w:val="left"/>
        <w:rPr>
          <w:color w:val="auto"/>
          <w:szCs w:val="21"/>
          <w:highlight w:val="none"/>
        </w:rPr>
      </w:pPr>
      <w:r>
        <w:rPr>
          <w:rFonts w:hint="eastAsia"/>
          <w:b/>
          <w:bCs/>
          <w:color w:val="auto"/>
          <w:szCs w:val="21"/>
          <w:highlight w:val="none"/>
        </w:rPr>
        <w:t>7</w:t>
      </w:r>
      <w:r>
        <w:rPr>
          <w:rFonts w:hint="eastAsia"/>
          <w:color w:val="auto"/>
          <w:szCs w:val="21"/>
          <w:highlight w:val="none"/>
        </w:rPr>
        <w:t>　盐渍土的分布、厚度、成因、含盐量、盐的化学成分及其溶陷性和盐胀性</w:t>
      </w:r>
      <w:r>
        <w:rPr>
          <w:color w:val="auto"/>
          <w:szCs w:val="21"/>
          <w:highlight w:val="none"/>
        </w:rPr>
        <w:t>；</w:t>
      </w:r>
    </w:p>
    <w:p>
      <w:pPr>
        <w:autoSpaceDE w:val="0"/>
        <w:spacing w:line="360" w:lineRule="auto"/>
        <w:ind w:firstLine="422" w:firstLineChars="200"/>
        <w:jc w:val="left"/>
        <w:rPr>
          <w:color w:val="auto"/>
          <w:szCs w:val="21"/>
          <w:highlight w:val="none"/>
        </w:rPr>
      </w:pPr>
      <w:r>
        <w:rPr>
          <w:rFonts w:hint="eastAsia"/>
          <w:b/>
          <w:bCs/>
          <w:color w:val="auto"/>
          <w:szCs w:val="21"/>
          <w:highlight w:val="none"/>
        </w:rPr>
        <w:t>8</w:t>
      </w:r>
      <w:r>
        <w:rPr>
          <w:rFonts w:hint="eastAsia"/>
          <w:color w:val="auto"/>
          <w:szCs w:val="21"/>
          <w:highlight w:val="none"/>
        </w:rPr>
        <w:t>　地下水类型、埋藏条件、勘察期间的水位及变化幅度，对工程有影响的地表水体的分布、水位、水深、淤积物情况，以及地表水与地下水的水力联系；</w:t>
      </w:r>
    </w:p>
    <w:p>
      <w:pPr>
        <w:autoSpaceDE w:val="0"/>
        <w:spacing w:line="360" w:lineRule="auto"/>
        <w:ind w:firstLine="422" w:firstLineChars="200"/>
        <w:jc w:val="left"/>
        <w:rPr>
          <w:color w:val="auto"/>
          <w:szCs w:val="21"/>
          <w:highlight w:val="none"/>
        </w:rPr>
      </w:pPr>
      <w:r>
        <w:rPr>
          <w:rFonts w:hint="eastAsia"/>
          <w:b/>
          <w:bCs/>
          <w:color w:val="auto"/>
          <w:szCs w:val="21"/>
          <w:highlight w:val="none"/>
        </w:rPr>
        <w:t>9</w:t>
      </w:r>
      <w:r>
        <w:rPr>
          <w:rFonts w:hint="eastAsia"/>
          <w:color w:val="auto"/>
          <w:szCs w:val="21"/>
          <w:highlight w:val="none"/>
        </w:rPr>
        <w:t>　</w:t>
      </w:r>
      <w:r>
        <w:rPr>
          <w:color w:val="auto"/>
          <w:szCs w:val="21"/>
          <w:highlight w:val="none"/>
        </w:rPr>
        <w:t>场地土和地下水、地表水对建筑材料的腐蚀性；</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10</w:t>
      </w:r>
      <w:r>
        <w:rPr>
          <w:rFonts w:hint="eastAsia"/>
          <w:color w:val="auto"/>
          <w:kern w:val="0"/>
          <w:highlight w:val="none"/>
        </w:rPr>
        <w:t>　路堑</w:t>
      </w:r>
      <w:r>
        <w:rPr>
          <w:color w:val="auto"/>
          <w:kern w:val="0"/>
          <w:highlight w:val="none"/>
        </w:rPr>
        <w:t>边坡岩体结构面的产状、岩土体的力学特性。</w:t>
      </w:r>
    </w:p>
    <w:p>
      <w:pPr>
        <w:spacing w:line="360" w:lineRule="auto"/>
        <w:rPr>
          <w:color w:val="auto"/>
          <w:highlight w:val="none"/>
        </w:rPr>
      </w:pPr>
      <w:r>
        <w:rPr>
          <w:b/>
          <w:bCs/>
          <w:color w:val="auto"/>
          <w:highlight w:val="none"/>
        </w:rPr>
        <w:t>5.4.</w:t>
      </w:r>
      <w:r>
        <w:rPr>
          <w:rFonts w:hint="eastAsia"/>
          <w:b/>
          <w:bCs/>
          <w:color w:val="auto"/>
          <w:highlight w:val="none"/>
        </w:rPr>
        <w:t>2</w:t>
      </w:r>
      <w:r>
        <w:rPr>
          <w:rFonts w:hint="eastAsia"/>
          <w:color w:val="auto"/>
          <w:highlight w:val="none"/>
        </w:rPr>
        <w:t>　</w:t>
      </w:r>
      <w:r>
        <w:rPr>
          <w:color w:val="auto"/>
          <w:highlight w:val="none"/>
        </w:rPr>
        <w:t>详细</w:t>
      </w:r>
      <w:r>
        <w:rPr>
          <w:rFonts w:hint="eastAsia"/>
          <w:color w:val="auto"/>
          <w:highlight w:val="none"/>
        </w:rPr>
        <w:t>勘察应在前期工程地质调查与测绘成果基础上，根据需要进行补充调查与测绘。</w:t>
      </w:r>
    </w:p>
    <w:p>
      <w:pPr>
        <w:spacing w:line="360" w:lineRule="auto"/>
        <w:rPr>
          <w:color w:val="auto"/>
          <w:highlight w:val="none"/>
        </w:rPr>
      </w:pPr>
      <w:r>
        <w:rPr>
          <w:b/>
          <w:bCs/>
          <w:color w:val="auto"/>
          <w:highlight w:val="none"/>
        </w:rPr>
        <w:t>5.4.</w:t>
      </w:r>
      <w:r>
        <w:rPr>
          <w:rFonts w:hint="eastAsia"/>
          <w:b/>
          <w:bCs/>
          <w:color w:val="auto"/>
          <w:highlight w:val="none"/>
        </w:rPr>
        <w:t>3</w:t>
      </w:r>
      <w:r>
        <w:rPr>
          <w:rFonts w:hint="eastAsia"/>
          <w:color w:val="auto"/>
          <w:highlight w:val="none"/>
        </w:rPr>
        <w:t>　</w:t>
      </w:r>
      <w:r>
        <w:rPr>
          <w:color w:val="auto"/>
          <w:highlight w:val="none"/>
        </w:rPr>
        <w:t>详细勘察勘探点的布置应符合下列规定：</w:t>
      </w:r>
    </w:p>
    <w:p>
      <w:pPr>
        <w:spacing w:line="360" w:lineRule="auto"/>
        <w:ind w:firstLine="422" w:firstLineChars="200"/>
        <w:rPr>
          <w:color w:val="auto"/>
          <w:highlight w:val="none"/>
        </w:rPr>
      </w:pPr>
      <w:r>
        <w:rPr>
          <w:b/>
          <w:bCs/>
          <w:color w:val="auto"/>
          <w:highlight w:val="none"/>
        </w:rPr>
        <w:t>1</w:t>
      </w:r>
      <w:r>
        <w:rPr>
          <w:rFonts w:hint="eastAsia"/>
          <w:color w:val="auto"/>
          <w:highlight w:val="none"/>
        </w:rPr>
        <w:t>　</w:t>
      </w:r>
      <w:r>
        <w:rPr>
          <w:color w:val="auto"/>
          <w:highlight w:val="none"/>
        </w:rPr>
        <w:t>勘探点沿</w:t>
      </w:r>
      <w:r>
        <w:rPr>
          <w:rFonts w:hint="eastAsia"/>
          <w:color w:val="auto"/>
          <w:highlight w:val="none"/>
        </w:rPr>
        <w:t>道路</w:t>
      </w:r>
      <w:r>
        <w:rPr>
          <w:color w:val="auto"/>
          <w:highlight w:val="none"/>
        </w:rPr>
        <w:t>中线投影间距可根据</w:t>
      </w:r>
      <w:r>
        <w:rPr>
          <w:rFonts w:hint="eastAsia"/>
          <w:color w:val="auto"/>
          <w:highlight w:val="none"/>
        </w:rPr>
        <w:t>道路分类、</w:t>
      </w:r>
      <w:r>
        <w:rPr>
          <w:color w:val="auto"/>
          <w:highlight w:val="none"/>
        </w:rPr>
        <w:t>场地</w:t>
      </w:r>
      <w:r>
        <w:rPr>
          <w:rFonts w:hint="eastAsia"/>
          <w:color w:val="auto"/>
          <w:highlight w:val="none"/>
        </w:rPr>
        <w:t>和</w:t>
      </w:r>
      <w:r>
        <w:rPr>
          <w:color w:val="auto"/>
          <w:highlight w:val="none"/>
        </w:rPr>
        <w:t>岩土条件复杂程度</w:t>
      </w:r>
      <w:r>
        <w:rPr>
          <w:rFonts w:hint="eastAsia"/>
          <w:color w:val="auto"/>
          <w:highlight w:val="none"/>
        </w:rPr>
        <w:t>等级</w:t>
      </w:r>
      <w:r>
        <w:rPr>
          <w:color w:val="auto"/>
          <w:highlight w:val="none"/>
        </w:rPr>
        <w:t>按表5.4.</w:t>
      </w:r>
      <w:r>
        <w:rPr>
          <w:rFonts w:hint="eastAsia"/>
          <w:color w:val="auto"/>
          <w:highlight w:val="none"/>
        </w:rPr>
        <w:t>3</w:t>
      </w:r>
      <w:r>
        <w:rPr>
          <w:color w:val="auto"/>
          <w:highlight w:val="none"/>
        </w:rPr>
        <w:t>确定。</w:t>
      </w:r>
      <w:r>
        <w:rPr>
          <w:rFonts w:hint="eastAsia"/>
          <w:color w:val="auto"/>
          <w:highlight w:val="none"/>
        </w:rPr>
        <w:t>公交场站和城市广场的道路与地面工程勘探点间距宜为50m~100m。</w:t>
      </w:r>
    </w:p>
    <w:p>
      <w:pPr>
        <w:spacing w:line="360" w:lineRule="auto"/>
        <w:jc w:val="center"/>
        <w:rPr>
          <w:b/>
          <w:bCs/>
          <w:color w:val="auto"/>
          <w:highlight w:val="none"/>
        </w:rPr>
      </w:pPr>
      <w:r>
        <w:rPr>
          <w:b/>
          <w:bCs/>
          <w:color w:val="auto"/>
          <w:highlight w:val="none"/>
        </w:rPr>
        <w:t>表5.4.</w:t>
      </w:r>
      <w:r>
        <w:rPr>
          <w:rFonts w:hint="eastAsia"/>
          <w:b/>
          <w:bCs/>
          <w:color w:val="auto"/>
          <w:highlight w:val="none"/>
        </w:rPr>
        <w:t>3</w:t>
      </w:r>
      <w:r>
        <w:rPr>
          <w:b/>
          <w:bCs/>
          <w:color w:val="auto"/>
          <w:highlight w:val="none"/>
        </w:rPr>
        <w:t>　详细勘察勘探点间距(m)</w:t>
      </w:r>
    </w:p>
    <w:tbl>
      <w:tblPr>
        <w:tblStyle w:val="22"/>
        <w:tblW w:w="82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58"/>
        <w:gridCol w:w="2594"/>
        <w:gridCol w:w="25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058" w:type="dxa"/>
            <w:tcBorders>
              <w:top w:val="single" w:color="auto" w:sz="12" w:space="0"/>
              <w:bottom w:val="single" w:color="auto" w:sz="4" w:space="0"/>
              <w:tl2br w:val="single" w:color="auto" w:sz="4" w:space="0"/>
            </w:tcBorders>
            <w:vAlign w:val="center"/>
          </w:tcPr>
          <w:p>
            <w:pPr>
              <w:spacing w:line="0" w:lineRule="atLeast"/>
              <w:jc w:val="right"/>
              <w:rPr>
                <w:color w:val="auto"/>
                <w:sz w:val="20"/>
                <w:szCs w:val="20"/>
                <w:highlight w:val="none"/>
              </w:rPr>
            </w:pPr>
            <w:bookmarkStart w:id="71" w:name="_Hlk68771890"/>
            <w:r>
              <w:rPr>
                <w:rFonts w:hint="eastAsia"/>
                <w:color w:val="auto"/>
                <w:sz w:val="20"/>
                <w:szCs w:val="20"/>
                <w:highlight w:val="none"/>
              </w:rPr>
              <w:t>道路分类</w:t>
            </w:r>
          </w:p>
          <w:p>
            <w:pPr>
              <w:spacing w:line="0" w:lineRule="atLeast"/>
              <w:jc w:val="left"/>
              <w:rPr>
                <w:color w:val="auto"/>
                <w:sz w:val="20"/>
                <w:szCs w:val="20"/>
                <w:highlight w:val="none"/>
              </w:rPr>
            </w:pPr>
            <w:r>
              <w:rPr>
                <w:color w:val="auto"/>
                <w:sz w:val="20"/>
                <w:szCs w:val="20"/>
                <w:highlight w:val="none"/>
              </w:rPr>
              <w:t>场地</w:t>
            </w:r>
            <w:r>
              <w:rPr>
                <w:rFonts w:hint="eastAsia"/>
                <w:color w:val="auto"/>
                <w:sz w:val="20"/>
                <w:szCs w:val="20"/>
                <w:highlight w:val="none"/>
              </w:rPr>
              <w:t>和岩土</w:t>
            </w:r>
          </w:p>
          <w:p>
            <w:pPr>
              <w:spacing w:line="240" w:lineRule="atLeast"/>
              <w:jc w:val="left"/>
              <w:rPr>
                <w:color w:val="auto"/>
                <w:sz w:val="20"/>
                <w:szCs w:val="20"/>
                <w:highlight w:val="none"/>
              </w:rPr>
            </w:pPr>
            <w:r>
              <w:rPr>
                <w:rFonts w:hint="eastAsia"/>
                <w:color w:val="auto"/>
                <w:sz w:val="20"/>
                <w:szCs w:val="20"/>
                <w:highlight w:val="none"/>
              </w:rPr>
              <w:t>条件</w:t>
            </w:r>
            <w:r>
              <w:rPr>
                <w:color w:val="auto"/>
                <w:sz w:val="20"/>
                <w:szCs w:val="20"/>
                <w:highlight w:val="none"/>
              </w:rPr>
              <w:t>复杂程度等级</w:t>
            </w:r>
          </w:p>
        </w:tc>
        <w:tc>
          <w:tcPr>
            <w:tcW w:w="2594" w:type="dxa"/>
            <w:vAlign w:val="center"/>
          </w:tcPr>
          <w:p>
            <w:pPr>
              <w:spacing w:line="240" w:lineRule="atLeast"/>
              <w:jc w:val="center"/>
              <w:rPr>
                <w:color w:val="auto"/>
                <w:sz w:val="20"/>
                <w:szCs w:val="20"/>
                <w:highlight w:val="none"/>
              </w:rPr>
            </w:pPr>
            <w:r>
              <w:rPr>
                <w:rFonts w:hint="eastAsia"/>
                <w:color w:val="auto"/>
                <w:sz w:val="20"/>
                <w:szCs w:val="20"/>
                <w:highlight w:val="none"/>
              </w:rPr>
              <w:t>一般路基</w:t>
            </w:r>
          </w:p>
        </w:tc>
        <w:tc>
          <w:tcPr>
            <w:tcW w:w="2594" w:type="dxa"/>
            <w:vAlign w:val="center"/>
          </w:tcPr>
          <w:p>
            <w:pPr>
              <w:spacing w:line="240" w:lineRule="atLeast"/>
              <w:jc w:val="center"/>
              <w:rPr>
                <w:color w:val="auto"/>
                <w:sz w:val="18"/>
                <w:szCs w:val="20"/>
                <w:highlight w:val="none"/>
              </w:rPr>
            </w:pPr>
            <w:r>
              <w:rPr>
                <w:rFonts w:hint="eastAsia"/>
                <w:color w:val="auto"/>
                <w:sz w:val="18"/>
                <w:szCs w:val="20"/>
                <w:highlight w:val="none"/>
              </w:rPr>
              <w:t>高路堤、陡坡路堤、</w:t>
            </w:r>
          </w:p>
          <w:p>
            <w:pPr>
              <w:spacing w:line="240" w:lineRule="atLeast"/>
              <w:jc w:val="center"/>
              <w:rPr>
                <w:color w:val="auto"/>
                <w:sz w:val="20"/>
                <w:szCs w:val="20"/>
                <w:highlight w:val="none"/>
              </w:rPr>
            </w:pPr>
            <w:r>
              <w:rPr>
                <w:rFonts w:hint="eastAsia"/>
                <w:color w:val="auto"/>
                <w:sz w:val="18"/>
                <w:szCs w:val="20"/>
                <w:highlight w:val="none"/>
              </w:rPr>
              <w:t>路堑和支挡结构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58" w:type="dxa"/>
            <w:tcBorders>
              <w:top w:val="single" w:color="auto" w:sz="4" w:space="0"/>
            </w:tcBorders>
            <w:vAlign w:val="center"/>
          </w:tcPr>
          <w:p>
            <w:pPr>
              <w:spacing w:before="62" w:beforeLines="20" w:after="62" w:afterLines="20"/>
              <w:jc w:val="center"/>
              <w:rPr>
                <w:color w:val="auto"/>
                <w:sz w:val="20"/>
                <w:szCs w:val="20"/>
                <w:highlight w:val="none"/>
              </w:rPr>
            </w:pPr>
            <w:r>
              <w:rPr>
                <w:color w:val="auto"/>
                <w:sz w:val="20"/>
                <w:szCs w:val="20"/>
                <w:highlight w:val="none"/>
              </w:rPr>
              <w:t>一级</w:t>
            </w:r>
          </w:p>
        </w:tc>
        <w:tc>
          <w:tcPr>
            <w:tcW w:w="2594" w:type="dxa"/>
            <w:vAlign w:val="center"/>
          </w:tcPr>
          <w:p>
            <w:pPr>
              <w:spacing w:before="62" w:beforeLines="20" w:after="62" w:afterLines="20"/>
              <w:jc w:val="center"/>
              <w:rPr>
                <w:color w:val="auto"/>
                <w:sz w:val="20"/>
                <w:szCs w:val="20"/>
                <w:highlight w:val="none"/>
              </w:rPr>
            </w:pPr>
            <w:r>
              <w:rPr>
                <w:color w:val="auto"/>
                <w:sz w:val="20"/>
                <w:szCs w:val="20"/>
                <w:highlight w:val="none"/>
              </w:rPr>
              <w:t>50~75</w:t>
            </w:r>
          </w:p>
        </w:tc>
        <w:tc>
          <w:tcPr>
            <w:tcW w:w="2594" w:type="dxa"/>
            <w:vAlign w:val="center"/>
          </w:tcPr>
          <w:p>
            <w:pPr>
              <w:spacing w:before="62" w:beforeLines="20" w:after="62" w:afterLines="20"/>
              <w:jc w:val="center"/>
              <w:rPr>
                <w:color w:val="auto"/>
                <w:sz w:val="20"/>
                <w:szCs w:val="20"/>
                <w:highlight w:val="none"/>
              </w:rPr>
            </w:pPr>
            <w:r>
              <w:rPr>
                <w:rFonts w:hint="eastAsia"/>
                <w:color w:val="auto"/>
                <w:sz w:val="20"/>
                <w:szCs w:val="20"/>
                <w:highlight w:val="none"/>
              </w:rPr>
              <w:t>2</w:t>
            </w:r>
            <w:r>
              <w:rPr>
                <w:color w:val="auto"/>
                <w:sz w:val="20"/>
                <w:szCs w:val="20"/>
                <w:highlight w:val="none"/>
              </w:rPr>
              <w:t>0~</w:t>
            </w:r>
            <w:r>
              <w:rPr>
                <w:rFonts w:hint="eastAsia"/>
                <w:color w:val="auto"/>
                <w:sz w:val="20"/>
                <w:szCs w:val="20"/>
                <w:highlight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58" w:type="dxa"/>
            <w:vAlign w:val="center"/>
          </w:tcPr>
          <w:p>
            <w:pPr>
              <w:spacing w:before="62" w:beforeLines="20" w:after="62" w:afterLines="20"/>
              <w:jc w:val="center"/>
              <w:rPr>
                <w:color w:val="auto"/>
                <w:sz w:val="20"/>
                <w:szCs w:val="20"/>
                <w:highlight w:val="none"/>
              </w:rPr>
            </w:pPr>
            <w:r>
              <w:rPr>
                <w:color w:val="auto"/>
                <w:sz w:val="20"/>
                <w:szCs w:val="20"/>
                <w:highlight w:val="none"/>
              </w:rPr>
              <w:t>二级</w:t>
            </w:r>
          </w:p>
        </w:tc>
        <w:tc>
          <w:tcPr>
            <w:tcW w:w="2594" w:type="dxa"/>
            <w:vAlign w:val="center"/>
          </w:tcPr>
          <w:p>
            <w:pPr>
              <w:spacing w:before="62" w:beforeLines="20" w:after="62" w:afterLines="20"/>
              <w:jc w:val="center"/>
              <w:rPr>
                <w:color w:val="auto"/>
                <w:sz w:val="20"/>
                <w:szCs w:val="20"/>
                <w:highlight w:val="none"/>
              </w:rPr>
            </w:pPr>
            <w:r>
              <w:rPr>
                <w:color w:val="auto"/>
                <w:sz w:val="20"/>
                <w:szCs w:val="20"/>
                <w:highlight w:val="none"/>
              </w:rPr>
              <w:t>75~100</w:t>
            </w:r>
          </w:p>
        </w:tc>
        <w:tc>
          <w:tcPr>
            <w:tcW w:w="2594" w:type="dxa"/>
            <w:vAlign w:val="center"/>
          </w:tcPr>
          <w:p>
            <w:pPr>
              <w:spacing w:before="62" w:beforeLines="20" w:after="62" w:afterLines="20"/>
              <w:jc w:val="center"/>
              <w:rPr>
                <w:color w:val="auto"/>
                <w:sz w:val="20"/>
                <w:szCs w:val="20"/>
                <w:highlight w:val="none"/>
              </w:rPr>
            </w:pPr>
            <w:r>
              <w:rPr>
                <w:rFonts w:hint="eastAsia"/>
                <w:color w:val="auto"/>
                <w:sz w:val="20"/>
                <w:szCs w:val="20"/>
                <w:highlight w:val="none"/>
              </w:rPr>
              <w:t>30</w:t>
            </w:r>
            <w:r>
              <w:rPr>
                <w:color w:val="auto"/>
                <w:sz w:val="20"/>
                <w:szCs w:val="20"/>
                <w:highlight w:val="none"/>
              </w:rPr>
              <w:t>~</w:t>
            </w:r>
            <w:r>
              <w:rPr>
                <w:rFonts w:hint="eastAsia"/>
                <w:color w:val="auto"/>
                <w:sz w:val="20"/>
                <w:szCs w:val="20"/>
                <w:highlight w:val="none"/>
              </w:rPr>
              <w:t>5</w:t>
            </w:r>
            <w:r>
              <w:rPr>
                <w:color w:val="auto"/>
                <w:sz w:val="20"/>
                <w:szCs w:val="20"/>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58" w:type="dxa"/>
            <w:vAlign w:val="center"/>
          </w:tcPr>
          <w:p>
            <w:pPr>
              <w:spacing w:before="62" w:beforeLines="20" w:after="62" w:afterLines="20"/>
              <w:jc w:val="center"/>
              <w:rPr>
                <w:color w:val="auto"/>
                <w:sz w:val="20"/>
                <w:szCs w:val="20"/>
                <w:highlight w:val="none"/>
              </w:rPr>
            </w:pPr>
            <w:r>
              <w:rPr>
                <w:color w:val="auto"/>
                <w:sz w:val="20"/>
                <w:szCs w:val="20"/>
                <w:highlight w:val="none"/>
              </w:rPr>
              <w:t>三级</w:t>
            </w:r>
          </w:p>
        </w:tc>
        <w:tc>
          <w:tcPr>
            <w:tcW w:w="2594" w:type="dxa"/>
            <w:vAlign w:val="center"/>
          </w:tcPr>
          <w:p>
            <w:pPr>
              <w:spacing w:before="62" w:beforeLines="20" w:after="62" w:afterLines="20"/>
              <w:jc w:val="center"/>
              <w:rPr>
                <w:color w:val="auto"/>
                <w:sz w:val="20"/>
                <w:szCs w:val="20"/>
                <w:highlight w:val="none"/>
              </w:rPr>
            </w:pPr>
            <w:r>
              <w:rPr>
                <w:rFonts w:hint="eastAsia"/>
                <w:color w:val="auto"/>
                <w:sz w:val="20"/>
                <w:szCs w:val="20"/>
                <w:highlight w:val="none"/>
              </w:rPr>
              <w:t>100</w:t>
            </w:r>
            <w:r>
              <w:rPr>
                <w:color w:val="auto"/>
                <w:sz w:val="20"/>
                <w:szCs w:val="20"/>
                <w:highlight w:val="none"/>
              </w:rPr>
              <w:t>~</w:t>
            </w:r>
            <w:r>
              <w:rPr>
                <w:rFonts w:hint="eastAsia"/>
                <w:color w:val="auto"/>
                <w:sz w:val="20"/>
                <w:szCs w:val="20"/>
                <w:highlight w:val="none"/>
              </w:rPr>
              <w:t>2</w:t>
            </w:r>
            <w:r>
              <w:rPr>
                <w:color w:val="auto"/>
                <w:sz w:val="20"/>
                <w:szCs w:val="20"/>
                <w:highlight w:val="none"/>
              </w:rPr>
              <w:t>00</w:t>
            </w:r>
          </w:p>
        </w:tc>
        <w:tc>
          <w:tcPr>
            <w:tcW w:w="2594" w:type="dxa"/>
            <w:vAlign w:val="center"/>
          </w:tcPr>
          <w:p>
            <w:pPr>
              <w:spacing w:before="62" w:beforeLines="20" w:after="62" w:afterLines="20"/>
              <w:jc w:val="center"/>
              <w:rPr>
                <w:color w:val="auto"/>
                <w:sz w:val="20"/>
                <w:szCs w:val="20"/>
                <w:highlight w:val="none"/>
              </w:rPr>
            </w:pPr>
            <w:r>
              <w:rPr>
                <w:rFonts w:hint="eastAsia"/>
                <w:color w:val="auto"/>
                <w:sz w:val="20"/>
                <w:szCs w:val="20"/>
                <w:highlight w:val="none"/>
              </w:rPr>
              <w:t>5</w:t>
            </w:r>
            <w:r>
              <w:rPr>
                <w:color w:val="auto"/>
                <w:sz w:val="20"/>
                <w:szCs w:val="20"/>
                <w:highlight w:val="none"/>
              </w:rPr>
              <w:t>0~1</w:t>
            </w:r>
            <w:r>
              <w:rPr>
                <w:rFonts w:hint="eastAsia"/>
                <w:color w:val="auto"/>
                <w:sz w:val="20"/>
                <w:szCs w:val="20"/>
                <w:highlight w:val="none"/>
              </w:rPr>
              <w:t>0</w:t>
            </w:r>
            <w:r>
              <w:rPr>
                <w:color w:val="auto"/>
                <w:sz w:val="20"/>
                <w:szCs w:val="20"/>
                <w:highlight w:val="none"/>
              </w:rPr>
              <w:t>0</w:t>
            </w:r>
          </w:p>
        </w:tc>
      </w:tr>
      <w:bookmarkEnd w:id="71"/>
    </w:tbl>
    <w:p>
      <w:pPr>
        <w:spacing w:line="360" w:lineRule="auto"/>
        <w:ind w:firstLine="422" w:firstLineChars="200"/>
        <w:rPr>
          <w:color w:val="auto"/>
          <w:highlight w:val="none"/>
        </w:rPr>
      </w:pPr>
      <w:r>
        <w:rPr>
          <w:rFonts w:hint="eastAsia"/>
          <w:b/>
          <w:bCs/>
          <w:color w:val="auto"/>
          <w:highlight w:val="none"/>
        </w:rPr>
        <w:t>2</w:t>
      </w:r>
      <w:r>
        <w:rPr>
          <w:rFonts w:hint="eastAsia"/>
          <w:color w:val="auto"/>
          <w:highlight w:val="none"/>
        </w:rPr>
        <w:t>　对于宽度大于20m的道路，场地或岩土条件</w:t>
      </w:r>
      <w:r>
        <w:rPr>
          <w:color w:val="auto"/>
          <w:highlight w:val="none"/>
        </w:rPr>
        <w:t>复杂路段</w:t>
      </w:r>
      <w:r>
        <w:rPr>
          <w:rFonts w:hint="eastAsia"/>
          <w:color w:val="auto"/>
          <w:highlight w:val="none"/>
        </w:rPr>
        <w:t>可</w:t>
      </w:r>
      <w:r>
        <w:rPr>
          <w:color w:val="auto"/>
          <w:highlight w:val="none"/>
        </w:rPr>
        <w:t>每隔</w:t>
      </w:r>
      <w:r>
        <w:rPr>
          <w:rFonts w:hint="eastAsia"/>
          <w:color w:val="auto"/>
          <w:highlight w:val="none"/>
        </w:rPr>
        <w:t>5</w:t>
      </w:r>
      <w:r>
        <w:rPr>
          <w:color w:val="auto"/>
          <w:highlight w:val="none"/>
        </w:rPr>
        <w:t>0m~150m布置一条</w:t>
      </w:r>
      <w:r>
        <w:rPr>
          <w:rFonts w:hint="eastAsia"/>
          <w:color w:val="auto"/>
          <w:highlight w:val="none"/>
        </w:rPr>
        <w:t>横勘探线，勘探点间距宜为3</w:t>
      </w:r>
      <w:r>
        <w:rPr>
          <w:color w:val="auto"/>
          <w:highlight w:val="none"/>
        </w:rPr>
        <w:t>0m~50m</w:t>
      </w:r>
      <w:r>
        <w:rPr>
          <w:rFonts w:hint="eastAsia"/>
          <w:color w:val="auto"/>
          <w:highlight w:val="none"/>
        </w:rPr>
        <w:t>；</w:t>
      </w:r>
    </w:p>
    <w:p>
      <w:pPr>
        <w:spacing w:line="360" w:lineRule="auto"/>
        <w:ind w:firstLine="422" w:firstLineChars="200"/>
        <w:rPr>
          <w:color w:val="auto"/>
          <w:highlight w:val="none"/>
        </w:rPr>
      </w:pPr>
      <w:r>
        <w:rPr>
          <w:rFonts w:hint="eastAsia"/>
          <w:b/>
          <w:bCs/>
          <w:color w:val="auto"/>
          <w:highlight w:val="none"/>
        </w:rPr>
        <w:t>3　</w:t>
      </w:r>
      <w:r>
        <w:rPr>
          <w:color w:val="auto"/>
          <w:highlight w:val="none"/>
        </w:rPr>
        <w:t>山区</w:t>
      </w:r>
      <w:r>
        <w:rPr>
          <w:rFonts w:hint="eastAsia"/>
          <w:color w:val="auto"/>
          <w:highlight w:val="none"/>
        </w:rPr>
        <w:t>半挖半填</w:t>
      </w:r>
      <w:r>
        <w:rPr>
          <w:color w:val="auto"/>
          <w:highlight w:val="none"/>
        </w:rPr>
        <w:t>路段</w:t>
      </w:r>
      <w:r>
        <w:rPr>
          <w:rFonts w:hint="eastAsia"/>
          <w:color w:val="auto"/>
          <w:highlight w:val="none"/>
        </w:rPr>
        <w:t>、</w:t>
      </w:r>
      <w:r>
        <w:rPr>
          <w:color w:val="auto"/>
          <w:highlight w:val="none"/>
        </w:rPr>
        <w:t>陡坡路堤、路堑及支挡工程，宜</w:t>
      </w:r>
      <w:r>
        <w:rPr>
          <w:rFonts w:hint="eastAsia"/>
          <w:color w:val="auto"/>
          <w:highlight w:val="none"/>
        </w:rPr>
        <w:t>于代表性路段</w:t>
      </w:r>
      <w:r>
        <w:rPr>
          <w:color w:val="auto"/>
          <w:highlight w:val="none"/>
        </w:rPr>
        <w:t>布置工程地质</w:t>
      </w:r>
      <w:r>
        <w:rPr>
          <w:rFonts w:hint="eastAsia"/>
          <w:color w:val="auto"/>
          <w:highlight w:val="none"/>
        </w:rPr>
        <w:t>横勘探线，勘探点间距宜为2</w:t>
      </w:r>
      <w:r>
        <w:rPr>
          <w:color w:val="auto"/>
          <w:highlight w:val="none"/>
        </w:rPr>
        <w:t>0m~</w:t>
      </w:r>
      <w:r>
        <w:rPr>
          <w:rFonts w:hint="eastAsia"/>
          <w:color w:val="auto"/>
          <w:highlight w:val="none"/>
        </w:rPr>
        <w:t>3</w:t>
      </w:r>
      <w:r>
        <w:rPr>
          <w:color w:val="auto"/>
          <w:highlight w:val="none"/>
        </w:rPr>
        <w:t>0m</w:t>
      </w:r>
      <w:r>
        <w:rPr>
          <w:rFonts w:hint="eastAsia"/>
          <w:color w:val="auto"/>
          <w:highlight w:val="none"/>
        </w:rPr>
        <w:t>；</w:t>
      </w:r>
    </w:p>
    <w:p>
      <w:pPr>
        <w:spacing w:line="360" w:lineRule="auto"/>
        <w:ind w:firstLine="422" w:firstLineChars="200"/>
        <w:rPr>
          <w:color w:val="auto"/>
          <w:highlight w:val="none"/>
        </w:rPr>
      </w:pPr>
      <w:r>
        <w:rPr>
          <w:rFonts w:hint="eastAsia"/>
          <w:b/>
          <w:bCs/>
          <w:color w:val="auto"/>
          <w:highlight w:val="none"/>
        </w:rPr>
        <w:t>4　</w:t>
      </w:r>
      <w:r>
        <w:rPr>
          <w:color w:val="auto"/>
          <w:highlight w:val="none"/>
        </w:rPr>
        <w:t>不同地貌单元及其交界部位均应布置勘探点，在</w:t>
      </w:r>
      <w:r>
        <w:rPr>
          <w:rFonts w:hint="eastAsia"/>
          <w:color w:val="auto"/>
          <w:highlight w:val="none"/>
        </w:rPr>
        <w:t>地质复杂</w:t>
      </w:r>
      <w:r>
        <w:rPr>
          <w:color w:val="auto"/>
          <w:highlight w:val="none"/>
        </w:rPr>
        <w:t>地段应加密勘探点</w:t>
      </w:r>
      <w:r>
        <w:rPr>
          <w:rFonts w:hint="eastAsia"/>
          <w:color w:val="auto"/>
          <w:highlight w:val="none"/>
        </w:rPr>
        <w:t>；</w:t>
      </w:r>
    </w:p>
    <w:p>
      <w:pPr>
        <w:spacing w:line="360" w:lineRule="auto"/>
        <w:ind w:firstLine="422" w:firstLineChars="200"/>
        <w:rPr>
          <w:color w:val="auto"/>
          <w:highlight w:val="none"/>
        </w:rPr>
      </w:pPr>
      <w:r>
        <w:rPr>
          <w:rFonts w:hint="eastAsia"/>
          <w:b/>
          <w:bCs/>
          <w:color w:val="auto"/>
          <w:highlight w:val="none"/>
        </w:rPr>
        <w:t>5</w:t>
      </w:r>
      <w:r>
        <w:rPr>
          <w:rFonts w:hint="eastAsia"/>
          <w:color w:val="auto"/>
          <w:highlight w:val="none"/>
        </w:rPr>
        <w:t>　</w:t>
      </w:r>
      <w:r>
        <w:rPr>
          <w:color w:val="auto"/>
          <w:highlight w:val="none"/>
        </w:rPr>
        <w:t>当线路通过</w:t>
      </w:r>
      <w:r>
        <w:rPr>
          <w:rFonts w:hint="eastAsia"/>
          <w:color w:val="auto"/>
          <w:highlight w:val="none"/>
        </w:rPr>
        <w:t>复杂填土、</w:t>
      </w:r>
      <w:r>
        <w:rPr>
          <w:color w:val="auto"/>
          <w:highlight w:val="none"/>
        </w:rPr>
        <w:t>沟、浜、湮埋的沟坑</w:t>
      </w:r>
      <w:r>
        <w:rPr>
          <w:rFonts w:hint="eastAsia"/>
          <w:color w:val="auto"/>
          <w:highlight w:val="none"/>
        </w:rPr>
        <w:t>、</w:t>
      </w:r>
      <w:r>
        <w:rPr>
          <w:color w:val="auto"/>
          <w:highlight w:val="none"/>
        </w:rPr>
        <w:t>古河道等时，勘探点的间距宜控制在20m~40m。</w:t>
      </w:r>
    </w:p>
    <w:p>
      <w:pPr>
        <w:spacing w:line="360" w:lineRule="auto"/>
        <w:rPr>
          <w:color w:val="auto"/>
          <w:highlight w:val="none"/>
        </w:rPr>
      </w:pPr>
      <w:r>
        <w:rPr>
          <w:b/>
          <w:bCs/>
          <w:color w:val="auto"/>
          <w:highlight w:val="none"/>
        </w:rPr>
        <w:t>5.4.</w:t>
      </w:r>
      <w:r>
        <w:rPr>
          <w:rFonts w:hint="eastAsia"/>
          <w:b/>
          <w:bCs/>
          <w:color w:val="auto"/>
          <w:highlight w:val="none"/>
        </w:rPr>
        <w:t>4　</w:t>
      </w:r>
      <w:r>
        <w:rPr>
          <w:color w:val="auto"/>
          <w:highlight w:val="none"/>
        </w:rPr>
        <w:t>勘探孔深度应符合下列规定：</w:t>
      </w:r>
    </w:p>
    <w:p>
      <w:pPr>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一般路基、公交站场及城市广场的道路与地面的</w:t>
      </w:r>
      <w:r>
        <w:rPr>
          <w:color w:val="auto"/>
          <w:highlight w:val="none"/>
        </w:rPr>
        <w:t>勘探孔深度宜达到原地面以下不小于5m</w:t>
      </w:r>
      <w:r>
        <w:rPr>
          <w:rFonts w:hint="eastAsia"/>
          <w:color w:val="auto"/>
          <w:highlight w:val="none"/>
        </w:rPr>
        <w:t>，</w:t>
      </w:r>
      <w:r>
        <w:rPr>
          <w:color w:val="auto"/>
          <w:highlight w:val="none"/>
        </w:rPr>
        <w:t>挖方地段宜达到路面设计标高以下不小于4m；在拟定勘探深度范围内分布有填土、软土和可液化土等特殊性土层时</w:t>
      </w:r>
      <w:r>
        <w:rPr>
          <w:rFonts w:hint="eastAsia"/>
          <w:color w:val="auto"/>
          <w:highlight w:val="none"/>
        </w:rPr>
        <w:t>，一般性勘探孔应满足地基处理深度要求</w:t>
      </w:r>
      <w:r>
        <w:rPr>
          <w:color w:val="auto"/>
          <w:highlight w:val="none"/>
        </w:rPr>
        <w:t>，</w:t>
      </w:r>
      <w:r>
        <w:rPr>
          <w:rFonts w:hint="eastAsia"/>
          <w:color w:val="auto"/>
          <w:highlight w:val="none"/>
        </w:rPr>
        <w:t>控制性</w:t>
      </w:r>
      <w:r>
        <w:rPr>
          <w:color w:val="auto"/>
          <w:highlight w:val="none"/>
        </w:rPr>
        <w:t>勘探孔</w:t>
      </w:r>
      <w:r>
        <w:rPr>
          <w:rFonts w:hint="eastAsia"/>
          <w:color w:val="auto"/>
          <w:highlight w:val="none"/>
        </w:rPr>
        <w:t>宜</w:t>
      </w:r>
      <w:r>
        <w:rPr>
          <w:color w:val="auto"/>
          <w:highlight w:val="none"/>
        </w:rPr>
        <w:t>予以钻穿</w:t>
      </w:r>
      <w:r>
        <w:rPr>
          <w:rFonts w:hint="eastAsia"/>
          <w:color w:val="auto"/>
          <w:highlight w:val="none"/>
        </w:rPr>
        <w:t>并</w:t>
      </w:r>
      <w:r>
        <w:rPr>
          <w:color w:val="auto"/>
          <w:highlight w:val="none"/>
        </w:rPr>
        <w:t>进入下卧可塑或稍密以上土层不小于</w:t>
      </w:r>
      <w:r>
        <w:rPr>
          <w:rFonts w:hint="eastAsia"/>
          <w:color w:val="auto"/>
          <w:highlight w:val="none"/>
        </w:rPr>
        <w:t>3</w:t>
      </w:r>
      <w:r>
        <w:rPr>
          <w:color w:val="auto"/>
          <w:highlight w:val="none"/>
        </w:rPr>
        <w:t>m；在拟定勘探深度内遇岩</w:t>
      </w:r>
      <w:r>
        <w:rPr>
          <w:rFonts w:hint="eastAsia"/>
          <w:color w:val="auto"/>
          <w:highlight w:val="none"/>
        </w:rPr>
        <w:t>层</w:t>
      </w:r>
      <w:r>
        <w:rPr>
          <w:color w:val="auto"/>
          <w:highlight w:val="none"/>
        </w:rPr>
        <w:t>时，应钻入岩</w:t>
      </w:r>
      <w:r>
        <w:rPr>
          <w:rFonts w:hint="eastAsia"/>
          <w:color w:val="auto"/>
          <w:highlight w:val="none"/>
        </w:rPr>
        <w:t>层</w:t>
      </w:r>
      <w:r>
        <w:rPr>
          <w:color w:val="auto"/>
          <w:highlight w:val="none"/>
        </w:rPr>
        <w:t>不小于1m</w:t>
      </w:r>
      <w:r>
        <w:rPr>
          <w:rFonts w:hint="eastAsia"/>
          <w:color w:val="auto"/>
          <w:highlight w:val="none"/>
        </w:rPr>
        <w:t>；</w:t>
      </w:r>
    </w:p>
    <w:p>
      <w:pPr>
        <w:spacing w:line="360" w:lineRule="auto"/>
        <w:ind w:firstLine="422" w:firstLineChars="200"/>
        <w:rPr>
          <w:color w:val="auto"/>
          <w:highlight w:val="none"/>
        </w:rPr>
      </w:pPr>
      <w:r>
        <w:rPr>
          <w:rFonts w:hint="eastAsia"/>
          <w:b/>
          <w:bCs/>
          <w:color w:val="auto"/>
          <w:highlight w:val="none"/>
        </w:rPr>
        <w:t>2　</w:t>
      </w:r>
      <w:r>
        <w:rPr>
          <w:rFonts w:hint="eastAsia"/>
          <w:color w:val="auto"/>
          <w:highlight w:val="none"/>
        </w:rPr>
        <w:t>高路堤、陡坡路堤、路堑和支挡工程的</w:t>
      </w:r>
      <w:r>
        <w:rPr>
          <w:color w:val="auto"/>
          <w:highlight w:val="none"/>
        </w:rPr>
        <w:t>勘探孔深度应满足稳定性分析评价和地基处理的要求</w:t>
      </w:r>
      <w:r>
        <w:rPr>
          <w:rFonts w:hint="eastAsia"/>
          <w:color w:val="auto"/>
          <w:highlight w:val="none"/>
        </w:rPr>
        <w:t>，高路堤勘探孔深度尚应满足</w:t>
      </w:r>
      <w:r>
        <w:rPr>
          <w:color w:val="auto"/>
          <w:highlight w:val="none"/>
        </w:rPr>
        <w:t>变形计算</w:t>
      </w:r>
      <w:r>
        <w:rPr>
          <w:rFonts w:hint="eastAsia"/>
          <w:color w:val="auto"/>
          <w:highlight w:val="none"/>
        </w:rPr>
        <w:t>的要求。</w:t>
      </w:r>
    </w:p>
    <w:p>
      <w:pPr>
        <w:spacing w:line="360" w:lineRule="auto"/>
        <w:rPr>
          <w:color w:val="auto"/>
          <w:highlight w:val="none"/>
        </w:rPr>
      </w:pPr>
      <w:r>
        <w:rPr>
          <w:rFonts w:hint="eastAsia"/>
          <w:b/>
          <w:bCs/>
          <w:color w:val="auto"/>
          <w:highlight w:val="none"/>
        </w:rPr>
        <w:t>5.4.5</w:t>
      </w:r>
      <w:bookmarkStart w:id="72" w:name="_Hlk68772085"/>
      <w:r>
        <w:rPr>
          <w:rFonts w:hint="eastAsia"/>
          <w:color w:val="auto"/>
          <w:highlight w:val="none"/>
        </w:rPr>
        <w:t>　</w:t>
      </w:r>
      <w:r>
        <w:rPr>
          <w:color w:val="auto"/>
          <w:highlight w:val="none"/>
        </w:rPr>
        <w:t>在原地面或</w:t>
      </w:r>
      <w:r>
        <w:rPr>
          <w:rFonts w:hint="eastAsia"/>
          <w:color w:val="auto"/>
          <w:highlight w:val="none"/>
        </w:rPr>
        <w:t>挖方路段</w:t>
      </w:r>
      <w:r>
        <w:rPr>
          <w:color w:val="auto"/>
          <w:highlight w:val="none"/>
        </w:rPr>
        <w:t>路面设计标高以下1.5m深度范围内，以及软土地区原地面或路面设计标高以下3.0m的深度范围内，</w:t>
      </w:r>
      <w:r>
        <w:rPr>
          <w:rFonts w:hint="eastAsia"/>
          <w:color w:val="auto"/>
          <w:highlight w:val="none"/>
        </w:rPr>
        <w:t>主要土层应采</w:t>
      </w:r>
      <w:r>
        <w:rPr>
          <w:color w:val="auto"/>
          <w:highlight w:val="none"/>
        </w:rPr>
        <w:t>取</w:t>
      </w:r>
      <w:r>
        <w:rPr>
          <w:rFonts w:hint="eastAsia"/>
          <w:color w:val="auto"/>
          <w:highlight w:val="none"/>
        </w:rPr>
        <w:t>不少于6组有效试</w:t>
      </w:r>
      <w:r>
        <w:rPr>
          <w:color w:val="auto"/>
          <w:highlight w:val="none"/>
        </w:rPr>
        <w:t>样</w:t>
      </w:r>
      <w:bookmarkEnd w:id="72"/>
      <w:r>
        <w:rPr>
          <w:rFonts w:hint="eastAsia"/>
          <w:color w:val="auto"/>
          <w:highlight w:val="none"/>
        </w:rPr>
        <w:t>和进行不少于6次原位测试。</w:t>
      </w:r>
    </w:p>
    <w:p>
      <w:pPr>
        <w:spacing w:line="360" w:lineRule="auto"/>
        <w:rPr>
          <w:color w:val="auto"/>
          <w:kern w:val="0"/>
          <w:highlight w:val="none"/>
        </w:rPr>
      </w:pPr>
      <w:r>
        <w:rPr>
          <w:b/>
          <w:bCs/>
          <w:color w:val="auto"/>
          <w:highlight w:val="none"/>
        </w:rPr>
        <w:t>5.4.</w:t>
      </w:r>
      <w:r>
        <w:rPr>
          <w:rFonts w:hint="eastAsia"/>
          <w:b/>
          <w:bCs/>
          <w:color w:val="auto"/>
          <w:highlight w:val="none"/>
        </w:rPr>
        <w:t>6　</w:t>
      </w:r>
      <w:r>
        <w:rPr>
          <w:color w:val="auto"/>
          <w:highlight w:val="none"/>
        </w:rPr>
        <w:t>详细勘察</w:t>
      </w:r>
      <w:r>
        <w:rPr>
          <w:color w:val="auto"/>
          <w:kern w:val="0"/>
          <w:highlight w:val="none"/>
        </w:rPr>
        <w:t>应重点</w:t>
      </w:r>
      <w:r>
        <w:rPr>
          <w:rFonts w:hint="eastAsia"/>
          <w:color w:val="auto"/>
          <w:kern w:val="0"/>
          <w:highlight w:val="none"/>
        </w:rPr>
        <w:t>分析</w:t>
      </w:r>
      <w:r>
        <w:rPr>
          <w:color w:val="auto"/>
          <w:kern w:val="0"/>
          <w:highlight w:val="none"/>
        </w:rPr>
        <w:t>评价以下内容：</w:t>
      </w:r>
    </w:p>
    <w:p>
      <w:pPr>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评价场地与地基的地震效应；</w:t>
      </w:r>
    </w:p>
    <w:p>
      <w:pPr>
        <w:autoSpaceDE w:val="0"/>
        <w:autoSpaceDN w:val="0"/>
        <w:adjustRightInd w:val="0"/>
        <w:spacing w:line="360" w:lineRule="auto"/>
        <w:ind w:firstLine="422" w:firstLineChars="200"/>
        <w:jc w:val="left"/>
        <w:rPr>
          <w:color w:val="auto"/>
          <w:highlight w:val="none"/>
        </w:rPr>
      </w:pPr>
      <w:r>
        <w:rPr>
          <w:rFonts w:hint="eastAsia"/>
          <w:b/>
          <w:bCs/>
          <w:color w:val="auto"/>
          <w:highlight w:val="none"/>
        </w:rPr>
        <w:t>2</w:t>
      </w:r>
      <w:r>
        <w:rPr>
          <w:rFonts w:hint="eastAsia"/>
          <w:color w:val="auto"/>
          <w:highlight w:val="none"/>
        </w:rPr>
        <w:t>　</w:t>
      </w:r>
      <w:r>
        <w:rPr>
          <w:color w:val="auto"/>
          <w:highlight w:val="none"/>
        </w:rPr>
        <w:t>评价地基均匀性</w:t>
      </w:r>
      <w:r>
        <w:rPr>
          <w:rFonts w:hint="eastAsia"/>
          <w:color w:val="auto"/>
          <w:highlight w:val="none"/>
        </w:rPr>
        <w:t>，提供道路设计所需的岩土参数；</w:t>
      </w:r>
    </w:p>
    <w:p>
      <w:pPr>
        <w:autoSpaceDE w:val="0"/>
        <w:autoSpaceDN w:val="0"/>
        <w:adjustRightInd w:val="0"/>
        <w:spacing w:line="360" w:lineRule="auto"/>
        <w:ind w:firstLine="422" w:firstLineChars="200"/>
        <w:jc w:val="left"/>
        <w:rPr>
          <w:color w:val="auto"/>
          <w:highlight w:val="none"/>
        </w:rPr>
      </w:pPr>
      <w:r>
        <w:rPr>
          <w:rFonts w:hint="eastAsia"/>
          <w:b/>
          <w:bCs/>
          <w:color w:val="auto"/>
          <w:kern w:val="0"/>
          <w:highlight w:val="none"/>
        </w:rPr>
        <w:t>3　</w:t>
      </w:r>
      <w:r>
        <w:rPr>
          <w:rFonts w:hint="eastAsia"/>
          <w:color w:val="auto"/>
          <w:kern w:val="0"/>
          <w:highlight w:val="none"/>
        </w:rPr>
        <w:t>根据附录E划分路</w:t>
      </w:r>
      <w:r>
        <w:rPr>
          <w:color w:val="auto"/>
          <w:highlight w:val="none"/>
        </w:rPr>
        <w:t>基</w:t>
      </w:r>
      <w:r>
        <w:rPr>
          <w:rFonts w:hint="eastAsia"/>
          <w:color w:val="auto"/>
          <w:highlight w:val="none"/>
        </w:rPr>
        <w:t>干湿类型；</w:t>
      </w:r>
    </w:p>
    <w:p>
      <w:pPr>
        <w:autoSpaceDE w:val="0"/>
        <w:autoSpaceDN w:val="0"/>
        <w:adjustRightInd w:val="0"/>
        <w:spacing w:line="360" w:lineRule="auto"/>
        <w:ind w:firstLine="422" w:firstLineChars="200"/>
        <w:jc w:val="left"/>
        <w:rPr>
          <w:color w:val="auto"/>
          <w:highlight w:val="none"/>
        </w:rPr>
      </w:pPr>
      <w:r>
        <w:rPr>
          <w:rFonts w:hint="eastAsia"/>
          <w:b/>
          <w:bCs/>
          <w:color w:val="auto"/>
          <w:highlight w:val="none"/>
        </w:rPr>
        <w:t>4</w:t>
      </w:r>
      <w:r>
        <w:rPr>
          <w:rFonts w:hint="eastAsia"/>
          <w:color w:val="auto"/>
          <w:highlight w:val="none"/>
        </w:rPr>
        <w:t>　</w:t>
      </w:r>
      <w:r>
        <w:rPr>
          <w:rFonts w:hint="eastAsia"/>
          <w:color w:val="auto"/>
          <w:szCs w:val="21"/>
          <w:highlight w:val="none"/>
        </w:rPr>
        <w:t>评价</w:t>
      </w:r>
      <w:r>
        <w:rPr>
          <w:rFonts w:hint="eastAsia"/>
          <w:color w:val="auto"/>
          <w:highlight w:val="none"/>
        </w:rPr>
        <w:t>不良地质作用</w:t>
      </w:r>
      <w:r>
        <w:rPr>
          <w:color w:val="auto"/>
          <w:highlight w:val="none"/>
        </w:rPr>
        <w:t>对</w:t>
      </w:r>
      <w:r>
        <w:rPr>
          <w:rFonts w:hint="eastAsia"/>
          <w:color w:val="auto"/>
          <w:highlight w:val="none"/>
        </w:rPr>
        <w:t>工程</w:t>
      </w:r>
      <w:r>
        <w:rPr>
          <w:color w:val="auto"/>
          <w:highlight w:val="none"/>
        </w:rPr>
        <w:t>的影响，提出</w:t>
      </w:r>
      <w:r>
        <w:rPr>
          <w:rFonts w:hint="eastAsia"/>
          <w:color w:val="auto"/>
          <w:highlight w:val="none"/>
        </w:rPr>
        <w:t>针对性</w:t>
      </w:r>
      <w:r>
        <w:rPr>
          <w:color w:val="auto"/>
          <w:highlight w:val="none"/>
        </w:rPr>
        <w:t>防治措施建议</w:t>
      </w:r>
      <w:r>
        <w:rPr>
          <w:rFonts w:hint="eastAsia"/>
          <w:color w:val="auto"/>
          <w:highlight w:val="none"/>
        </w:rPr>
        <w:t>；</w:t>
      </w:r>
    </w:p>
    <w:p>
      <w:pPr>
        <w:autoSpaceDE w:val="0"/>
        <w:spacing w:line="360" w:lineRule="auto"/>
        <w:ind w:firstLine="422" w:firstLineChars="200"/>
        <w:jc w:val="left"/>
        <w:rPr>
          <w:color w:val="auto"/>
          <w:szCs w:val="21"/>
          <w:highlight w:val="none"/>
        </w:rPr>
      </w:pPr>
      <w:r>
        <w:rPr>
          <w:rFonts w:hint="eastAsia"/>
          <w:b/>
          <w:bCs/>
          <w:color w:val="auto"/>
          <w:szCs w:val="21"/>
          <w:highlight w:val="none"/>
        </w:rPr>
        <w:t>5</w:t>
      </w:r>
      <w:r>
        <w:rPr>
          <w:rFonts w:hint="eastAsia"/>
          <w:color w:val="auto"/>
          <w:szCs w:val="21"/>
          <w:highlight w:val="none"/>
        </w:rPr>
        <w:t>　评价软土对地基承载力、稳定性和沉降的影响，提供相关岩土参数，提出地基处理方案建议；</w:t>
      </w:r>
    </w:p>
    <w:p>
      <w:pPr>
        <w:autoSpaceDE w:val="0"/>
        <w:spacing w:line="360" w:lineRule="auto"/>
        <w:ind w:firstLine="422" w:firstLineChars="200"/>
        <w:jc w:val="left"/>
        <w:rPr>
          <w:color w:val="auto"/>
          <w:szCs w:val="21"/>
          <w:highlight w:val="none"/>
        </w:rPr>
      </w:pPr>
      <w:r>
        <w:rPr>
          <w:rFonts w:hint="eastAsia"/>
          <w:b/>
          <w:bCs/>
          <w:color w:val="auto"/>
          <w:szCs w:val="21"/>
          <w:highlight w:val="none"/>
        </w:rPr>
        <w:t>6　</w:t>
      </w:r>
      <w:r>
        <w:rPr>
          <w:rFonts w:hint="eastAsia"/>
          <w:color w:val="auto"/>
          <w:szCs w:val="21"/>
          <w:highlight w:val="none"/>
        </w:rPr>
        <w:t>评价液化土层对路基稳定性的影响，提出液化防治建议；</w:t>
      </w:r>
    </w:p>
    <w:p>
      <w:pPr>
        <w:autoSpaceDE w:val="0"/>
        <w:spacing w:line="360" w:lineRule="auto"/>
        <w:ind w:firstLine="422" w:firstLineChars="200"/>
        <w:jc w:val="left"/>
        <w:rPr>
          <w:color w:val="auto"/>
          <w:szCs w:val="21"/>
          <w:highlight w:val="none"/>
        </w:rPr>
      </w:pPr>
      <w:r>
        <w:rPr>
          <w:rFonts w:hint="eastAsia"/>
          <w:b/>
          <w:bCs/>
          <w:color w:val="auto"/>
          <w:szCs w:val="21"/>
          <w:highlight w:val="none"/>
        </w:rPr>
        <w:t>7</w:t>
      </w:r>
      <w:r>
        <w:rPr>
          <w:rFonts w:hint="eastAsia"/>
          <w:color w:val="auto"/>
          <w:szCs w:val="21"/>
          <w:highlight w:val="none"/>
        </w:rPr>
        <w:t>　评价厚层填土对地基承载力和沉降的影响，提供沉降计算参数，提出地基处理及检测方案建议；</w:t>
      </w:r>
    </w:p>
    <w:p>
      <w:pPr>
        <w:autoSpaceDE w:val="0"/>
        <w:spacing w:line="360" w:lineRule="auto"/>
        <w:ind w:firstLine="422" w:firstLineChars="200"/>
        <w:jc w:val="left"/>
        <w:rPr>
          <w:color w:val="auto"/>
          <w:szCs w:val="21"/>
          <w:highlight w:val="none"/>
        </w:rPr>
      </w:pPr>
      <w:r>
        <w:rPr>
          <w:rFonts w:hint="eastAsia"/>
          <w:b/>
          <w:bCs/>
          <w:color w:val="auto"/>
          <w:szCs w:val="21"/>
          <w:highlight w:val="none"/>
        </w:rPr>
        <w:t>8</w:t>
      </w:r>
      <w:r>
        <w:rPr>
          <w:rFonts w:hint="eastAsia"/>
          <w:color w:val="auto"/>
          <w:szCs w:val="21"/>
          <w:highlight w:val="none"/>
        </w:rPr>
        <w:t>　分析膨胀土的体积膨胀和强度下降引起的路基破坏、边坡失稳的可能性，评价自然条件对膨胀土胀缩变形的影响，提出防治措施建议；</w:t>
      </w:r>
    </w:p>
    <w:p>
      <w:pPr>
        <w:autoSpaceDE w:val="0"/>
        <w:spacing w:line="360" w:lineRule="auto"/>
        <w:ind w:firstLine="422" w:firstLineChars="200"/>
        <w:jc w:val="left"/>
        <w:rPr>
          <w:color w:val="auto"/>
          <w:highlight w:val="none"/>
        </w:rPr>
      </w:pPr>
      <w:r>
        <w:rPr>
          <w:rFonts w:hint="eastAsia"/>
          <w:b/>
          <w:bCs/>
          <w:color w:val="auto"/>
          <w:szCs w:val="21"/>
          <w:highlight w:val="none"/>
        </w:rPr>
        <w:t>9　</w:t>
      </w:r>
      <w:r>
        <w:rPr>
          <w:rFonts w:hint="eastAsia"/>
          <w:color w:val="auto"/>
          <w:szCs w:val="21"/>
          <w:highlight w:val="none"/>
        </w:rPr>
        <w:t>分析盐渍土地基变形对路基、路面、边坡的危害，评价盐渍土对工程材料的腐蚀性，提出病害防治措施建议</w:t>
      </w:r>
      <w:r>
        <w:rPr>
          <w:color w:val="auto"/>
          <w:szCs w:val="21"/>
          <w:highlight w:val="none"/>
        </w:rPr>
        <w:t>；</w:t>
      </w:r>
    </w:p>
    <w:p>
      <w:pPr>
        <w:spacing w:line="360" w:lineRule="auto"/>
        <w:ind w:firstLine="422" w:firstLineChars="200"/>
        <w:rPr>
          <w:color w:val="auto"/>
          <w:highlight w:val="none"/>
        </w:rPr>
      </w:pPr>
      <w:r>
        <w:rPr>
          <w:rFonts w:hint="eastAsia"/>
          <w:b/>
          <w:bCs/>
          <w:color w:val="auto"/>
          <w:highlight w:val="none"/>
        </w:rPr>
        <w:t>10</w:t>
      </w:r>
      <w:r>
        <w:rPr>
          <w:rFonts w:hint="eastAsia"/>
          <w:color w:val="auto"/>
          <w:highlight w:val="none"/>
        </w:rPr>
        <w:t>　评价</w:t>
      </w:r>
      <w:r>
        <w:rPr>
          <w:color w:val="auto"/>
          <w:highlight w:val="none"/>
        </w:rPr>
        <w:t>高路堤的地基均匀性、地基承载力、边坡稳定性，提供地基沉降计算参数，提出地基处理方法建议；</w:t>
      </w:r>
    </w:p>
    <w:p>
      <w:pPr>
        <w:spacing w:line="360" w:lineRule="auto"/>
        <w:ind w:firstLine="422" w:firstLineChars="200"/>
        <w:rPr>
          <w:color w:val="auto"/>
          <w:highlight w:val="none"/>
        </w:rPr>
      </w:pPr>
      <w:r>
        <w:rPr>
          <w:rFonts w:hint="eastAsia"/>
          <w:b/>
          <w:bCs/>
          <w:color w:val="auto"/>
          <w:highlight w:val="none"/>
        </w:rPr>
        <w:t>11</w:t>
      </w:r>
      <w:r>
        <w:rPr>
          <w:rFonts w:hint="eastAsia"/>
          <w:color w:val="auto"/>
          <w:highlight w:val="none"/>
        </w:rPr>
        <w:t>　分析</w:t>
      </w:r>
      <w:r>
        <w:rPr>
          <w:color w:val="auto"/>
          <w:highlight w:val="none"/>
        </w:rPr>
        <w:t>陡斜坡路堤沿斜坡产生滑动的可能性，提出工程措施建议；</w:t>
      </w:r>
    </w:p>
    <w:p>
      <w:pPr>
        <w:spacing w:line="360" w:lineRule="auto"/>
        <w:ind w:firstLine="422" w:firstLineChars="200"/>
        <w:rPr>
          <w:color w:val="auto"/>
          <w:highlight w:val="none"/>
        </w:rPr>
      </w:pPr>
      <w:r>
        <w:rPr>
          <w:rFonts w:hint="eastAsia"/>
          <w:b/>
          <w:bCs/>
          <w:color w:val="auto"/>
          <w:highlight w:val="none"/>
        </w:rPr>
        <w:t>12</w:t>
      </w:r>
      <w:r>
        <w:rPr>
          <w:rFonts w:hint="eastAsia"/>
          <w:color w:val="auto"/>
          <w:highlight w:val="none"/>
        </w:rPr>
        <w:t>　评价</w:t>
      </w:r>
      <w:r>
        <w:rPr>
          <w:color w:val="auto"/>
          <w:highlight w:val="none"/>
        </w:rPr>
        <w:t>自然边坡或路堑边坡的稳定性，提供边坡稳定性验算、支护结构设计与施工所需的岩土参数；设计有要求时，参照本规范1</w:t>
      </w:r>
      <w:r>
        <w:rPr>
          <w:rFonts w:hint="eastAsia"/>
          <w:color w:val="auto"/>
          <w:highlight w:val="none"/>
        </w:rPr>
        <w:t>1</w:t>
      </w:r>
      <w:r>
        <w:rPr>
          <w:color w:val="auto"/>
          <w:highlight w:val="none"/>
        </w:rPr>
        <w:t>.2节评估拟挖方体的土石比；</w:t>
      </w:r>
    </w:p>
    <w:p>
      <w:pPr>
        <w:spacing w:line="360" w:lineRule="auto"/>
        <w:ind w:firstLine="422" w:firstLineChars="200"/>
        <w:rPr>
          <w:color w:val="auto"/>
          <w:highlight w:val="none"/>
        </w:rPr>
      </w:pPr>
      <w:r>
        <w:rPr>
          <w:rFonts w:hint="eastAsia"/>
          <w:b/>
          <w:bCs/>
          <w:color w:val="auto"/>
          <w:highlight w:val="none"/>
        </w:rPr>
        <w:t>13</w:t>
      </w:r>
      <w:r>
        <w:rPr>
          <w:rFonts w:hint="eastAsia"/>
          <w:color w:val="auto"/>
          <w:highlight w:val="none"/>
        </w:rPr>
        <w:t>　评价</w:t>
      </w:r>
      <w:r>
        <w:rPr>
          <w:color w:val="auto"/>
          <w:highlight w:val="none"/>
        </w:rPr>
        <w:t>支挡结构地基的均匀性</w:t>
      </w:r>
      <w:r>
        <w:rPr>
          <w:rFonts w:hint="eastAsia"/>
          <w:color w:val="auto"/>
          <w:highlight w:val="none"/>
        </w:rPr>
        <w:t>、稳定性</w:t>
      </w:r>
      <w:r>
        <w:rPr>
          <w:color w:val="auto"/>
          <w:highlight w:val="none"/>
        </w:rPr>
        <w:t>，提供支挡结构地基处理和稳定性计算所需的参数，提出地基处理方法建议；</w:t>
      </w:r>
    </w:p>
    <w:p>
      <w:pPr>
        <w:spacing w:line="360" w:lineRule="auto"/>
        <w:ind w:firstLine="422" w:firstLineChars="200"/>
        <w:rPr>
          <w:color w:val="auto"/>
          <w:highlight w:val="none"/>
        </w:rPr>
      </w:pPr>
      <w:r>
        <w:rPr>
          <w:rFonts w:hint="eastAsia"/>
          <w:b/>
          <w:bCs/>
          <w:color w:val="auto"/>
          <w:highlight w:val="none"/>
        </w:rPr>
        <w:t>14　</w:t>
      </w:r>
      <w:r>
        <w:rPr>
          <w:color w:val="auto"/>
          <w:highlight w:val="none"/>
        </w:rPr>
        <w:t>对路桥接驳过渡段，分析桥台与路堤的变形差异特征，提出接驳段沉降协调控制的地基处理措施建议</w:t>
      </w:r>
      <w:r>
        <w:rPr>
          <w:rFonts w:hint="eastAsia"/>
          <w:color w:val="auto"/>
          <w:highlight w:val="none"/>
        </w:rPr>
        <w:t>；</w:t>
      </w:r>
    </w:p>
    <w:p>
      <w:pPr>
        <w:spacing w:line="360" w:lineRule="auto"/>
        <w:ind w:firstLine="422" w:firstLineChars="200"/>
        <w:rPr>
          <w:color w:val="auto"/>
          <w:highlight w:val="none"/>
        </w:rPr>
      </w:pPr>
      <w:r>
        <w:rPr>
          <w:rFonts w:hint="eastAsia"/>
          <w:b/>
          <w:bCs/>
          <w:color w:val="auto"/>
          <w:highlight w:val="none"/>
        </w:rPr>
        <w:t>15</w:t>
      </w:r>
      <w:r>
        <w:rPr>
          <w:rFonts w:hint="eastAsia"/>
          <w:color w:val="auto"/>
          <w:highlight w:val="none"/>
        </w:rPr>
        <w:t>　评价</w:t>
      </w:r>
      <w:r>
        <w:rPr>
          <w:color w:val="auto"/>
          <w:highlight w:val="none"/>
        </w:rPr>
        <w:t>地下水</w:t>
      </w:r>
      <w:r>
        <w:rPr>
          <w:rFonts w:hint="eastAsia"/>
          <w:color w:val="auto"/>
          <w:highlight w:val="none"/>
        </w:rPr>
        <w:t>和</w:t>
      </w:r>
      <w:r>
        <w:rPr>
          <w:color w:val="auto"/>
          <w:highlight w:val="none"/>
        </w:rPr>
        <w:t>地表水对路基沉降或塌陷、搅拌桩成形、道路边坡和支挡结构稳定性的影响，提出</w:t>
      </w:r>
      <w:r>
        <w:rPr>
          <w:rFonts w:hint="eastAsia"/>
          <w:color w:val="auto"/>
          <w:highlight w:val="none"/>
        </w:rPr>
        <w:t>地下水控制和疏排措施</w:t>
      </w:r>
      <w:r>
        <w:rPr>
          <w:color w:val="auto"/>
          <w:highlight w:val="none"/>
        </w:rPr>
        <w:t>建议</w:t>
      </w:r>
      <w:r>
        <w:rPr>
          <w:rFonts w:hint="eastAsia"/>
          <w:color w:val="auto"/>
          <w:highlight w:val="none"/>
        </w:rPr>
        <w:t>；</w:t>
      </w:r>
    </w:p>
    <w:p>
      <w:pPr>
        <w:autoSpaceDE w:val="0"/>
        <w:autoSpaceDN w:val="0"/>
        <w:adjustRightInd w:val="0"/>
        <w:spacing w:line="360" w:lineRule="auto"/>
        <w:ind w:firstLine="422" w:firstLineChars="200"/>
        <w:jc w:val="left"/>
        <w:rPr>
          <w:color w:val="auto"/>
          <w:kern w:val="0"/>
          <w:highlight w:val="none"/>
        </w:rPr>
      </w:pPr>
      <w:r>
        <w:rPr>
          <w:rFonts w:hint="eastAsia"/>
          <w:b/>
          <w:bCs/>
          <w:color w:val="auto"/>
          <w:highlight w:val="none"/>
        </w:rPr>
        <w:t>16</w:t>
      </w:r>
      <w:r>
        <w:rPr>
          <w:rFonts w:hint="eastAsia"/>
          <w:color w:val="auto"/>
          <w:highlight w:val="none"/>
        </w:rPr>
        <w:t>　工程地质、水文地质条件变化较大时，应进行分区（段）评价</w:t>
      </w:r>
      <w:r>
        <w:rPr>
          <w:color w:val="auto"/>
          <w:kern w:val="0"/>
          <w:highlight w:val="none"/>
        </w:rPr>
        <w:t>。</w:t>
      </w:r>
    </w:p>
    <w:p>
      <w:pPr>
        <w:spacing w:line="360" w:lineRule="auto"/>
        <w:ind w:firstLine="422" w:firstLineChars="200"/>
        <w:rPr>
          <w:color w:val="auto"/>
          <w:highlight w:val="none"/>
        </w:rPr>
      </w:pPr>
      <w:r>
        <w:rPr>
          <w:rFonts w:hint="eastAsia"/>
          <w:b/>
          <w:bCs/>
          <w:color w:val="auto"/>
          <w:highlight w:val="none"/>
        </w:rPr>
        <w:t>17</w:t>
      </w:r>
      <w:r>
        <w:rPr>
          <w:rFonts w:hint="eastAsia"/>
          <w:color w:val="auto"/>
          <w:highlight w:val="none"/>
        </w:rPr>
        <w:t>　提出对岩土体、工程结构、周边环境设施的变形及地下水位变化等的检测、监测建议。</w:t>
      </w:r>
    </w:p>
    <w:p>
      <w:pPr>
        <w:spacing w:line="360" w:lineRule="auto"/>
        <w:ind w:firstLine="422" w:firstLineChars="200"/>
        <w:rPr>
          <w:color w:val="auto"/>
          <w:highlight w:val="none"/>
        </w:rPr>
      </w:pPr>
      <w:r>
        <w:rPr>
          <w:rFonts w:hint="eastAsia"/>
          <w:b/>
          <w:bCs/>
          <w:color w:val="auto"/>
          <w:highlight w:val="none"/>
        </w:rPr>
        <w:t>18</w:t>
      </w:r>
      <w:r>
        <w:rPr>
          <w:rFonts w:hint="eastAsia"/>
          <w:color w:val="auto"/>
          <w:highlight w:val="none"/>
        </w:rPr>
        <w:t>　分析工程建设</w:t>
      </w:r>
      <w:r>
        <w:rPr>
          <w:color w:val="auto"/>
          <w:highlight w:val="none"/>
        </w:rPr>
        <w:t>过程可能</w:t>
      </w:r>
      <w:r>
        <w:rPr>
          <w:rFonts w:hint="eastAsia"/>
          <w:color w:val="auto"/>
          <w:highlight w:val="none"/>
        </w:rPr>
        <w:t>引发或</w:t>
      </w:r>
      <w:r>
        <w:rPr>
          <w:color w:val="auto"/>
          <w:highlight w:val="none"/>
        </w:rPr>
        <w:t>遭遇的地质风险</w:t>
      </w:r>
      <w:r>
        <w:rPr>
          <w:rFonts w:hint="eastAsia"/>
          <w:color w:val="auto"/>
          <w:highlight w:val="none"/>
        </w:rPr>
        <w:t>，并提出</w:t>
      </w:r>
      <w:r>
        <w:rPr>
          <w:color w:val="auto"/>
          <w:highlight w:val="none"/>
        </w:rPr>
        <w:t>应对措施</w:t>
      </w:r>
      <w:r>
        <w:rPr>
          <w:rFonts w:hint="eastAsia"/>
          <w:color w:val="auto"/>
          <w:highlight w:val="none"/>
        </w:rPr>
        <w:t>建议。</w:t>
      </w:r>
    </w:p>
    <w:p>
      <w:pPr>
        <w:spacing w:line="360" w:lineRule="auto"/>
        <w:ind w:firstLine="420" w:firstLineChars="200"/>
        <w:rPr>
          <w:color w:val="auto"/>
          <w:highlight w:val="none"/>
        </w:rPr>
      </w:pPr>
    </w:p>
    <w:p>
      <w:pPr>
        <w:autoSpaceDE w:val="0"/>
        <w:autoSpaceDN w:val="0"/>
        <w:adjustRightInd w:val="0"/>
        <w:spacing w:line="360" w:lineRule="auto"/>
        <w:ind w:firstLine="420" w:firstLineChars="200"/>
        <w:jc w:val="left"/>
        <w:rPr>
          <w:color w:val="auto"/>
          <w:kern w:val="0"/>
          <w:highlight w:val="none"/>
        </w:rPr>
      </w:pPr>
    </w:p>
    <w:p>
      <w:pPr>
        <w:spacing w:line="360" w:lineRule="auto"/>
        <w:ind w:firstLine="420" w:firstLineChars="200"/>
        <w:rPr>
          <w:color w:val="auto"/>
          <w:highlight w:val="none"/>
        </w:rPr>
      </w:pPr>
    </w:p>
    <w:p>
      <w:pPr>
        <w:widowControl/>
        <w:jc w:val="left"/>
        <w:rPr>
          <w:color w:val="auto"/>
          <w:sz w:val="10"/>
          <w:szCs w:val="10"/>
          <w:highlight w:val="none"/>
        </w:rPr>
      </w:pPr>
    </w:p>
    <w:p>
      <w:pPr>
        <w:widowControl/>
        <w:jc w:val="left"/>
        <w:rPr>
          <w:color w:val="auto"/>
          <w:sz w:val="10"/>
          <w:szCs w:val="10"/>
          <w:highlight w:val="none"/>
        </w:rPr>
      </w:pPr>
      <w:r>
        <w:rPr>
          <w:color w:val="auto"/>
          <w:sz w:val="10"/>
          <w:szCs w:val="10"/>
          <w:highlight w:val="none"/>
        </w:rPr>
        <w:br w:type="page"/>
      </w:r>
    </w:p>
    <w:p>
      <w:pPr>
        <w:widowControl/>
        <w:jc w:val="left"/>
        <w:rPr>
          <w:color w:val="auto"/>
          <w:sz w:val="10"/>
          <w:szCs w:val="10"/>
          <w:highlight w:val="none"/>
        </w:rPr>
      </w:pPr>
    </w:p>
    <w:p>
      <w:pPr>
        <w:rPr>
          <w:color w:val="auto"/>
          <w:sz w:val="10"/>
          <w:szCs w:val="10"/>
          <w:highlight w:val="none"/>
        </w:rPr>
      </w:pPr>
    </w:p>
    <w:p>
      <w:pPr>
        <w:pStyle w:val="2"/>
        <w:spacing w:before="480" w:after="480" w:line="240" w:lineRule="auto"/>
        <w:rPr>
          <w:color w:val="auto"/>
          <w:highlight w:val="none"/>
        </w:rPr>
      </w:pPr>
      <w:bookmarkStart w:id="73" w:name="_Toc3097"/>
      <w:bookmarkStart w:id="74" w:name="_Toc14849"/>
      <w:bookmarkStart w:id="75" w:name="_Toc15835"/>
      <w:bookmarkStart w:id="76" w:name="_6　城市桥涵工程"/>
      <w:r>
        <w:rPr>
          <w:rFonts w:hint="eastAsia"/>
          <w:color w:val="auto"/>
          <w:highlight w:val="none"/>
        </w:rPr>
        <w:t>6　城市桥涵工程</w:t>
      </w:r>
      <w:bookmarkEnd w:id="73"/>
      <w:bookmarkEnd w:id="74"/>
      <w:bookmarkEnd w:id="75"/>
    </w:p>
    <w:bookmarkEnd w:id="76"/>
    <w:p>
      <w:pPr>
        <w:pStyle w:val="3"/>
        <w:rPr>
          <w:rFonts w:ascii="Times New Roman" w:hAnsi="Times New Roman" w:eastAsia="宋体"/>
          <w:color w:val="auto"/>
          <w:highlight w:val="none"/>
        </w:rPr>
      </w:pPr>
      <w:bookmarkStart w:id="77" w:name="_Toc28837"/>
      <w:bookmarkStart w:id="78" w:name="_Toc14634"/>
      <w:bookmarkStart w:id="79" w:name="_Toc5526"/>
      <w:bookmarkStart w:id="80" w:name="_6.1　一般规定"/>
      <w:r>
        <w:rPr>
          <w:rFonts w:ascii="Times New Roman" w:hAnsi="Times New Roman" w:eastAsia="宋体"/>
          <w:color w:val="auto"/>
          <w:highlight w:val="none"/>
        </w:rPr>
        <w:t>6.1</w:t>
      </w:r>
      <w:r>
        <w:rPr>
          <w:rFonts w:hint="eastAsia" w:ascii="Times New Roman" w:hAnsi="Times New Roman" w:eastAsia="宋体"/>
          <w:color w:val="auto"/>
          <w:highlight w:val="none"/>
        </w:rPr>
        <w:t>　</w:t>
      </w:r>
      <w:r>
        <w:rPr>
          <w:rFonts w:ascii="Times New Roman" w:hAnsi="Times New Roman" w:eastAsia="宋体"/>
          <w:color w:val="auto"/>
          <w:highlight w:val="none"/>
        </w:rPr>
        <w:t>一般规定</w:t>
      </w:r>
      <w:bookmarkEnd w:id="77"/>
      <w:bookmarkEnd w:id="78"/>
      <w:bookmarkEnd w:id="79"/>
      <w:r>
        <w:rPr>
          <w:rFonts w:ascii="Times New Roman" w:hAnsi="Times New Roman" w:eastAsia="宋体"/>
          <w:color w:val="auto"/>
          <w:highlight w:val="none"/>
        </w:rPr>
        <w:tab/>
      </w:r>
    </w:p>
    <w:bookmarkEnd w:id="80"/>
    <w:p>
      <w:pPr>
        <w:autoSpaceDE w:val="0"/>
        <w:autoSpaceDN w:val="0"/>
        <w:adjustRightInd w:val="0"/>
        <w:spacing w:line="360" w:lineRule="auto"/>
        <w:jc w:val="left"/>
        <w:rPr>
          <w:color w:val="auto"/>
          <w:kern w:val="0"/>
          <w:szCs w:val="21"/>
          <w:highlight w:val="none"/>
        </w:rPr>
      </w:pPr>
      <w:r>
        <w:rPr>
          <w:b/>
          <w:bCs/>
          <w:color w:val="auto"/>
          <w:highlight w:val="none"/>
        </w:rPr>
        <w:t>6.1.1</w:t>
      </w:r>
      <w:r>
        <w:rPr>
          <w:rFonts w:hint="eastAsia"/>
          <w:color w:val="auto"/>
          <w:highlight w:val="none"/>
        </w:rPr>
        <w:t>　</w:t>
      </w:r>
      <w:r>
        <w:rPr>
          <w:color w:val="auto"/>
          <w:kern w:val="0"/>
          <w:highlight w:val="none"/>
        </w:rPr>
        <w:t>本章适用于</w:t>
      </w:r>
      <w:r>
        <w:rPr>
          <w:rFonts w:hint="eastAsia"/>
          <w:color w:val="auto"/>
          <w:kern w:val="0"/>
          <w:highlight w:val="none"/>
        </w:rPr>
        <w:t>城市</w:t>
      </w:r>
      <w:r>
        <w:rPr>
          <w:color w:val="auto"/>
          <w:kern w:val="0"/>
          <w:highlight w:val="none"/>
        </w:rPr>
        <w:t>桥梁、涵洞</w:t>
      </w:r>
      <w:r>
        <w:rPr>
          <w:rFonts w:hint="eastAsia"/>
          <w:color w:val="auto"/>
          <w:kern w:val="0"/>
          <w:highlight w:val="none"/>
        </w:rPr>
        <w:t>工程</w:t>
      </w:r>
      <w:r>
        <w:rPr>
          <w:color w:val="auto"/>
          <w:kern w:val="0"/>
          <w:highlight w:val="none"/>
        </w:rPr>
        <w:t>的岩土工程勘察。</w:t>
      </w:r>
    </w:p>
    <w:p>
      <w:pPr>
        <w:spacing w:line="360" w:lineRule="auto"/>
        <w:rPr>
          <w:color w:val="auto"/>
          <w:highlight w:val="none"/>
        </w:rPr>
      </w:pPr>
      <w:r>
        <w:rPr>
          <w:b/>
          <w:bCs/>
          <w:color w:val="auto"/>
          <w:highlight w:val="none"/>
        </w:rPr>
        <w:t>6.1.2</w:t>
      </w:r>
      <w:r>
        <w:rPr>
          <w:rFonts w:hint="eastAsia"/>
          <w:color w:val="auto"/>
          <w:highlight w:val="none"/>
        </w:rPr>
        <w:t>　</w:t>
      </w:r>
      <w:r>
        <w:rPr>
          <w:color w:val="auto"/>
          <w:highlight w:val="none"/>
        </w:rPr>
        <w:t>勘察前应取得下列图纸和资料：</w:t>
      </w:r>
    </w:p>
    <w:p>
      <w:pPr>
        <w:spacing w:line="360" w:lineRule="auto"/>
        <w:ind w:firstLine="422" w:firstLineChars="200"/>
        <w:rPr>
          <w:color w:val="auto"/>
          <w:highlight w:val="none"/>
        </w:rPr>
      </w:pPr>
      <w:r>
        <w:rPr>
          <w:b/>
          <w:bCs/>
          <w:color w:val="auto"/>
          <w:highlight w:val="none"/>
        </w:rPr>
        <w:t>1</w:t>
      </w:r>
      <w:r>
        <w:rPr>
          <w:rFonts w:hint="eastAsia"/>
          <w:color w:val="auto"/>
          <w:highlight w:val="none"/>
        </w:rPr>
        <w:t>　桥涵</w:t>
      </w:r>
      <w:r>
        <w:rPr>
          <w:color w:val="auto"/>
          <w:highlight w:val="none"/>
        </w:rPr>
        <w:t>工程平面</w:t>
      </w:r>
      <w:r>
        <w:rPr>
          <w:rFonts w:hint="eastAsia"/>
          <w:color w:val="auto"/>
          <w:highlight w:val="none"/>
        </w:rPr>
        <w:t>总体</w:t>
      </w:r>
      <w:r>
        <w:rPr>
          <w:color w:val="auto"/>
          <w:highlight w:val="none"/>
        </w:rPr>
        <w:t>设计图</w:t>
      </w:r>
      <w:r>
        <w:rPr>
          <w:rFonts w:hint="eastAsia"/>
          <w:color w:val="auto"/>
          <w:highlight w:val="none"/>
        </w:rPr>
        <w:t>，涵洞设计纵断面图</w:t>
      </w:r>
      <w:r>
        <w:rPr>
          <w:color w:val="auto"/>
          <w:highlight w:val="none"/>
        </w:rPr>
        <w:t>；</w:t>
      </w:r>
    </w:p>
    <w:p>
      <w:pPr>
        <w:spacing w:line="360" w:lineRule="auto"/>
        <w:ind w:firstLine="422" w:firstLineChars="200"/>
        <w:rPr>
          <w:color w:val="auto"/>
          <w:highlight w:val="none"/>
        </w:rPr>
      </w:pPr>
      <w:r>
        <w:rPr>
          <w:b/>
          <w:bCs/>
          <w:color w:val="auto"/>
          <w:highlight w:val="none"/>
        </w:rPr>
        <w:t>2</w:t>
      </w:r>
      <w:bookmarkStart w:id="81" w:name="_Hlk68772379"/>
      <w:r>
        <w:rPr>
          <w:rFonts w:hint="eastAsia"/>
          <w:color w:val="auto"/>
          <w:highlight w:val="none"/>
        </w:rPr>
        <w:t>　</w:t>
      </w:r>
      <w:r>
        <w:rPr>
          <w:color w:val="auto"/>
          <w:highlight w:val="none"/>
        </w:rPr>
        <w:t>桥涵的起止里程、与道路的连接或跨越关系、主线和匝道的连接关系、主线和匝道的长度与宽度、跨径组合、</w:t>
      </w:r>
      <w:r>
        <w:rPr>
          <w:rFonts w:hint="eastAsia"/>
          <w:color w:val="auto"/>
          <w:highlight w:val="none"/>
        </w:rPr>
        <w:t>等级、</w:t>
      </w:r>
      <w:r>
        <w:rPr>
          <w:color w:val="auto"/>
          <w:highlight w:val="none"/>
        </w:rPr>
        <w:t>结构形式、基础形式</w:t>
      </w:r>
      <w:bookmarkEnd w:id="81"/>
      <w:r>
        <w:rPr>
          <w:rFonts w:hint="eastAsia"/>
          <w:color w:val="auto"/>
          <w:highlight w:val="none"/>
        </w:rPr>
        <w:t>等资料</w:t>
      </w:r>
      <w:r>
        <w:rPr>
          <w:color w:val="auto"/>
          <w:highlight w:val="none"/>
        </w:rPr>
        <w:t>；</w:t>
      </w:r>
      <w:r>
        <w:rPr>
          <w:rFonts w:hint="eastAsia"/>
          <w:color w:val="auto"/>
          <w:highlight w:val="none"/>
        </w:rPr>
        <w:t>涵洞的</w:t>
      </w:r>
      <w:r>
        <w:rPr>
          <w:color w:val="auto"/>
          <w:highlight w:val="none"/>
        </w:rPr>
        <w:t>埋深及施工</w:t>
      </w:r>
      <w:r>
        <w:rPr>
          <w:rFonts w:hint="eastAsia"/>
          <w:color w:val="auto"/>
          <w:highlight w:val="none"/>
        </w:rPr>
        <w:t>方式；</w:t>
      </w:r>
    </w:p>
    <w:p>
      <w:pPr>
        <w:spacing w:line="360" w:lineRule="auto"/>
        <w:ind w:firstLine="422" w:firstLineChars="200"/>
        <w:rPr>
          <w:color w:val="auto"/>
          <w:highlight w:val="none"/>
        </w:rPr>
      </w:pPr>
      <w:r>
        <w:rPr>
          <w:b/>
          <w:bCs/>
          <w:color w:val="auto"/>
          <w:highlight w:val="none"/>
        </w:rPr>
        <w:t>3</w:t>
      </w:r>
      <w:r>
        <w:rPr>
          <w:rFonts w:hint="eastAsia"/>
          <w:color w:val="auto"/>
          <w:highlight w:val="none"/>
        </w:rPr>
        <w:t>　</w:t>
      </w:r>
      <w:r>
        <w:rPr>
          <w:color w:val="auto"/>
          <w:highlight w:val="none"/>
        </w:rPr>
        <w:t>设计荷载</w:t>
      </w:r>
      <w:r>
        <w:rPr>
          <w:rFonts w:hint="eastAsia"/>
          <w:color w:val="auto"/>
          <w:highlight w:val="none"/>
        </w:rPr>
        <w:t>，</w:t>
      </w:r>
      <w:r>
        <w:rPr>
          <w:color w:val="auto"/>
          <w:highlight w:val="none"/>
        </w:rPr>
        <w:t>设计</w:t>
      </w:r>
      <w:r>
        <w:rPr>
          <w:rFonts w:hint="eastAsia"/>
          <w:color w:val="auto"/>
          <w:highlight w:val="none"/>
        </w:rPr>
        <w:t>对</w:t>
      </w:r>
      <w:r>
        <w:rPr>
          <w:color w:val="auto"/>
          <w:highlight w:val="none"/>
        </w:rPr>
        <w:t>地基或桩基</w:t>
      </w:r>
      <w:r>
        <w:rPr>
          <w:rFonts w:hint="eastAsia"/>
          <w:color w:val="auto"/>
          <w:highlight w:val="none"/>
        </w:rPr>
        <w:t>的</w:t>
      </w:r>
      <w:r>
        <w:rPr>
          <w:color w:val="auto"/>
          <w:highlight w:val="none"/>
        </w:rPr>
        <w:t>承载力要求</w:t>
      </w:r>
      <w:r>
        <w:rPr>
          <w:rFonts w:hint="eastAsia"/>
          <w:color w:val="auto"/>
          <w:highlight w:val="none"/>
        </w:rPr>
        <w:t>；</w:t>
      </w:r>
    </w:p>
    <w:p>
      <w:pPr>
        <w:spacing w:line="360" w:lineRule="auto"/>
        <w:ind w:firstLine="422" w:firstLineChars="200"/>
        <w:rPr>
          <w:color w:val="auto"/>
          <w:highlight w:val="none"/>
        </w:rPr>
      </w:pPr>
      <w:r>
        <w:rPr>
          <w:rFonts w:hint="eastAsia"/>
          <w:b/>
          <w:bCs/>
          <w:color w:val="auto"/>
          <w:highlight w:val="none"/>
        </w:rPr>
        <w:t>4</w:t>
      </w:r>
      <w:r>
        <w:rPr>
          <w:rFonts w:hint="eastAsia"/>
          <w:color w:val="auto"/>
          <w:highlight w:val="none"/>
        </w:rPr>
        <w:t>　</w:t>
      </w:r>
      <w:r>
        <w:rPr>
          <w:color w:val="auto"/>
          <w:highlight w:val="none"/>
        </w:rPr>
        <w:t>周边环境和地下设施的相关资料，跨水域的桥梁应搜集水体的水文资料</w:t>
      </w:r>
      <w:r>
        <w:rPr>
          <w:rFonts w:hint="eastAsia"/>
          <w:color w:val="auto"/>
          <w:highlight w:val="none"/>
        </w:rPr>
        <w:t>。</w:t>
      </w:r>
    </w:p>
    <w:p>
      <w:pPr>
        <w:spacing w:line="360" w:lineRule="auto"/>
        <w:rPr>
          <w:color w:val="auto"/>
          <w:highlight w:val="none"/>
        </w:rPr>
      </w:pPr>
      <w:r>
        <w:rPr>
          <w:b/>
          <w:bCs/>
          <w:color w:val="auto"/>
          <w:highlight w:val="none"/>
        </w:rPr>
        <w:t>6.1.</w:t>
      </w:r>
      <w:r>
        <w:rPr>
          <w:rFonts w:hint="eastAsia"/>
          <w:b/>
          <w:bCs/>
          <w:color w:val="auto"/>
          <w:highlight w:val="none"/>
        </w:rPr>
        <w:t>3</w:t>
      </w:r>
      <w:r>
        <w:rPr>
          <w:rFonts w:hint="eastAsia"/>
          <w:color w:val="auto"/>
          <w:highlight w:val="none"/>
        </w:rPr>
        <w:t>　</w:t>
      </w:r>
      <w:r>
        <w:rPr>
          <w:color w:val="auto"/>
          <w:highlight w:val="none"/>
        </w:rPr>
        <w:t>勘探点布置宜结合上部荷载、桥型桥跨、基础类型及地质条件综合考虑。</w:t>
      </w:r>
    </w:p>
    <w:p>
      <w:pPr>
        <w:spacing w:line="360" w:lineRule="auto"/>
        <w:rPr>
          <w:color w:val="auto"/>
          <w:highlight w:val="none"/>
        </w:rPr>
      </w:pPr>
      <w:r>
        <w:rPr>
          <w:b/>
          <w:bCs/>
          <w:color w:val="auto"/>
          <w:highlight w:val="none"/>
        </w:rPr>
        <w:t>6.1.</w:t>
      </w:r>
      <w:r>
        <w:rPr>
          <w:rFonts w:hint="eastAsia"/>
          <w:b/>
          <w:bCs/>
          <w:color w:val="auto"/>
          <w:highlight w:val="none"/>
        </w:rPr>
        <w:t>4</w:t>
      </w:r>
      <w:r>
        <w:rPr>
          <w:rFonts w:hint="eastAsia"/>
          <w:color w:val="auto"/>
          <w:highlight w:val="none"/>
        </w:rPr>
        <w:t>　取样和测试工作除符合本规范第3.0.7、3.0.9条的规定外，尚</w:t>
      </w:r>
      <w:r>
        <w:rPr>
          <w:color w:val="auto"/>
          <w:highlight w:val="none"/>
        </w:rPr>
        <w:t>应符合下列规定：</w:t>
      </w:r>
    </w:p>
    <w:p>
      <w:pPr>
        <w:spacing w:line="360" w:lineRule="auto"/>
        <w:ind w:firstLine="422" w:firstLineChars="200"/>
        <w:rPr>
          <w:color w:val="auto"/>
          <w:highlight w:val="none"/>
        </w:rPr>
      </w:pPr>
      <w:r>
        <w:rPr>
          <w:b/>
          <w:bCs/>
          <w:color w:val="auto"/>
          <w:highlight w:val="none"/>
        </w:rPr>
        <w:t>1</w:t>
      </w:r>
      <w:r>
        <w:rPr>
          <w:rFonts w:hint="eastAsia"/>
          <w:color w:val="auto"/>
          <w:highlight w:val="none"/>
        </w:rPr>
        <w:t>　拟</w:t>
      </w:r>
      <w:r>
        <w:rPr>
          <w:color w:val="auto"/>
          <w:highlight w:val="none"/>
        </w:rPr>
        <w:t>采用浅基础的桥涵，从基础设计标高以下3.0m深度范围内，</w:t>
      </w:r>
      <w:r>
        <w:rPr>
          <w:rFonts w:hint="eastAsia"/>
          <w:color w:val="auto"/>
          <w:highlight w:val="none"/>
        </w:rPr>
        <w:t>宜加密采取土样和进行原位测试</w:t>
      </w:r>
      <w:r>
        <w:rPr>
          <w:color w:val="auto"/>
          <w:highlight w:val="none"/>
        </w:rPr>
        <w:t>；</w:t>
      </w:r>
    </w:p>
    <w:p>
      <w:pPr>
        <w:spacing w:line="360" w:lineRule="auto"/>
        <w:ind w:firstLine="422" w:firstLineChars="200"/>
        <w:rPr>
          <w:color w:val="auto"/>
          <w:highlight w:val="none"/>
        </w:rPr>
      </w:pPr>
      <w:r>
        <w:rPr>
          <w:b/>
          <w:bCs/>
          <w:color w:val="auto"/>
          <w:highlight w:val="none"/>
        </w:rPr>
        <w:t>2</w:t>
      </w:r>
      <w:r>
        <w:rPr>
          <w:rFonts w:hint="eastAsia"/>
          <w:color w:val="auto"/>
          <w:highlight w:val="none"/>
        </w:rPr>
        <w:t>　咸淡水交汇处水域宜在涨潮、落潮时段分别采取水样。</w:t>
      </w:r>
    </w:p>
    <w:p>
      <w:pPr>
        <w:autoSpaceDE w:val="0"/>
        <w:autoSpaceDN w:val="0"/>
        <w:adjustRightInd w:val="0"/>
        <w:spacing w:line="360" w:lineRule="auto"/>
        <w:jc w:val="left"/>
        <w:rPr>
          <w:color w:val="auto"/>
          <w:highlight w:val="none"/>
        </w:rPr>
      </w:pPr>
      <w:r>
        <w:rPr>
          <w:b/>
          <w:bCs/>
          <w:color w:val="auto"/>
          <w:highlight w:val="none"/>
        </w:rPr>
        <w:t>6.1.</w:t>
      </w:r>
      <w:r>
        <w:rPr>
          <w:rFonts w:hint="eastAsia"/>
          <w:b/>
          <w:bCs/>
          <w:color w:val="auto"/>
          <w:highlight w:val="none"/>
        </w:rPr>
        <w:t>5　</w:t>
      </w:r>
      <w:r>
        <w:rPr>
          <w:color w:val="auto"/>
          <w:kern w:val="0"/>
          <w:highlight w:val="none"/>
        </w:rPr>
        <w:t>岩面起伏</w:t>
      </w:r>
      <w:r>
        <w:rPr>
          <w:rFonts w:hint="eastAsia"/>
          <w:color w:val="auto"/>
          <w:kern w:val="0"/>
          <w:highlight w:val="none"/>
        </w:rPr>
        <w:t>较大、</w:t>
      </w:r>
      <w:r>
        <w:rPr>
          <w:rFonts w:hint="eastAsia"/>
          <w:color w:val="auto"/>
          <w:highlight w:val="none"/>
        </w:rPr>
        <w:t>岩溶发育区、采空区或</w:t>
      </w:r>
      <w:r>
        <w:rPr>
          <w:color w:val="auto"/>
          <w:kern w:val="0"/>
          <w:highlight w:val="none"/>
        </w:rPr>
        <w:t>区域资料显示有较大断裂带通过桥位</w:t>
      </w:r>
      <w:r>
        <w:rPr>
          <w:rFonts w:hint="eastAsia"/>
          <w:color w:val="auto"/>
          <w:highlight w:val="none"/>
        </w:rPr>
        <w:t>的城市桥</w:t>
      </w:r>
      <w:r>
        <w:rPr>
          <w:rFonts w:hint="eastAsia"/>
          <w:color w:val="auto"/>
          <w:spacing w:val="-6"/>
          <w:highlight w:val="none"/>
        </w:rPr>
        <w:t>梁，宜采用钻探结合物探的勘察方法确定持力层性状；物探方法可按附录C选</w:t>
      </w:r>
      <w:r>
        <w:rPr>
          <w:rFonts w:hint="eastAsia"/>
          <w:color w:val="auto"/>
          <w:highlight w:val="none"/>
        </w:rPr>
        <w:t>用</w:t>
      </w:r>
      <w:r>
        <w:rPr>
          <w:color w:val="auto"/>
          <w:highlight w:val="none"/>
        </w:rPr>
        <w:t>。</w:t>
      </w:r>
    </w:p>
    <w:p>
      <w:pPr>
        <w:pStyle w:val="3"/>
        <w:rPr>
          <w:rFonts w:ascii="Times New Roman" w:hAnsi="Times New Roman" w:eastAsia="宋体"/>
          <w:color w:val="auto"/>
          <w:highlight w:val="none"/>
        </w:rPr>
      </w:pPr>
      <w:bookmarkStart w:id="82" w:name="_Toc23689"/>
      <w:bookmarkStart w:id="83" w:name="_Toc19021"/>
      <w:bookmarkStart w:id="84" w:name="_Toc27587"/>
      <w:bookmarkStart w:id="85" w:name="_6.2　可行性研究勘察"/>
      <w:r>
        <w:rPr>
          <w:rFonts w:ascii="Times New Roman" w:hAnsi="Times New Roman" w:eastAsia="宋体"/>
          <w:color w:val="auto"/>
          <w:highlight w:val="none"/>
        </w:rPr>
        <w:t>6.2</w:t>
      </w:r>
      <w:r>
        <w:rPr>
          <w:rFonts w:hint="eastAsia" w:ascii="Times New Roman" w:hAnsi="Times New Roman" w:eastAsia="宋体"/>
          <w:color w:val="auto"/>
          <w:highlight w:val="none"/>
        </w:rPr>
        <w:t>　</w:t>
      </w:r>
      <w:r>
        <w:rPr>
          <w:rFonts w:ascii="Times New Roman" w:hAnsi="Times New Roman" w:eastAsia="宋体"/>
          <w:color w:val="auto"/>
          <w:highlight w:val="none"/>
        </w:rPr>
        <w:t>可行性研究勘察</w:t>
      </w:r>
      <w:bookmarkEnd w:id="82"/>
      <w:bookmarkEnd w:id="83"/>
      <w:bookmarkEnd w:id="84"/>
      <w:r>
        <w:rPr>
          <w:rFonts w:ascii="Times New Roman" w:hAnsi="Times New Roman" w:eastAsia="宋体"/>
          <w:color w:val="auto"/>
          <w:highlight w:val="none"/>
        </w:rPr>
        <w:tab/>
      </w:r>
    </w:p>
    <w:bookmarkEnd w:id="85"/>
    <w:p>
      <w:pPr>
        <w:spacing w:line="360" w:lineRule="auto"/>
        <w:rPr>
          <w:color w:val="auto"/>
          <w:highlight w:val="none"/>
        </w:rPr>
      </w:pPr>
      <w:r>
        <w:rPr>
          <w:b/>
          <w:bCs/>
          <w:color w:val="auto"/>
          <w:highlight w:val="none"/>
        </w:rPr>
        <w:t>6.2.1</w:t>
      </w:r>
      <w:r>
        <w:rPr>
          <w:rFonts w:hint="eastAsia"/>
          <w:color w:val="auto"/>
          <w:highlight w:val="none"/>
        </w:rPr>
        <w:t>　</w:t>
      </w:r>
      <w:r>
        <w:rPr>
          <w:color w:val="auto"/>
          <w:highlight w:val="none"/>
        </w:rPr>
        <w:t>可行性研究勘察应以收集资料、现场踏勘、工程地质</w:t>
      </w:r>
      <w:r>
        <w:rPr>
          <w:rFonts w:hint="eastAsia"/>
          <w:color w:val="auto"/>
          <w:highlight w:val="none"/>
        </w:rPr>
        <w:t>调查与测绘</w:t>
      </w:r>
      <w:r>
        <w:rPr>
          <w:color w:val="auto"/>
          <w:highlight w:val="none"/>
        </w:rPr>
        <w:t>为主</w:t>
      </w:r>
      <w:r>
        <w:rPr>
          <w:rFonts w:hint="eastAsia"/>
          <w:color w:val="auto"/>
          <w:highlight w:val="none"/>
        </w:rPr>
        <w:t>。</w:t>
      </w:r>
      <w:r>
        <w:rPr>
          <w:color w:val="auto"/>
          <w:highlight w:val="none"/>
        </w:rPr>
        <w:t>在特大桥、大桥的主要墩台部位宜开展适当的勘探工作。</w:t>
      </w:r>
    </w:p>
    <w:p>
      <w:pPr>
        <w:spacing w:line="360" w:lineRule="auto"/>
        <w:rPr>
          <w:color w:val="auto"/>
          <w:kern w:val="0"/>
          <w:highlight w:val="none"/>
        </w:rPr>
      </w:pPr>
      <w:r>
        <w:rPr>
          <w:b/>
          <w:bCs/>
          <w:color w:val="auto"/>
          <w:highlight w:val="none"/>
        </w:rPr>
        <w:t>6.2.2</w:t>
      </w:r>
      <w:r>
        <w:rPr>
          <w:rFonts w:hint="eastAsia"/>
          <w:color w:val="auto"/>
          <w:highlight w:val="none"/>
        </w:rPr>
        <w:t>　</w:t>
      </w:r>
      <w:r>
        <w:rPr>
          <w:color w:val="auto"/>
          <w:kern w:val="0"/>
          <w:highlight w:val="none"/>
        </w:rPr>
        <w:t>可行性研究勘察除符合3.0.</w:t>
      </w:r>
      <w:r>
        <w:rPr>
          <w:rFonts w:hint="eastAsia"/>
          <w:color w:val="auto"/>
          <w:kern w:val="0"/>
          <w:highlight w:val="none"/>
        </w:rPr>
        <w:t>5</w:t>
      </w:r>
      <w:r>
        <w:rPr>
          <w:color w:val="auto"/>
          <w:kern w:val="0"/>
          <w:highlight w:val="none"/>
        </w:rPr>
        <w:t>条外，还应初步</w:t>
      </w:r>
      <w:r>
        <w:rPr>
          <w:rFonts w:hint="eastAsia"/>
          <w:color w:val="auto"/>
          <w:kern w:val="0"/>
          <w:highlight w:val="none"/>
        </w:rPr>
        <w:t>查明</w:t>
      </w:r>
      <w:r>
        <w:rPr>
          <w:color w:val="auto"/>
          <w:kern w:val="0"/>
          <w:highlight w:val="none"/>
        </w:rPr>
        <w:t>下列内容：</w:t>
      </w:r>
    </w:p>
    <w:p>
      <w:pPr>
        <w:spacing w:line="360" w:lineRule="auto"/>
        <w:ind w:firstLine="422" w:firstLineChars="200"/>
        <w:rPr>
          <w:color w:val="auto"/>
          <w:kern w:val="0"/>
          <w:highlight w:val="none"/>
        </w:rPr>
      </w:pPr>
      <w:r>
        <w:rPr>
          <w:b/>
          <w:bCs/>
          <w:color w:val="auto"/>
          <w:kern w:val="0"/>
          <w:highlight w:val="none"/>
        </w:rPr>
        <w:t>1</w:t>
      </w:r>
      <w:r>
        <w:rPr>
          <w:rFonts w:hint="eastAsia"/>
          <w:color w:val="auto"/>
          <w:kern w:val="0"/>
          <w:highlight w:val="none"/>
        </w:rPr>
        <w:t>　</w:t>
      </w:r>
      <w:r>
        <w:rPr>
          <w:color w:val="auto"/>
          <w:kern w:val="0"/>
          <w:highlight w:val="none"/>
        </w:rPr>
        <w:t>场地的地貌类型、</w:t>
      </w:r>
      <w:r>
        <w:rPr>
          <w:rFonts w:hint="eastAsia"/>
          <w:color w:val="auto"/>
          <w:kern w:val="0"/>
          <w:highlight w:val="none"/>
        </w:rPr>
        <w:t>地形起伏变化情况</w:t>
      </w:r>
      <w:r>
        <w:rPr>
          <w:color w:val="auto"/>
          <w:kern w:val="0"/>
          <w:highlight w:val="none"/>
        </w:rPr>
        <w:t>及地震动参数；</w:t>
      </w:r>
    </w:p>
    <w:p>
      <w:pPr>
        <w:spacing w:line="360" w:lineRule="auto"/>
        <w:ind w:firstLine="422" w:firstLineChars="200"/>
        <w:rPr>
          <w:color w:val="auto"/>
          <w:kern w:val="0"/>
          <w:highlight w:val="none"/>
        </w:rPr>
      </w:pPr>
      <w:r>
        <w:rPr>
          <w:b/>
          <w:bCs/>
          <w:color w:val="auto"/>
          <w:kern w:val="0"/>
          <w:highlight w:val="none"/>
        </w:rPr>
        <w:t>2</w:t>
      </w:r>
      <w:r>
        <w:rPr>
          <w:rFonts w:hint="eastAsia"/>
          <w:color w:val="auto"/>
          <w:kern w:val="0"/>
          <w:highlight w:val="none"/>
        </w:rPr>
        <w:t>　</w:t>
      </w:r>
      <w:r>
        <w:rPr>
          <w:color w:val="auto"/>
          <w:kern w:val="0"/>
          <w:highlight w:val="none"/>
        </w:rPr>
        <w:t>不良地质作用的类型、性质、分布范围、发育规律及对工程可能造成的不利影响；</w:t>
      </w:r>
    </w:p>
    <w:p>
      <w:pPr>
        <w:spacing w:line="360" w:lineRule="auto"/>
        <w:ind w:firstLine="422" w:firstLineChars="200"/>
        <w:rPr>
          <w:color w:val="auto"/>
          <w:kern w:val="0"/>
          <w:highlight w:val="none"/>
        </w:rPr>
      </w:pPr>
      <w:r>
        <w:rPr>
          <w:b/>
          <w:bCs/>
          <w:color w:val="auto"/>
          <w:kern w:val="0"/>
          <w:highlight w:val="none"/>
        </w:rPr>
        <w:t>3</w:t>
      </w:r>
      <w:r>
        <w:rPr>
          <w:rFonts w:hint="eastAsia"/>
          <w:color w:val="auto"/>
          <w:kern w:val="0"/>
          <w:highlight w:val="none"/>
        </w:rPr>
        <w:t>　</w:t>
      </w:r>
      <w:r>
        <w:rPr>
          <w:color w:val="auto"/>
          <w:kern w:val="0"/>
          <w:highlight w:val="none"/>
        </w:rPr>
        <w:t>特殊性岩土的类型、性质及对工程可能造成的不利影响。</w:t>
      </w:r>
    </w:p>
    <w:p>
      <w:pPr>
        <w:spacing w:line="360" w:lineRule="auto"/>
        <w:rPr>
          <w:color w:val="auto"/>
          <w:kern w:val="0"/>
          <w:highlight w:val="none"/>
        </w:rPr>
      </w:pPr>
      <w:r>
        <w:rPr>
          <w:b/>
          <w:bCs/>
          <w:color w:val="auto"/>
          <w:highlight w:val="none"/>
        </w:rPr>
        <w:t>6.2.3</w:t>
      </w:r>
      <w:r>
        <w:rPr>
          <w:rFonts w:hint="eastAsia"/>
          <w:color w:val="auto"/>
          <w:kern w:val="0"/>
          <w:highlight w:val="none"/>
        </w:rPr>
        <w:t>　</w:t>
      </w:r>
      <w:r>
        <w:rPr>
          <w:color w:val="auto"/>
          <w:kern w:val="0"/>
          <w:highlight w:val="none"/>
        </w:rPr>
        <w:t>可行性研究</w:t>
      </w:r>
      <w:r>
        <w:rPr>
          <w:rFonts w:hint="eastAsia"/>
          <w:color w:val="auto"/>
          <w:kern w:val="0"/>
          <w:highlight w:val="none"/>
        </w:rPr>
        <w:t>勘察</w:t>
      </w:r>
      <w:r>
        <w:rPr>
          <w:color w:val="auto"/>
          <w:kern w:val="0"/>
          <w:highlight w:val="none"/>
        </w:rPr>
        <w:t>勘探点宜布置在可能建造主要墩台的部位，勘探孔深度应</w:t>
      </w:r>
      <w:r>
        <w:rPr>
          <w:rFonts w:hint="eastAsia"/>
          <w:color w:val="auto"/>
          <w:kern w:val="0"/>
          <w:highlight w:val="none"/>
        </w:rPr>
        <w:t>满足预选</w:t>
      </w:r>
      <w:r>
        <w:rPr>
          <w:color w:val="auto"/>
          <w:highlight w:val="none"/>
        </w:rPr>
        <w:t>设计方案</w:t>
      </w:r>
      <w:r>
        <w:rPr>
          <w:rFonts w:hint="eastAsia"/>
          <w:color w:val="auto"/>
          <w:highlight w:val="none"/>
        </w:rPr>
        <w:t>的</w:t>
      </w:r>
      <w:r>
        <w:rPr>
          <w:color w:val="auto"/>
          <w:highlight w:val="none"/>
        </w:rPr>
        <w:t>要求，并满足场地稳定性和适应性评价要求</w:t>
      </w:r>
      <w:r>
        <w:rPr>
          <w:color w:val="auto"/>
          <w:kern w:val="0"/>
          <w:highlight w:val="none"/>
        </w:rPr>
        <w:t>。</w:t>
      </w:r>
    </w:p>
    <w:p>
      <w:pPr>
        <w:pStyle w:val="3"/>
        <w:rPr>
          <w:rFonts w:ascii="Times New Roman" w:hAnsi="Times New Roman" w:eastAsia="宋体"/>
          <w:color w:val="auto"/>
          <w:highlight w:val="none"/>
        </w:rPr>
      </w:pPr>
      <w:bookmarkStart w:id="86" w:name="_Toc2574"/>
      <w:bookmarkStart w:id="87" w:name="_Toc3989"/>
      <w:bookmarkStart w:id="88" w:name="_Toc22375"/>
      <w:bookmarkStart w:id="89" w:name="_6.3　初步勘察"/>
      <w:r>
        <w:rPr>
          <w:rFonts w:ascii="Times New Roman" w:hAnsi="Times New Roman" w:eastAsia="宋体"/>
          <w:color w:val="auto"/>
          <w:highlight w:val="none"/>
        </w:rPr>
        <w:t>6.3</w:t>
      </w:r>
      <w:r>
        <w:rPr>
          <w:rFonts w:hint="eastAsia" w:ascii="Times New Roman" w:hAnsi="Times New Roman" w:eastAsia="宋体"/>
          <w:color w:val="auto"/>
          <w:highlight w:val="none"/>
        </w:rPr>
        <w:t>　</w:t>
      </w:r>
      <w:r>
        <w:rPr>
          <w:rFonts w:ascii="Times New Roman" w:hAnsi="Times New Roman" w:eastAsia="宋体"/>
          <w:color w:val="auto"/>
          <w:highlight w:val="none"/>
        </w:rPr>
        <w:t>初步勘察</w:t>
      </w:r>
      <w:bookmarkEnd w:id="86"/>
      <w:bookmarkEnd w:id="87"/>
      <w:bookmarkEnd w:id="88"/>
      <w:r>
        <w:rPr>
          <w:rFonts w:ascii="Times New Roman" w:hAnsi="Times New Roman" w:eastAsia="宋体"/>
          <w:color w:val="auto"/>
          <w:highlight w:val="none"/>
        </w:rPr>
        <w:tab/>
      </w:r>
    </w:p>
    <w:bookmarkEnd w:id="89"/>
    <w:p>
      <w:pPr>
        <w:autoSpaceDE w:val="0"/>
        <w:autoSpaceDN w:val="0"/>
        <w:adjustRightInd w:val="0"/>
        <w:spacing w:line="360" w:lineRule="auto"/>
        <w:jc w:val="left"/>
        <w:rPr>
          <w:color w:val="auto"/>
          <w:kern w:val="0"/>
          <w:highlight w:val="none"/>
        </w:rPr>
      </w:pPr>
      <w:r>
        <w:rPr>
          <w:b/>
          <w:bCs/>
          <w:color w:val="auto"/>
          <w:highlight w:val="none"/>
        </w:rPr>
        <w:t>6.3.1</w:t>
      </w:r>
      <w:r>
        <w:rPr>
          <w:rFonts w:hint="eastAsia"/>
          <w:color w:val="auto"/>
          <w:highlight w:val="none"/>
        </w:rPr>
        <w:t>　</w:t>
      </w:r>
      <w:r>
        <w:rPr>
          <w:rFonts w:hint="eastAsia"/>
          <w:color w:val="auto"/>
          <w:kern w:val="0"/>
          <w:highlight w:val="none"/>
        </w:rPr>
        <w:t>初步勘察应初步查明</w:t>
      </w:r>
      <w:r>
        <w:rPr>
          <w:color w:val="auto"/>
          <w:kern w:val="0"/>
          <w:highlight w:val="none"/>
        </w:rPr>
        <w:t>以下内容：</w:t>
      </w:r>
    </w:p>
    <w:p>
      <w:pPr>
        <w:autoSpaceDE w:val="0"/>
        <w:autoSpaceDN w:val="0"/>
        <w:adjustRightInd w:val="0"/>
        <w:spacing w:line="360" w:lineRule="auto"/>
        <w:ind w:firstLine="422" w:firstLineChars="200"/>
        <w:jc w:val="left"/>
        <w:rPr>
          <w:rFonts w:hint="default" w:eastAsia="宋体"/>
          <w:b w:val="0"/>
          <w:bCs w:val="0"/>
          <w:color w:val="auto"/>
          <w:kern w:val="0"/>
          <w:highlight w:val="none"/>
          <w:lang w:val="en-US" w:eastAsia="zh-CN"/>
        </w:rPr>
      </w:pPr>
      <w:r>
        <w:rPr>
          <w:rFonts w:hint="eastAsia"/>
          <w:b/>
          <w:bCs/>
          <w:color w:val="auto"/>
          <w:kern w:val="0"/>
          <w:highlight w:val="none"/>
          <w:lang w:val="en-US" w:eastAsia="zh-CN"/>
        </w:rPr>
        <w:t>1</w:t>
      </w:r>
      <w:r>
        <w:rPr>
          <w:rFonts w:hint="eastAsia"/>
          <w:b w:val="0"/>
          <w:bCs w:val="0"/>
          <w:color w:val="auto"/>
          <w:kern w:val="0"/>
          <w:highlight w:val="none"/>
          <w:lang w:val="en-US" w:eastAsia="zh-CN"/>
        </w:rPr>
        <w:t xml:space="preserve">  场地的</w:t>
      </w:r>
      <w:r>
        <w:rPr>
          <w:color w:val="auto"/>
          <w:kern w:val="0"/>
          <w:highlight w:val="none"/>
        </w:rPr>
        <w:t>地貌类型、</w:t>
      </w:r>
      <w:r>
        <w:rPr>
          <w:rFonts w:hint="eastAsia"/>
          <w:color w:val="auto"/>
          <w:kern w:val="0"/>
          <w:highlight w:val="none"/>
        </w:rPr>
        <w:t>地形起伏变化情况</w:t>
      </w:r>
      <w:r>
        <w:rPr>
          <w:rFonts w:hint="eastAsia"/>
          <w:color w:val="auto"/>
          <w:highlight w:val="none"/>
          <w:lang w:val="en-US" w:eastAsia="zh-CN"/>
        </w:rPr>
        <w:t>、场地类别</w:t>
      </w:r>
      <w:r>
        <w:rPr>
          <w:color w:val="auto"/>
          <w:kern w:val="0"/>
          <w:highlight w:val="none"/>
        </w:rPr>
        <w:t>及</w:t>
      </w:r>
      <w:r>
        <w:rPr>
          <w:rFonts w:hint="eastAsia"/>
          <w:b w:val="0"/>
          <w:bCs w:val="0"/>
          <w:color w:val="auto"/>
          <w:kern w:val="0"/>
          <w:highlight w:val="none"/>
          <w:lang w:val="en-US" w:eastAsia="zh-CN"/>
        </w:rPr>
        <w:t>地震动参数；</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lang w:val="en-US" w:eastAsia="zh-CN"/>
        </w:rPr>
        <w:t>2</w:t>
      </w:r>
      <w:r>
        <w:rPr>
          <w:rFonts w:hint="eastAsia"/>
          <w:b w:val="0"/>
          <w:bCs w:val="0"/>
          <w:color w:val="auto"/>
          <w:kern w:val="0"/>
          <w:highlight w:val="none"/>
          <w:lang w:val="en-US" w:eastAsia="zh-CN"/>
        </w:rPr>
        <w:t>　</w:t>
      </w:r>
      <w:r>
        <w:rPr>
          <w:color w:val="auto"/>
          <w:kern w:val="0"/>
          <w:highlight w:val="none"/>
        </w:rPr>
        <w:t>断裂</w:t>
      </w:r>
      <w:r>
        <w:rPr>
          <w:rFonts w:hint="eastAsia"/>
          <w:color w:val="auto"/>
          <w:kern w:val="0"/>
          <w:highlight w:val="none"/>
        </w:rPr>
        <w:t>、</w:t>
      </w:r>
      <w:r>
        <w:rPr>
          <w:color w:val="auto"/>
          <w:kern w:val="0"/>
          <w:highlight w:val="none"/>
        </w:rPr>
        <w:t>褶皱的类型、分布、规模、产状及其与桥</w:t>
      </w:r>
      <w:r>
        <w:rPr>
          <w:rFonts w:hint="eastAsia"/>
          <w:color w:val="auto"/>
          <w:kern w:val="0"/>
          <w:highlight w:val="none"/>
        </w:rPr>
        <w:t>涵</w:t>
      </w:r>
      <w:r>
        <w:rPr>
          <w:color w:val="auto"/>
          <w:kern w:val="0"/>
          <w:highlight w:val="none"/>
        </w:rPr>
        <w:t>的</w:t>
      </w:r>
      <w:r>
        <w:rPr>
          <w:rFonts w:hint="eastAsia"/>
          <w:color w:val="auto"/>
          <w:kern w:val="0"/>
          <w:highlight w:val="none"/>
        </w:rPr>
        <w:t>空间</w:t>
      </w:r>
      <w:r>
        <w:rPr>
          <w:color w:val="auto"/>
          <w:kern w:val="0"/>
          <w:highlight w:val="none"/>
        </w:rPr>
        <w:t>关系；</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lang w:val="en-US" w:eastAsia="zh-CN"/>
        </w:rPr>
        <w:t>3</w:t>
      </w:r>
      <w:r>
        <w:rPr>
          <w:rFonts w:hint="eastAsia"/>
          <w:color w:val="auto"/>
          <w:kern w:val="0"/>
          <w:highlight w:val="none"/>
        </w:rPr>
        <w:t>　</w:t>
      </w:r>
      <w:r>
        <w:rPr>
          <w:color w:val="auto"/>
          <w:kern w:val="0"/>
          <w:highlight w:val="none"/>
        </w:rPr>
        <w:t>覆盖层的厚度、土质类型、分布范围、地层结构</w:t>
      </w:r>
      <w:r>
        <w:rPr>
          <w:rFonts w:hint="eastAsia"/>
          <w:color w:val="auto"/>
          <w:kern w:val="0"/>
          <w:highlight w:val="none"/>
        </w:rPr>
        <w:t>以及</w:t>
      </w:r>
      <w:r>
        <w:rPr>
          <w:color w:val="auto"/>
          <w:kern w:val="0"/>
          <w:highlight w:val="none"/>
        </w:rPr>
        <w:t>基岩的埋深、起伏状态</w:t>
      </w:r>
      <w:r>
        <w:rPr>
          <w:rFonts w:hint="eastAsia"/>
          <w:color w:val="auto"/>
          <w:kern w:val="0"/>
          <w:highlight w:val="none"/>
        </w:rPr>
        <w:t>、</w:t>
      </w:r>
      <w:r>
        <w:rPr>
          <w:color w:val="auto"/>
          <w:kern w:val="0"/>
          <w:highlight w:val="none"/>
        </w:rPr>
        <w:t>地层及岩性组合</w:t>
      </w:r>
      <w:r>
        <w:rPr>
          <w:rFonts w:hint="eastAsia"/>
          <w:color w:val="auto"/>
          <w:kern w:val="0"/>
          <w:highlight w:val="none"/>
        </w:rPr>
        <w:t>、</w:t>
      </w:r>
      <w:r>
        <w:rPr>
          <w:color w:val="auto"/>
          <w:kern w:val="0"/>
          <w:highlight w:val="none"/>
        </w:rPr>
        <w:t>风化程度</w:t>
      </w:r>
      <w:r>
        <w:rPr>
          <w:rFonts w:hint="eastAsia"/>
          <w:color w:val="auto"/>
          <w:kern w:val="0"/>
          <w:highlight w:val="none"/>
        </w:rPr>
        <w:t>等</w:t>
      </w:r>
      <w:r>
        <w:rPr>
          <w:color w:val="auto"/>
          <w:kern w:val="0"/>
          <w:highlight w:val="none"/>
        </w:rPr>
        <w:t>；</w:t>
      </w:r>
    </w:p>
    <w:p>
      <w:pPr>
        <w:spacing w:line="360" w:lineRule="auto"/>
        <w:ind w:firstLine="422" w:firstLineChars="200"/>
        <w:rPr>
          <w:color w:val="auto"/>
          <w:highlight w:val="none"/>
        </w:rPr>
      </w:pPr>
      <w:r>
        <w:rPr>
          <w:rFonts w:hint="eastAsia"/>
          <w:b/>
          <w:bCs/>
          <w:color w:val="auto"/>
          <w:highlight w:val="none"/>
          <w:lang w:val="en-US" w:eastAsia="zh-CN"/>
        </w:rPr>
        <w:t>4</w:t>
      </w:r>
      <w:r>
        <w:rPr>
          <w:rFonts w:hint="eastAsia"/>
          <w:color w:val="auto"/>
          <w:highlight w:val="none"/>
        </w:rPr>
        <w:t>　</w:t>
      </w:r>
      <w:r>
        <w:rPr>
          <w:color w:val="auto"/>
          <w:highlight w:val="none"/>
        </w:rPr>
        <w:t>场地及周边的不良地质作用分布、规模和类型；</w:t>
      </w:r>
    </w:p>
    <w:p>
      <w:pPr>
        <w:spacing w:line="360" w:lineRule="auto"/>
        <w:ind w:firstLine="422" w:firstLineChars="200"/>
        <w:rPr>
          <w:color w:val="auto"/>
          <w:highlight w:val="none"/>
        </w:rPr>
      </w:pPr>
      <w:r>
        <w:rPr>
          <w:rFonts w:hint="eastAsia"/>
          <w:b/>
          <w:bCs/>
          <w:color w:val="auto"/>
          <w:highlight w:val="none"/>
          <w:lang w:val="en-US" w:eastAsia="zh-CN"/>
        </w:rPr>
        <w:t>5</w:t>
      </w:r>
      <w:r>
        <w:rPr>
          <w:rFonts w:hint="eastAsia"/>
          <w:color w:val="auto"/>
          <w:highlight w:val="none"/>
        </w:rPr>
        <w:t>　</w:t>
      </w:r>
      <w:r>
        <w:rPr>
          <w:rFonts w:hint="eastAsia"/>
          <w:color w:val="auto"/>
          <w:highlight w:val="none"/>
          <w:lang w:val="en-US" w:eastAsia="zh-CN"/>
        </w:rPr>
        <w:t>地下水埋藏条件，提供地下水水位及其变化幅度；</w:t>
      </w:r>
    </w:p>
    <w:p>
      <w:pPr>
        <w:spacing w:line="360" w:lineRule="auto"/>
        <w:ind w:firstLine="422" w:firstLineChars="200"/>
        <w:rPr>
          <w:color w:val="auto"/>
          <w:highlight w:val="none"/>
        </w:rPr>
      </w:pPr>
      <w:r>
        <w:rPr>
          <w:rFonts w:hint="eastAsia"/>
          <w:b/>
          <w:bCs/>
          <w:color w:val="auto"/>
          <w:highlight w:val="none"/>
          <w:lang w:val="en-US" w:eastAsia="zh-CN"/>
        </w:rPr>
        <w:t>6</w:t>
      </w:r>
      <w:r>
        <w:rPr>
          <w:rFonts w:hint="eastAsia"/>
          <w:color w:val="auto"/>
          <w:highlight w:val="none"/>
        </w:rPr>
        <w:t>　</w:t>
      </w:r>
      <w:r>
        <w:rPr>
          <w:color w:val="auto"/>
          <w:highlight w:val="none"/>
        </w:rPr>
        <w:t>特殊性岩土的分布、成因和工程地质特性；</w:t>
      </w:r>
    </w:p>
    <w:p>
      <w:pPr>
        <w:autoSpaceDE w:val="0"/>
        <w:autoSpaceDN w:val="0"/>
        <w:adjustRightInd w:val="0"/>
        <w:spacing w:line="360" w:lineRule="auto"/>
        <w:ind w:firstLine="422" w:firstLineChars="200"/>
        <w:jc w:val="left"/>
        <w:rPr>
          <w:color w:val="auto"/>
          <w:highlight w:val="none"/>
        </w:rPr>
      </w:pPr>
      <w:r>
        <w:rPr>
          <w:rFonts w:hint="eastAsia"/>
          <w:b/>
          <w:bCs/>
          <w:color w:val="auto"/>
          <w:highlight w:val="none"/>
          <w:lang w:val="en-US" w:eastAsia="zh-CN"/>
        </w:rPr>
        <w:t>7</w:t>
      </w:r>
      <w:r>
        <w:rPr>
          <w:rFonts w:hint="eastAsia"/>
          <w:color w:val="auto"/>
          <w:highlight w:val="none"/>
        </w:rPr>
        <w:t>　场地土和地表水、地下水对建筑材料的腐蚀性；</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lang w:val="en-US" w:eastAsia="zh-CN"/>
        </w:rPr>
        <w:t>8</w:t>
      </w:r>
      <w:r>
        <w:rPr>
          <w:rFonts w:hint="eastAsia"/>
          <w:color w:val="auto"/>
          <w:kern w:val="0"/>
          <w:highlight w:val="none"/>
        </w:rPr>
        <w:t>　</w:t>
      </w:r>
      <w:r>
        <w:rPr>
          <w:color w:val="auto"/>
          <w:kern w:val="0"/>
          <w:highlight w:val="none"/>
        </w:rPr>
        <w:t>煤层、采空区、垃圾填埋区</w:t>
      </w:r>
      <w:r>
        <w:rPr>
          <w:rFonts w:hint="eastAsia"/>
          <w:color w:val="auto"/>
          <w:kern w:val="0"/>
          <w:highlight w:val="none"/>
        </w:rPr>
        <w:t>、软土</w:t>
      </w:r>
      <w:r>
        <w:rPr>
          <w:color w:val="auto"/>
          <w:kern w:val="0"/>
          <w:highlight w:val="none"/>
        </w:rPr>
        <w:t>等</w:t>
      </w:r>
      <w:r>
        <w:rPr>
          <w:rFonts w:hint="eastAsia"/>
          <w:color w:val="auto"/>
          <w:kern w:val="0"/>
          <w:highlight w:val="none"/>
        </w:rPr>
        <w:t>可能</w:t>
      </w:r>
      <w:r>
        <w:rPr>
          <w:color w:val="auto"/>
          <w:kern w:val="0"/>
          <w:highlight w:val="none"/>
        </w:rPr>
        <w:t>存在有害气体的地段时，有害气体</w:t>
      </w:r>
      <w:r>
        <w:rPr>
          <w:rFonts w:hint="eastAsia"/>
          <w:color w:val="auto"/>
          <w:kern w:val="0"/>
          <w:highlight w:val="none"/>
        </w:rPr>
        <w:t>的</w:t>
      </w:r>
      <w:r>
        <w:rPr>
          <w:color w:val="auto"/>
          <w:kern w:val="0"/>
          <w:highlight w:val="none"/>
        </w:rPr>
        <w:t>分布</w:t>
      </w:r>
      <w:r>
        <w:rPr>
          <w:rFonts w:hint="eastAsia"/>
          <w:color w:val="auto"/>
          <w:kern w:val="0"/>
          <w:highlight w:val="none"/>
        </w:rPr>
        <w:t>和性质</w:t>
      </w:r>
      <w:r>
        <w:rPr>
          <w:color w:val="auto"/>
          <w:kern w:val="0"/>
          <w:highlight w:val="none"/>
        </w:rPr>
        <w:t>。</w:t>
      </w:r>
    </w:p>
    <w:p>
      <w:pPr>
        <w:autoSpaceDE w:val="0"/>
        <w:autoSpaceDN w:val="0"/>
        <w:adjustRightInd w:val="0"/>
        <w:spacing w:line="360" w:lineRule="auto"/>
        <w:jc w:val="left"/>
        <w:rPr>
          <w:color w:val="auto"/>
          <w:kern w:val="0"/>
          <w:highlight w:val="none"/>
        </w:rPr>
      </w:pPr>
      <w:r>
        <w:rPr>
          <w:b/>
          <w:bCs/>
          <w:color w:val="auto"/>
          <w:highlight w:val="none"/>
        </w:rPr>
        <w:t>6.3.2</w:t>
      </w:r>
      <w:r>
        <w:rPr>
          <w:rFonts w:hint="eastAsia"/>
          <w:color w:val="auto"/>
          <w:highlight w:val="none"/>
        </w:rPr>
        <w:t>　</w:t>
      </w:r>
      <w:r>
        <w:rPr>
          <w:color w:val="auto"/>
          <w:kern w:val="0"/>
          <w:highlight w:val="none"/>
        </w:rPr>
        <w:t>初步</w:t>
      </w:r>
      <w:r>
        <w:rPr>
          <w:rFonts w:hint="eastAsia"/>
          <w:color w:val="auto"/>
          <w:kern w:val="0"/>
          <w:highlight w:val="none"/>
        </w:rPr>
        <w:t>勘察</w:t>
      </w:r>
      <w:r>
        <w:rPr>
          <w:color w:val="auto"/>
          <w:kern w:val="0"/>
          <w:highlight w:val="none"/>
        </w:rPr>
        <w:t>勘探点布置应</w:t>
      </w:r>
      <w:r>
        <w:rPr>
          <w:rFonts w:hint="eastAsia"/>
          <w:color w:val="auto"/>
          <w:kern w:val="0"/>
          <w:highlight w:val="none"/>
        </w:rPr>
        <w:t>符合下列规定</w:t>
      </w:r>
      <w:r>
        <w:rPr>
          <w:color w:val="auto"/>
          <w:kern w:val="0"/>
          <w:highlight w:val="none"/>
        </w:rPr>
        <w:t>：</w:t>
      </w:r>
    </w:p>
    <w:p>
      <w:pPr>
        <w:autoSpaceDE w:val="0"/>
        <w:autoSpaceDN w:val="0"/>
        <w:adjustRightInd w:val="0"/>
        <w:spacing w:line="360" w:lineRule="auto"/>
        <w:ind w:firstLine="422" w:firstLineChars="200"/>
        <w:jc w:val="left"/>
        <w:rPr>
          <w:color w:val="auto"/>
          <w:kern w:val="0"/>
          <w:highlight w:val="none"/>
        </w:rPr>
      </w:pPr>
      <w:r>
        <w:rPr>
          <w:b/>
          <w:bCs/>
          <w:color w:val="auto"/>
          <w:kern w:val="0"/>
          <w:highlight w:val="none"/>
        </w:rPr>
        <w:t>1</w:t>
      </w:r>
      <w:r>
        <w:rPr>
          <w:rFonts w:hint="eastAsia"/>
          <w:color w:val="auto"/>
          <w:kern w:val="0"/>
          <w:highlight w:val="none"/>
        </w:rPr>
        <w:t>　</w:t>
      </w:r>
      <w:r>
        <w:rPr>
          <w:color w:val="auto"/>
          <w:kern w:val="0"/>
          <w:highlight w:val="none"/>
        </w:rPr>
        <w:t>勘探点应根据桥梁墩台位置或沿桥梁轴线两侧可能建造墩台的位置布设，勘探点</w:t>
      </w:r>
      <w:r>
        <w:rPr>
          <w:rFonts w:hint="eastAsia"/>
          <w:color w:val="auto"/>
          <w:kern w:val="0"/>
          <w:highlight w:val="none"/>
        </w:rPr>
        <w:t>沿桥梁轴线投影</w:t>
      </w:r>
      <w:r>
        <w:rPr>
          <w:color w:val="auto"/>
          <w:kern w:val="0"/>
          <w:highlight w:val="none"/>
        </w:rPr>
        <w:t>间距宜为100m~150m；</w:t>
      </w:r>
    </w:p>
    <w:p>
      <w:pPr>
        <w:autoSpaceDE w:val="0"/>
        <w:autoSpaceDN w:val="0"/>
        <w:adjustRightInd w:val="0"/>
        <w:spacing w:line="360" w:lineRule="auto"/>
        <w:ind w:firstLine="422" w:firstLineChars="200"/>
        <w:jc w:val="left"/>
        <w:rPr>
          <w:color w:val="auto"/>
          <w:kern w:val="0"/>
          <w:highlight w:val="none"/>
        </w:rPr>
      </w:pPr>
      <w:r>
        <w:rPr>
          <w:b/>
          <w:bCs/>
          <w:color w:val="auto"/>
          <w:kern w:val="0"/>
          <w:highlight w:val="none"/>
        </w:rPr>
        <w:t>2</w:t>
      </w:r>
      <w:r>
        <w:rPr>
          <w:rFonts w:hint="eastAsia"/>
          <w:color w:val="auto"/>
          <w:kern w:val="0"/>
          <w:highlight w:val="none"/>
        </w:rPr>
        <w:t>　</w:t>
      </w:r>
      <w:r>
        <w:rPr>
          <w:color w:val="auto"/>
          <w:kern w:val="0"/>
          <w:highlight w:val="none"/>
        </w:rPr>
        <w:t>对特大桥及大桥的主跨，每个墩台勘探点不宜少于1个；</w:t>
      </w:r>
    </w:p>
    <w:p>
      <w:pPr>
        <w:autoSpaceDE w:val="0"/>
        <w:autoSpaceDN w:val="0"/>
        <w:adjustRightInd w:val="0"/>
        <w:spacing w:line="360" w:lineRule="auto"/>
        <w:ind w:firstLine="422" w:firstLineChars="200"/>
        <w:jc w:val="left"/>
        <w:rPr>
          <w:color w:val="auto"/>
          <w:kern w:val="0"/>
          <w:highlight w:val="none"/>
        </w:rPr>
      </w:pPr>
      <w:r>
        <w:rPr>
          <w:b/>
          <w:bCs/>
          <w:color w:val="auto"/>
          <w:kern w:val="0"/>
          <w:highlight w:val="none"/>
        </w:rPr>
        <w:t>3</w:t>
      </w:r>
      <w:r>
        <w:rPr>
          <w:rFonts w:hint="eastAsia"/>
          <w:color w:val="auto"/>
          <w:kern w:val="0"/>
          <w:highlight w:val="none"/>
        </w:rPr>
        <w:t>　</w:t>
      </w:r>
      <w:r>
        <w:rPr>
          <w:color w:val="auto"/>
          <w:kern w:val="0"/>
          <w:highlight w:val="none"/>
        </w:rPr>
        <w:t>每座中小桥</w:t>
      </w:r>
      <w:r>
        <w:rPr>
          <w:rFonts w:hint="eastAsia"/>
          <w:color w:val="auto"/>
          <w:kern w:val="0"/>
          <w:highlight w:val="none"/>
        </w:rPr>
        <w:t>、涵洞</w:t>
      </w:r>
      <w:r>
        <w:rPr>
          <w:color w:val="auto"/>
          <w:kern w:val="0"/>
          <w:highlight w:val="none"/>
        </w:rPr>
        <w:t>的勘探点不宜少于1个；</w:t>
      </w:r>
    </w:p>
    <w:p>
      <w:pPr>
        <w:autoSpaceDE w:val="0"/>
        <w:autoSpaceDN w:val="0"/>
        <w:adjustRightInd w:val="0"/>
        <w:spacing w:line="360" w:lineRule="auto"/>
        <w:ind w:firstLine="422" w:firstLineChars="200"/>
        <w:jc w:val="left"/>
        <w:rPr>
          <w:color w:val="auto"/>
          <w:kern w:val="0"/>
          <w:highlight w:val="none"/>
        </w:rPr>
      </w:pPr>
      <w:r>
        <w:rPr>
          <w:b/>
          <w:bCs/>
          <w:color w:val="auto"/>
          <w:kern w:val="0"/>
          <w:highlight w:val="none"/>
        </w:rPr>
        <w:t>4</w:t>
      </w:r>
      <w:r>
        <w:rPr>
          <w:rFonts w:hint="eastAsia"/>
          <w:color w:val="auto"/>
          <w:kern w:val="0"/>
          <w:highlight w:val="none"/>
        </w:rPr>
        <w:t>　</w:t>
      </w:r>
      <w:r>
        <w:rPr>
          <w:color w:val="auto"/>
          <w:kern w:val="0"/>
          <w:highlight w:val="none"/>
        </w:rPr>
        <w:t>桥梁改造工程应在充分收集、利用已有桥梁勘察资料基础上，根据需要布置勘察工作量。</w:t>
      </w:r>
    </w:p>
    <w:p>
      <w:pPr>
        <w:autoSpaceDE w:val="0"/>
        <w:autoSpaceDN w:val="0"/>
        <w:adjustRightInd w:val="0"/>
        <w:spacing w:line="360" w:lineRule="auto"/>
        <w:jc w:val="left"/>
        <w:rPr>
          <w:color w:val="auto"/>
          <w:kern w:val="0"/>
          <w:highlight w:val="none"/>
        </w:rPr>
      </w:pPr>
      <w:r>
        <w:rPr>
          <w:b/>
          <w:bCs/>
          <w:color w:val="auto"/>
          <w:highlight w:val="none"/>
        </w:rPr>
        <w:t>6.3.3</w:t>
      </w:r>
      <w:r>
        <w:rPr>
          <w:rFonts w:hint="eastAsia"/>
          <w:color w:val="auto"/>
          <w:highlight w:val="none"/>
        </w:rPr>
        <w:t>　</w:t>
      </w:r>
      <w:r>
        <w:rPr>
          <w:color w:val="auto"/>
          <w:kern w:val="0"/>
          <w:highlight w:val="none"/>
        </w:rPr>
        <w:t>初步</w:t>
      </w:r>
      <w:r>
        <w:rPr>
          <w:rFonts w:hint="eastAsia"/>
          <w:color w:val="auto"/>
          <w:kern w:val="0"/>
          <w:highlight w:val="none"/>
        </w:rPr>
        <w:t>勘察</w:t>
      </w:r>
      <w:r>
        <w:rPr>
          <w:color w:val="auto"/>
          <w:kern w:val="0"/>
          <w:highlight w:val="none"/>
        </w:rPr>
        <w:t>勘探孔深度应</w:t>
      </w:r>
      <w:r>
        <w:rPr>
          <w:rFonts w:hint="eastAsia"/>
          <w:color w:val="auto"/>
          <w:kern w:val="0"/>
          <w:highlight w:val="none"/>
        </w:rPr>
        <w:t>符合下列规定</w:t>
      </w:r>
      <w:r>
        <w:rPr>
          <w:color w:val="auto"/>
          <w:kern w:val="0"/>
          <w:highlight w:val="none"/>
        </w:rPr>
        <w:t>：</w:t>
      </w:r>
    </w:p>
    <w:p>
      <w:pPr>
        <w:autoSpaceDE w:val="0"/>
        <w:autoSpaceDN w:val="0"/>
        <w:adjustRightInd w:val="0"/>
        <w:spacing w:line="360" w:lineRule="auto"/>
        <w:ind w:firstLine="422" w:firstLineChars="200"/>
        <w:jc w:val="left"/>
        <w:rPr>
          <w:color w:val="auto"/>
          <w:kern w:val="0"/>
          <w:highlight w:val="none"/>
        </w:rPr>
      </w:pPr>
      <w:r>
        <w:rPr>
          <w:b/>
          <w:bCs/>
          <w:color w:val="auto"/>
          <w:kern w:val="0"/>
          <w:highlight w:val="none"/>
        </w:rPr>
        <w:t>1</w:t>
      </w:r>
      <w:r>
        <w:rPr>
          <w:rFonts w:hint="eastAsia"/>
          <w:color w:val="auto"/>
          <w:kern w:val="0"/>
          <w:highlight w:val="none"/>
        </w:rPr>
        <w:t>　</w:t>
      </w:r>
      <w:r>
        <w:rPr>
          <w:color w:val="auto"/>
          <w:kern w:val="0"/>
          <w:highlight w:val="none"/>
        </w:rPr>
        <w:t>当拟采用桩基础时，</w:t>
      </w:r>
      <w:r>
        <w:rPr>
          <w:rFonts w:hint="eastAsia"/>
          <w:color w:val="auto"/>
          <w:kern w:val="0"/>
          <w:highlight w:val="none"/>
        </w:rPr>
        <w:t>遇硬质岩应进入中等风化~微风化岩不小于6倍桩径，且不应小于6m；遇软质岩或砾卵石层应进入稳定基岩或卵砾石层8倍桩径，且不应小于8m</w:t>
      </w:r>
      <w:r>
        <w:rPr>
          <w:color w:val="auto"/>
          <w:kern w:val="0"/>
          <w:highlight w:val="none"/>
        </w:rPr>
        <w:t>；</w:t>
      </w:r>
      <w:r>
        <w:rPr>
          <w:rFonts w:hint="eastAsia"/>
          <w:color w:val="auto"/>
          <w:kern w:val="0"/>
          <w:highlight w:val="none"/>
        </w:rPr>
        <w:t>勘探孔超过一定深度无法满足上述要求时，宜按摩擦桩预估桩长，并达到预估桩端以下不小于5倍桩径，且不应小于8m；</w:t>
      </w:r>
    </w:p>
    <w:p>
      <w:pPr>
        <w:autoSpaceDE w:val="0"/>
        <w:autoSpaceDN w:val="0"/>
        <w:adjustRightInd w:val="0"/>
        <w:spacing w:line="360" w:lineRule="auto"/>
        <w:ind w:firstLine="422" w:firstLineChars="200"/>
        <w:jc w:val="left"/>
        <w:rPr>
          <w:color w:val="auto"/>
          <w:kern w:val="0"/>
          <w:highlight w:val="none"/>
        </w:rPr>
      </w:pPr>
      <w:r>
        <w:rPr>
          <w:b/>
          <w:bCs/>
          <w:color w:val="auto"/>
          <w:kern w:val="0"/>
          <w:highlight w:val="none"/>
        </w:rPr>
        <w:t>2</w:t>
      </w:r>
      <w:r>
        <w:rPr>
          <w:rFonts w:hint="eastAsia"/>
          <w:color w:val="auto"/>
          <w:kern w:val="0"/>
          <w:highlight w:val="none"/>
        </w:rPr>
        <w:t>　</w:t>
      </w:r>
      <w:r>
        <w:rPr>
          <w:color w:val="auto"/>
          <w:kern w:val="0"/>
          <w:highlight w:val="none"/>
        </w:rPr>
        <w:t>当拟采用其他基础类型时，勘探孔应进入可能的持力层及基础埋置深度以下</w:t>
      </w:r>
      <w:r>
        <w:rPr>
          <w:rFonts w:hint="eastAsia"/>
          <w:color w:val="auto"/>
          <w:kern w:val="0"/>
          <w:highlight w:val="none"/>
        </w:rPr>
        <w:t>（1.5~ 2.0）倍基础宽度，且</w:t>
      </w:r>
      <w:r>
        <w:rPr>
          <w:color w:val="auto"/>
          <w:kern w:val="0"/>
          <w:highlight w:val="none"/>
        </w:rPr>
        <w:t>不</w:t>
      </w:r>
      <w:r>
        <w:rPr>
          <w:rFonts w:hint="eastAsia"/>
          <w:color w:val="auto"/>
          <w:kern w:val="0"/>
          <w:highlight w:val="none"/>
        </w:rPr>
        <w:t>应</w:t>
      </w:r>
      <w:r>
        <w:rPr>
          <w:color w:val="auto"/>
          <w:kern w:val="0"/>
          <w:highlight w:val="none"/>
        </w:rPr>
        <w:t>小于</w:t>
      </w:r>
      <w:r>
        <w:rPr>
          <w:rFonts w:hint="eastAsia"/>
          <w:color w:val="auto"/>
          <w:kern w:val="0"/>
          <w:highlight w:val="none"/>
        </w:rPr>
        <w:t>基础埋置深度以下10</w:t>
      </w:r>
      <w:r>
        <w:rPr>
          <w:color w:val="auto"/>
          <w:kern w:val="0"/>
          <w:highlight w:val="none"/>
        </w:rPr>
        <w:t>m；</w:t>
      </w:r>
    </w:p>
    <w:p>
      <w:pPr>
        <w:autoSpaceDE w:val="0"/>
        <w:autoSpaceDN w:val="0"/>
        <w:adjustRightInd w:val="0"/>
        <w:spacing w:line="360" w:lineRule="auto"/>
        <w:ind w:firstLine="422" w:firstLineChars="200"/>
        <w:jc w:val="left"/>
        <w:rPr>
          <w:color w:val="auto"/>
          <w:kern w:val="0"/>
          <w:highlight w:val="none"/>
        </w:rPr>
      </w:pPr>
      <w:r>
        <w:rPr>
          <w:b/>
          <w:bCs/>
          <w:color w:val="auto"/>
          <w:kern w:val="0"/>
          <w:highlight w:val="none"/>
        </w:rPr>
        <w:t>3</w:t>
      </w:r>
      <w:r>
        <w:rPr>
          <w:rFonts w:hint="eastAsia"/>
          <w:color w:val="auto"/>
          <w:kern w:val="0"/>
          <w:highlight w:val="none"/>
        </w:rPr>
        <w:t>　</w:t>
      </w:r>
      <w:r>
        <w:rPr>
          <w:color w:val="auto"/>
          <w:kern w:val="0"/>
          <w:highlight w:val="none"/>
        </w:rPr>
        <w:t>暂不明确采用的基础类型时，应满足地基基础方案比选和地基稳定性、变形计算的要求。</w:t>
      </w:r>
    </w:p>
    <w:p>
      <w:pPr>
        <w:autoSpaceDE w:val="0"/>
        <w:autoSpaceDN w:val="0"/>
        <w:adjustRightInd w:val="0"/>
        <w:spacing w:line="360" w:lineRule="auto"/>
        <w:jc w:val="left"/>
        <w:rPr>
          <w:color w:val="auto"/>
          <w:highlight w:val="none"/>
        </w:rPr>
      </w:pPr>
      <w:r>
        <w:rPr>
          <w:b/>
          <w:bCs/>
          <w:color w:val="auto"/>
          <w:highlight w:val="none"/>
        </w:rPr>
        <w:t>6.3.</w:t>
      </w:r>
      <w:r>
        <w:rPr>
          <w:rFonts w:hint="eastAsia"/>
          <w:b/>
          <w:bCs/>
          <w:color w:val="auto"/>
          <w:highlight w:val="none"/>
        </w:rPr>
        <w:t>4</w:t>
      </w:r>
      <w:r>
        <w:rPr>
          <w:rFonts w:hint="eastAsia"/>
          <w:color w:val="auto"/>
          <w:highlight w:val="none"/>
        </w:rPr>
        <w:t>　初步勘察应评价</w:t>
      </w:r>
      <w:r>
        <w:rPr>
          <w:color w:val="auto"/>
          <w:kern w:val="0"/>
          <w:highlight w:val="none"/>
        </w:rPr>
        <w:t>场地的稳定性和</w:t>
      </w:r>
      <w:r>
        <w:rPr>
          <w:rFonts w:hint="eastAsia"/>
          <w:color w:val="auto"/>
          <w:kern w:val="0"/>
          <w:highlight w:val="none"/>
        </w:rPr>
        <w:t>工程建设的</w:t>
      </w:r>
      <w:r>
        <w:rPr>
          <w:color w:val="auto"/>
          <w:kern w:val="0"/>
          <w:highlight w:val="none"/>
        </w:rPr>
        <w:t>适宜性</w:t>
      </w:r>
      <w:r>
        <w:rPr>
          <w:rFonts w:hint="eastAsia"/>
          <w:color w:val="auto"/>
          <w:highlight w:val="none"/>
        </w:rPr>
        <w:t>，并初步</w:t>
      </w:r>
      <w:r>
        <w:rPr>
          <w:color w:val="auto"/>
          <w:highlight w:val="none"/>
        </w:rPr>
        <w:t>分析评价下列内容：</w:t>
      </w:r>
    </w:p>
    <w:p>
      <w:pPr>
        <w:spacing w:line="360" w:lineRule="auto"/>
        <w:ind w:firstLine="422" w:firstLineChars="200"/>
        <w:rPr>
          <w:color w:val="auto"/>
          <w:kern w:val="0"/>
          <w:highlight w:val="none"/>
        </w:rPr>
      </w:pPr>
      <w:r>
        <w:rPr>
          <w:rFonts w:hint="eastAsia"/>
          <w:b/>
          <w:bCs/>
          <w:color w:val="auto"/>
          <w:highlight w:val="none"/>
        </w:rPr>
        <w:t>1</w:t>
      </w:r>
      <w:r>
        <w:rPr>
          <w:rFonts w:hint="eastAsia"/>
          <w:color w:val="auto"/>
          <w:highlight w:val="none"/>
        </w:rPr>
        <w:t>　评价场地与地基的地震效应；</w:t>
      </w:r>
    </w:p>
    <w:p>
      <w:pPr>
        <w:autoSpaceDE w:val="0"/>
        <w:autoSpaceDN w:val="0"/>
        <w:adjustRightInd w:val="0"/>
        <w:spacing w:line="360" w:lineRule="auto"/>
        <w:ind w:firstLine="422" w:firstLineChars="200"/>
        <w:jc w:val="left"/>
        <w:rPr>
          <w:color w:val="auto"/>
          <w:highlight w:val="none"/>
        </w:rPr>
      </w:pPr>
      <w:r>
        <w:rPr>
          <w:rFonts w:hint="eastAsia"/>
          <w:b/>
          <w:bCs/>
          <w:color w:val="auto"/>
          <w:highlight w:val="none"/>
        </w:rPr>
        <w:t>2</w:t>
      </w:r>
      <w:bookmarkStart w:id="90" w:name="_Hlk80603599"/>
      <w:r>
        <w:rPr>
          <w:rFonts w:hint="eastAsia"/>
          <w:color w:val="auto"/>
          <w:highlight w:val="none"/>
        </w:rPr>
        <w:t>　</w:t>
      </w:r>
      <w:r>
        <w:rPr>
          <w:color w:val="auto"/>
          <w:highlight w:val="none"/>
        </w:rPr>
        <w:t>分析</w:t>
      </w:r>
      <w:r>
        <w:rPr>
          <w:rFonts w:hint="eastAsia" w:ascii="宋体" w:hAnsi="宋体" w:cs="宋体"/>
          <w:bCs/>
          <w:color w:val="auto"/>
          <w:szCs w:val="21"/>
          <w:highlight w:val="none"/>
        </w:rPr>
        <w:t>地基</w:t>
      </w:r>
      <w:bookmarkEnd w:id="90"/>
      <w:r>
        <w:rPr>
          <w:rFonts w:hint="eastAsia" w:ascii="宋体" w:hAnsi="宋体" w:cs="宋体"/>
          <w:bCs/>
          <w:color w:val="auto"/>
          <w:szCs w:val="21"/>
          <w:highlight w:val="none"/>
        </w:rPr>
        <w:t>稳定性及变形特征</w:t>
      </w:r>
      <w:r>
        <w:rPr>
          <w:color w:val="auto"/>
          <w:highlight w:val="none"/>
        </w:rPr>
        <w:t>，评价桥梁</w:t>
      </w:r>
      <w:r>
        <w:rPr>
          <w:rFonts w:hint="eastAsia"/>
          <w:color w:val="auto"/>
          <w:kern w:val="0"/>
          <w:highlight w:val="none"/>
        </w:rPr>
        <w:t>地基基础方案的可行性和适宜性</w:t>
      </w:r>
      <w:r>
        <w:rPr>
          <w:color w:val="auto"/>
          <w:highlight w:val="none"/>
        </w:rPr>
        <w:t>；必要</w:t>
      </w:r>
      <w:r>
        <w:rPr>
          <w:rFonts w:hint="eastAsia"/>
          <w:color w:val="auto"/>
          <w:highlight w:val="none"/>
        </w:rPr>
        <w:t>时</w:t>
      </w:r>
      <w:r>
        <w:rPr>
          <w:color w:val="auto"/>
          <w:highlight w:val="none"/>
        </w:rPr>
        <w:t>，对不同地基基础方案进行比选分析；</w:t>
      </w:r>
    </w:p>
    <w:p>
      <w:pPr>
        <w:autoSpaceDE w:val="0"/>
        <w:autoSpaceDN w:val="0"/>
        <w:adjustRightInd w:val="0"/>
        <w:spacing w:line="360" w:lineRule="auto"/>
        <w:ind w:firstLine="422" w:firstLineChars="200"/>
        <w:jc w:val="left"/>
        <w:rPr>
          <w:color w:val="auto"/>
          <w:highlight w:val="none"/>
        </w:rPr>
      </w:pPr>
      <w:r>
        <w:rPr>
          <w:rFonts w:hint="eastAsia"/>
          <w:b/>
          <w:bCs/>
          <w:color w:val="auto"/>
          <w:highlight w:val="none"/>
        </w:rPr>
        <w:t>3</w:t>
      </w:r>
      <w:r>
        <w:rPr>
          <w:rFonts w:hint="eastAsia"/>
          <w:color w:val="auto"/>
          <w:highlight w:val="none"/>
        </w:rPr>
        <w:t>　</w:t>
      </w:r>
      <w:r>
        <w:rPr>
          <w:color w:val="auto"/>
          <w:highlight w:val="none"/>
        </w:rPr>
        <w:t>拟采用桩基础时，提出桩型、桩径、施工方法的初步建议</w:t>
      </w:r>
      <w:r>
        <w:rPr>
          <w:rFonts w:hint="eastAsia"/>
          <w:color w:val="auto"/>
          <w:highlight w:val="none"/>
        </w:rPr>
        <w:t>，</w:t>
      </w:r>
      <w:r>
        <w:rPr>
          <w:color w:val="auto"/>
          <w:highlight w:val="none"/>
        </w:rPr>
        <w:t>分析</w:t>
      </w:r>
      <w:r>
        <w:rPr>
          <w:rFonts w:hint="eastAsia"/>
          <w:color w:val="auto"/>
          <w:highlight w:val="none"/>
        </w:rPr>
        <w:t>拟选</w:t>
      </w:r>
      <w:r>
        <w:rPr>
          <w:color w:val="auto"/>
          <w:highlight w:val="none"/>
        </w:rPr>
        <w:t>桩端持力层</w:t>
      </w:r>
      <w:r>
        <w:rPr>
          <w:rFonts w:hint="eastAsia"/>
          <w:color w:val="auto"/>
          <w:highlight w:val="none"/>
        </w:rPr>
        <w:t>及下卧层</w:t>
      </w:r>
      <w:r>
        <w:rPr>
          <w:color w:val="auto"/>
          <w:highlight w:val="none"/>
        </w:rPr>
        <w:t>的分布变化规律，</w:t>
      </w:r>
      <w:r>
        <w:rPr>
          <w:rFonts w:hint="eastAsia"/>
          <w:color w:val="auto"/>
          <w:highlight w:val="none"/>
        </w:rPr>
        <w:t>提出桩端持力层的建议</w:t>
      </w:r>
      <w:r>
        <w:rPr>
          <w:color w:val="auto"/>
          <w:highlight w:val="none"/>
        </w:rPr>
        <w:t>；</w:t>
      </w:r>
    </w:p>
    <w:p>
      <w:pPr>
        <w:autoSpaceDE w:val="0"/>
        <w:autoSpaceDN w:val="0"/>
        <w:adjustRightInd w:val="0"/>
        <w:spacing w:line="360" w:lineRule="auto"/>
        <w:ind w:firstLine="422" w:firstLineChars="200"/>
        <w:jc w:val="left"/>
        <w:rPr>
          <w:color w:val="auto"/>
          <w:highlight w:val="none"/>
        </w:rPr>
      </w:pPr>
      <w:r>
        <w:rPr>
          <w:rFonts w:hint="eastAsia"/>
          <w:b/>
          <w:bCs/>
          <w:color w:val="auto"/>
          <w:highlight w:val="none"/>
        </w:rPr>
        <w:t>4</w:t>
      </w:r>
      <w:r>
        <w:rPr>
          <w:rFonts w:hint="eastAsia"/>
          <w:color w:val="auto"/>
          <w:highlight w:val="none"/>
        </w:rPr>
        <w:t>　</w:t>
      </w:r>
      <w:r>
        <w:rPr>
          <w:color w:val="auto"/>
          <w:highlight w:val="none"/>
        </w:rPr>
        <w:t>当存在特殊性岩土时，分析其工程特性，并评价其对桥涵工程的不利影响；</w:t>
      </w:r>
    </w:p>
    <w:p>
      <w:pPr>
        <w:autoSpaceDE w:val="0"/>
        <w:autoSpaceDN w:val="0"/>
        <w:adjustRightInd w:val="0"/>
        <w:spacing w:line="360" w:lineRule="auto"/>
        <w:ind w:firstLine="422" w:firstLineChars="200"/>
        <w:jc w:val="left"/>
        <w:rPr>
          <w:color w:val="auto"/>
          <w:highlight w:val="none"/>
        </w:rPr>
      </w:pPr>
      <w:r>
        <w:rPr>
          <w:rFonts w:hint="eastAsia"/>
          <w:b/>
          <w:bCs/>
          <w:color w:val="auto"/>
          <w:highlight w:val="none"/>
        </w:rPr>
        <w:t>5</w:t>
      </w:r>
      <w:r>
        <w:rPr>
          <w:rFonts w:hint="eastAsia"/>
          <w:color w:val="auto"/>
          <w:highlight w:val="none"/>
        </w:rPr>
        <w:t>　</w:t>
      </w:r>
      <w:r>
        <w:rPr>
          <w:color w:val="auto"/>
          <w:highlight w:val="none"/>
        </w:rPr>
        <w:t>当存在</w:t>
      </w:r>
      <w:r>
        <w:rPr>
          <w:color w:val="auto"/>
          <w:kern w:val="0"/>
          <w:highlight w:val="none"/>
        </w:rPr>
        <w:t>岩溶、采空区、球状风化体（孤石）、有害气体等不良地质</w:t>
      </w:r>
      <w:r>
        <w:rPr>
          <w:rFonts w:hint="eastAsia"/>
          <w:color w:val="auto"/>
          <w:kern w:val="0"/>
          <w:highlight w:val="none"/>
        </w:rPr>
        <w:t>条件</w:t>
      </w:r>
      <w:r>
        <w:rPr>
          <w:color w:val="auto"/>
          <w:kern w:val="0"/>
          <w:highlight w:val="none"/>
        </w:rPr>
        <w:t>时，分析评价其对</w:t>
      </w:r>
      <w:r>
        <w:rPr>
          <w:color w:val="auto"/>
          <w:highlight w:val="none"/>
        </w:rPr>
        <w:t>桥涵工程的不利影响；</w:t>
      </w:r>
    </w:p>
    <w:p>
      <w:pPr>
        <w:autoSpaceDE w:val="0"/>
        <w:autoSpaceDN w:val="0"/>
        <w:adjustRightInd w:val="0"/>
        <w:spacing w:line="360" w:lineRule="auto"/>
        <w:ind w:firstLine="422" w:firstLineChars="200"/>
        <w:jc w:val="left"/>
        <w:rPr>
          <w:color w:val="auto"/>
          <w:kern w:val="0"/>
          <w:highlight w:val="none"/>
        </w:rPr>
      </w:pPr>
      <w:r>
        <w:rPr>
          <w:rFonts w:hint="eastAsia"/>
          <w:b/>
          <w:bCs/>
          <w:color w:val="auto"/>
          <w:highlight w:val="none"/>
        </w:rPr>
        <w:t>6</w:t>
      </w:r>
      <w:r>
        <w:rPr>
          <w:rFonts w:hint="eastAsia"/>
          <w:color w:val="auto"/>
          <w:highlight w:val="none"/>
        </w:rPr>
        <w:t>　</w:t>
      </w:r>
      <w:r>
        <w:rPr>
          <w:color w:val="auto"/>
          <w:highlight w:val="none"/>
        </w:rPr>
        <w:t>评价周边</w:t>
      </w:r>
      <w:r>
        <w:rPr>
          <w:color w:val="auto"/>
          <w:kern w:val="0"/>
          <w:highlight w:val="none"/>
        </w:rPr>
        <w:t>环境</w:t>
      </w:r>
      <w:r>
        <w:rPr>
          <w:color w:val="auto"/>
          <w:highlight w:val="none"/>
        </w:rPr>
        <w:t>与拟建桥涵工程的相互影响，提出防治措施的初步建议。</w:t>
      </w:r>
    </w:p>
    <w:p>
      <w:pPr>
        <w:pStyle w:val="3"/>
        <w:rPr>
          <w:rFonts w:ascii="Times New Roman" w:hAnsi="Times New Roman" w:eastAsia="宋体"/>
          <w:color w:val="auto"/>
          <w:highlight w:val="none"/>
        </w:rPr>
      </w:pPr>
      <w:bookmarkStart w:id="91" w:name="_Toc13762"/>
      <w:bookmarkStart w:id="92" w:name="_Toc18890"/>
      <w:bookmarkStart w:id="93" w:name="_Toc21585"/>
      <w:bookmarkStart w:id="94" w:name="_6.4　详细勘察"/>
      <w:r>
        <w:rPr>
          <w:rFonts w:ascii="Times New Roman" w:hAnsi="Times New Roman" w:eastAsia="宋体"/>
          <w:color w:val="auto"/>
          <w:highlight w:val="none"/>
        </w:rPr>
        <w:t>6.4</w:t>
      </w:r>
      <w:r>
        <w:rPr>
          <w:rFonts w:hint="eastAsia" w:ascii="Times New Roman" w:hAnsi="Times New Roman" w:eastAsia="宋体"/>
          <w:color w:val="auto"/>
          <w:highlight w:val="none"/>
        </w:rPr>
        <w:t>　</w:t>
      </w:r>
      <w:r>
        <w:rPr>
          <w:rFonts w:ascii="Times New Roman" w:hAnsi="Times New Roman" w:eastAsia="宋体"/>
          <w:color w:val="auto"/>
          <w:highlight w:val="none"/>
        </w:rPr>
        <w:t>详细勘察</w:t>
      </w:r>
      <w:bookmarkEnd w:id="91"/>
      <w:bookmarkEnd w:id="92"/>
      <w:bookmarkEnd w:id="93"/>
      <w:r>
        <w:rPr>
          <w:rFonts w:ascii="Times New Roman" w:hAnsi="Times New Roman" w:eastAsia="宋体"/>
          <w:color w:val="auto"/>
          <w:highlight w:val="none"/>
        </w:rPr>
        <w:tab/>
      </w:r>
    </w:p>
    <w:bookmarkEnd w:id="94"/>
    <w:p>
      <w:pPr>
        <w:autoSpaceDE w:val="0"/>
        <w:autoSpaceDN w:val="0"/>
        <w:adjustRightInd w:val="0"/>
        <w:spacing w:line="360" w:lineRule="auto"/>
        <w:jc w:val="left"/>
        <w:rPr>
          <w:color w:val="auto"/>
          <w:kern w:val="0"/>
          <w:highlight w:val="none"/>
        </w:rPr>
      </w:pPr>
      <w:r>
        <w:rPr>
          <w:b/>
          <w:bCs/>
          <w:color w:val="auto"/>
          <w:highlight w:val="none"/>
        </w:rPr>
        <w:t>6.4.1</w:t>
      </w:r>
      <w:r>
        <w:rPr>
          <w:rFonts w:hint="eastAsia"/>
          <w:color w:val="auto"/>
          <w:highlight w:val="none"/>
        </w:rPr>
        <w:t>　</w:t>
      </w:r>
      <w:r>
        <w:rPr>
          <w:color w:val="auto"/>
          <w:kern w:val="0"/>
          <w:highlight w:val="none"/>
        </w:rPr>
        <w:t>详细勘察应</w:t>
      </w:r>
      <w:r>
        <w:rPr>
          <w:rFonts w:hint="eastAsia"/>
          <w:color w:val="auto"/>
          <w:kern w:val="0"/>
          <w:highlight w:val="none"/>
        </w:rPr>
        <w:t>重点</w:t>
      </w:r>
      <w:r>
        <w:rPr>
          <w:color w:val="auto"/>
          <w:kern w:val="0"/>
          <w:highlight w:val="none"/>
        </w:rPr>
        <w:t>查明以下内容：</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1</w:t>
      </w:r>
      <w:r>
        <w:rPr>
          <w:rFonts w:hint="eastAsia"/>
          <w:color w:val="auto"/>
          <w:kern w:val="0"/>
          <w:highlight w:val="none"/>
        </w:rPr>
        <w:t>　地基的岩土组合、工程特性及其均匀性</w:t>
      </w:r>
      <w:r>
        <w:rPr>
          <w:color w:val="auto"/>
          <w:kern w:val="0"/>
          <w:highlight w:val="none"/>
        </w:rPr>
        <w:t>；</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2</w:t>
      </w:r>
      <w:r>
        <w:rPr>
          <w:rFonts w:hint="eastAsia"/>
          <w:color w:val="auto"/>
          <w:kern w:val="0"/>
          <w:highlight w:val="none"/>
        </w:rPr>
        <w:t>　岩溶、土洞、采空区、断裂带、液化土层等不良地质作用的发育</w:t>
      </w:r>
      <w:r>
        <w:rPr>
          <w:rFonts w:hint="eastAsia"/>
          <w:color w:val="auto"/>
          <w:kern w:val="0"/>
          <w:highlight w:val="none"/>
          <w:lang w:val="en-US" w:eastAsia="zh-CN"/>
        </w:rPr>
        <w:t>情况</w:t>
      </w:r>
      <w:r>
        <w:rPr>
          <w:rFonts w:hint="eastAsia"/>
          <w:color w:val="auto"/>
          <w:kern w:val="0"/>
          <w:highlight w:val="none"/>
        </w:rPr>
        <w:t>和分布</w:t>
      </w:r>
      <w:r>
        <w:rPr>
          <w:rFonts w:hint="eastAsia"/>
          <w:color w:val="auto"/>
          <w:kern w:val="0"/>
          <w:highlight w:val="none"/>
          <w:lang w:val="en-US" w:eastAsia="zh-CN"/>
        </w:rPr>
        <w:t>范围</w:t>
      </w:r>
      <w:r>
        <w:rPr>
          <w:color w:val="auto"/>
          <w:kern w:val="0"/>
          <w:highlight w:val="none"/>
        </w:rPr>
        <w:t>；</w:t>
      </w:r>
    </w:p>
    <w:p>
      <w:pPr>
        <w:autoSpaceDE w:val="0"/>
        <w:autoSpaceDN w:val="0"/>
        <w:adjustRightInd w:val="0"/>
        <w:spacing w:line="360" w:lineRule="auto"/>
        <w:ind w:firstLine="422" w:firstLineChars="200"/>
        <w:jc w:val="left"/>
        <w:rPr>
          <w:color w:val="auto"/>
          <w:highlight w:val="none"/>
        </w:rPr>
      </w:pPr>
      <w:r>
        <w:rPr>
          <w:rFonts w:hint="eastAsia"/>
          <w:b/>
          <w:bCs/>
          <w:color w:val="auto"/>
          <w:highlight w:val="none"/>
        </w:rPr>
        <w:t>3</w:t>
      </w:r>
      <w:r>
        <w:rPr>
          <w:rFonts w:hint="eastAsia"/>
          <w:color w:val="auto"/>
          <w:highlight w:val="none"/>
        </w:rPr>
        <w:t>　软土、填土、孤石等的工程性质及分布规律。</w:t>
      </w:r>
    </w:p>
    <w:p>
      <w:pPr>
        <w:autoSpaceDE w:val="0"/>
        <w:autoSpaceDN w:val="0"/>
        <w:adjustRightInd w:val="0"/>
        <w:spacing w:line="360" w:lineRule="auto"/>
        <w:ind w:firstLine="422" w:firstLineChars="200"/>
        <w:jc w:val="left"/>
        <w:rPr>
          <w:color w:val="auto"/>
          <w:kern w:val="0"/>
          <w:highlight w:val="none"/>
        </w:rPr>
      </w:pPr>
      <w:r>
        <w:rPr>
          <w:rFonts w:hint="eastAsia"/>
          <w:b/>
          <w:bCs/>
          <w:color w:val="auto"/>
          <w:highlight w:val="none"/>
          <w:lang w:val="en-US" w:eastAsia="zh-CN"/>
        </w:rPr>
        <w:t>4</w:t>
      </w:r>
      <w:r>
        <w:rPr>
          <w:rFonts w:hint="eastAsia"/>
          <w:color w:val="auto"/>
          <w:highlight w:val="none"/>
        </w:rPr>
        <w:t>　场地土和地表水、地下水对建筑材料的腐蚀性</w:t>
      </w:r>
      <w:r>
        <w:rPr>
          <w:color w:val="auto"/>
          <w:kern w:val="0"/>
          <w:highlight w:val="none"/>
        </w:rPr>
        <w:t>。</w:t>
      </w:r>
    </w:p>
    <w:p>
      <w:pPr>
        <w:spacing w:line="360" w:lineRule="auto"/>
        <w:rPr>
          <w:color w:val="auto"/>
          <w:kern w:val="0"/>
          <w:highlight w:val="none"/>
        </w:rPr>
      </w:pPr>
      <w:r>
        <w:rPr>
          <w:b/>
          <w:bCs/>
          <w:color w:val="auto"/>
          <w:highlight w:val="none"/>
        </w:rPr>
        <w:t>6.4.2</w:t>
      </w:r>
      <w:r>
        <w:rPr>
          <w:rFonts w:hint="eastAsia"/>
          <w:color w:val="auto"/>
          <w:highlight w:val="none"/>
        </w:rPr>
        <w:t>　</w:t>
      </w:r>
      <w:r>
        <w:rPr>
          <w:color w:val="auto"/>
          <w:kern w:val="0"/>
          <w:highlight w:val="none"/>
        </w:rPr>
        <w:t>详细</w:t>
      </w:r>
      <w:r>
        <w:rPr>
          <w:rFonts w:hint="eastAsia"/>
          <w:color w:val="auto"/>
          <w:kern w:val="0"/>
          <w:highlight w:val="none"/>
        </w:rPr>
        <w:t>勘察</w:t>
      </w:r>
      <w:r>
        <w:rPr>
          <w:color w:val="auto"/>
          <w:kern w:val="0"/>
          <w:highlight w:val="none"/>
        </w:rPr>
        <w:t>勘探点布置应</w:t>
      </w:r>
      <w:r>
        <w:rPr>
          <w:rFonts w:hint="eastAsia"/>
          <w:color w:val="auto"/>
          <w:kern w:val="0"/>
          <w:highlight w:val="none"/>
        </w:rPr>
        <w:t>符合下列规定</w:t>
      </w:r>
      <w:r>
        <w:rPr>
          <w:color w:val="auto"/>
          <w:kern w:val="0"/>
          <w:highlight w:val="none"/>
        </w:rPr>
        <w:t>：</w:t>
      </w:r>
    </w:p>
    <w:p>
      <w:pPr>
        <w:autoSpaceDE w:val="0"/>
        <w:autoSpaceDN w:val="0"/>
        <w:adjustRightInd w:val="0"/>
        <w:spacing w:line="360" w:lineRule="auto"/>
        <w:ind w:firstLine="422" w:firstLineChars="200"/>
        <w:jc w:val="left"/>
        <w:rPr>
          <w:color w:val="auto"/>
          <w:kern w:val="0"/>
          <w:highlight w:val="none"/>
        </w:rPr>
      </w:pPr>
      <w:r>
        <w:rPr>
          <w:b/>
          <w:bCs/>
          <w:color w:val="auto"/>
          <w:kern w:val="0"/>
          <w:highlight w:val="none"/>
        </w:rPr>
        <w:t>1</w:t>
      </w:r>
      <w:r>
        <w:rPr>
          <w:rFonts w:hint="eastAsia"/>
          <w:color w:val="auto"/>
          <w:kern w:val="0"/>
          <w:highlight w:val="none"/>
        </w:rPr>
        <w:t>　采用</w:t>
      </w:r>
      <w:r>
        <w:rPr>
          <w:color w:val="auto"/>
          <w:kern w:val="0"/>
          <w:highlight w:val="none"/>
        </w:rPr>
        <w:t>桩基础</w:t>
      </w:r>
      <w:r>
        <w:rPr>
          <w:rFonts w:hint="eastAsia"/>
          <w:color w:val="auto"/>
          <w:kern w:val="0"/>
          <w:highlight w:val="none"/>
        </w:rPr>
        <w:t>的桥梁勘察勘探点布置应符合</w:t>
      </w:r>
      <w:r>
        <w:rPr>
          <w:color w:val="auto"/>
          <w:kern w:val="0"/>
          <w:highlight w:val="none"/>
        </w:rPr>
        <w:t>表6.4.2</w:t>
      </w:r>
      <w:r>
        <w:rPr>
          <w:rFonts w:hint="eastAsia"/>
          <w:color w:val="auto"/>
          <w:kern w:val="0"/>
          <w:highlight w:val="none"/>
        </w:rPr>
        <w:t>的</w:t>
      </w:r>
      <w:r>
        <w:rPr>
          <w:rFonts w:hint="eastAsia"/>
          <w:color w:val="auto"/>
          <w:kern w:val="0"/>
          <w:highlight w:val="none"/>
          <w:lang w:val="en-US" w:eastAsia="zh-CN"/>
        </w:rPr>
        <w:t>规定</w:t>
      </w:r>
      <w:r>
        <w:rPr>
          <w:rFonts w:hint="eastAsia"/>
          <w:color w:val="auto"/>
          <w:kern w:val="0"/>
          <w:highlight w:val="none"/>
        </w:rPr>
        <w:t>；人行过街天桥主桥宜每座墩台布置1个勘探点；多桩桥墩勘探点，灌注桩不应少于桩数的1/3，预制桩不应少于桩数的1/10；多桩桥台勘探点，灌注桩不应少于桩数的1/6，预制桩不应少于桩数的1/20</w:t>
      </w:r>
      <w:r>
        <w:rPr>
          <w:rFonts w:hint="eastAsia"/>
          <w:color w:val="auto"/>
          <w:szCs w:val="21"/>
          <w:highlight w:val="none"/>
          <w:lang w:eastAsia="zh-CN"/>
        </w:rPr>
        <w:t>。</w:t>
      </w:r>
    </w:p>
    <w:p>
      <w:pPr>
        <w:spacing w:line="360" w:lineRule="auto"/>
        <w:jc w:val="center"/>
        <w:rPr>
          <w:b/>
          <w:bCs/>
          <w:color w:val="auto"/>
          <w:highlight w:val="none"/>
        </w:rPr>
      </w:pPr>
      <w:r>
        <w:rPr>
          <w:b/>
          <w:bCs/>
          <w:color w:val="auto"/>
          <w:highlight w:val="none"/>
        </w:rPr>
        <w:t>表6.4.2　</w:t>
      </w:r>
      <w:r>
        <w:rPr>
          <w:rFonts w:hint="eastAsia"/>
          <w:b/>
          <w:bCs/>
          <w:color w:val="auto"/>
          <w:highlight w:val="none"/>
        </w:rPr>
        <w:t>城市</w:t>
      </w:r>
      <w:r>
        <w:rPr>
          <w:b/>
          <w:bCs/>
          <w:color w:val="auto"/>
          <w:highlight w:val="none"/>
        </w:rPr>
        <w:t>桥梁桩基础详细勘察勘探点布置</w:t>
      </w:r>
    </w:p>
    <w:tbl>
      <w:tblPr>
        <w:tblStyle w:val="22"/>
        <w:tblW w:w="816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64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31" w:type="dxa"/>
            <w:noWrap/>
            <w:vAlign w:val="center"/>
          </w:tcPr>
          <w:p>
            <w:pPr>
              <w:spacing w:line="240" w:lineRule="atLeast"/>
              <w:jc w:val="center"/>
              <w:rPr>
                <w:color w:val="auto"/>
                <w:sz w:val="20"/>
                <w:szCs w:val="20"/>
                <w:highlight w:val="none"/>
              </w:rPr>
            </w:pPr>
            <w:bookmarkStart w:id="95" w:name="_Hlk68772552"/>
            <w:r>
              <w:rPr>
                <w:rFonts w:hint="eastAsia"/>
                <w:color w:val="auto"/>
                <w:sz w:val="20"/>
                <w:szCs w:val="20"/>
                <w:highlight w:val="none"/>
              </w:rPr>
              <w:t>工程重要性等级</w:t>
            </w:r>
          </w:p>
        </w:tc>
        <w:tc>
          <w:tcPr>
            <w:tcW w:w="6435" w:type="dxa"/>
            <w:noWrap/>
            <w:vAlign w:val="center"/>
          </w:tcPr>
          <w:p>
            <w:pPr>
              <w:spacing w:line="240" w:lineRule="atLeast"/>
              <w:jc w:val="center"/>
              <w:rPr>
                <w:color w:val="auto"/>
                <w:sz w:val="20"/>
                <w:szCs w:val="20"/>
                <w:highlight w:val="none"/>
              </w:rPr>
            </w:pPr>
            <w:r>
              <w:rPr>
                <w:rFonts w:hint="eastAsia"/>
                <w:color w:val="auto"/>
                <w:sz w:val="20"/>
                <w:szCs w:val="20"/>
                <w:highlight w:val="none"/>
              </w:rPr>
              <w:t>勘探点布置原则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1" w:type="dxa"/>
            <w:noWrap/>
            <w:vAlign w:val="center"/>
          </w:tcPr>
          <w:p>
            <w:pPr>
              <w:spacing w:line="240" w:lineRule="atLeast"/>
              <w:jc w:val="center"/>
              <w:rPr>
                <w:color w:val="auto"/>
                <w:sz w:val="20"/>
                <w:szCs w:val="20"/>
                <w:highlight w:val="none"/>
              </w:rPr>
            </w:pPr>
            <w:r>
              <w:rPr>
                <w:rFonts w:hint="eastAsia"/>
                <w:color w:val="auto"/>
                <w:sz w:val="20"/>
                <w:szCs w:val="20"/>
                <w:highlight w:val="none"/>
              </w:rPr>
              <w:t>一级</w:t>
            </w:r>
          </w:p>
        </w:tc>
        <w:tc>
          <w:tcPr>
            <w:tcW w:w="6435" w:type="dxa"/>
            <w:noWrap/>
            <w:vAlign w:val="center"/>
          </w:tcPr>
          <w:p>
            <w:pPr>
              <w:numPr>
                <w:ilvl w:val="0"/>
                <w:numId w:val="2"/>
              </w:numPr>
              <w:spacing w:line="240" w:lineRule="atLeast"/>
              <w:jc w:val="left"/>
              <w:rPr>
                <w:color w:val="auto"/>
                <w:sz w:val="20"/>
                <w:szCs w:val="20"/>
                <w:highlight w:val="none"/>
              </w:rPr>
            </w:pPr>
            <w:r>
              <w:rPr>
                <w:rFonts w:hint="eastAsia"/>
                <w:color w:val="auto"/>
                <w:sz w:val="20"/>
                <w:szCs w:val="20"/>
                <w:highlight w:val="none"/>
              </w:rPr>
              <w:t xml:space="preserve"> 应每座墩台布置不少于1个勘探点；</w:t>
            </w:r>
          </w:p>
          <w:p>
            <w:pPr>
              <w:numPr>
                <w:ilvl w:val="0"/>
                <w:numId w:val="2"/>
              </w:numPr>
              <w:spacing w:line="240" w:lineRule="atLeast"/>
              <w:jc w:val="left"/>
              <w:rPr>
                <w:color w:val="auto"/>
                <w:sz w:val="20"/>
                <w:szCs w:val="20"/>
                <w:highlight w:val="none"/>
              </w:rPr>
            </w:pPr>
            <w:r>
              <w:rPr>
                <w:rFonts w:hint="eastAsia"/>
                <w:color w:val="auto"/>
                <w:sz w:val="20"/>
                <w:szCs w:val="20"/>
                <w:highlight w:val="none"/>
              </w:rPr>
              <w:t xml:space="preserve"> 特大桥每一主桥墩不宜少于4 个；</w:t>
            </w:r>
          </w:p>
          <w:p>
            <w:pPr>
              <w:numPr>
                <w:ilvl w:val="0"/>
                <w:numId w:val="2"/>
              </w:numPr>
              <w:spacing w:line="240" w:lineRule="atLeast"/>
              <w:jc w:val="left"/>
              <w:rPr>
                <w:color w:val="auto"/>
                <w:sz w:val="20"/>
                <w:szCs w:val="20"/>
                <w:highlight w:val="none"/>
              </w:rPr>
            </w:pPr>
            <w:r>
              <w:rPr>
                <w:rFonts w:hint="eastAsia"/>
                <w:color w:val="auto"/>
                <w:sz w:val="20"/>
                <w:szCs w:val="20"/>
                <w:highlight w:val="none"/>
              </w:rPr>
              <w:t>灌注桩基础，每一主桥墩勘探点数不宜少于桩数的1/2；</w:t>
            </w:r>
          </w:p>
          <w:p>
            <w:pPr>
              <w:numPr>
                <w:ilvl w:val="0"/>
                <w:numId w:val="2"/>
              </w:numPr>
              <w:spacing w:line="240" w:lineRule="atLeast"/>
              <w:jc w:val="left"/>
              <w:rPr>
                <w:color w:val="auto"/>
                <w:sz w:val="20"/>
                <w:szCs w:val="20"/>
                <w:highlight w:val="none"/>
              </w:rPr>
            </w:pPr>
            <w:r>
              <w:rPr>
                <w:rFonts w:hint="eastAsia"/>
                <w:color w:val="auto"/>
                <w:sz w:val="20"/>
                <w:szCs w:val="20"/>
                <w:highlight w:val="none"/>
              </w:rPr>
              <w:t xml:space="preserve"> 对于高架桥、立交桥和引桥，上部结构为单孔跨径</w:t>
            </w:r>
            <w:r>
              <w:rPr>
                <w:rFonts w:hint="eastAsia"/>
                <w:i/>
                <w:iCs/>
                <w:color w:val="auto"/>
                <w:sz w:val="20"/>
                <w:szCs w:val="20"/>
                <w:highlight w:val="none"/>
              </w:rPr>
              <w:t>L</w:t>
            </w:r>
            <w:r>
              <w:rPr>
                <w:rFonts w:hint="eastAsia"/>
                <w:color w:val="auto"/>
                <w:sz w:val="20"/>
                <w:szCs w:val="20"/>
                <w:highlight w:val="none"/>
                <w:vertAlign w:val="subscript"/>
              </w:rPr>
              <w:t>k</w:t>
            </w:r>
            <w:r>
              <w:rPr>
                <w:color w:val="auto"/>
                <w:sz w:val="20"/>
                <w:szCs w:val="20"/>
                <w:highlight w:val="none"/>
              </w:rPr>
              <w:t>&lt;</w:t>
            </w:r>
            <w:r>
              <w:rPr>
                <w:rFonts w:hint="eastAsia"/>
                <w:color w:val="auto"/>
                <w:sz w:val="20"/>
                <w:szCs w:val="20"/>
                <w:highlight w:val="none"/>
              </w:rPr>
              <w:t>25m的简支梁桥或单孔跨径</w:t>
            </w:r>
            <w:r>
              <w:rPr>
                <w:rFonts w:hint="eastAsia"/>
                <w:i/>
                <w:iCs/>
                <w:color w:val="auto"/>
                <w:sz w:val="20"/>
                <w:szCs w:val="20"/>
                <w:highlight w:val="none"/>
              </w:rPr>
              <w:t>L</w:t>
            </w:r>
            <w:r>
              <w:rPr>
                <w:rFonts w:hint="eastAsia"/>
                <w:color w:val="auto"/>
                <w:sz w:val="20"/>
                <w:szCs w:val="20"/>
                <w:highlight w:val="none"/>
                <w:vertAlign w:val="subscript"/>
              </w:rPr>
              <w:t>k</w:t>
            </w:r>
            <w:r>
              <w:rPr>
                <w:color w:val="auto"/>
                <w:sz w:val="20"/>
                <w:szCs w:val="20"/>
                <w:highlight w:val="none"/>
              </w:rPr>
              <w:t>&lt;</w:t>
            </w:r>
            <w:r>
              <w:rPr>
                <w:rFonts w:hint="eastAsia"/>
                <w:color w:val="auto"/>
                <w:sz w:val="20"/>
                <w:szCs w:val="20"/>
                <w:highlight w:val="none"/>
              </w:rPr>
              <w:t>18m的连续梁桥时，在场地与岩土条件复杂程度等级为三级条件下可每隔1座墩台布置1个勘探点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731" w:type="dxa"/>
            <w:noWrap/>
            <w:vAlign w:val="center"/>
          </w:tcPr>
          <w:p>
            <w:pPr>
              <w:spacing w:line="240" w:lineRule="atLeast"/>
              <w:jc w:val="center"/>
              <w:rPr>
                <w:color w:val="auto"/>
                <w:sz w:val="20"/>
                <w:szCs w:val="20"/>
                <w:highlight w:val="none"/>
              </w:rPr>
            </w:pPr>
            <w:r>
              <w:rPr>
                <w:rFonts w:hint="eastAsia"/>
                <w:color w:val="auto"/>
                <w:sz w:val="20"/>
                <w:szCs w:val="20"/>
                <w:highlight w:val="none"/>
              </w:rPr>
              <w:t>二级</w:t>
            </w:r>
          </w:p>
        </w:tc>
        <w:tc>
          <w:tcPr>
            <w:tcW w:w="6435" w:type="dxa"/>
            <w:vAlign w:val="center"/>
          </w:tcPr>
          <w:p>
            <w:pPr>
              <w:spacing w:line="240" w:lineRule="atLeast"/>
              <w:jc w:val="left"/>
              <w:rPr>
                <w:color w:val="auto"/>
                <w:sz w:val="20"/>
                <w:szCs w:val="20"/>
                <w:highlight w:val="none"/>
              </w:rPr>
            </w:pPr>
            <w:r>
              <w:rPr>
                <w:rFonts w:hint="eastAsia"/>
                <w:color w:val="auto"/>
                <w:sz w:val="20"/>
                <w:szCs w:val="20"/>
                <w:highlight w:val="none"/>
              </w:rPr>
              <w:t>宜每个墩台布置1个勘探点，场地与岩土条件复杂程度等级为三级时可每隔1~2座墩台布置1个勘探点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731" w:type="dxa"/>
            <w:noWrap/>
            <w:vAlign w:val="center"/>
          </w:tcPr>
          <w:p>
            <w:pPr>
              <w:spacing w:line="240" w:lineRule="atLeast"/>
              <w:jc w:val="center"/>
              <w:rPr>
                <w:color w:val="auto"/>
                <w:sz w:val="20"/>
                <w:szCs w:val="20"/>
                <w:highlight w:val="none"/>
              </w:rPr>
            </w:pPr>
            <w:r>
              <w:rPr>
                <w:rFonts w:hint="eastAsia"/>
                <w:color w:val="auto"/>
                <w:sz w:val="20"/>
                <w:szCs w:val="20"/>
                <w:highlight w:val="none"/>
              </w:rPr>
              <w:t>三级</w:t>
            </w:r>
          </w:p>
        </w:tc>
        <w:tc>
          <w:tcPr>
            <w:tcW w:w="6435" w:type="dxa"/>
            <w:vAlign w:val="center"/>
          </w:tcPr>
          <w:p>
            <w:pPr>
              <w:spacing w:line="240" w:lineRule="atLeast"/>
              <w:jc w:val="left"/>
              <w:rPr>
                <w:color w:val="auto"/>
                <w:sz w:val="20"/>
                <w:szCs w:val="20"/>
                <w:highlight w:val="none"/>
              </w:rPr>
            </w:pPr>
            <w:r>
              <w:rPr>
                <w:rFonts w:hint="eastAsia"/>
                <w:color w:val="auto"/>
                <w:sz w:val="20"/>
                <w:szCs w:val="20"/>
                <w:highlight w:val="none"/>
              </w:rPr>
              <w:t>可每隔1~2座墩台布置1个勘探点</w:t>
            </w:r>
          </w:p>
        </w:tc>
      </w:tr>
      <w:bookmarkEnd w:id="95"/>
    </w:tbl>
    <w:p>
      <w:pPr>
        <w:snapToGrid w:val="0"/>
        <w:spacing w:line="360" w:lineRule="auto"/>
        <w:ind w:left="1050" w:leftChars="200" w:hanging="630" w:hangingChars="350"/>
        <w:jc w:val="left"/>
        <w:rPr>
          <w:color w:val="auto"/>
          <w:kern w:val="0"/>
          <w:sz w:val="18"/>
          <w:szCs w:val="20"/>
          <w:highlight w:val="none"/>
        </w:rPr>
      </w:pPr>
      <w:r>
        <w:rPr>
          <w:rFonts w:hint="eastAsia"/>
          <w:color w:val="auto"/>
          <w:kern w:val="0"/>
          <w:sz w:val="18"/>
          <w:szCs w:val="20"/>
          <w:highlight w:val="none"/>
        </w:rPr>
        <w:t>注：1　</w:t>
      </w:r>
      <w:r>
        <w:rPr>
          <w:color w:val="auto"/>
          <w:kern w:val="0"/>
          <w:sz w:val="18"/>
          <w:szCs w:val="20"/>
          <w:highlight w:val="none"/>
        </w:rPr>
        <w:t>遇</w:t>
      </w:r>
      <w:r>
        <w:rPr>
          <w:rFonts w:hint="eastAsia"/>
          <w:color w:val="auto"/>
          <w:sz w:val="18"/>
          <w:szCs w:val="18"/>
          <w:highlight w:val="none"/>
        </w:rPr>
        <w:t>断裂带</w:t>
      </w:r>
      <w:r>
        <w:rPr>
          <w:color w:val="auto"/>
          <w:kern w:val="0"/>
          <w:sz w:val="18"/>
          <w:szCs w:val="20"/>
          <w:highlight w:val="none"/>
        </w:rPr>
        <w:t>、软弱夹层、孤石、采空区等不良地质或地质条件复杂时，</w:t>
      </w:r>
      <w:r>
        <w:rPr>
          <w:rFonts w:hint="eastAsia"/>
          <w:color w:val="auto"/>
          <w:kern w:val="0"/>
          <w:sz w:val="18"/>
          <w:szCs w:val="20"/>
          <w:highlight w:val="none"/>
        </w:rPr>
        <w:t>宜</w:t>
      </w:r>
      <w:r>
        <w:rPr>
          <w:color w:val="auto"/>
          <w:kern w:val="0"/>
          <w:sz w:val="18"/>
          <w:szCs w:val="20"/>
          <w:highlight w:val="none"/>
        </w:rPr>
        <w:t>结合设计</w:t>
      </w:r>
      <w:r>
        <w:rPr>
          <w:rFonts w:hint="eastAsia"/>
          <w:color w:val="auto"/>
          <w:kern w:val="0"/>
          <w:sz w:val="18"/>
          <w:szCs w:val="20"/>
          <w:highlight w:val="none"/>
        </w:rPr>
        <w:t>加密</w:t>
      </w:r>
      <w:r>
        <w:rPr>
          <w:color w:val="auto"/>
          <w:kern w:val="0"/>
          <w:sz w:val="18"/>
          <w:szCs w:val="20"/>
          <w:highlight w:val="none"/>
        </w:rPr>
        <w:t>勘探点</w:t>
      </w:r>
      <w:r>
        <w:rPr>
          <w:rFonts w:hint="eastAsia"/>
          <w:color w:val="auto"/>
          <w:kern w:val="0"/>
          <w:sz w:val="18"/>
          <w:szCs w:val="20"/>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1058" w:leftChars="375" w:hanging="270" w:hangingChars="150"/>
        <w:textAlignment w:val="auto"/>
        <w:rPr>
          <w:color w:val="auto"/>
          <w:kern w:val="0"/>
          <w:sz w:val="18"/>
          <w:szCs w:val="18"/>
          <w:highlight w:val="none"/>
        </w:rPr>
      </w:pPr>
      <w:r>
        <w:rPr>
          <w:rFonts w:hint="eastAsia"/>
          <w:color w:val="auto"/>
          <w:kern w:val="0"/>
          <w:sz w:val="18"/>
          <w:szCs w:val="18"/>
          <w:highlight w:val="none"/>
        </w:rPr>
        <w:t>2　</w:t>
      </w:r>
      <w:r>
        <w:rPr>
          <w:color w:val="auto"/>
          <w:kern w:val="0"/>
          <w:sz w:val="18"/>
          <w:szCs w:val="18"/>
          <w:highlight w:val="none"/>
        </w:rPr>
        <w:t>岩</w:t>
      </w:r>
      <w:r>
        <w:rPr>
          <w:rFonts w:hint="eastAsia"/>
          <w:color w:val="auto"/>
          <w:kern w:val="0"/>
          <w:sz w:val="18"/>
          <w:szCs w:val="18"/>
          <w:highlight w:val="none"/>
        </w:rPr>
        <w:t>溶中等或强烈发育</w:t>
      </w:r>
      <w:r>
        <w:rPr>
          <w:color w:val="auto"/>
          <w:kern w:val="0"/>
          <w:sz w:val="18"/>
          <w:szCs w:val="18"/>
          <w:highlight w:val="none"/>
        </w:rPr>
        <w:t>区</w:t>
      </w:r>
      <w:r>
        <w:rPr>
          <w:rFonts w:hint="eastAsia"/>
          <w:color w:val="auto"/>
          <w:kern w:val="0"/>
          <w:sz w:val="18"/>
          <w:szCs w:val="18"/>
          <w:highlight w:val="none"/>
        </w:rPr>
        <w:t>，</w:t>
      </w:r>
      <w:r>
        <w:rPr>
          <w:color w:val="auto"/>
          <w:kern w:val="0"/>
          <w:sz w:val="18"/>
          <w:szCs w:val="18"/>
          <w:highlight w:val="none"/>
        </w:rPr>
        <w:t>应</w:t>
      </w:r>
      <w:r>
        <w:rPr>
          <w:rFonts w:hint="eastAsia"/>
          <w:color w:val="auto"/>
          <w:kern w:val="0"/>
          <w:sz w:val="18"/>
          <w:szCs w:val="18"/>
          <w:highlight w:val="none"/>
        </w:rPr>
        <w:t>在桩位确定后</w:t>
      </w:r>
      <w:r>
        <w:rPr>
          <w:color w:val="auto"/>
          <w:kern w:val="0"/>
          <w:sz w:val="18"/>
          <w:szCs w:val="18"/>
          <w:highlight w:val="none"/>
        </w:rPr>
        <w:t>布置勘探点</w:t>
      </w:r>
      <w:r>
        <w:rPr>
          <w:rFonts w:hint="eastAsia"/>
          <w:color w:val="auto"/>
          <w:kern w:val="0"/>
          <w:sz w:val="18"/>
          <w:szCs w:val="18"/>
          <w:highlight w:val="none"/>
        </w:rPr>
        <w:t>，灌注桩宜每桩不少于1个勘探点，预制桩</w:t>
      </w:r>
      <w:r>
        <w:rPr>
          <w:color w:val="auto"/>
          <w:kern w:val="0"/>
          <w:sz w:val="18"/>
          <w:szCs w:val="18"/>
          <w:highlight w:val="none"/>
        </w:rPr>
        <w:t>勘探点</w:t>
      </w:r>
      <w:r>
        <w:rPr>
          <w:rFonts w:hint="eastAsia"/>
          <w:color w:val="auto"/>
          <w:kern w:val="0"/>
          <w:sz w:val="18"/>
          <w:szCs w:val="18"/>
          <w:highlight w:val="none"/>
        </w:rPr>
        <w:t>不宜少于桩数的1/5</w:t>
      </w:r>
      <w:r>
        <w:rPr>
          <w:color w:val="auto"/>
          <w:kern w:val="0"/>
          <w:sz w:val="18"/>
          <w:szCs w:val="18"/>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1058" w:leftChars="375" w:hanging="270" w:hangingChars="150"/>
        <w:jc w:val="left"/>
        <w:textAlignment w:val="auto"/>
        <w:rPr>
          <w:color w:val="auto"/>
          <w:kern w:val="0"/>
          <w:sz w:val="18"/>
          <w:szCs w:val="18"/>
          <w:highlight w:val="none"/>
        </w:rPr>
      </w:pPr>
      <w:r>
        <w:rPr>
          <w:rFonts w:hint="eastAsia"/>
          <w:color w:val="auto"/>
          <w:kern w:val="0"/>
          <w:sz w:val="18"/>
          <w:szCs w:val="18"/>
          <w:highlight w:val="none"/>
        </w:rPr>
        <w:t>3　</w:t>
      </w:r>
      <w:r>
        <w:rPr>
          <w:color w:val="auto"/>
          <w:kern w:val="0"/>
          <w:sz w:val="18"/>
          <w:szCs w:val="18"/>
          <w:highlight w:val="none"/>
        </w:rPr>
        <w:t>当</w:t>
      </w:r>
      <w:r>
        <w:rPr>
          <w:rFonts w:hint="eastAsia"/>
          <w:color w:val="auto"/>
          <w:sz w:val="18"/>
          <w:szCs w:val="18"/>
          <w:highlight w:val="none"/>
        </w:rPr>
        <w:t>邻近</w:t>
      </w:r>
      <w:r>
        <w:rPr>
          <w:rFonts w:hint="eastAsia"/>
          <w:color w:val="auto"/>
          <w:kern w:val="0"/>
          <w:sz w:val="18"/>
          <w:szCs w:val="18"/>
          <w:highlight w:val="none"/>
        </w:rPr>
        <w:t>地铁</w:t>
      </w:r>
      <w:r>
        <w:rPr>
          <w:color w:val="auto"/>
          <w:kern w:val="0"/>
          <w:sz w:val="18"/>
          <w:szCs w:val="18"/>
          <w:highlight w:val="none"/>
        </w:rPr>
        <w:t>、</w:t>
      </w:r>
      <w:r>
        <w:rPr>
          <w:rFonts w:hint="eastAsia"/>
          <w:color w:val="auto"/>
          <w:sz w:val="18"/>
          <w:szCs w:val="18"/>
          <w:highlight w:val="none"/>
        </w:rPr>
        <w:t>地下室</w:t>
      </w:r>
      <w:r>
        <w:rPr>
          <w:color w:val="auto"/>
          <w:kern w:val="0"/>
          <w:sz w:val="18"/>
          <w:szCs w:val="18"/>
          <w:highlight w:val="none"/>
        </w:rPr>
        <w:t>等重要建筑物时，宜在桩位确定后布置勘探点</w:t>
      </w:r>
      <w:r>
        <w:rPr>
          <w:rFonts w:hint="eastAsia"/>
          <w:color w:val="auto"/>
          <w:kern w:val="0"/>
          <w:sz w:val="18"/>
          <w:szCs w:val="18"/>
          <w:highlight w:val="none"/>
        </w:rPr>
        <w:t>，灌注桩宜每桩不少于1个勘探点，预制桩</w:t>
      </w:r>
      <w:r>
        <w:rPr>
          <w:color w:val="auto"/>
          <w:kern w:val="0"/>
          <w:sz w:val="18"/>
          <w:szCs w:val="18"/>
          <w:highlight w:val="none"/>
        </w:rPr>
        <w:t>勘探点</w:t>
      </w:r>
      <w:r>
        <w:rPr>
          <w:rFonts w:hint="eastAsia"/>
          <w:color w:val="auto"/>
          <w:kern w:val="0"/>
          <w:sz w:val="18"/>
          <w:szCs w:val="18"/>
          <w:highlight w:val="none"/>
        </w:rPr>
        <w:t>不宜少于桩数的1/5。</w:t>
      </w:r>
    </w:p>
    <w:p>
      <w:pPr>
        <w:autoSpaceDE w:val="0"/>
        <w:autoSpaceDN w:val="0"/>
        <w:adjustRightInd w:val="0"/>
        <w:spacing w:line="360" w:lineRule="auto"/>
        <w:ind w:firstLine="422" w:firstLineChars="200"/>
        <w:jc w:val="left"/>
        <w:rPr>
          <w:color w:val="auto"/>
          <w:kern w:val="0"/>
          <w:szCs w:val="21"/>
          <w:highlight w:val="none"/>
        </w:rPr>
      </w:pPr>
      <w:r>
        <w:rPr>
          <w:b/>
          <w:bCs/>
          <w:color w:val="auto"/>
          <w:kern w:val="0"/>
          <w:highlight w:val="none"/>
        </w:rPr>
        <w:t>2</w:t>
      </w:r>
      <w:r>
        <w:rPr>
          <w:rFonts w:hint="eastAsia"/>
          <w:color w:val="auto"/>
          <w:kern w:val="0"/>
          <w:highlight w:val="none"/>
        </w:rPr>
        <w:t>　</w:t>
      </w:r>
      <w:r>
        <w:rPr>
          <w:rFonts w:hint="eastAsia"/>
          <w:color w:val="auto"/>
          <w:highlight w:val="none"/>
        </w:rPr>
        <w:t>浅</w:t>
      </w:r>
      <w:r>
        <w:rPr>
          <w:color w:val="auto"/>
          <w:kern w:val="0"/>
          <w:highlight w:val="none"/>
        </w:rPr>
        <w:t>基础</w:t>
      </w:r>
      <w:r>
        <w:rPr>
          <w:rFonts w:hint="eastAsia"/>
          <w:color w:val="auto"/>
          <w:kern w:val="0"/>
          <w:highlight w:val="none"/>
        </w:rPr>
        <w:t>或沉井基础</w:t>
      </w:r>
      <w:r>
        <w:rPr>
          <w:color w:val="auto"/>
          <w:kern w:val="0"/>
          <w:highlight w:val="none"/>
        </w:rPr>
        <w:t>的</w:t>
      </w:r>
      <w:r>
        <w:rPr>
          <w:rFonts w:hint="eastAsia"/>
          <w:color w:val="auto"/>
          <w:kern w:val="0"/>
          <w:highlight w:val="none"/>
        </w:rPr>
        <w:t>桥梁</w:t>
      </w:r>
      <w:r>
        <w:rPr>
          <w:color w:val="auto"/>
          <w:kern w:val="0"/>
          <w:highlight w:val="none"/>
        </w:rPr>
        <w:t>，宜</w:t>
      </w:r>
      <w:r>
        <w:rPr>
          <w:rFonts w:hint="eastAsia"/>
          <w:color w:val="auto"/>
          <w:kern w:val="0"/>
          <w:highlight w:val="none"/>
        </w:rPr>
        <w:t>每座墩台布置不少于1个勘探点，勘探点间距宜为10m</w:t>
      </w:r>
      <w:r>
        <w:rPr>
          <w:color w:val="auto"/>
          <w:szCs w:val="21"/>
          <w:highlight w:val="none"/>
          <w:shd w:val="clear" w:color="auto" w:fill="FFFFFF"/>
        </w:rPr>
        <w:t>～</w:t>
      </w:r>
      <w:r>
        <w:rPr>
          <w:rFonts w:hint="eastAsia"/>
          <w:color w:val="auto"/>
          <w:kern w:val="0"/>
          <w:highlight w:val="none"/>
        </w:rPr>
        <w:t>20m</w:t>
      </w:r>
      <w:r>
        <w:rPr>
          <w:rFonts w:hint="eastAsia"/>
          <w:color w:val="auto"/>
          <w:szCs w:val="21"/>
          <w:highlight w:val="none"/>
          <w:lang w:eastAsia="zh-CN"/>
        </w:rPr>
        <w:t>；</w:t>
      </w:r>
    </w:p>
    <w:p>
      <w:pPr>
        <w:autoSpaceDE w:val="0"/>
        <w:autoSpaceDN w:val="0"/>
        <w:adjustRightInd w:val="0"/>
        <w:spacing w:line="360" w:lineRule="auto"/>
        <w:ind w:firstLine="422" w:firstLineChars="200"/>
        <w:jc w:val="left"/>
        <w:rPr>
          <w:color w:val="auto"/>
          <w:kern w:val="0"/>
          <w:highlight w:val="none"/>
        </w:rPr>
      </w:pPr>
      <w:r>
        <w:rPr>
          <w:b/>
          <w:bCs/>
          <w:color w:val="auto"/>
          <w:kern w:val="0"/>
          <w:highlight w:val="none"/>
        </w:rPr>
        <w:t>3</w:t>
      </w:r>
      <w:r>
        <w:rPr>
          <w:rFonts w:hint="eastAsia"/>
          <w:color w:val="auto"/>
          <w:kern w:val="0"/>
          <w:highlight w:val="none"/>
        </w:rPr>
        <w:t>　</w:t>
      </w:r>
      <w:r>
        <w:rPr>
          <w:color w:val="auto"/>
          <w:kern w:val="0"/>
          <w:highlight w:val="none"/>
        </w:rPr>
        <w:t>悬索桥和斜拉桥的桥塔、锚碇基础、高墩基础</w:t>
      </w:r>
      <w:r>
        <w:rPr>
          <w:rFonts w:hint="eastAsia"/>
          <w:color w:val="auto"/>
          <w:kern w:val="0"/>
          <w:highlight w:val="none"/>
        </w:rPr>
        <w:t>的勘探点</w:t>
      </w:r>
      <w:r>
        <w:rPr>
          <w:color w:val="auto"/>
          <w:kern w:val="0"/>
          <w:highlight w:val="none"/>
        </w:rPr>
        <w:t>，</w:t>
      </w:r>
      <w:r>
        <w:rPr>
          <w:rFonts w:hint="eastAsia"/>
          <w:color w:val="auto"/>
          <w:kern w:val="0"/>
          <w:highlight w:val="none"/>
        </w:rPr>
        <w:t>宜</w:t>
      </w:r>
      <w:r>
        <w:rPr>
          <w:color w:val="auto"/>
          <w:kern w:val="0"/>
          <w:highlight w:val="none"/>
        </w:rPr>
        <w:t>根据其外形</w:t>
      </w:r>
      <w:r>
        <w:rPr>
          <w:rFonts w:hint="eastAsia"/>
          <w:color w:val="auto"/>
          <w:kern w:val="0"/>
          <w:highlight w:val="none"/>
        </w:rPr>
        <w:t>对称</w:t>
      </w:r>
      <w:r>
        <w:rPr>
          <w:color w:val="auto"/>
          <w:kern w:val="0"/>
          <w:highlight w:val="none"/>
        </w:rPr>
        <w:t>布置</w:t>
      </w:r>
      <w:r>
        <w:rPr>
          <w:rFonts w:hint="eastAsia"/>
          <w:color w:val="auto"/>
          <w:kern w:val="0"/>
          <w:highlight w:val="none"/>
        </w:rPr>
        <w:t>于边缘，优先布置于角点</w:t>
      </w:r>
      <w:r>
        <w:rPr>
          <w:color w:val="auto"/>
          <w:kern w:val="0"/>
          <w:highlight w:val="none"/>
        </w:rPr>
        <w:t>，</w:t>
      </w:r>
      <w:r>
        <w:rPr>
          <w:rFonts w:hint="eastAsia"/>
          <w:color w:val="auto"/>
          <w:kern w:val="0"/>
          <w:highlight w:val="none"/>
        </w:rPr>
        <w:t>可在中心布置勘探点；情况复杂时，</w:t>
      </w:r>
      <w:r>
        <w:rPr>
          <w:color w:val="auto"/>
          <w:kern w:val="0"/>
          <w:highlight w:val="none"/>
        </w:rPr>
        <w:t>按设计要求研究后布置</w:t>
      </w:r>
      <w:r>
        <w:rPr>
          <w:rFonts w:hint="eastAsia"/>
          <w:color w:val="auto"/>
          <w:szCs w:val="21"/>
          <w:highlight w:val="none"/>
          <w:lang w:eastAsia="zh-CN"/>
        </w:rPr>
        <w:t>；</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4</w:t>
      </w:r>
      <w:r>
        <w:rPr>
          <w:rFonts w:hint="eastAsia"/>
          <w:color w:val="auto"/>
          <w:kern w:val="0"/>
          <w:highlight w:val="none"/>
        </w:rPr>
        <w:t>　单座涵洞的勘探点数不宜少于2个，勘探点间距宜为20m</w:t>
      </w:r>
      <w:r>
        <w:rPr>
          <w:color w:val="auto"/>
          <w:szCs w:val="21"/>
          <w:highlight w:val="none"/>
          <w:shd w:val="clear" w:color="auto" w:fill="FFFFFF"/>
        </w:rPr>
        <w:t>～</w:t>
      </w:r>
      <w:r>
        <w:rPr>
          <w:rFonts w:hint="eastAsia"/>
          <w:color w:val="auto"/>
          <w:kern w:val="0"/>
          <w:highlight w:val="none"/>
        </w:rPr>
        <w:t>30m</w:t>
      </w:r>
      <w:r>
        <w:rPr>
          <w:rFonts w:hint="eastAsia"/>
          <w:color w:val="auto"/>
          <w:szCs w:val="21"/>
          <w:highlight w:val="none"/>
          <w:lang w:eastAsia="zh-CN"/>
        </w:rPr>
        <w:t>；</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5</w:t>
      </w:r>
      <w:r>
        <w:rPr>
          <w:rFonts w:hint="eastAsia"/>
          <w:color w:val="auto"/>
          <w:kern w:val="0"/>
          <w:highlight w:val="none"/>
        </w:rPr>
        <w:t>　人行过街天桥梯脚部位应布置勘探点。</w:t>
      </w:r>
    </w:p>
    <w:p>
      <w:pPr>
        <w:autoSpaceDE w:val="0"/>
        <w:autoSpaceDN w:val="0"/>
        <w:adjustRightInd w:val="0"/>
        <w:spacing w:line="360" w:lineRule="auto"/>
        <w:jc w:val="left"/>
        <w:rPr>
          <w:color w:val="auto"/>
          <w:kern w:val="0"/>
          <w:highlight w:val="none"/>
        </w:rPr>
      </w:pPr>
      <w:r>
        <w:rPr>
          <w:b/>
          <w:bCs/>
          <w:color w:val="auto"/>
          <w:highlight w:val="none"/>
        </w:rPr>
        <w:t>6.4.3</w:t>
      </w:r>
      <w:r>
        <w:rPr>
          <w:rFonts w:hint="eastAsia"/>
          <w:color w:val="auto"/>
          <w:highlight w:val="none"/>
        </w:rPr>
        <w:t>　</w:t>
      </w:r>
      <w:r>
        <w:rPr>
          <w:color w:val="auto"/>
          <w:kern w:val="0"/>
          <w:highlight w:val="none"/>
        </w:rPr>
        <w:t>详细勘察勘探孔深度应</w:t>
      </w:r>
      <w:r>
        <w:rPr>
          <w:rFonts w:hint="eastAsia"/>
          <w:color w:val="auto"/>
          <w:kern w:val="0"/>
          <w:highlight w:val="none"/>
        </w:rPr>
        <w:t>符合下列规定</w:t>
      </w:r>
      <w:r>
        <w:rPr>
          <w:color w:val="auto"/>
          <w:kern w:val="0"/>
          <w:highlight w:val="none"/>
        </w:rPr>
        <w:t>：</w:t>
      </w:r>
    </w:p>
    <w:p>
      <w:pPr>
        <w:autoSpaceDE w:val="0"/>
        <w:autoSpaceDN w:val="0"/>
        <w:adjustRightInd w:val="0"/>
        <w:spacing w:line="360" w:lineRule="auto"/>
        <w:ind w:firstLine="422" w:firstLineChars="200"/>
        <w:jc w:val="left"/>
        <w:rPr>
          <w:color w:val="auto"/>
          <w:kern w:val="0"/>
          <w:highlight w:val="none"/>
        </w:rPr>
      </w:pPr>
      <w:r>
        <w:rPr>
          <w:b/>
          <w:bCs/>
          <w:color w:val="auto"/>
          <w:kern w:val="0"/>
          <w:highlight w:val="none"/>
        </w:rPr>
        <w:t>1</w:t>
      </w:r>
      <w:r>
        <w:rPr>
          <w:rFonts w:hint="eastAsia"/>
          <w:b/>
          <w:bCs/>
          <w:color w:val="auto"/>
          <w:kern w:val="0"/>
          <w:highlight w:val="none"/>
        </w:rPr>
        <w:t>　</w:t>
      </w:r>
      <w:r>
        <w:rPr>
          <w:color w:val="auto"/>
          <w:kern w:val="0"/>
          <w:highlight w:val="none"/>
        </w:rPr>
        <w:t>当拟采用</w:t>
      </w:r>
      <w:r>
        <w:rPr>
          <w:color w:val="auto"/>
          <w:highlight w:val="none"/>
        </w:rPr>
        <w:t>浅基础</w:t>
      </w:r>
      <w:r>
        <w:rPr>
          <w:color w:val="auto"/>
          <w:kern w:val="0"/>
          <w:highlight w:val="none"/>
        </w:rPr>
        <w:t>时，</w:t>
      </w:r>
      <w:r>
        <w:rPr>
          <w:rFonts w:hint="eastAsia"/>
          <w:color w:val="auto"/>
          <w:kern w:val="0"/>
          <w:highlight w:val="none"/>
        </w:rPr>
        <w:t>一般性</w:t>
      </w:r>
      <w:r>
        <w:rPr>
          <w:color w:val="auto"/>
          <w:kern w:val="0"/>
          <w:highlight w:val="none"/>
        </w:rPr>
        <w:t>勘探孔应达到基底下</w:t>
      </w:r>
      <w:r>
        <w:rPr>
          <w:rFonts w:hint="eastAsia"/>
          <w:color w:val="auto"/>
          <w:kern w:val="0"/>
          <w:highlight w:val="none"/>
        </w:rPr>
        <w:t>（</w:t>
      </w:r>
      <w:r>
        <w:rPr>
          <w:color w:val="auto"/>
          <w:kern w:val="0"/>
          <w:highlight w:val="none"/>
        </w:rPr>
        <w:t>1.5～2.0</w:t>
      </w:r>
      <w:r>
        <w:rPr>
          <w:rFonts w:hint="eastAsia"/>
          <w:color w:val="auto"/>
          <w:kern w:val="0"/>
          <w:highlight w:val="none"/>
        </w:rPr>
        <w:t>）</w:t>
      </w:r>
      <w:r>
        <w:rPr>
          <w:color w:val="auto"/>
          <w:kern w:val="0"/>
          <w:highlight w:val="none"/>
        </w:rPr>
        <w:t>倍基础宽度且不应小于基底下10m</w:t>
      </w:r>
      <w:r>
        <w:rPr>
          <w:rFonts w:hint="eastAsia"/>
          <w:color w:val="auto"/>
          <w:kern w:val="0"/>
          <w:highlight w:val="none"/>
        </w:rPr>
        <w:t>，控制性勘探孔还</w:t>
      </w:r>
      <w:r>
        <w:rPr>
          <w:color w:val="auto"/>
          <w:kern w:val="0"/>
          <w:highlight w:val="none"/>
        </w:rPr>
        <w:t>应超过地基变形计算深度</w:t>
      </w:r>
      <w:r>
        <w:rPr>
          <w:rFonts w:hint="eastAsia"/>
          <w:color w:val="auto"/>
          <w:kern w:val="0"/>
          <w:highlight w:val="none"/>
        </w:rPr>
        <w:t>；</w:t>
      </w:r>
      <w:r>
        <w:rPr>
          <w:color w:val="auto"/>
          <w:kern w:val="0"/>
          <w:highlight w:val="none"/>
        </w:rPr>
        <w:t>在预定深度内遇到基岩或厚层碎石土等稳定地层时，勘探孔深度</w:t>
      </w:r>
      <w:r>
        <w:rPr>
          <w:rFonts w:hint="eastAsia"/>
          <w:color w:val="auto"/>
          <w:kern w:val="0"/>
          <w:highlight w:val="none"/>
        </w:rPr>
        <w:t>可</w:t>
      </w:r>
      <w:r>
        <w:rPr>
          <w:color w:val="auto"/>
          <w:kern w:val="0"/>
          <w:highlight w:val="none"/>
        </w:rPr>
        <w:t>适当减</w:t>
      </w:r>
      <w:r>
        <w:rPr>
          <w:rFonts w:hint="eastAsia"/>
          <w:color w:val="auto"/>
          <w:kern w:val="0"/>
          <w:highlight w:val="none"/>
        </w:rPr>
        <w:t>小</w:t>
      </w:r>
      <w:r>
        <w:rPr>
          <w:color w:val="auto"/>
          <w:kern w:val="0"/>
          <w:highlight w:val="none"/>
        </w:rPr>
        <w:t>；</w:t>
      </w:r>
    </w:p>
    <w:p>
      <w:pPr>
        <w:autoSpaceDE w:val="0"/>
        <w:autoSpaceDN w:val="0"/>
        <w:adjustRightInd w:val="0"/>
        <w:spacing w:line="360" w:lineRule="auto"/>
        <w:ind w:firstLine="422" w:firstLineChars="200"/>
        <w:jc w:val="left"/>
        <w:rPr>
          <w:color w:val="auto"/>
          <w:kern w:val="0"/>
          <w:highlight w:val="none"/>
        </w:rPr>
      </w:pPr>
      <w:r>
        <w:rPr>
          <w:b/>
          <w:bCs/>
          <w:color w:val="auto"/>
          <w:kern w:val="0"/>
          <w:highlight w:val="none"/>
        </w:rPr>
        <w:t>2</w:t>
      </w:r>
      <w:r>
        <w:rPr>
          <w:rFonts w:hint="eastAsia"/>
          <w:b/>
          <w:bCs/>
          <w:color w:val="auto"/>
          <w:kern w:val="0"/>
          <w:highlight w:val="none"/>
        </w:rPr>
        <w:t>　</w:t>
      </w:r>
      <w:r>
        <w:rPr>
          <w:color w:val="auto"/>
          <w:kern w:val="0"/>
          <w:highlight w:val="none"/>
        </w:rPr>
        <w:t>当拟</w:t>
      </w:r>
      <w:r>
        <w:rPr>
          <w:color w:val="auto"/>
          <w:highlight w:val="none"/>
        </w:rPr>
        <w:t>采用</w:t>
      </w:r>
      <w:r>
        <w:rPr>
          <w:color w:val="auto"/>
          <w:kern w:val="0"/>
          <w:highlight w:val="none"/>
        </w:rPr>
        <w:t>桩基础时，</w:t>
      </w:r>
      <w:r>
        <w:rPr>
          <w:rFonts w:hint="eastAsia"/>
          <w:color w:val="auto"/>
          <w:kern w:val="0"/>
          <w:highlight w:val="none"/>
        </w:rPr>
        <w:t>控制性</w:t>
      </w:r>
      <w:r>
        <w:rPr>
          <w:color w:val="auto"/>
          <w:kern w:val="0"/>
          <w:highlight w:val="none"/>
        </w:rPr>
        <w:t>勘探孔深度</w:t>
      </w:r>
      <w:r>
        <w:rPr>
          <w:rFonts w:hint="eastAsia"/>
          <w:color w:val="auto"/>
          <w:kern w:val="0"/>
          <w:highlight w:val="none"/>
        </w:rPr>
        <w:t>应</w:t>
      </w:r>
      <w:r>
        <w:rPr>
          <w:color w:val="auto"/>
          <w:kern w:val="0"/>
          <w:highlight w:val="none"/>
        </w:rPr>
        <w:t>穿透</w:t>
      </w:r>
      <w:r>
        <w:rPr>
          <w:rFonts w:hint="eastAsia"/>
          <w:color w:val="auto"/>
          <w:kern w:val="0"/>
          <w:highlight w:val="none"/>
        </w:rPr>
        <w:t>预计</w:t>
      </w:r>
      <w:r>
        <w:rPr>
          <w:color w:val="auto"/>
          <w:kern w:val="0"/>
          <w:highlight w:val="none"/>
        </w:rPr>
        <w:t>桩端平面以下压缩层</w:t>
      </w:r>
      <w:r>
        <w:rPr>
          <w:rFonts w:hint="eastAsia"/>
          <w:color w:val="auto"/>
          <w:kern w:val="0"/>
          <w:highlight w:val="none"/>
        </w:rPr>
        <w:t>，</w:t>
      </w:r>
      <w:r>
        <w:rPr>
          <w:color w:val="auto"/>
          <w:kern w:val="0"/>
          <w:highlight w:val="none"/>
        </w:rPr>
        <w:t>满足沉降计算和下卧层验算的要求</w:t>
      </w:r>
      <w:r>
        <w:rPr>
          <w:rFonts w:hint="eastAsia"/>
          <w:color w:val="auto"/>
          <w:kern w:val="0"/>
          <w:highlight w:val="none"/>
        </w:rPr>
        <w:t>，一般性勘探孔</w:t>
      </w:r>
      <w:r>
        <w:rPr>
          <w:rFonts w:hint="eastAsia"/>
          <w:color w:val="auto"/>
          <w:kern w:val="0"/>
          <w:highlight w:val="none"/>
          <w:lang w:val="en-US" w:eastAsia="zh-CN"/>
        </w:rPr>
        <w:t>宜</w:t>
      </w:r>
      <w:r>
        <w:rPr>
          <w:rFonts w:hint="eastAsia"/>
          <w:color w:val="auto"/>
          <w:kern w:val="0"/>
          <w:highlight w:val="none"/>
        </w:rPr>
        <w:t>达到</w:t>
      </w:r>
      <w:r>
        <w:rPr>
          <w:rFonts w:hint="eastAsia"/>
          <w:color w:val="auto"/>
          <w:kern w:val="0"/>
          <w:highlight w:val="none"/>
          <w:lang w:val="en-US" w:eastAsia="zh-CN"/>
        </w:rPr>
        <w:t>预计</w:t>
      </w:r>
      <w:r>
        <w:rPr>
          <w:rFonts w:hint="eastAsia"/>
          <w:color w:val="auto"/>
          <w:kern w:val="0"/>
          <w:highlight w:val="none"/>
        </w:rPr>
        <w:t>桩端以下不小于3倍桩径</w:t>
      </w:r>
      <w:r>
        <w:rPr>
          <w:rFonts w:hint="eastAsia"/>
          <w:color w:val="auto"/>
          <w:kern w:val="0"/>
          <w:highlight w:val="none"/>
          <w:lang w:eastAsia="zh-CN"/>
        </w:rPr>
        <w:t>，</w:t>
      </w:r>
      <w:r>
        <w:rPr>
          <w:rFonts w:hint="eastAsia"/>
          <w:color w:val="auto"/>
          <w:kern w:val="0"/>
          <w:highlight w:val="none"/>
        </w:rPr>
        <w:t>且不小于5m；嵌岩桩勘探孔应</w:t>
      </w:r>
      <w:r>
        <w:rPr>
          <w:color w:val="auto"/>
          <w:highlight w:val="none"/>
        </w:rPr>
        <w:t>达到预计桩端以下</w:t>
      </w:r>
      <w:r>
        <w:rPr>
          <w:rFonts w:hint="eastAsia"/>
          <w:color w:val="auto"/>
          <w:highlight w:val="none"/>
        </w:rPr>
        <w:t>基岩不小于</w:t>
      </w:r>
      <w:r>
        <w:rPr>
          <w:color w:val="auto"/>
          <w:highlight w:val="none"/>
        </w:rPr>
        <w:t>3倍桩径，且不应小于5m</w:t>
      </w:r>
      <w:r>
        <w:rPr>
          <w:rFonts w:hint="eastAsia"/>
          <w:color w:val="auto"/>
          <w:kern w:val="0"/>
          <w:highlight w:val="none"/>
        </w:rPr>
        <w:t>；嵌岩桩勘探孔遇溶洞、采空区、破碎带、软弱夹层等，超过一定深度尚无法满足上述要求时，宜按摩擦桩估算桩长，并应达到预估桩端以下稳定岩层一定深度；</w:t>
      </w:r>
    </w:p>
    <w:p>
      <w:pPr>
        <w:autoSpaceDE w:val="0"/>
        <w:autoSpaceDN w:val="0"/>
        <w:adjustRightInd w:val="0"/>
        <w:spacing w:line="360" w:lineRule="auto"/>
        <w:ind w:firstLine="422" w:firstLineChars="200"/>
        <w:jc w:val="left"/>
        <w:rPr>
          <w:color w:val="auto"/>
          <w:kern w:val="0"/>
          <w:highlight w:val="none"/>
        </w:rPr>
      </w:pPr>
      <w:r>
        <w:rPr>
          <w:b/>
          <w:bCs/>
          <w:color w:val="auto"/>
          <w:kern w:val="0"/>
          <w:highlight w:val="none"/>
        </w:rPr>
        <w:t>3</w:t>
      </w:r>
      <w:r>
        <w:rPr>
          <w:rFonts w:hint="eastAsia"/>
          <w:b/>
          <w:bCs/>
          <w:color w:val="auto"/>
          <w:kern w:val="0"/>
          <w:highlight w:val="none"/>
        </w:rPr>
        <w:t>　</w:t>
      </w:r>
      <w:r>
        <w:rPr>
          <w:color w:val="auto"/>
          <w:kern w:val="0"/>
          <w:highlight w:val="none"/>
        </w:rPr>
        <w:t>当拟采用沉井基础时，勘探孔深度应根据沉井刃脚埋深和地质条件确定，宜达到沉井刃脚以下0.5 倍～1倍沉井直径或宽度，</w:t>
      </w:r>
      <w:r>
        <w:rPr>
          <w:rFonts w:hint="eastAsia"/>
          <w:color w:val="auto"/>
          <w:kern w:val="0"/>
          <w:highlight w:val="none"/>
        </w:rPr>
        <w:t>且</w:t>
      </w:r>
      <w:r>
        <w:rPr>
          <w:color w:val="auto"/>
          <w:kern w:val="0"/>
          <w:highlight w:val="none"/>
        </w:rPr>
        <w:t>不应小于5m；</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4</w:t>
      </w:r>
      <w:r>
        <w:rPr>
          <w:rFonts w:hint="eastAsia"/>
          <w:color w:val="auto"/>
          <w:kern w:val="0"/>
          <w:highlight w:val="none"/>
        </w:rPr>
        <w:t>　临</w:t>
      </w:r>
      <w:r>
        <w:rPr>
          <w:color w:val="auto"/>
          <w:kern w:val="0"/>
          <w:highlight w:val="none"/>
        </w:rPr>
        <w:t>近地铁、地下室等重要建筑物时，</w:t>
      </w:r>
      <w:r>
        <w:rPr>
          <w:rFonts w:hint="eastAsia"/>
          <w:color w:val="auto"/>
          <w:kern w:val="0"/>
          <w:highlight w:val="none"/>
        </w:rPr>
        <w:t>勘探</w:t>
      </w:r>
      <w:r>
        <w:rPr>
          <w:color w:val="auto"/>
          <w:kern w:val="0"/>
          <w:highlight w:val="none"/>
        </w:rPr>
        <w:t>孔宜适当加深。</w:t>
      </w:r>
    </w:p>
    <w:p>
      <w:pPr>
        <w:autoSpaceDE w:val="0"/>
        <w:autoSpaceDN w:val="0"/>
        <w:adjustRightInd w:val="0"/>
        <w:spacing w:line="360" w:lineRule="auto"/>
        <w:jc w:val="left"/>
        <w:rPr>
          <w:color w:val="auto"/>
          <w:kern w:val="0"/>
          <w:highlight w:val="none"/>
        </w:rPr>
      </w:pPr>
      <w:r>
        <w:rPr>
          <w:b/>
          <w:bCs/>
          <w:color w:val="auto"/>
          <w:highlight w:val="none"/>
        </w:rPr>
        <w:t>6.4.4</w:t>
      </w:r>
      <w:r>
        <w:rPr>
          <w:rFonts w:hint="eastAsia"/>
          <w:color w:val="auto"/>
          <w:highlight w:val="none"/>
        </w:rPr>
        <w:t>　</w:t>
      </w:r>
      <w:r>
        <w:rPr>
          <w:color w:val="auto"/>
          <w:kern w:val="0"/>
          <w:highlight w:val="none"/>
        </w:rPr>
        <w:t>详细勘察</w:t>
      </w:r>
      <w:r>
        <w:rPr>
          <w:color w:val="auto"/>
          <w:highlight w:val="none"/>
        </w:rPr>
        <w:t>应重点分析评价下列内容：</w:t>
      </w:r>
    </w:p>
    <w:p>
      <w:pPr>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评价场地与地基的地震效应；</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2</w:t>
      </w:r>
      <w:r>
        <w:rPr>
          <w:rFonts w:hint="eastAsia"/>
          <w:color w:val="auto"/>
          <w:kern w:val="0"/>
          <w:highlight w:val="none"/>
        </w:rPr>
        <w:t>　</w:t>
      </w:r>
      <w:r>
        <w:rPr>
          <w:color w:val="auto"/>
          <w:highlight w:val="none"/>
        </w:rPr>
        <w:t>地基基础形式</w:t>
      </w:r>
      <w:r>
        <w:rPr>
          <w:rFonts w:hint="eastAsia"/>
          <w:color w:val="auto"/>
          <w:highlight w:val="none"/>
        </w:rPr>
        <w:t>及持力层选择</w:t>
      </w:r>
      <w:r>
        <w:rPr>
          <w:color w:val="auto"/>
          <w:highlight w:val="none"/>
        </w:rPr>
        <w:t>建议，并提供相应的岩土参数；</w:t>
      </w:r>
      <w:r>
        <w:rPr>
          <w:rFonts w:hint="eastAsia"/>
          <w:color w:val="auto"/>
          <w:kern w:val="0"/>
          <w:highlight w:val="none"/>
        </w:rPr>
        <w:t>对于</w:t>
      </w:r>
      <w:r>
        <w:rPr>
          <w:color w:val="auto"/>
          <w:kern w:val="0"/>
          <w:highlight w:val="none"/>
        </w:rPr>
        <w:t>桩基，提出</w:t>
      </w:r>
      <w:r>
        <w:rPr>
          <w:rFonts w:hint="eastAsia"/>
          <w:color w:val="auto"/>
          <w:kern w:val="0"/>
          <w:highlight w:val="none"/>
        </w:rPr>
        <w:t>桩型和基础的</w:t>
      </w:r>
      <w:r>
        <w:rPr>
          <w:color w:val="auto"/>
          <w:kern w:val="0"/>
          <w:highlight w:val="none"/>
        </w:rPr>
        <w:t>持力层</w:t>
      </w:r>
      <w:r>
        <w:rPr>
          <w:rFonts w:hint="eastAsia"/>
          <w:color w:val="auto"/>
          <w:kern w:val="0"/>
          <w:highlight w:val="none"/>
        </w:rPr>
        <w:t>方案、施工方法的建议，评价成桩可能产生的风险以及桩基施工对周边环境的影响；</w:t>
      </w:r>
    </w:p>
    <w:p>
      <w:pPr>
        <w:autoSpaceDE w:val="0"/>
        <w:autoSpaceDN w:val="0"/>
        <w:adjustRightInd w:val="0"/>
        <w:spacing w:line="360" w:lineRule="auto"/>
        <w:ind w:firstLine="422" w:firstLineChars="200"/>
        <w:jc w:val="left"/>
        <w:rPr>
          <w:color w:val="auto"/>
          <w:highlight w:val="none"/>
        </w:rPr>
      </w:pPr>
      <w:r>
        <w:rPr>
          <w:rFonts w:hint="eastAsia"/>
          <w:b/>
          <w:bCs/>
          <w:color w:val="auto"/>
          <w:kern w:val="0"/>
          <w:highlight w:val="none"/>
        </w:rPr>
        <w:t>3</w:t>
      </w:r>
      <w:r>
        <w:rPr>
          <w:rFonts w:hint="eastAsia"/>
          <w:color w:val="auto"/>
          <w:kern w:val="0"/>
          <w:highlight w:val="none"/>
        </w:rPr>
        <w:t>　</w:t>
      </w:r>
      <w:r>
        <w:rPr>
          <w:color w:val="auto"/>
          <w:highlight w:val="none"/>
        </w:rPr>
        <w:t>当</w:t>
      </w:r>
      <w:r>
        <w:rPr>
          <w:rFonts w:hint="eastAsia"/>
          <w:color w:val="auto"/>
          <w:highlight w:val="none"/>
        </w:rPr>
        <w:t>存在</w:t>
      </w:r>
      <w:r>
        <w:rPr>
          <w:color w:val="auto"/>
          <w:highlight w:val="none"/>
        </w:rPr>
        <w:t>软弱下卧层时，</w:t>
      </w:r>
      <w:r>
        <w:rPr>
          <w:rFonts w:hint="eastAsia"/>
          <w:color w:val="auto"/>
          <w:highlight w:val="none"/>
        </w:rPr>
        <w:t>对于桩基础，</w:t>
      </w:r>
      <w:r>
        <w:rPr>
          <w:color w:val="auto"/>
          <w:kern w:val="0"/>
          <w:highlight w:val="none"/>
        </w:rPr>
        <w:t>分析软弱下卧层</w:t>
      </w:r>
      <w:r>
        <w:rPr>
          <w:rFonts w:hint="eastAsia"/>
          <w:color w:val="auto"/>
          <w:kern w:val="0"/>
          <w:highlight w:val="none"/>
        </w:rPr>
        <w:t>对桩基变形的影响，并</w:t>
      </w:r>
      <w:r>
        <w:rPr>
          <w:rFonts w:hint="eastAsia"/>
          <w:color w:val="auto"/>
          <w:highlight w:val="none"/>
        </w:rPr>
        <w:t>提出处理方案建议；对于浅基础，提出地基处理方案建议；</w:t>
      </w:r>
    </w:p>
    <w:p>
      <w:pPr>
        <w:autoSpaceDE w:val="0"/>
        <w:autoSpaceDN w:val="0"/>
        <w:adjustRightInd w:val="0"/>
        <w:spacing w:line="360" w:lineRule="auto"/>
        <w:ind w:firstLine="422" w:firstLineChars="200"/>
        <w:jc w:val="left"/>
        <w:rPr>
          <w:color w:val="auto"/>
          <w:highlight w:val="none"/>
        </w:rPr>
      </w:pPr>
      <w:r>
        <w:rPr>
          <w:rFonts w:hint="eastAsia"/>
          <w:b/>
          <w:bCs/>
          <w:color w:val="auto"/>
          <w:highlight w:val="none"/>
        </w:rPr>
        <w:t>4</w:t>
      </w:r>
      <w:r>
        <w:rPr>
          <w:rFonts w:hint="eastAsia"/>
          <w:color w:val="auto"/>
          <w:highlight w:val="none"/>
        </w:rPr>
        <w:t>　当桩身周围分布</w:t>
      </w:r>
      <w:r>
        <w:rPr>
          <w:color w:val="auto"/>
          <w:highlight w:val="none"/>
        </w:rPr>
        <w:t>欠固结土</w:t>
      </w:r>
      <w:r>
        <w:rPr>
          <w:rFonts w:hint="eastAsia"/>
          <w:color w:val="auto"/>
          <w:highlight w:val="none"/>
        </w:rPr>
        <w:t>、</w:t>
      </w:r>
      <w:r>
        <w:rPr>
          <w:color w:val="auto"/>
          <w:highlight w:val="none"/>
        </w:rPr>
        <w:t>有大面积堆载</w:t>
      </w:r>
      <w:r>
        <w:rPr>
          <w:rFonts w:hint="eastAsia"/>
          <w:color w:val="auto"/>
          <w:highlight w:val="none"/>
        </w:rPr>
        <w:t>或其他可能产生负摩阻力情况时</w:t>
      </w:r>
      <w:r>
        <w:rPr>
          <w:color w:val="auto"/>
          <w:highlight w:val="none"/>
        </w:rPr>
        <w:t>，分析桩侧负摩阻力对桩基承载力的影响，提供</w:t>
      </w:r>
      <w:r>
        <w:rPr>
          <w:rFonts w:hint="eastAsia"/>
          <w:color w:val="auto"/>
          <w:highlight w:val="none"/>
        </w:rPr>
        <w:t>地层的</w:t>
      </w:r>
      <w:r>
        <w:rPr>
          <w:color w:val="auto"/>
          <w:highlight w:val="none"/>
        </w:rPr>
        <w:t>负摩阻力系数</w:t>
      </w:r>
      <w:r>
        <w:rPr>
          <w:rFonts w:hint="eastAsia"/>
          <w:color w:val="auto"/>
          <w:highlight w:val="none"/>
        </w:rPr>
        <w:t>，根据需要提出</w:t>
      </w:r>
      <w:r>
        <w:rPr>
          <w:color w:val="auto"/>
          <w:highlight w:val="none"/>
        </w:rPr>
        <w:t>减少负摩阻力措施的建议；</w:t>
      </w:r>
    </w:p>
    <w:p>
      <w:pPr>
        <w:autoSpaceDE w:val="0"/>
        <w:autoSpaceDN w:val="0"/>
        <w:adjustRightInd w:val="0"/>
        <w:spacing w:line="360" w:lineRule="auto"/>
        <w:ind w:firstLine="422" w:firstLineChars="200"/>
        <w:jc w:val="left"/>
        <w:rPr>
          <w:color w:val="auto"/>
          <w:highlight w:val="none"/>
        </w:rPr>
      </w:pPr>
      <w:r>
        <w:rPr>
          <w:rFonts w:hint="eastAsia"/>
          <w:b/>
          <w:bCs/>
          <w:color w:val="auto"/>
          <w:highlight w:val="none"/>
        </w:rPr>
        <w:t>5</w:t>
      </w:r>
      <w:r>
        <w:rPr>
          <w:rFonts w:hint="eastAsia"/>
          <w:color w:val="auto"/>
          <w:highlight w:val="none"/>
        </w:rPr>
        <w:t>　当基础受力范围内有液化土层分布时，提供土层液化影响折减系数，分析其对基础承载力的影响，根据需要提出液化防治建议；</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6</w:t>
      </w:r>
      <w:r>
        <w:rPr>
          <w:rFonts w:hint="eastAsia"/>
          <w:color w:val="auto"/>
          <w:kern w:val="0"/>
          <w:highlight w:val="none"/>
        </w:rPr>
        <w:t>　</w:t>
      </w:r>
      <w:r>
        <w:rPr>
          <w:color w:val="auto"/>
          <w:kern w:val="0"/>
          <w:highlight w:val="none"/>
        </w:rPr>
        <w:t>对嵌岩桩，分析评价岩面起伏</w:t>
      </w:r>
      <w:r>
        <w:rPr>
          <w:rFonts w:hint="eastAsia"/>
          <w:color w:val="auto"/>
          <w:kern w:val="0"/>
          <w:highlight w:val="none"/>
        </w:rPr>
        <w:t>、</w:t>
      </w:r>
      <w:r>
        <w:rPr>
          <w:color w:val="auto"/>
          <w:kern w:val="0"/>
          <w:highlight w:val="none"/>
        </w:rPr>
        <w:t>断层破碎带、</w:t>
      </w:r>
      <w:r>
        <w:rPr>
          <w:rFonts w:hint="eastAsia"/>
          <w:color w:val="auto"/>
          <w:kern w:val="0"/>
          <w:highlight w:val="none"/>
        </w:rPr>
        <w:t>软弱</w:t>
      </w:r>
      <w:r>
        <w:rPr>
          <w:color w:val="auto"/>
          <w:kern w:val="0"/>
          <w:highlight w:val="none"/>
        </w:rPr>
        <w:t>夹层、岩溶、孤石等对桩基施工及</w:t>
      </w:r>
      <w:r>
        <w:rPr>
          <w:rFonts w:hint="eastAsia"/>
          <w:color w:val="auto"/>
          <w:kern w:val="0"/>
          <w:highlight w:val="none"/>
        </w:rPr>
        <w:t>承载力的</w:t>
      </w:r>
      <w:r>
        <w:rPr>
          <w:color w:val="auto"/>
          <w:kern w:val="0"/>
          <w:highlight w:val="none"/>
        </w:rPr>
        <w:t>影响；</w:t>
      </w:r>
      <w:r>
        <w:rPr>
          <w:color w:val="auto"/>
          <w:highlight w:val="none"/>
        </w:rPr>
        <w:t>基岩面凹凸不平或岩土中有洞穴</w:t>
      </w:r>
      <w:r>
        <w:rPr>
          <w:rFonts w:hint="eastAsia"/>
          <w:color w:val="auto"/>
          <w:highlight w:val="none"/>
        </w:rPr>
        <w:t>、孤石</w:t>
      </w:r>
      <w:r>
        <w:rPr>
          <w:color w:val="auto"/>
          <w:highlight w:val="none"/>
        </w:rPr>
        <w:t>时，应评价桩的稳定性，并提出处理措施建议；</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7</w:t>
      </w:r>
      <w:r>
        <w:rPr>
          <w:rFonts w:hint="eastAsia"/>
          <w:color w:val="auto"/>
          <w:kern w:val="0"/>
          <w:highlight w:val="none"/>
        </w:rPr>
        <w:t>　评价成桩的可行性及成桩过程可能遇到的风险，</w:t>
      </w:r>
      <w:r>
        <w:rPr>
          <w:color w:val="auto"/>
          <w:highlight w:val="none"/>
        </w:rPr>
        <w:t>提出</w:t>
      </w:r>
      <w:r>
        <w:rPr>
          <w:rFonts w:hint="eastAsia"/>
          <w:color w:val="auto"/>
          <w:highlight w:val="none"/>
        </w:rPr>
        <w:t>设计、施工应注意的问题和相关措施</w:t>
      </w:r>
      <w:r>
        <w:rPr>
          <w:color w:val="auto"/>
          <w:highlight w:val="none"/>
        </w:rPr>
        <w:t>建议</w:t>
      </w:r>
      <w:r>
        <w:rPr>
          <w:rFonts w:hint="eastAsia"/>
          <w:color w:val="auto"/>
          <w:highlight w:val="none"/>
        </w:rPr>
        <w:t>；</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8</w:t>
      </w:r>
      <w:r>
        <w:rPr>
          <w:rFonts w:hint="eastAsia"/>
          <w:color w:val="auto"/>
          <w:kern w:val="0"/>
          <w:highlight w:val="none"/>
        </w:rPr>
        <w:t>　</w:t>
      </w:r>
      <w:r>
        <w:rPr>
          <w:color w:val="auto"/>
          <w:kern w:val="0"/>
          <w:highlight w:val="none"/>
        </w:rPr>
        <w:t>当拟采用沉井基础时，</w:t>
      </w:r>
      <w:r>
        <w:rPr>
          <w:rFonts w:hint="eastAsia"/>
          <w:color w:val="auto"/>
          <w:kern w:val="0"/>
          <w:highlight w:val="none"/>
        </w:rPr>
        <w:t>提供井壁与土体间的摩擦力，</w:t>
      </w:r>
      <w:r>
        <w:rPr>
          <w:color w:val="auto"/>
          <w:kern w:val="0"/>
          <w:highlight w:val="none"/>
        </w:rPr>
        <w:t>分析地层的均匀性及其对沉井施工的影响，</w:t>
      </w:r>
      <w:r>
        <w:rPr>
          <w:color w:val="auto"/>
          <w:highlight w:val="none"/>
        </w:rPr>
        <w:t>评价地下水对沉井施工可能产生的影响，论证沉井施工条件和沉井施工可能性，以及沉井施工对环境的影响</w:t>
      </w:r>
      <w:r>
        <w:rPr>
          <w:color w:val="auto"/>
          <w:kern w:val="0"/>
          <w:highlight w:val="none"/>
        </w:rPr>
        <w:t>；</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9</w:t>
      </w:r>
      <w:r>
        <w:rPr>
          <w:rFonts w:hint="eastAsia"/>
          <w:color w:val="auto"/>
          <w:kern w:val="0"/>
          <w:highlight w:val="none"/>
        </w:rPr>
        <w:t>　</w:t>
      </w:r>
      <w:r>
        <w:rPr>
          <w:color w:val="auto"/>
          <w:szCs w:val="24"/>
          <w:highlight w:val="none"/>
        </w:rPr>
        <w:t>对</w:t>
      </w:r>
      <w:r>
        <w:rPr>
          <w:rFonts w:hint="eastAsia"/>
          <w:color w:val="auto"/>
          <w:szCs w:val="24"/>
          <w:highlight w:val="none"/>
        </w:rPr>
        <w:t>涵洞</w:t>
      </w:r>
      <w:r>
        <w:rPr>
          <w:color w:val="auto"/>
          <w:szCs w:val="24"/>
          <w:highlight w:val="none"/>
        </w:rPr>
        <w:t>，分析评价地下水对</w:t>
      </w:r>
      <w:r>
        <w:rPr>
          <w:rFonts w:hint="eastAsia"/>
          <w:color w:val="auto"/>
          <w:szCs w:val="24"/>
          <w:highlight w:val="none"/>
        </w:rPr>
        <w:t>设计及施工的影响；分析地下水</w:t>
      </w:r>
      <w:r>
        <w:rPr>
          <w:color w:val="auto"/>
          <w:szCs w:val="24"/>
          <w:highlight w:val="none"/>
        </w:rPr>
        <w:t>位</w:t>
      </w:r>
      <w:r>
        <w:rPr>
          <w:rFonts w:hint="eastAsia"/>
          <w:color w:val="auto"/>
          <w:szCs w:val="24"/>
          <w:highlight w:val="none"/>
        </w:rPr>
        <w:t>在施工期及运营期间的</w:t>
      </w:r>
      <w:r>
        <w:rPr>
          <w:color w:val="auto"/>
          <w:szCs w:val="24"/>
          <w:highlight w:val="none"/>
        </w:rPr>
        <w:t>变化</w:t>
      </w:r>
      <w:r>
        <w:rPr>
          <w:rFonts w:hint="eastAsia"/>
          <w:color w:val="auto"/>
          <w:szCs w:val="24"/>
          <w:highlight w:val="none"/>
        </w:rPr>
        <w:t>，提供</w:t>
      </w:r>
      <w:r>
        <w:rPr>
          <w:color w:val="auto"/>
          <w:szCs w:val="24"/>
          <w:highlight w:val="none"/>
        </w:rPr>
        <w:t>抗浮</w:t>
      </w:r>
      <w:r>
        <w:rPr>
          <w:rFonts w:hint="eastAsia"/>
          <w:color w:val="auto"/>
          <w:szCs w:val="24"/>
          <w:highlight w:val="none"/>
        </w:rPr>
        <w:t>设计</w:t>
      </w:r>
      <w:r>
        <w:rPr>
          <w:color w:val="auto"/>
          <w:szCs w:val="24"/>
          <w:highlight w:val="none"/>
        </w:rPr>
        <w:t>的</w:t>
      </w:r>
      <w:r>
        <w:rPr>
          <w:rFonts w:hint="eastAsia"/>
          <w:color w:val="auto"/>
          <w:szCs w:val="24"/>
          <w:highlight w:val="none"/>
        </w:rPr>
        <w:t>建议；</w:t>
      </w:r>
    </w:p>
    <w:p>
      <w:pPr>
        <w:autoSpaceDE w:val="0"/>
        <w:autoSpaceDN w:val="0"/>
        <w:adjustRightInd w:val="0"/>
        <w:spacing w:line="360" w:lineRule="auto"/>
        <w:ind w:firstLine="422" w:firstLineChars="200"/>
        <w:jc w:val="left"/>
        <w:rPr>
          <w:color w:val="auto"/>
          <w:highlight w:val="none"/>
        </w:rPr>
      </w:pPr>
      <w:r>
        <w:rPr>
          <w:rFonts w:hint="eastAsia"/>
          <w:b/>
          <w:bCs/>
          <w:color w:val="auto"/>
          <w:kern w:val="0"/>
          <w:highlight w:val="none"/>
        </w:rPr>
        <w:t>10</w:t>
      </w:r>
      <w:r>
        <w:rPr>
          <w:rFonts w:hint="eastAsia"/>
          <w:color w:val="auto"/>
          <w:kern w:val="0"/>
          <w:highlight w:val="none"/>
        </w:rPr>
        <w:t>　</w:t>
      </w:r>
      <w:r>
        <w:rPr>
          <w:color w:val="auto"/>
          <w:highlight w:val="none"/>
        </w:rPr>
        <w:t>可溶岩分布区</w:t>
      </w:r>
      <w:r>
        <w:rPr>
          <w:rFonts w:hint="eastAsia"/>
          <w:color w:val="auto"/>
          <w:highlight w:val="none"/>
        </w:rPr>
        <w:t>，根据</w:t>
      </w:r>
      <w:r>
        <w:rPr>
          <w:color w:val="auto"/>
          <w:highlight w:val="none"/>
        </w:rPr>
        <w:t>岩溶的分布、规模、</w:t>
      </w:r>
      <w:r>
        <w:rPr>
          <w:rFonts w:hint="eastAsia"/>
          <w:color w:val="auto"/>
          <w:highlight w:val="none"/>
        </w:rPr>
        <w:t>形态、埋深、</w:t>
      </w:r>
      <w:r>
        <w:rPr>
          <w:color w:val="auto"/>
          <w:highlight w:val="none"/>
        </w:rPr>
        <w:t>填充条件、</w:t>
      </w:r>
      <w:r>
        <w:rPr>
          <w:rFonts w:hint="eastAsia"/>
          <w:color w:val="auto"/>
          <w:highlight w:val="none"/>
        </w:rPr>
        <w:t>埋藏条件、</w:t>
      </w:r>
      <w:r>
        <w:rPr>
          <w:color w:val="auto"/>
          <w:highlight w:val="none"/>
        </w:rPr>
        <w:t>漏水情况等发育特征，</w:t>
      </w:r>
      <w:r>
        <w:rPr>
          <w:rFonts w:hint="eastAsia"/>
          <w:color w:val="auto"/>
          <w:highlight w:val="none"/>
        </w:rPr>
        <w:t>分析岩溶的稳定性，</w:t>
      </w:r>
      <w:r>
        <w:rPr>
          <w:color w:val="auto"/>
          <w:highlight w:val="none"/>
        </w:rPr>
        <w:t>评价其</w:t>
      </w:r>
      <w:r>
        <w:rPr>
          <w:rFonts w:hint="eastAsia"/>
          <w:color w:val="auto"/>
          <w:highlight w:val="none"/>
        </w:rPr>
        <w:t>对桥涵工程的</w:t>
      </w:r>
      <w:r>
        <w:rPr>
          <w:color w:val="auto"/>
          <w:highlight w:val="none"/>
        </w:rPr>
        <w:t>影响</w:t>
      </w:r>
      <w:r>
        <w:rPr>
          <w:rFonts w:hint="eastAsia"/>
          <w:color w:val="auto"/>
          <w:highlight w:val="none"/>
        </w:rPr>
        <w:t>，</w:t>
      </w:r>
      <w:r>
        <w:rPr>
          <w:color w:val="auto"/>
          <w:highlight w:val="none"/>
        </w:rPr>
        <w:t>提出</w:t>
      </w:r>
      <w:r>
        <w:rPr>
          <w:rFonts w:hint="eastAsia"/>
          <w:color w:val="auto"/>
          <w:highlight w:val="none"/>
        </w:rPr>
        <w:t>治理和监测</w:t>
      </w:r>
      <w:r>
        <w:rPr>
          <w:color w:val="auto"/>
          <w:highlight w:val="none"/>
        </w:rPr>
        <w:t>的建议；</w:t>
      </w:r>
    </w:p>
    <w:p>
      <w:pPr>
        <w:autoSpaceDE w:val="0"/>
        <w:autoSpaceDN w:val="0"/>
        <w:adjustRightInd w:val="0"/>
        <w:spacing w:line="360" w:lineRule="auto"/>
        <w:ind w:firstLine="422" w:firstLineChars="200"/>
        <w:jc w:val="left"/>
        <w:rPr>
          <w:color w:val="auto"/>
          <w:highlight w:val="none"/>
        </w:rPr>
      </w:pPr>
      <w:r>
        <w:rPr>
          <w:rFonts w:hint="eastAsia"/>
          <w:b/>
          <w:bCs/>
          <w:color w:val="auto"/>
          <w:highlight w:val="none"/>
        </w:rPr>
        <w:t>11</w:t>
      </w:r>
      <w:r>
        <w:rPr>
          <w:rFonts w:hint="eastAsia"/>
          <w:color w:val="auto"/>
          <w:highlight w:val="none"/>
        </w:rPr>
        <w:t>　当存在采空区时，根据采空区的埋深、范围和上覆岩土层的性质等评价桥涵工程地基的稳定性，提出处理措施的建议；</w:t>
      </w:r>
    </w:p>
    <w:p>
      <w:pPr>
        <w:autoSpaceDE w:val="0"/>
        <w:autoSpaceDN w:val="0"/>
        <w:adjustRightInd w:val="0"/>
        <w:spacing w:line="360" w:lineRule="auto"/>
        <w:ind w:firstLine="422" w:firstLineChars="200"/>
        <w:jc w:val="left"/>
        <w:rPr>
          <w:color w:val="auto"/>
          <w:highlight w:val="none"/>
        </w:rPr>
      </w:pPr>
      <w:r>
        <w:rPr>
          <w:rFonts w:hint="eastAsia"/>
          <w:b/>
          <w:bCs/>
          <w:color w:val="auto"/>
          <w:highlight w:val="none"/>
        </w:rPr>
        <w:t>12</w:t>
      </w:r>
      <w:r>
        <w:rPr>
          <w:rFonts w:hint="eastAsia"/>
          <w:color w:val="auto"/>
          <w:highlight w:val="none"/>
        </w:rPr>
        <w:t>　当存在软土、厚层填土、膨胀性岩土、盐渍土时，评价其对桥涵地基强度、稳定性和变形的影响，提出加固或治理措施建议；</w:t>
      </w:r>
    </w:p>
    <w:p>
      <w:pPr>
        <w:autoSpaceDE w:val="0"/>
        <w:autoSpaceDN w:val="0"/>
        <w:adjustRightInd w:val="0"/>
        <w:spacing w:line="360" w:lineRule="auto"/>
        <w:ind w:firstLine="422" w:firstLineChars="200"/>
        <w:jc w:val="left"/>
        <w:rPr>
          <w:color w:val="auto"/>
          <w:highlight w:val="none"/>
        </w:rPr>
      </w:pPr>
      <w:r>
        <w:rPr>
          <w:rFonts w:hint="eastAsia"/>
          <w:b/>
          <w:bCs/>
          <w:color w:val="auto"/>
          <w:highlight w:val="none"/>
        </w:rPr>
        <w:t>13</w:t>
      </w:r>
      <w:r>
        <w:rPr>
          <w:rFonts w:hint="eastAsia"/>
          <w:color w:val="auto"/>
          <w:highlight w:val="none"/>
        </w:rPr>
        <w:t>　</w:t>
      </w:r>
      <w:r>
        <w:rPr>
          <w:color w:val="auto"/>
          <w:highlight w:val="none"/>
        </w:rPr>
        <w:t>评价拟建桥涵工程与周边既有地下设施</w:t>
      </w:r>
      <w:r>
        <w:rPr>
          <w:rFonts w:hint="eastAsia"/>
          <w:color w:val="auto"/>
          <w:highlight w:val="none"/>
        </w:rPr>
        <w:t>及周边环境</w:t>
      </w:r>
      <w:r>
        <w:rPr>
          <w:color w:val="auto"/>
          <w:highlight w:val="none"/>
        </w:rPr>
        <w:t>之间的相互影响，提出</w:t>
      </w:r>
      <w:r>
        <w:rPr>
          <w:rFonts w:hint="eastAsia"/>
          <w:color w:val="auto"/>
          <w:highlight w:val="none"/>
        </w:rPr>
        <w:t>设计、施工应注意的问题和相关措施</w:t>
      </w:r>
      <w:r>
        <w:rPr>
          <w:color w:val="auto"/>
          <w:highlight w:val="none"/>
        </w:rPr>
        <w:t>建议</w:t>
      </w:r>
      <w:r>
        <w:rPr>
          <w:rFonts w:hint="eastAsia"/>
          <w:color w:val="auto"/>
          <w:highlight w:val="none"/>
        </w:rPr>
        <w:t>；</w:t>
      </w:r>
    </w:p>
    <w:p>
      <w:pPr>
        <w:spacing w:line="360" w:lineRule="auto"/>
        <w:ind w:firstLine="422" w:firstLineChars="200"/>
        <w:rPr>
          <w:color w:val="auto"/>
          <w:highlight w:val="none"/>
        </w:rPr>
      </w:pPr>
      <w:r>
        <w:rPr>
          <w:rFonts w:hint="eastAsia"/>
          <w:b/>
          <w:bCs/>
          <w:color w:val="auto"/>
          <w:highlight w:val="none"/>
        </w:rPr>
        <w:t>14</w:t>
      </w:r>
      <w:r>
        <w:rPr>
          <w:rFonts w:hint="eastAsia"/>
          <w:color w:val="auto"/>
          <w:highlight w:val="none"/>
        </w:rPr>
        <w:t>　提出对岩土体、工程结构、周边环境设施的变形及地下水位变化等的检测、监测建议；</w:t>
      </w:r>
    </w:p>
    <w:p>
      <w:pPr>
        <w:spacing w:line="360" w:lineRule="auto"/>
        <w:ind w:firstLine="422" w:firstLineChars="200"/>
        <w:rPr>
          <w:color w:val="auto"/>
          <w:highlight w:val="none"/>
        </w:rPr>
      </w:pPr>
      <w:r>
        <w:rPr>
          <w:rFonts w:hint="eastAsia"/>
          <w:b/>
          <w:bCs/>
          <w:color w:val="auto"/>
          <w:highlight w:val="none"/>
        </w:rPr>
        <w:t>15</w:t>
      </w:r>
      <w:r>
        <w:rPr>
          <w:rFonts w:hint="eastAsia"/>
          <w:color w:val="auto"/>
          <w:highlight w:val="none"/>
        </w:rPr>
        <w:t>　分析工程建设</w:t>
      </w:r>
      <w:r>
        <w:rPr>
          <w:color w:val="auto"/>
          <w:highlight w:val="none"/>
        </w:rPr>
        <w:t>过程可能</w:t>
      </w:r>
      <w:r>
        <w:rPr>
          <w:rFonts w:hint="eastAsia"/>
          <w:color w:val="auto"/>
          <w:highlight w:val="none"/>
        </w:rPr>
        <w:t>引发或</w:t>
      </w:r>
      <w:r>
        <w:rPr>
          <w:color w:val="auto"/>
          <w:highlight w:val="none"/>
        </w:rPr>
        <w:t>遭遇的地质风险</w:t>
      </w:r>
      <w:r>
        <w:rPr>
          <w:rFonts w:hint="eastAsia"/>
          <w:color w:val="auto"/>
          <w:highlight w:val="none"/>
        </w:rPr>
        <w:t>，并提出</w:t>
      </w:r>
      <w:r>
        <w:rPr>
          <w:color w:val="auto"/>
          <w:highlight w:val="none"/>
        </w:rPr>
        <w:t>应对措施</w:t>
      </w:r>
      <w:r>
        <w:rPr>
          <w:rFonts w:hint="eastAsia"/>
          <w:color w:val="auto"/>
          <w:highlight w:val="none"/>
        </w:rPr>
        <w:t>建议。</w:t>
      </w:r>
    </w:p>
    <w:p>
      <w:pPr>
        <w:spacing w:line="360" w:lineRule="auto"/>
        <w:ind w:firstLine="420" w:firstLineChars="200"/>
        <w:rPr>
          <w:color w:val="auto"/>
          <w:highlight w:val="none"/>
        </w:rPr>
      </w:pPr>
    </w:p>
    <w:p>
      <w:pPr>
        <w:autoSpaceDE w:val="0"/>
        <w:autoSpaceDN w:val="0"/>
        <w:adjustRightInd w:val="0"/>
        <w:spacing w:line="360" w:lineRule="auto"/>
        <w:ind w:firstLine="560" w:firstLineChars="200"/>
        <w:jc w:val="left"/>
        <w:rPr>
          <w:color w:val="auto"/>
          <w:sz w:val="28"/>
          <w:szCs w:val="28"/>
          <w:highlight w:val="none"/>
        </w:rPr>
      </w:pPr>
      <w:r>
        <w:rPr>
          <w:color w:val="auto"/>
          <w:sz w:val="28"/>
          <w:szCs w:val="28"/>
          <w:highlight w:val="none"/>
        </w:rPr>
        <w:br w:type="page"/>
      </w:r>
    </w:p>
    <w:p>
      <w:pPr>
        <w:rPr>
          <w:color w:val="auto"/>
          <w:sz w:val="10"/>
          <w:szCs w:val="10"/>
          <w:highlight w:val="none"/>
        </w:rPr>
      </w:pPr>
    </w:p>
    <w:p>
      <w:pPr>
        <w:pStyle w:val="2"/>
        <w:spacing w:before="480" w:after="480" w:line="240" w:lineRule="auto"/>
        <w:rPr>
          <w:color w:val="auto"/>
          <w:highlight w:val="none"/>
        </w:rPr>
      </w:pPr>
      <w:bookmarkStart w:id="96" w:name="_Toc21468"/>
      <w:bookmarkStart w:id="97" w:name="_Toc16448"/>
      <w:bookmarkStart w:id="98" w:name="_Toc18913"/>
      <w:bookmarkStart w:id="99" w:name="_7　城市隧道工程"/>
      <w:r>
        <w:rPr>
          <w:rFonts w:hint="eastAsia"/>
          <w:color w:val="auto"/>
          <w:highlight w:val="none"/>
        </w:rPr>
        <w:t>7　城市隧道工程</w:t>
      </w:r>
      <w:bookmarkEnd w:id="96"/>
      <w:bookmarkEnd w:id="97"/>
      <w:bookmarkEnd w:id="98"/>
    </w:p>
    <w:bookmarkEnd w:id="99"/>
    <w:p>
      <w:pPr>
        <w:pStyle w:val="3"/>
        <w:rPr>
          <w:rFonts w:ascii="Times New Roman" w:hAnsi="Times New Roman" w:eastAsia="宋体"/>
          <w:color w:val="auto"/>
          <w:highlight w:val="none"/>
        </w:rPr>
      </w:pPr>
      <w:bookmarkStart w:id="100" w:name="_Toc22870"/>
      <w:bookmarkStart w:id="101" w:name="_Toc21480"/>
      <w:bookmarkStart w:id="102" w:name="_Toc13160"/>
      <w:bookmarkStart w:id="103" w:name="_7.1　一般规定"/>
      <w:r>
        <w:rPr>
          <w:rFonts w:ascii="Times New Roman" w:hAnsi="Times New Roman" w:eastAsia="宋体"/>
          <w:color w:val="auto"/>
          <w:highlight w:val="none"/>
        </w:rPr>
        <w:t>7.1</w:t>
      </w:r>
      <w:r>
        <w:rPr>
          <w:rFonts w:hint="eastAsia" w:ascii="Times New Roman" w:hAnsi="Times New Roman" w:eastAsia="宋体"/>
          <w:color w:val="auto"/>
          <w:highlight w:val="none"/>
        </w:rPr>
        <w:t>　</w:t>
      </w:r>
      <w:r>
        <w:rPr>
          <w:rFonts w:ascii="Times New Roman" w:hAnsi="Times New Roman" w:eastAsia="宋体"/>
          <w:color w:val="auto"/>
          <w:highlight w:val="none"/>
        </w:rPr>
        <w:t>一般规定</w:t>
      </w:r>
      <w:bookmarkEnd w:id="100"/>
      <w:bookmarkEnd w:id="101"/>
      <w:bookmarkEnd w:id="102"/>
    </w:p>
    <w:bookmarkEnd w:id="103"/>
    <w:p>
      <w:pPr>
        <w:spacing w:line="360" w:lineRule="auto"/>
        <w:rPr>
          <w:color w:val="auto"/>
          <w:highlight w:val="none"/>
        </w:rPr>
      </w:pPr>
      <w:r>
        <w:rPr>
          <w:b/>
          <w:bCs/>
          <w:color w:val="auto"/>
          <w:highlight w:val="none"/>
        </w:rPr>
        <w:t>7.1.1</w:t>
      </w:r>
      <w:r>
        <w:rPr>
          <w:rFonts w:hint="eastAsia"/>
          <w:color w:val="auto"/>
          <w:highlight w:val="none"/>
        </w:rPr>
        <w:t>　</w:t>
      </w:r>
      <w:r>
        <w:rPr>
          <w:color w:val="auto"/>
          <w:highlight w:val="none"/>
        </w:rPr>
        <w:t>本章适用于</w:t>
      </w:r>
      <w:bookmarkStart w:id="104" w:name="_Hlk68772854"/>
      <w:r>
        <w:rPr>
          <w:color w:val="auto"/>
          <w:highlight w:val="none"/>
        </w:rPr>
        <w:t>市政</w:t>
      </w:r>
      <w:r>
        <w:rPr>
          <w:rFonts w:hint="eastAsia"/>
          <w:color w:val="auto"/>
          <w:highlight w:val="none"/>
        </w:rPr>
        <w:t>工程</w:t>
      </w:r>
      <w:r>
        <w:rPr>
          <w:color w:val="auto"/>
          <w:highlight w:val="none"/>
        </w:rPr>
        <w:t>中的山岭隧道、</w:t>
      </w:r>
      <w:r>
        <w:rPr>
          <w:rFonts w:hint="eastAsia"/>
          <w:color w:val="auto"/>
          <w:highlight w:val="none"/>
        </w:rPr>
        <w:t>平原</w:t>
      </w:r>
      <w:r>
        <w:rPr>
          <w:color w:val="auto"/>
          <w:highlight w:val="none"/>
        </w:rPr>
        <w:t>隧道、水下隧道</w:t>
      </w:r>
      <w:bookmarkEnd w:id="104"/>
      <w:r>
        <w:rPr>
          <w:rFonts w:hint="eastAsia"/>
          <w:color w:val="auto"/>
          <w:kern w:val="0"/>
          <w:highlight w:val="none"/>
        </w:rPr>
        <w:t>及</w:t>
      </w:r>
      <w:r>
        <w:rPr>
          <w:color w:val="auto"/>
          <w:szCs w:val="24"/>
          <w:highlight w:val="none"/>
        </w:rPr>
        <w:t>人行地下通道</w:t>
      </w:r>
      <w:r>
        <w:rPr>
          <w:rFonts w:hint="eastAsia"/>
          <w:color w:val="auto"/>
          <w:highlight w:val="none"/>
        </w:rPr>
        <w:t>等工程</w:t>
      </w:r>
      <w:r>
        <w:rPr>
          <w:color w:val="auto"/>
          <w:highlight w:val="none"/>
        </w:rPr>
        <w:t>的岩土工程勘察。</w:t>
      </w:r>
      <w:r>
        <w:rPr>
          <w:rFonts w:hint="eastAsia"/>
          <w:color w:val="auto"/>
          <w:highlight w:val="none"/>
        </w:rPr>
        <w:t>隧道附属的管理用房的勘察按现行国家标准</w:t>
      </w:r>
      <w:r>
        <w:rPr>
          <w:color w:val="auto"/>
          <w:highlight w:val="none"/>
        </w:rPr>
        <w:t>《岩土工程勘察规范》GB 50021的有关规定执行</w:t>
      </w:r>
      <w:r>
        <w:rPr>
          <w:rFonts w:hint="eastAsia"/>
          <w:color w:val="auto"/>
          <w:highlight w:val="none"/>
        </w:rPr>
        <w:t>；干坞的勘察按现行行业标准</w:t>
      </w:r>
      <w:r>
        <w:rPr>
          <w:color w:val="auto"/>
          <w:highlight w:val="none"/>
        </w:rPr>
        <w:t>《</w:t>
      </w:r>
      <w:r>
        <w:rPr>
          <w:rFonts w:hint="eastAsia"/>
          <w:color w:val="auto"/>
          <w:highlight w:val="none"/>
        </w:rPr>
        <w:t>水运工程</w:t>
      </w:r>
      <w:r>
        <w:rPr>
          <w:color w:val="auto"/>
          <w:highlight w:val="none"/>
        </w:rPr>
        <w:t>岩土工程勘察规范》</w:t>
      </w:r>
      <w:r>
        <w:rPr>
          <w:rFonts w:hint="eastAsia"/>
          <w:color w:val="auto"/>
          <w:highlight w:val="none"/>
        </w:rPr>
        <w:t>JTS</w:t>
      </w:r>
      <w:r>
        <w:rPr>
          <w:color w:val="auto"/>
          <w:highlight w:val="none"/>
        </w:rPr>
        <w:t xml:space="preserve"> </w:t>
      </w:r>
      <w:r>
        <w:rPr>
          <w:rFonts w:hint="eastAsia"/>
          <w:color w:val="auto"/>
          <w:highlight w:val="none"/>
        </w:rPr>
        <w:t>133</w:t>
      </w:r>
      <w:r>
        <w:rPr>
          <w:color w:val="auto"/>
          <w:highlight w:val="none"/>
        </w:rPr>
        <w:t>的有关规定执行</w:t>
      </w:r>
      <w:r>
        <w:rPr>
          <w:rFonts w:hint="eastAsia"/>
          <w:color w:val="auto"/>
          <w:highlight w:val="none"/>
        </w:rPr>
        <w:t>。</w:t>
      </w:r>
    </w:p>
    <w:p>
      <w:pPr>
        <w:spacing w:line="360" w:lineRule="auto"/>
        <w:rPr>
          <w:color w:val="auto"/>
          <w:szCs w:val="21"/>
          <w:highlight w:val="none"/>
        </w:rPr>
      </w:pPr>
      <w:r>
        <w:rPr>
          <w:b/>
          <w:bCs/>
          <w:color w:val="auto"/>
          <w:highlight w:val="none"/>
        </w:rPr>
        <w:t>7.1.2</w:t>
      </w:r>
      <w:r>
        <w:rPr>
          <w:rFonts w:hint="eastAsia"/>
          <w:color w:val="auto"/>
          <w:highlight w:val="none"/>
        </w:rPr>
        <w:t>　</w:t>
      </w:r>
      <w:r>
        <w:rPr>
          <w:color w:val="auto"/>
          <w:highlight w:val="none"/>
        </w:rPr>
        <w:t>勘察前应根据各勘察阶段的工作需要，取得下列图纸和资料：</w:t>
      </w:r>
    </w:p>
    <w:p>
      <w:pPr>
        <w:spacing w:line="360" w:lineRule="auto"/>
        <w:ind w:firstLine="422" w:firstLineChars="200"/>
        <w:rPr>
          <w:color w:val="auto"/>
          <w:highlight w:val="none"/>
        </w:rPr>
      </w:pPr>
      <w:r>
        <w:rPr>
          <w:b/>
          <w:bCs/>
          <w:color w:val="auto"/>
          <w:highlight w:val="none"/>
        </w:rPr>
        <w:t>1</w:t>
      </w:r>
      <w:r>
        <w:rPr>
          <w:rFonts w:hint="eastAsia"/>
          <w:color w:val="auto"/>
          <w:highlight w:val="none"/>
        </w:rPr>
        <w:t>　</w:t>
      </w:r>
      <w:r>
        <w:rPr>
          <w:color w:val="auto"/>
          <w:highlight w:val="none"/>
        </w:rPr>
        <w:t>隧道平面</w:t>
      </w:r>
      <w:r>
        <w:rPr>
          <w:rFonts w:hint="eastAsia"/>
          <w:color w:val="auto"/>
          <w:highlight w:val="none"/>
        </w:rPr>
        <w:t>总体布置</w:t>
      </w:r>
      <w:r>
        <w:rPr>
          <w:color w:val="auto"/>
          <w:highlight w:val="none"/>
        </w:rPr>
        <w:t>图</w:t>
      </w:r>
      <w:r>
        <w:rPr>
          <w:rFonts w:hint="eastAsia"/>
          <w:color w:val="auto"/>
          <w:highlight w:val="none"/>
        </w:rPr>
        <w:t>；</w:t>
      </w:r>
    </w:p>
    <w:p>
      <w:pPr>
        <w:spacing w:line="360" w:lineRule="auto"/>
        <w:ind w:firstLine="422" w:firstLineChars="200"/>
        <w:rPr>
          <w:color w:val="auto"/>
          <w:highlight w:val="none"/>
        </w:rPr>
      </w:pPr>
      <w:r>
        <w:rPr>
          <w:rFonts w:hint="eastAsia"/>
          <w:b/>
          <w:bCs/>
          <w:color w:val="auto"/>
          <w:highlight w:val="none"/>
        </w:rPr>
        <w:t>2</w:t>
      </w:r>
      <w:r>
        <w:rPr>
          <w:rFonts w:hint="eastAsia"/>
          <w:color w:val="auto"/>
          <w:highlight w:val="none"/>
        </w:rPr>
        <w:t>　</w:t>
      </w:r>
      <w:r>
        <w:rPr>
          <w:color w:val="auto"/>
          <w:highlight w:val="none"/>
        </w:rPr>
        <w:t>隧道</w:t>
      </w:r>
      <w:r>
        <w:rPr>
          <w:rFonts w:hint="eastAsia"/>
          <w:color w:val="auto"/>
          <w:highlight w:val="none"/>
        </w:rPr>
        <w:t>设计</w:t>
      </w:r>
      <w:r>
        <w:rPr>
          <w:color w:val="auto"/>
          <w:highlight w:val="none"/>
        </w:rPr>
        <w:t>纵</w:t>
      </w:r>
      <w:r>
        <w:rPr>
          <w:rFonts w:hint="eastAsia"/>
          <w:color w:val="auto"/>
          <w:highlight w:val="none"/>
        </w:rPr>
        <w:t>断面</w:t>
      </w:r>
      <w:r>
        <w:rPr>
          <w:color w:val="auto"/>
          <w:highlight w:val="none"/>
        </w:rPr>
        <w:t>图，隧道</w:t>
      </w:r>
      <w:r>
        <w:rPr>
          <w:rFonts w:hint="eastAsia"/>
          <w:color w:val="auto"/>
          <w:highlight w:val="none"/>
        </w:rPr>
        <w:t>设计</w:t>
      </w:r>
      <w:r>
        <w:rPr>
          <w:color w:val="auto"/>
          <w:highlight w:val="none"/>
        </w:rPr>
        <w:t>典型</w:t>
      </w:r>
      <w:r>
        <w:rPr>
          <w:rFonts w:hint="eastAsia"/>
          <w:color w:val="auto"/>
          <w:highlight w:val="none"/>
        </w:rPr>
        <w:t>横断面图</w:t>
      </w:r>
      <w:r>
        <w:rPr>
          <w:color w:val="auto"/>
          <w:highlight w:val="none"/>
        </w:rPr>
        <w:t>；</w:t>
      </w:r>
    </w:p>
    <w:p>
      <w:pPr>
        <w:spacing w:line="360" w:lineRule="auto"/>
        <w:ind w:firstLine="422" w:firstLineChars="200"/>
        <w:rPr>
          <w:color w:val="auto"/>
          <w:highlight w:val="none"/>
        </w:rPr>
      </w:pPr>
      <w:r>
        <w:rPr>
          <w:rFonts w:hint="eastAsia"/>
          <w:b/>
          <w:bCs/>
          <w:color w:val="auto"/>
          <w:highlight w:val="none"/>
        </w:rPr>
        <w:t>3</w:t>
      </w:r>
      <w:r>
        <w:rPr>
          <w:rFonts w:hint="eastAsia"/>
          <w:color w:val="auto"/>
          <w:highlight w:val="none"/>
        </w:rPr>
        <w:t>　</w:t>
      </w:r>
      <w:r>
        <w:rPr>
          <w:color w:val="auto"/>
          <w:highlight w:val="none"/>
        </w:rPr>
        <w:t>隧道的起止里程、与道路的连接或穿越关系、主线与支线隧道的连接关系、主线和支线隧道的长度与宽度、敞开段和暗挖段的长度、掘进方式、附属设施布置、</w:t>
      </w:r>
      <w:r>
        <w:rPr>
          <w:rFonts w:hint="eastAsia"/>
          <w:color w:val="auto"/>
          <w:highlight w:val="none"/>
        </w:rPr>
        <w:t>断面</w:t>
      </w:r>
      <w:r>
        <w:rPr>
          <w:color w:val="auto"/>
          <w:highlight w:val="none"/>
        </w:rPr>
        <w:t>尺寸、地基承载力要求</w:t>
      </w:r>
      <w:r>
        <w:rPr>
          <w:rFonts w:hint="eastAsia"/>
          <w:color w:val="auto"/>
          <w:highlight w:val="none"/>
        </w:rPr>
        <w:t>，双洞隧道左、右洞的间距</w:t>
      </w:r>
      <w:r>
        <w:rPr>
          <w:color w:val="auto"/>
          <w:highlight w:val="none"/>
        </w:rPr>
        <w:t>等；</w:t>
      </w:r>
    </w:p>
    <w:p>
      <w:pPr>
        <w:spacing w:line="360" w:lineRule="auto"/>
        <w:ind w:firstLine="422" w:firstLineChars="200"/>
        <w:rPr>
          <w:color w:val="auto"/>
          <w:highlight w:val="none"/>
        </w:rPr>
      </w:pPr>
      <w:r>
        <w:rPr>
          <w:rFonts w:hint="eastAsia"/>
          <w:b/>
          <w:bCs/>
          <w:color w:val="auto"/>
          <w:highlight w:val="none"/>
        </w:rPr>
        <w:t>4</w:t>
      </w:r>
      <w:r>
        <w:rPr>
          <w:rFonts w:hint="eastAsia"/>
          <w:color w:val="auto"/>
          <w:highlight w:val="none"/>
        </w:rPr>
        <w:t>　</w:t>
      </w:r>
      <w:r>
        <w:rPr>
          <w:color w:val="auto"/>
          <w:highlight w:val="none"/>
        </w:rPr>
        <w:t>沉管</w:t>
      </w:r>
      <w:r>
        <w:rPr>
          <w:rFonts w:hint="eastAsia"/>
          <w:color w:val="auto"/>
          <w:highlight w:val="none"/>
        </w:rPr>
        <w:t>法</w:t>
      </w:r>
      <w:r>
        <w:rPr>
          <w:color w:val="auto"/>
          <w:highlight w:val="none"/>
        </w:rPr>
        <w:t>隧道</w:t>
      </w:r>
      <w:r>
        <w:rPr>
          <w:rFonts w:hint="eastAsia"/>
          <w:color w:val="auto"/>
          <w:highlight w:val="none"/>
        </w:rPr>
        <w:t>，其</w:t>
      </w:r>
      <w:r>
        <w:rPr>
          <w:color w:val="auto"/>
          <w:highlight w:val="none"/>
        </w:rPr>
        <w:t>干坞的位置、平面尺寸、基底高程、开挖深度，浮运航道</w:t>
      </w:r>
      <w:r>
        <w:rPr>
          <w:rFonts w:hint="eastAsia"/>
          <w:color w:val="auto"/>
          <w:highlight w:val="none"/>
        </w:rPr>
        <w:t>、临时航道</w:t>
      </w:r>
      <w:r>
        <w:rPr>
          <w:color w:val="auto"/>
          <w:highlight w:val="none"/>
        </w:rPr>
        <w:t>和系泊段的布置等；盾构法</w:t>
      </w:r>
      <w:r>
        <w:rPr>
          <w:rFonts w:hint="eastAsia"/>
          <w:color w:val="auto"/>
          <w:highlight w:val="none"/>
        </w:rPr>
        <w:t>、顶管法</w:t>
      </w:r>
      <w:r>
        <w:rPr>
          <w:color w:val="auto"/>
          <w:highlight w:val="none"/>
        </w:rPr>
        <w:t>隧道</w:t>
      </w:r>
      <w:r>
        <w:rPr>
          <w:rFonts w:hint="eastAsia"/>
          <w:color w:val="auto"/>
          <w:highlight w:val="none"/>
        </w:rPr>
        <w:t>，其</w:t>
      </w:r>
      <w:r>
        <w:rPr>
          <w:color w:val="auto"/>
          <w:highlight w:val="none"/>
        </w:rPr>
        <w:t>起始井/接收井的布置、平面尺寸、基底高程和开挖深度等</w:t>
      </w:r>
      <w:r>
        <w:rPr>
          <w:rFonts w:hint="eastAsia"/>
          <w:color w:val="auto"/>
          <w:kern w:val="0"/>
          <w:highlight w:val="none"/>
        </w:rPr>
        <w:t>；</w:t>
      </w:r>
    </w:p>
    <w:p>
      <w:pPr>
        <w:spacing w:line="360" w:lineRule="auto"/>
        <w:ind w:firstLine="422" w:firstLineChars="200"/>
        <w:rPr>
          <w:color w:val="auto"/>
          <w:highlight w:val="none"/>
        </w:rPr>
      </w:pPr>
      <w:r>
        <w:rPr>
          <w:rFonts w:hint="eastAsia"/>
          <w:b/>
          <w:bCs/>
          <w:color w:val="auto"/>
          <w:highlight w:val="none"/>
        </w:rPr>
        <w:t>5</w:t>
      </w:r>
      <w:r>
        <w:rPr>
          <w:rFonts w:hint="eastAsia"/>
          <w:color w:val="auto"/>
          <w:highlight w:val="none"/>
        </w:rPr>
        <w:t>　</w:t>
      </w:r>
      <w:r>
        <w:rPr>
          <w:color w:val="auto"/>
          <w:highlight w:val="none"/>
        </w:rPr>
        <w:t>搜集</w:t>
      </w:r>
      <w:r>
        <w:rPr>
          <w:rFonts w:hint="eastAsia"/>
          <w:color w:val="auto"/>
          <w:highlight w:val="none"/>
        </w:rPr>
        <w:t>隧道沿线重要建（构）筑物的基础类型、结构形式和使用状态资料，</w:t>
      </w:r>
      <w:r>
        <w:rPr>
          <w:color w:val="auto"/>
          <w:highlight w:val="none"/>
        </w:rPr>
        <w:t>场地及周边水体的水文资料</w:t>
      </w:r>
      <w:r>
        <w:rPr>
          <w:rFonts w:hint="eastAsia"/>
          <w:color w:val="auto"/>
          <w:highlight w:val="none"/>
        </w:rPr>
        <w:t>；沉管隧道所在</w:t>
      </w:r>
      <w:r>
        <w:rPr>
          <w:color w:val="auto"/>
          <w:highlight w:val="none"/>
        </w:rPr>
        <w:t>水体的</w:t>
      </w:r>
      <w:r>
        <w:rPr>
          <w:rFonts w:hint="eastAsia"/>
          <w:color w:val="auto"/>
          <w:highlight w:val="none"/>
        </w:rPr>
        <w:t>流量、</w:t>
      </w:r>
      <w:r>
        <w:rPr>
          <w:color w:val="auto"/>
          <w:highlight w:val="none"/>
        </w:rPr>
        <w:t>流速、</w:t>
      </w:r>
      <w:r>
        <w:rPr>
          <w:rFonts w:hint="eastAsia"/>
          <w:color w:val="auto"/>
          <w:highlight w:val="none"/>
        </w:rPr>
        <w:t>含砂量、含泥量、</w:t>
      </w:r>
      <w:r>
        <w:rPr>
          <w:color w:val="auto"/>
          <w:highlight w:val="none"/>
        </w:rPr>
        <w:t>水位涨落潮差</w:t>
      </w:r>
      <w:r>
        <w:rPr>
          <w:rFonts w:hint="eastAsia"/>
          <w:color w:val="auto"/>
          <w:highlight w:val="none"/>
        </w:rPr>
        <w:t>、最高洪水位、</w:t>
      </w:r>
      <w:r>
        <w:rPr>
          <w:color w:val="auto"/>
          <w:kern w:val="0"/>
          <w:highlight w:val="none"/>
        </w:rPr>
        <w:t>冲刷和淤积情况</w:t>
      </w:r>
      <w:r>
        <w:rPr>
          <w:rFonts w:hint="eastAsia"/>
          <w:color w:val="auto"/>
          <w:kern w:val="0"/>
          <w:highlight w:val="none"/>
        </w:rPr>
        <w:t>等</w:t>
      </w:r>
      <w:r>
        <w:rPr>
          <w:color w:val="auto"/>
          <w:highlight w:val="none"/>
        </w:rPr>
        <w:t>。</w:t>
      </w:r>
    </w:p>
    <w:p>
      <w:pPr>
        <w:spacing w:line="360" w:lineRule="auto"/>
        <w:rPr>
          <w:color w:val="auto"/>
          <w:highlight w:val="none"/>
        </w:rPr>
      </w:pPr>
      <w:r>
        <w:rPr>
          <w:b/>
          <w:bCs/>
          <w:color w:val="auto"/>
          <w:highlight w:val="none"/>
        </w:rPr>
        <w:t>7.1.</w:t>
      </w:r>
      <w:r>
        <w:rPr>
          <w:rFonts w:hint="eastAsia"/>
          <w:b/>
          <w:bCs/>
          <w:color w:val="auto"/>
          <w:highlight w:val="none"/>
        </w:rPr>
        <w:t>3</w:t>
      </w:r>
      <w:r>
        <w:rPr>
          <w:rFonts w:hint="eastAsia"/>
          <w:color w:val="auto"/>
          <w:highlight w:val="none"/>
        </w:rPr>
        <w:t>　</w:t>
      </w:r>
      <w:r>
        <w:rPr>
          <w:color w:val="auto"/>
          <w:highlight w:val="none"/>
        </w:rPr>
        <w:t>隧道工程勘察</w:t>
      </w:r>
      <w:r>
        <w:rPr>
          <w:rFonts w:hint="eastAsia"/>
          <w:color w:val="auto"/>
          <w:highlight w:val="none"/>
        </w:rPr>
        <w:t>应</w:t>
      </w:r>
      <w:r>
        <w:rPr>
          <w:color w:val="auto"/>
          <w:highlight w:val="none"/>
        </w:rPr>
        <w:t>结合拟采用的工法制定相应的勘察方案。</w:t>
      </w:r>
      <w:r>
        <w:rPr>
          <w:rFonts w:hint="eastAsia"/>
          <w:color w:val="auto"/>
          <w:highlight w:val="none"/>
        </w:rPr>
        <w:t>常用的工法包括明挖法（含盖挖法）、沉管法、暗挖法；其中，暗挖法包括盾构法（含TBM法）、矿山法、新奥法、顶管法等工法。</w:t>
      </w:r>
    </w:p>
    <w:p>
      <w:pPr>
        <w:spacing w:line="360" w:lineRule="auto"/>
        <w:rPr>
          <w:color w:val="auto"/>
          <w:highlight w:val="none"/>
        </w:rPr>
      </w:pPr>
      <w:r>
        <w:rPr>
          <w:b/>
          <w:bCs/>
          <w:color w:val="auto"/>
          <w:highlight w:val="none"/>
        </w:rPr>
        <w:t>7.1.</w:t>
      </w:r>
      <w:r>
        <w:rPr>
          <w:rFonts w:hint="eastAsia"/>
          <w:b/>
          <w:bCs/>
          <w:color w:val="auto"/>
          <w:highlight w:val="none"/>
        </w:rPr>
        <w:t>4</w:t>
      </w:r>
      <w:r>
        <w:rPr>
          <w:rFonts w:hint="eastAsia"/>
          <w:color w:val="auto"/>
          <w:highlight w:val="none"/>
        </w:rPr>
        <w:t>　</w:t>
      </w:r>
      <w:r>
        <w:rPr>
          <w:color w:val="auto"/>
          <w:kern w:val="0"/>
          <w:highlight w:val="none"/>
        </w:rPr>
        <w:t>采用不同施工工法</w:t>
      </w:r>
      <w:r>
        <w:rPr>
          <w:rFonts w:hint="eastAsia"/>
          <w:color w:val="auto"/>
          <w:kern w:val="0"/>
          <w:highlight w:val="none"/>
        </w:rPr>
        <w:t>、不同类型的</w:t>
      </w:r>
      <w:r>
        <w:rPr>
          <w:color w:val="auto"/>
          <w:kern w:val="0"/>
          <w:highlight w:val="none"/>
        </w:rPr>
        <w:t>隧道</w:t>
      </w:r>
      <w:r>
        <w:rPr>
          <w:rFonts w:hint="eastAsia"/>
          <w:color w:val="auto"/>
          <w:kern w:val="0"/>
          <w:highlight w:val="none"/>
        </w:rPr>
        <w:t>或隧道</w:t>
      </w:r>
      <w:r>
        <w:rPr>
          <w:color w:val="auto"/>
          <w:kern w:val="0"/>
          <w:highlight w:val="none"/>
        </w:rPr>
        <w:t>段，</w:t>
      </w:r>
      <w:r>
        <w:rPr>
          <w:color w:val="auto"/>
          <w:highlight w:val="none"/>
        </w:rPr>
        <w:t>勘探</w:t>
      </w:r>
      <w:r>
        <w:rPr>
          <w:rFonts w:hint="eastAsia"/>
          <w:color w:val="auto"/>
          <w:highlight w:val="none"/>
        </w:rPr>
        <w:t>点</w:t>
      </w:r>
      <w:r>
        <w:rPr>
          <w:color w:val="auto"/>
          <w:highlight w:val="none"/>
        </w:rPr>
        <w:t>布置应符合</w:t>
      </w:r>
      <w:r>
        <w:rPr>
          <w:rFonts w:hint="eastAsia"/>
          <w:color w:val="auto"/>
          <w:highlight w:val="none"/>
        </w:rPr>
        <w:t>下列</w:t>
      </w:r>
      <w:r>
        <w:rPr>
          <w:color w:val="auto"/>
          <w:highlight w:val="none"/>
        </w:rPr>
        <w:t>规定</w:t>
      </w:r>
      <w:r>
        <w:rPr>
          <w:rFonts w:hint="eastAsia"/>
          <w:color w:val="auto"/>
          <w:highlight w:val="none"/>
        </w:rPr>
        <w:t>：</w:t>
      </w:r>
    </w:p>
    <w:p>
      <w:pPr>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对于明挖法隧道，基槽底宽度不小于10m段，应沿隧道基槽底边线并排布置勘探点，分别生成纵断面；基槽底宽度超过边线纵向勘探点间距的1.5倍时，宜沿隧道中轴线增加一排勘探点，单独生成一条纵断面；基槽底宽度小于或等于10m的窄隧道，可左右交错布置勘探点或沿隧道中轴线布置勘探点，生成一条纵断面。</w:t>
      </w:r>
    </w:p>
    <w:p>
      <w:pPr>
        <w:spacing w:line="360" w:lineRule="auto"/>
        <w:ind w:firstLine="422" w:firstLineChars="200"/>
        <w:rPr>
          <w:color w:val="auto"/>
          <w:highlight w:val="none"/>
        </w:rPr>
      </w:pPr>
      <w:r>
        <w:rPr>
          <w:rFonts w:hint="eastAsia"/>
          <w:b/>
          <w:bCs/>
          <w:color w:val="auto"/>
          <w:highlight w:val="none"/>
        </w:rPr>
        <w:t>2</w:t>
      </w:r>
      <w:r>
        <w:rPr>
          <w:rFonts w:hint="eastAsia"/>
          <w:color w:val="auto"/>
          <w:highlight w:val="none"/>
        </w:rPr>
        <w:t>　对于沉管法隧道，应沿基槽底边线并排布置勘探点，分别生成纵断面；每隔一定距离应布置横勘探线，横勘探线长度应延伸至基槽两侧坡顶线以外，生成横断面；基槽底宽度超过边线纵向勘探点间距的1.5倍时，宜沿隧道中线增加一排勘探点，单独生成一条纵断面；浮运航道和临时航道勘探点宜沿航道左右交错布置，生成一条纵断面。</w:t>
      </w:r>
    </w:p>
    <w:p>
      <w:pPr>
        <w:spacing w:line="360" w:lineRule="auto"/>
        <w:ind w:firstLine="422" w:firstLineChars="200"/>
        <w:rPr>
          <w:color w:val="auto"/>
          <w:highlight w:val="none"/>
        </w:rPr>
      </w:pPr>
      <w:r>
        <w:rPr>
          <w:rFonts w:hint="eastAsia"/>
          <w:b/>
          <w:bCs/>
          <w:color w:val="auto"/>
          <w:highlight w:val="none"/>
        </w:rPr>
        <w:t>3</w:t>
      </w:r>
      <w:r>
        <w:rPr>
          <w:rFonts w:hint="eastAsia"/>
          <w:color w:val="auto"/>
          <w:highlight w:val="none"/>
        </w:rPr>
        <w:t>　对于暗挖法隧道，宜沿隧道洞壁外侧左右交错布置，生成一条纵断面。其中，山岭隧道宜布置在隧道洞壁外侧5m</w:t>
      </w:r>
      <w:r>
        <w:rPr>
          <w:rFonts w:hint="eastAsia"/>
          <w:color w:val="auto"/>
          <w:szCs w:val="21"/>
          <w:highlight w:val="none"/>
        </w:rPr>
        <w:t>~</w:t>
      </w:r>
      <w:r>
        <w:rPr>
          <w:rFonts w:hint="eastAsia"/>
          <w:color w:val="auto"/>
          <w:highlight w:val="none"/>
        </w:rPr>
        <w:t>8m；平原隧道宜布置在隧道洞壁外侧3m</w:t>
      </w:r>
      <w:r>
        <w:rPr>
          <w:rFonts w:hint="eastAsia"/>
          <w:color w:val="auto"/>
          <w:szCs w:val="21"/>
          <w:highlight w:val="none"/>
        </w:rPr>
        <w:t>~</w:t>
      </w:r>
      <w:r>
        <w:rPr>
          <w:rFonts w:hint="eastAsia"/>
          <w:color w:val="auto"/>
          <w:highlight w:val="none"/>
        </w:rPr>
        <w:t>5m；水下隧道宜布置在隧道洞壁外侧6m</w:t>
      </w:r>
      <w:r>
        <w:rPr>
          <w:rFonts w:hint="eastAsia"/>
          <w:color w:val="auto"/>
          <w:szCs w:val="21"/>
          <w:highlight w:val="none"/>
        </w:rPr>
        <w:t>~</w:t>
      </w:r>
      <w:r>
        <w:rPr>
          <w:rFonts w:hint="eastAsia"/>
          <w:color w:val="auto"/>
          <w:highlight w:val="none"/>
        </w:rPr>
        <w:t>10m。</w:t>
      </w:r>
    </w:p>
    <w:p>
      <w:pPr>
        <w:spacing w:line="360" w:lineRule="auto"/>
        <w:ind w:firstLine="420" w:firstLineChars="200"/>
        <w:rPr>
          <w:color w:val="auto"/>
          <w:highlight w:val="none"/>
        </w:rPr>
      </w:pPr>
      <w:r>
        <w:rPr>
          <w:rFonts w:hint="eastAsia"/>
          <w:color w:val="auto"/>
          <w:highlight w:val="none"/>
        </w:rPr>
        <w:t>对于双洞并行暗挖法隧道，两隧道洞壁间距大时，应按两个单洞隧道分别布置勘探点，分别生成纵断面；两隧道洞壁间距较大时，可在两隧道间布置双洞共用的勘探点，但两隧道分别生成纵断面；两隧道洞壁间距较小时，宜按一个隧道布置勘探点，生成一条共同的纵断面；小净距双洞隧道，应按一个隧道布置勘探点，生成一条共同的纵断面。双洞隧道间距大小判别可按表7.1.4分类。</w:t>
      </w:r>
    </w:p>
    <w:p>
      <w:pPr>
        <w:spacing w:line="360" w:lineRule="auto"/>
        <w:jc w:val="center"/>
        <w:rPr>
          <w:b/>
          <w:bCs/>
          <w:color w:val="auto"/>
          <w:highlight w:val="none"/>
        </w:rPr>
      </w:pPr>
      <w:r>
        <w:rPr>
          <w:b/>
          <w:bCs/>
          <w:color w:val="auto"/>
          <w:highlight w:val="none"/>
        </w:rPr>
        <w:t>表7.1.</w:t>
      </w:r>
      <w:r>
        <w:rPr>
          <w:rFonts w:hint="eastAsia"/>
          <w:b/>
          <w:bCs/>
          <w:color w:val="auto"/>
          <w:highlight w:val="none"/>
        </w:rPr>
        <w:t>4</w:t>
      </w:r>
      <w:r>
        <w:rPr>
          <w:b/>
          <w:bCs/>
          <w:color w:val="auto"/>
          <w:highlight w:val="none"/>
        </w:rPr>
        <w:t>　</w:t>
      </w:r>
      <w:r>
        <w:rPr>
          <w:rFonts w:hint="eastAsia"/>
          <w:b/>
          <w:bCs/>
          <w:color w:val="auto"/>
          <w:highlight w:val="none"/>
        </w:rPr>
        <w:t>双洞</w:t>
      </w:r>
      <w:r>
        <w:rPr>
          <w:b/>
          <w:bCs/>
          <w:color w:val="auto"/>
          <w:highlight w:val="none"/>
        </w:rPr>
        <w:t>隧道</w:t>
      </w:r>
      <w:r>
        <w:rPr>
          <w:rFonts w:hint="eastAsia"/>
          <w:b/>
          <w:bCs/>
          <w:color w:val="auto"/>
          <w:highlight w:val="none"/>
        </w:rPr>
        <w:t>间距分类</w:t>
      </w:r>
    </w:p>
    <w:tbl>
      <w:tblPr>
        <w:tblStyle w:val="23"/>
        <w:tblW w:w="8250" w:type="dxa"/>
        <w:tblInd w:w="14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656"/>
        <w:gridCol w:w="1656"/>
        <w:gridCol w:w="1656"/>
        <w:gridCol w:w="16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vMerge w:val="restart"/>
            <w:vAlign w:val="center"/>
          </w:tcPr>
          <w:p>
            <w:pPr>
              <w:jc w:val="center"/>
              <w:rPr>
                <w:color w:val="auto"/>
                <w:kern w:val="0"/>
                <w:sz w:val="20"/>
                <w:szCs w:val="20"/>
                <w:highlight w:val="none"/>
              </w:rPr>
            </w:pPr>
            <w:r>
              <w:rPr>
                <w:rFonts w:hint="eastAsia"/>
                <w:color w:val="auto"/>
                <w:kern w:val="0"/>
                <w:sz w:val="20"/>
                <w:szCs w:val="20"/>
                <w:highlight w:val="none"/>
              </w:rPr>
              <w:t>隧道类型</w:t>
            </w:r>
          </w:p>
        </w:tc>
        <w:tc>
          <w:tcPr>
            <w:tcW w:w="6624" w:type="dxa"/>
            <w:gridSpan w:val="4"/>
            <w:vAlign w:val="center"/>
          </w:tcPr>
          <w:p>
            <w:pPr>
              <w:jc w:val="center"/>
              <w:rPr>
                <w:color w:val="auto"/>
                <w:kern w:val="0"/>
                <w:sz w:val="20"/>
                <w:szCs w:val="20"/>
                <w:highlight w:val="none"/>
              </w:rPr>
            </w:pPr>
            <w:r>
              <w:rPr>
                <w:rFonts w:hint="eastAsia"/>
                <w:color w:val="auto"/>
                <w:kern w:val="0"/>
                <w:sz w:val="20"/>
                <w:szCs w:val="20"/>
                <w:highlight w:val="none"/>
              </w:rPr>
              <w:t>两隧道洞壁间距（m）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vMerge w:val="continue"/>
            <w:vAlign w:val="center"/>
          </w:tcPr>
          <w:p>
            <w:pPr>
              <w:jc w:val="center"/>
              <w:rPr>
                <w:color w:val="auto"/>
                <w:kern w:val="0"/>
                <w:sz w:val="20"/>
                <w:szCs w:val="20"/>
                <w:highlight w:val="none"/>
              </w:rPr>
            </w:pPr>
          </w:p>
        </w:tc>
        <w:tc>
          <w:tcPr>
            <w:tcW w:w="1656" w:type="dxa"/>
            <w:vAlign w:val="center"/>
          </w:tcPr>
          <w:p>
            <w:pPr>
              <w:jc w:val="center"/>
              <w:rPr>
                <w:color w:val="auto"/>
                <w:sz w:val="20"/>
                <w:szCs w:val="20"/>
                <w:highlight w:val="none"/>
              </w:rPr>
            </w:pPr>
            <w:r>
              <w:rPr>
                <w:rFonts w:hint="eastAsia"/>
                <w:color w:val="auto"/>
                <w:sz w:val="20"/>
                <w:szCs w:val="20"/>
                <w:highlight w:val="none"/>
              </w:rPr>
              <w:t>大</w:t>
            </w:r>
          </w:p>
        </w:tc>
        <w:tc>
          <w:tcPr>
            <w:tcW w:w="1656" w:type="dxa"/>
            <w:vAlign w:val="center"/>
          </w:tcPr>
          <w:p>
            <w:pPr>
              <w:jc w:val="center"/>
              <w:rPr>
                <w:color w:val="auto"/>
                <w:sz w:val="20"/>
                <w:szCs w:val="20"/>
                <w:highlight w:val="none"/>
              </w:rPr>
            </w:pPr>
            <w:r>
              <w:rPr>
                <w:rFonts w:hint="eastAsia"/>
                <w:color w:val="auto"/>
                <w:sz w:val="20"/>
                <w:szCs w:val="20"/>
                <w:highlight w:val="none"/>
              </w:rPr>
              <w:t>较大</w:t>
            </w:r>
          </w:p>
        </w:tc>
        <w:tc>
          <w:tcPr>
            <w:tcW w:w="1656" w:type="dxa"/>
            <w:vAlign w:val="center"/>
          </w:tcPr>
          <w:p>
            <w:pPr>
              <w:jc w:val="center"/>
              <w:rPr>
                <w:color w:val="auto"/>
                <w:sz w:val="20"/>
                <w:szCs w:val="20"/>
                <w:highlight w:val="none"/>
              </w:rPr>
            </w:pPr>
            <w:r>
              <w:rPr>
                <w:rFonts w:hint="eastAsia"/>
                <w:color w:val="auto"/>
                <w:sz w:val="20"/>
                <w:szCs w:val="20"/>
                <w:highlight w:val="none"/>
              </w:rPr>
              <w:t>较小</w:t>
            </w:r>
          </w:p>
        </w:tc>
        <w:tc>
          <w:tcPr>
            <w:tcW w:w="1656" w:type="dxa"/>
            <w:vAlign w:val="center"/>
          </w:tcPr>
          <w:p>
            <w:pPr>
              <w:jc w:val="center"/>
              <w:rPr>
                <w:color w:val="auto"/>
                <w:sz w:val="20"/>
                <w:szCs w:val="20"/>
                <w:highlight w:val="none"/>
              </w:rPr>
            </w:pPr>
            <w:r>
              <w:rPr>
                <w:rFonts w:hint="eastAsia"/>
                <w:color w:val="auto"/>
                <w:sz w:val="20"/>
                <w:szCs w:val="20"/>
                <w:highlight w:val="none"/>
              </w:rPr>
              <w:t>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vAlign w:val="center"/>
          </w:tcPr>
          <w:p>
            <w:pPr>
              <w:jc w:val="center"/>
              <w:rPr>
                <w:color w:val="auto"/>
                <w:kern w:val="0"/>
                <w:sz w:val="20"/>
                <w:szCs w:val="20"/>
                <w:highlight w:val="none"/>
              </w:rPr>
            </w:pPr>
            <w:r>
              <w:rPr>
                <w:rFonts w:hint="eastAsia"/>
                <w:color w:val="auto"/>
                <w:kern w:val="0"/>
                <w:sz w:val="20"/>
                <w:szCs w:val="20"/>
                <w:highlight w:val="none"/>
              </w:rPr>
              <w:t>山岭隧道</w:t>
            </w:r>
          </w:p>
        </w:tc>
        <w:tc>
          <w:tcPr>
            <w:tcW w:w="1656" w:type="dxa"/>
            <w:vAlign w:val="center"/>
          </w:tcPr>
          <w:p>
            <w:pPr>
              <w:jc w:val="center"/>
              <w:rPr>
                <w:color w:val="auto"/>
                <w:sz w:val="20"/>
                <w:szCs w:val="20"/>
                <w:highlight w:val="none"/>
              </w:rPr>
            </w:pPr>
            <w:r>
              <w:rPr>
                <w:rFonts w:hint="eastAsia"/>
                <w:color w:val="auto"/>
                <w:sz w:val="20"/>
                <w:szCs w:val="20"/>
                <w:highlight w:val="none"/>
              </w:rPr>
              <w:t>&gt;20</w:t>
            </w:r>
          </w:p>
        </w:tc>
        <w:tc>
          <w:tcPr>
            <w:tcW w:w="1656" w:type="dxa"/>
            <w:vAlign w:val="center"/>
          </w:tcPr>
          <w:p>
            <w:pPr>
              <w:jc w:val="center"/>
              <w:rPr>
                <w:color w:val="auto"/>
                <w:sz w:val="20"/>
                <w:szCs w:val="20"/>
                <w:highlight w:val="none"/>
              </w:rPr>
            </w:pPr>
            <w:r>
              <w:rPr>
                <w:rFonts w:hint="eastAsia"/>
                <w:color w:val="auto"/>
                <w:sz w:val="20"/>
                <w:szCs w:val="20"/>
                <w:highlight w:val="none"/>
              </w:rPr>
              <w:t>10~20</w:t>
            </w:r>
          </w:p>
        </w:tc>
        <w:tc>
          <w:tcPr>
            <w:tcW w:w="1656" w:type="dxa"/>
            <w:vAlign w:val="center"/>
          </w:tcPr>
          <w:p>
            <w:pPr>
              <w:jc w:val="center"/>
              <w:rPr>
                <w:color w:val="auto"/>
                <w:sz w:val="20"/>
                <w:szCs w:val="20"/>
                <w:highlight w:val="none"/>
              </w:rPr>
            </w:pPr>
            <w:r>
              <w:rPr>
                <w:rFonts w:hint="eastAsia"/>
                <w:color w:val="auto"/>
                <w:sz w:val="20"/>
                <w:szCs w:val="20"/>
                <w:highlight w:val="none"/>
              </w:rPr>
              <w:t>8~10</w:t>
            </w:r>
          </w:p>
        </w:tc>
        <w:tc>
          <w:tcPr>
            <w:tcW w:w="1656" w:type="dxa"/>
            <w:vAlign w:val="center"/>
          </w:tcPr>
          <w:p>
            <w:pPr>
              <w:jc w:val="center"/>
              <w:rPr>
                <w:rFonts w:ascii="宋体" w:hAnsi="宋体" w:cs="宋体"/>
                <w:color w:val="auto"/>
                <w:sz w:val="20"/>
                <w:szCs w:val="20"/>
                <w:highlight w:val="none"/>
              </w:rPr>
            </w:pPr>
            <w:r>
              <w:rPr>
                <w:rFonts w:hint="eastAsia" w:ascii="宋体" w:hAnsi="宋体" w:cs="宋体"/>
                <w:color w:val="auto"/>
                <w:sz w:val="20"/>
                <w:szCs w:val="20"/>
                <w:highlight w:val="none"/>
              </w:rPr>
              <w:t>≤</w:t>
            </w:r>
            <w:r>
              <w:rPr>
                <w:rFonts w:hint="eastAsia"/>
                <w:color w:val="auto"/>
                <w:sz w:val="20"/>
                <w:szCs w:val="20"/>
                <w:highlight w:val="none"/>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vAlign w:val="center"/>
          </w:tcPr>
          <w:p>
            <w:pPr>
              <w:jc w:val="center"/>
              <w:rPr>
                <w:color w:val="auto"/>
                <w:kern w:val="0"/>
                <w:sz w:val="20"/>
                <w:szCs w:val="20"/>
                <w:highlight w:val="none"/>
              </w:rPr>
            </w:pPr>
            <w:r>
              <w:rPr>
                <w:rFonts w:hint="eastAsia"/>
                <w:color w:val="auto"/>
                <w:kern w:val="0"/>
                <w:sz w:val="20"/>
                <w:szCs w:val="20"/>
                <w:highlight w:val="none"/>
              </w:rPr>
              <w:t>平原隧道</w:t>
            </w:r>
          </w:p>
        </w:tc>
        <w:tc>
          <w:tcPr>
            <w:tcW w:w="1656" w:type="dxa"/>
            <w:vAlign w:val="center"/>
          </w:tcPr>
          <w:p>
            <w:pPr>
              <w:jc w:val="center"/>
              <w:rPr>
                <w:color w:val="auto"/>
                <w:sz w:val="20"/>
                <w:szCs w:val="20"/>
                <w:highlight w:val="none"/>
              </w:rPr>
            </w:pPr>
            <w:r>
              <w:rPr>
                <w:rFonts w:hint="eastAsia"/>
                <w:color w:val="auto"/>
                <w:sz w:val="20"/>
                <w:szCs w:val="20"/>
                <w:highlight w:val="none"/>
              </w:rPr>
              <w:t>&gt;15</w:t>
            </w:r>
          </w:p>
        </w:tc>
        <w:tc>
          <w:tcPr>
            <w:tcW w:w="1656" w:type="dxa"/>
            <w:vAlign w:val="center"/>
          </w:tcPr>
          <w:p>
            <w:pPr>
              <w:jc w:val="center"/>
              <w:rPr>
                <w:color w:val="auto"/>
                <w:sz w:val="20"/>
                <w:szCs w:val="20"/>
                <w:highlight w:val="none"/>
              </w:rPr>
            </w:pPr>
            <w:r>
              <w:rPr>
                <w:rFonts w:hint="eastAsia"/>
                <w:color w:val="auto"/>
                <w:sz w:val="20"/>
                <w:szCs w:val="20"/>
                <w:highlight w:val="none"/>
              </w:rPr>
              <w:t>6~15</w:t>
            </w:r>
          </w:p>
        </w:tc>
        <w:tc>
          <w:tcPr>
            <w:tcW w:w="1656" w:type="dxa"/>
            <w:vAlign w:val="center"/>
          </w:tcPr>
          <w:p>
            <w:pPr>
              <w:jc w:val="center"/>
              <w:rPr>
                <w:color w:val="auto"/>
                <w:sz w:val="20"/>
                <w:szCs w:val="20"/>
                <w:highlight w:val="none"/>
              </w:rPr>
            </w:pPr>
            <w:r>
              <w:rPr>
                <w:rFonts w:hint="eastAsia"/>
                <w:color w:val="auto"/>
                <w:sz w:val="20"/>
                <w:szCs w:val="20"/>
                <w:highlight w:val="none"/>
              </w:rPr>
              <w:t>4~6</w:t>
            </w:r>
          </w:p>
        </w:tc>
        <w:tc>
          <w:tcPr>
            <w:tcW w:w="1656" w:type="dxa"/>
            <w:vAlign w:val="center"/>
          </w:tcPr>
          <w:p>
            <w:pPr>
              <w:jc w:val="center"/>
              <w:rPr>
                <w:rFonts w:ascii="宋体" w:hAnsi="宋体" w:cs="宋体"/>
                <w:color w:val="auto"/>
                <w:sz w:val="20"/>
                <w:szCs w:val="20"/>
                <w:highlight w:val="none"/>
              </w:rPr>
            </w:pPr>
            <w:r>
              <w:rPr>
                <w:rFonts w:hint="eastAsia" w:ascii="宋体" w:hAnsi="宋体" w:cs="宋体"/>
                <w:color w:val="auto"/>
                <w:sz w:val="20"/>
                <w:szCs w:val="20"/>
                <w:highlight w:val="none"/>
              </w:rPr>
              <w:t>≤</w:t>
            </w:r>
            <w:r>
              <w:rPr>
                <w:rFonts w:hint="eastAsia"/>
                <w:color w:val="auto"/>
                <w:sz w:val="20"/>
                <w:szCs w:val="20"/>
                <w:highlight w:val="none"/>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26" w:type="dxa"/>
            <w:vAlign w:val="center"/>
          </w:tcPr>
          <w:p>
            <w:pPr>
              <w:jc w:val="center"/>
              <w:rPr>
                <w:color w:val="auto"/>
                <w:kern w:val="0"/>
                <w:sz w:val="20"/>
                <w:szCs w:val="20"/>
                <w:highlight w:val="none"/>
              </w:rPr>
            </w:pPr>
            <w:r>
              <w:rPr>
                <w:rFonts w:hint="eastAsia"/>
                <w:color w:val="auto"/>
                <w:kern w:val="0"/>
                <w:sz w:val="20"/>
                <w:szCs w:val="20"/>
                <w:highlight w:val="none"/>
              </w:rPr>
              <w:t>水下隧道</w:t>
            </w:r>
          </w:p>
        </w:tc>
        <w:tc>
          <w:tcPr>
            <w:tcW w:w="1656" w:type="dxa"/>
            <w:vAlign w:val="center"/>
          </w:tcPr>
          <w:p>
            <w:pPr>
              <w:jc w:val="center"/>
              <w:rPr>
                <w:color w:val="auto"/>
                <w:sz w:val="20"/>
                <w:szCs w:val="20"/>
                <w:highlight w:val="none"/>
              </w:rPr>
            </w:pPr>
            <w:r>
              <w:rPr>
                <w:rFonts w:hint="eastAsia"/>
                <w:color w:val="auto"/>
                <w:sz w:val="20"/>
                <w:szCs w:val="20"/>
                <w:highlight w:val="none"/>
              </w:rPr>
              <w:t>&gt;25</w:t>
            </w:r>
          </w:p>
        </w:tc>
        <w:tc>
          <w:tcPr>
            <w:tcW w:w="1656" w:type="dxa"/>
            <w:vAlign w:val="center"/>
          </w:tcPr>
          <w:p>
            <w:pPr>
              <w:jc w:val="center"/>
              <w:rPr>
                <w:color w:val="auto"/>
                <w:sz w:val="20"/>
                <w:szCs w:val="20"/>
                <w:highlight w:val="none"/>
              </w:rPr>
            </w:pPr>
            <w:r>
              <w:rPr>
                <w:rFonts w:hint="eastAsia"/>
                <w:color w:val="auto"/>
                <w:sz w:val="20"/>
                <w:szCs w:val="20"/>
                <w:highlight w:val="none"/>
              </w:rPr>
              <w:t>12~25</w:t>
            </w:r>
          </w:p>
        </w:tc>
        <w:tc>
          <w:tcPr>
            <w:tcW w:w="1656" w:type="dxa"/>
            <w:vAlign w:val="center"/>
          </w:tcPr>
          <w:p>
            <w:pPr>
              <w:jc w:val="center"/>
              <w:rPr>
                <w:color w:val="auto"/>
                <w:sz w:val="20"/>
                <w:szCs w:val="20"/>
                <w:highlight w:val="none"/>
              </w:rPr>
            </w:pPr>
            <w:r>
              <w:rPr>
                <w:rFonts w:hint="eastAsia"/>
                <w:color w:val="auto"/>
                <w:sz w:val="20"/>
                <w:szCs w:val="20"/>
                <w:highlight w:val="none"/>
              </w:rPr>
              <w:t>10~12</w:t>
            </w:r>
          </w:p>
        </w:tc>
        <w:tc>
          <w:tcPr>
            <w:tcW w:w="1656" w:type="dxa"/>
            <w:vAlign w:val="center"/>
          </w:tcPr>
          <w:p>
            <w:pPr>
              <w:jc w:val="center"/>
              <w:rPr>
                <w:rFonts w:ascii="宋体" w:hAnsi="宋体" w:cs="宋体"/>
                <w:color w:val="auto"/>
                <w:sz w:val="20"/>
                <w:szCs w:val="20"/>
                <w:highlight w:val="none"/>
              </w:rPr>
            </w:pPr>
            <w:r>
              <w:rPr>
                <w:rFonts w:hint="eastAsia" w:ascii="宋体" w:hAnsi="宋体" w:cs="宋体"/>
                <w:color w:val="auto"/>
                <w:sz w:val="20"/>
                <w:szCs w:val="20"/>
                <w:highlight w:val="none"/>
              </w:rPr>
              <w:t>≤</w:t>
            </w:r>
            <w:r>
              <w:rPr>
                <w:rFonts w:hint="eastAsia"/>
                <w:color w:val="auto"/>
                <w:sz w:val="20"/>
                <w:szCs w:val="20"/>
                <w:highlight w:val="none"/>
              </w:rPr>
              <w:t>10</w:t>
            </w:r>
          </w:p>
        </w:tc>
      </w:tr>
    </w:tbl>
    <w:p>
      <w:pPr>
        <w:spacing w:line="360" w:lineRule="auto"/>
        <w:rPr>
          <w:color w:val="auto"/>
          <w:szCs w:val="21"/>
          <w:highlight w:val="none"/>
        </w:rPr>
      </w:pPr>
      <w:r>
        <w:rPr>
          <w:b/>
          <w:bCs/>
          <w:color w:val="auto"/>
          <w:highlight w:val="none"/>
        </w:rPr>
        <w:t>7.1.</w:t>
      </w:r>
      <w:r>
        <w:rPr>
          <w:rFonts w:hint="eastAsia"/>
          <w:b/>
          <w:bCs/>
          <w:color w:val="auto"/>
          <w:highlight w:val="none"/>
        </w:rPr>
        <w:t>5</w:t>
      </w:r>
      <w:r>
        <w:rPr>
          <w:rFonts w:hint="eastAsia"/>
          <w:color w:val="auto"/>
          <w:highlight w:val="none"/>
        </w:rPr>
        <w:t>　取样和测试工作除符合本规范第3.0.7、3.0.9条的规定外，尚</w:t>
      </w:r>
      <w:r>
        <w:rPr>
          <w:color w:val="auto"/>
          <w:highlight w:val="none"/>
        </w:rPr>
        <w:t>应</w:t>
      </w:r>
      <w:r>
        <w:rPr>
          <w:rFonts w:hint="eastAsia"/>
          <w:color w:val="auto"/>
          <w:highlight w:val="none"/>
        </w:rPr>
        <w:t>符合下列规定</w:t>
      </w:r>
      <w:r>
        <w:rPr>
          <w:color w:val="auto"/>
          <w:highlight w:val="none"/>
        </w:rPr>
        <w:t>：</w:t>
      </w:r>
    </w:p>
    <w:p>
      <w:pPr>
        <w:spacing w:line="360" w:lineRule="auto"/>
        <w:ind w:firstLine="422" w:firstLineChars="200"/>
        <w:rPr>
          <w:color w:val="auto"/>
          <w:kern w:val="0"/>
          <w:highlight w:val="none"/>
        </w:rPr>
      </w:pPr>
      <w:r>
        <w:rPr>
          <w:b/>
          <w:bCs/>
          <w:color w:val="auto"/>
          <w:highlight w:val="none"/>
        </w:rPr>
        <w:t>1</w:t>
      </w:r>
      <w:r>
        <w:rPr>
          <w:rFonts w:hint="eastAsia"/>
          <w:color w:val="auto"/>
          <w:highlight w:val="none"/>
        </w:rPr>
        <w:t>　</w:t>
      </w:r>
      <w:r>
        <w:rPr>
          <w:color w:val="auto"/>
          <w:highlight w:val="none"/>
        </w:rPr>
        <w:t>松散地层</w:t>
      </w:r>
      <w:r>
        <w:rPr>
          <w:rFonts w:hint="eastAsia"/>
          <w:color w:val="auto"/>
          <w:highlight w:val="none"/>
        </w:rPr>
        <w:t>中隧道。明挖</w:t>
      </w:r>
      <w:r>
        <w:rPr>
          <w:color w:val="auto"/>
          <w:highlight w:val="none"/>
        </w:rPr>
        <w:t>法隧道</w:t>
      </w:r>
      <w:r>
        <w:rPr>
          <w:rFonts w:hint="eastAsia"/>
          <w:color w:val="auto"/>
          <w:highlight w:val="none"/>
        </w:rPr>
        <w:t>从地面至</w:t>
      </w:r>
      <w:r>
        <w:rPr>
          <w:rFonts w:hint="eastAsia" w:ascii="宋体" w:hAnsi="宋体" w:cs="宋体"/>
          <w:bCs/>
          <w:color w:val="auto"/>
          <w:szCs w:val="21"/>
          <w:highlight w:val="none"/>
        </w:rPr>
        <w:t>结构底板</w:t>
      </w:r>
      <w:r>
        <w:rPr>
          <w:color w:val="auto"/>
          <w:highlight w:val="none"/>
        </w:rPr>
        <w:t>以下</w:t>
      </w:r>
      <w:r>
        <w:rPr>
          <w:rFonts w:hint="eastAsia"/>
          <w:color w:val="auto"/>
          <w:highlight w:val="none"/>
        </w:rPr>
        <w:t>0</w:t>
      </w:r>
      <w:r>
        <w:rPr>
          <w:color w:val="auto"/>
          <w:highlight w:val="none"/>
        </w:rPr>
        <w:t>.5</w:t>
      </w:r>
      <w:r>
        <w:rPr>
          <w:rFonts w:hint="eastAsia"/>
          <w:color w:val="auto"/>
          <w:highlight w:val="none"/>
        </w:rPr>
        <w:t>倍隧道开挖深度</w:t>
      </w:r>
      <w:r>
        <w:rPr>
          <w:color w:val="auto"/>
          <w:highlight w:val="none"/>
        </w:rPr>
        <w:t>范围内</w:t>
      </w:r>
      <w:r>
        <w:rPr>
          <w:rFonts w:hint="eastAsia"/>
          <w:color w:val="auto"/>
          <w:highlight w:val="none"/>
        </w:rPr>
        <w:t>，</w:t>
      </w:r>
      <w:r>
        <w:rPr>
          <w:color w:val="auto"/>
          <w:highlight w:val="none"/>
        </w:rPr>
        <w:t>沉管法隧道</w:t>
      </w:r>
      <w:r>
        <w:rPr>
          <w:rFonts w:hint="eastAsia"/>
          <w:color w:val="auto"/>
          <w:highlight w:val="none"/>
        </w:rPr>
        <w:t>从河床表面至</w:t>
      </w:r>
      <w:r>
        <w:rPr>
          <w:rFonts w:hint="eastAsia" w:ascii="宋体" w:hAnsi="宋体" w:cs="宋体"/>
          <w:bCs/>
          <w:color w:val="auto"/>
          <w:szCs w:val="21"/>
          <w:highlight w:val="none"/>
        </w:rPr>
        <w:t>结构底板</w:t>
      </w:r>
      <w:r>
        <w:rPr>
          <w:color w:val="auto"/>
          <w:highlight w:val="none"/>
        </w:rPr>
        <w:t>以下</w:t>
      </w:r>
      <w:r>
        <w:rPr>
          <w:rFonts w:hint="eastAsia"/>
          <w:color w:val="auto"/>
          <w:highlight w:val="none"/>
        </w:rPr>
        <w:t>0.3倍隧道底板宽度</w:t>
      </w:r>
      <w:r>
        <w:rPr>
          <w:color w:val="auto"/>
          <w:highlight w:val="none"/>
        </w:rPr>
        <w:t>范围内，以及</w:t>
      </w:r>
      <w:r>
        <w:rPr>
          <w:rFonts w:hint="eastAsia"/>
          <w:color w:val="auto"/>
          <w:highlight w:val="none"/>
        </w:rPr>
        <w:t>暗挖</w:t>
      </w:r>
      <w:r>
        <w:rPr>
          <w:color w:val="auto"/>
          <w:highlight w:val="none"/>
        </w:rPr>
        <w:t>法隧道</w:t>
      </w:r>
      <w:r>
        <w:rPr>
          <w:rFonts w:hint="eastAsia"/>
          <w:color w:val="auto"/>
          <w:highlight w:val="none"/>
        </w:rPr>
        <w:t>从地面至</w:t>
      </w:r>
      <w:r>
        <w:rPr>
          <w:rFonts w:hint="eastAsia" w:ascii="宋体" w:hAnsi="宋体" w:cs="宋体"/>
          <w:bCs/>
          <w:color w:val="auto"/>
          <w:szCs w:val="21"/>
          <w:highlight w:val="none"/>
        </w:rPr>
        <w:t>结构底板</w:t>
      </w:r>
      <w:r>
        <w:rPr>
          <w:color w:val="auto"/>
          <w:highlight w:val="none"/>
        </w:rPr>
        <w:t>以下</w:t>
      </w:r>
      <w:r>
        <w:rPr>
          <w:rFonts w:hint="eastAsia"/>
          <w:color w:val="auto"/>
          <w:highlight w:val="none"/>
        </w:rPr>
        <w:t>10</w:t>
      </w:r>
      <w:r>
        <w:rPr>
          <w:color w:val="auto"/>
          <w:highlight w:val="none"/>
        </w:rPr>
        <w:t>.0m范围内</w:t>
      </w:r>
      <w:r>
        <w:rPr>
          <w:rFonts w:hint="eastAsia"/>
          <w:color w:val="auto"/>
          <w:highlight w:val="none"/>
        </w:rPr>
        <w:t>，宜加密采取土样和进行原位测试；</w:t>
      </w:r>
    </w:p>
    <w:p>
      <w:pPr>
        <w:spacing w:line="360" w:lineRule="auto"/>
        <w:ind w:firstLine="422" w:firstLineChars="200"/>
        <w:jc w:val="left"/>
        <w:rPr>
          <w:color w:val="auto"/>
          <w:highlight w:val="none"/>
        </w:rPr>
      </w:pPr>
      <w:r>
        <w:rPr>
          <w:b/>
          <w:bCs/>
          <w:color w:val="auto"/>
          <w:highlight w:val="none"/>
        </w:rPr>
        <w:t>2</w:t>
      </w:r>
      <w:r>
        <w:rPr>
          <w:rFonts w:hint="eastAsia"/>
          <w:color w:val="auto"/>
          <w:highlight w:val="none"/>
        </w:rPr>
        <w:t>　</w:t>
      </w:r>
      <w:r>
        <w:rPr>
          <w:color w:val="auto"/>
          <w:highlight w:val="none"/>
        </w:rPr>
        <w:t>岩体</w:t>
      </w:r>
      <w:r>
        <w:rPr>
          <w:rFonts w:hint="eastAsia"/>
          <w:color w:val="auto"/>
          <w:highlight w:val="none"/>
        </w:rPr>
        <w:t>中隧道。</w:t>
      </w:r>
      <w:r>
        <w:rPr>
          <w:color w:val="auto"/>
          <w:highlight w:val="none"/>
        </w:rPr>
        <w:t>洞身段</w:t>
      </w:r>
      <w:r>
        <w:rPr>
          <w:rFonts w:hint="eastAsia"/>
          <w:color w:val="auto"/>
          <w:highlight w:val="none"/>
        </w:rPr>
        <w:t>勘探孔</w:t>
      </w:r>
      <w:r>
        <w:rPr>
          <w:color w:val="auto"/>
          <w:highlight w:val="none"/>
        </w:rPr>
        <w:t>在设计洞底标高至</w:t>
      </w:r>
      <w:r>
        <w:rPr>
          <w:rFonts w:hint="eastAsia"/>
          <w:color w:val="auto"/>
          <w:highlight w:val="none"/>
        </w:rPr>
        <w:t>洞顶以</w:t>
      </w:r>
      <w:r>
        <w:rPr>
          <w:color w:val="auto"/>
          <w:highlight w:val="none"/>
        </w:rPr>
        <w:t>上3~5倍洞径范围内应采取岩样，并</w:t>
      </w:r>
      <w:r>
        <w:rPr>
          <w:rFonts w:hint="eastAsia"/>
          <w:color w:val="auto"/>
          <w:highlight w:val="none"/>
        </w:rPr>
        <w:t>进行</w:t>
      </w:r>
      <w:r>
        <w:rPr>
          <w:color w:val="auto"/>
          <w:highlight w:val="none"/>
        </w:rPr>
        <w:t>孔内纵波波速测试</w:t>
      </w:r>
      <w:r>
        <w:rPr>
          <w:rFonts w:hint="eastAsia"/>
          <w:color w:val="auto"/>
          <w:highlight w:val="none"/>
        </w:rPr>
        <w:t>和代表性</w:t>
      </w:r>
      <w:r>
        <w:rPr>
          <w:color w:val="auto"/>
          <w:highlight w:val="none"/>
        </w:rPr>
        <w:t>岩</w:t>
      </w:r>
      <w:r>
        <w:rPr>
          <w:rFonts w:hint="eastAsia"/>
          <w:color w:val="auto"/>
          <w:highlight w:val="none"/>
        </w:rPr>
        <w:t>样的纵波</w:t>
      </w:r>
      <w:r>
        <w:rPr>
          <w:color w:val="auto"/>
          <w:highlight w:val="none"/>
        </w:rPr>
        <w:t>波速测试</w:t>
      </w:r>
      <w:r>
        <w:rPr>
          <w:color w:val="auto"/>
          <w:spacing w:val="-2"/>
          <w:highlight w:val="none"/>
        </w:rPr>
        <w:t>；</w:t>
      </w:r>
      <w:r>
        <w:rPr>
          <w:rFonts w:hint="eastAsia"/>
          <w:color w:val="auto"/>
          <w:spacing w:val="-2"/>
          <w:highlight w:val="none"/>
        </w:rPr>
        <w:t>深层排水隧道设计洞底标高以下深度范围也应采取岩样和进行纵波波速测试。</w:t>
      </w:r>
    </w:p>
    <w:p>
      <w:pPr>
        <w:spacing w:line="360" w:lineRule="auto"/>
        <w:ind w:firstLine="422" w:firstLineChars="200"/>
        <w:rPr>
          <w:color w:val="auto"/>
          <w:highlight w:val="none"/>
        </w:rPr>
      </w:pPr>
      <w:r>
        <w:rPr>
          <w:b/>
          <w:bCs/>
          <w:color w:val="auto"/>
          <w:highlight w:val="none"/>
        </w:rPr>
        <w:t>3</w:t>
      </w:r>
      <w:r>
        <w:rPr>
          <w:rFonts w:hint="eastAsia"/>
          <w:color w:val="auto"/>
          <w:highlight w:val="none"/>
        </w:rPr>
        <w:t>　</w:t>
      </w:r>
      <w:r>
        <w:rPr>
          <w:color w:val="auto"/>
          <w:highlight w:val="none"/>
        </w:rPr>
        <w:t>水文地质条件复杂</w:t>
      </w:r>
      <w:r>
        <w:rPr>
          <w:rFonts w:hint="eastAsia"/>
          <w:color w:val="auto"/>
          <w:highlight w:val="none"/>
        </w:rPr>
        <w:t>且对工程建设或运营有重大影响</w:t>
      </w:r>
      <w:r>
        <w:rPr>
          <w:color w:val="auto"/>
          <w:highlight w:val="none"/>
        </w:rPr>
        <w:t>时，应进行</w:t>
      </w:r>
      <w:r>
        <w:rPr>
          <w:rFonts w:hint="eastAsia"/>
          <w:color w:val="auto"/>
          <w:highlight w:val="none"/>
          <w:lang w:val="en-US" w:eastAsia="zh-CN"/>
        </w:rPr>
        <w:t>分段抽水试验或注水试验，必要的进行</w:t>
      </w:r>
      <w:r>
        <w:rPr>
          <w:color w:val="auto"/>
          <w:highlight w:val="none"/>
        </w:rPr>
        <w:t>专门</w:t>
      </w:r>
      <w:r>
        <w:rPr>
          <w:rFonts w:hint="eastAsia"/>
          <w:color w:val="auto"/>
          <w:highlight w:val="none"/>
        </w:rPr>
        <w:t>的</w:t>
      </w:r>
      <w:r>
        <w:rPr>
          <w:color w:val="auto"/>
          <w:highlight w:val="none"/>
        </w:rPr>
        <w:t>水文地质</w:t>
      </w:r>
      <w:r>
        <w:rPr>
          <w:rFonts w:hint="eastAsia"/>
          <w:color w:val="auto"/>
          <w:highlight w:val="none"/>
        </w:rPr>
        <w:t>勘察</w:t>
      </w:r>
      <w:r>
        <w:rPr>
          <w:color w:val="auto"/>
          <w:highlight w:val="none"/>
        </w:rPr>
        <w:t>；</w:t>
      </w:r>
    </w:p>
    <w:p>
      <w:pPr>
        <w:spacing w:line="360" w:lineRule="auto"/>
        <w:ind w:firstLine="422" w:firstLineChars="200"/>
        <w:rPr>
          <w:color w:val="auto"/>
          <w:highlight w:val="none"/>
        </w:rPr>
      </w:pPr>
      <w:r>
        <w:rPr>
          <w:rFonts w:hint="eastAsia"/>
          <w:b/>
          <w:bCs/>
          <w:color w:val="auto"/>
          <w:highlight w:val="none"/>
        </w:rPr>
        <w:t>4</w:t>
      </w:r>
      <w:r>
        <w:rPr>
          <w:rFonts w:hint="eastAsia"/>
          <w:color w:val="auto"/>
          <w:highlight w:val="none"/>
        </w:rPr>
        <w:t>　可</w:t>
      </w:r>
      <w:r>
        <w:rPr>
          <w:color w:val="auto"/>
          <w:highlight w:val="none"/>
        </w:rPr>
        <w:t>根据需要进行地应力测试、有害气体测定、放射性测试</w:t>
      </w:r>
      <w:r>
        <w:rPr>
          <w:rFonts w:hint="eastAsia"/>
          <w:color w:val="auto"/>
          <w:highlight w:val="none"/>
        </w:rPr>
        <w:t>。</w:t>
      </w:r>
    </w:p>
    <w:p>
      <w:pPr>
        <w:spacing w:line="360" w:lineRule="auto"/>
        <w:rPr>
          <w:color w:val="auto"/>
          <w:highlight w:val="none"/>
        </w:rPr>
      </w:pPr>
      <w:r>
        <w:rPr>
          <w:rFonts w:hint="eastAsia"/>
          <w:b/>
          <w:bCs/>
          <w:color w:val="auto"/>
          <w:highlight w:val="none"/>
        </w:rPr>
        <w:t>7.1.6</w:t>
      </w:r>
      <w:r>
        <w:rPr>
          <w:rFonts w:hint="eastAsia"/>
          <w:color w:val="auto"/>
          <w:highlight w:val="none"/>
        </w:rPr>
        <w:t>　下穿水域、铁路、地铁或重要建构筑物的隧道工程，当地面或水面不具备垂直钻探条件，且场地条件复杂时，可采用水平定向钻探、工程物探等方法勘探。</w:t>
      </w:r>
    </w:p>
    <w:p>
      <w:pPr>
        <w:autoSpaceDE w:val="0"/>
        <w:autoSpaceDN w:val="0"/>
        <w:adjustRightInd w:val="0"/>
        <w:spacing w:line="360" w:lineRule="auto"/>
        <w:jc w:val="left"/>
        <w:rPr>
          <w:color w:val="auto"/>
          <w:kern w:val="0"/>
          <w:highlight w:val="none"/>
        </w:rPr>
      </w:pPr>
      <w:r>
        <w:rPr>
          <w:b/>
          <w:bCs/>
          <w:color w:val="auto"/>
          <w:highlight w:val="none"/>
        </w:rPr>
        <w:t>7.</w:t>
      </w:r>
      <w:r>
        <w:rPr>
          <w:rFonts w:hint="eastAsia"/>
          <w:b/>
          <w:bCs/>
          <w:color w:val="auto"/>
          <w:highlight w:val="none"/>
        </w:rPr>
        <w:t>1.7</w:t>
      </w:r>
      <w:r>
        <w:rPr>
          <w:rFonts w:hint="eastAsia"/>
          <w:color w:val="auto"/>
          <w:highlight w:val="none"/>
        </w:rPr>
        <w:t>　</w:t>
      </w:r>
      <w:r>
        <w:rPr>
          <w:color w:val="auto"/>
          <w:highlight w:val="none"/>
        </w:rPr>
        <w:t>以下</w:t>
      </w:r>
      <w:r>
        <w:rPr>
          <w:color w:val="auto"/>
          <w:kern w:val="0"/>
          <w:highlight w:val="none"/>
        </w:rPr>
        <w:t>情况</w:t>
      </w:r>
      <w:r>
        <w:rPr>
          <w:rFonts w:hint="eastAsia"/>
          <w:color w:val="auto"/>
          <w:kern w:val="0"/>
          <w:highlight w:val="none"/>
        </w:rPr>
        <w:t>下，隧道工程</w:t>
      </w:r>
      <w:r>
        <w:rPr>
          <w:rFonts w:hint="eastAsia"/>
          <w:color w:val="auto"/>
          <w:highlight w:val="none"/>
        </w:rPr>
        <w:t>宜</w:t>
      </w:r>
      <w:r>
        <w:rPr>
          <w:color w:val="auto"/>
          <w:highlight w:val="none"/>
        </w:rPr>
        <w:t>根据</w:t>
      </w:r>
      <w:r>
        <w:rPr>
          <w:rFonts w:hint="eastAsia"/>
          <w:color w:val="auto"/>
          <w:highlight w:val="none"/>
        </w:rPr>
        <w:t>场地</w:t>
      </w:r>
      <w:r>
        <w:rPr>
          <w:color w:val="auto"/>
          <w:highlight w:val="none"/>
        </w:rPr>
        <w:t>的地质条件、地形、地貌及周边环境条件</w:t>
      </w:r>
      <w:r>
        <w:rPr>
          <w:rFonts w:hint="eastAsia"/>
          <w:color w:val="auto"/>
          <w:highlight w:val="none"/>
        </w:rPr>
        <w:t>，</w:t>
      </w:r>
      <w:r>
        <w:rPr>
          <w:color w:val="auto"/>
          <w:highlight w:val="none"/>
        </w:rPr>
        <w:t>参照附录</w:t>
      </w:r>
      <w:r>
        <w:rPr>
          <w:rFonts w:hint="eastAsia"/>
          <w:color w:val="auto"/>
          <w:highlight w:val="none"/>
        </w:rPr>
        <w:t>C选择物探方法</w:t>
      </w:r>
      <w:r>
        <w:rPr>
          <w:color w:val="auto"/>
          <w:kern w:val="0"/>
          <w:highlight w:val="none"/>
        </w:rPr>
        <w:t>开展物探工作</w:t>
      </w:r>
      <w:r>
        <w:rPr>
          <w:rFonts w:hint="eastAsia"/>
          <w:color w:val="auto"/>
          <w:kern w:val="0"/>
          <w:highlight w:val="none"/>
        </w:rPr>
        <w:t>：</w:t>
      </w:r>
    </w:p>
    <w:p>
      <w:pPr>
        <w:autoSpaceDE w:val="0"/>
        <w:autoSpaceDN w:val="0"/>
        <w:adjustRightInd w:val="0"/>
        <w:spacing w:line="360" w:lineRule="auto"/>
        <w:ind w:firstLine="422" w:firstLineChars="200"/>
        <w:jc w:val="left"/>
        <w:rPr>
          <w:color w:val="auto"/>
          <w:highlight w:val="none"/>
        </w:rPr>
      </w:pPr>
      <w:r>
        <w:rPr>
          <w:b/>
          <w:bCs/>
          <w:color w:val="auto"/>
          <w:kern w:val="0"/>
          <w:highlight w:val="none"/>
        </w:rPr>
        <w:t>1</w:t>
      </w:r>
      <w:r>
        <w:rPr>
          <w:rFonts w:hint="eastAsia"/>
          <w:color w:val="auto"/>
          <w:kern w:val="0"/>
          <w:highlight w:val="none"/>
        </w:rPr>
        <w:t>　</w:t>
      </w:r>
      <w:r>
        <w:rPr>
          <w:color w:val="auto"/>
          <w:highlight w:val="none"/>
        </w:rPr>
        <w:t>山岭隧道</w:t>
      </w:r>
      <w:r>
        <w:rPr>
          <w:rFonts w:hint="eastAsia"/>
          <w:color w:val="auto"/>
          <w:highlight w:val="none"/>
        </w:rPr>
        <w:t>；</w:t>
      </w:r>
    </w:p>
    <w:p>
      <w:pPr>
        <w:autoSpaceDE w:val="0"/>
        <w:autoSpaceDN w:val="0"/>
        <w:adjustRightInd w:val="0"/>
        <w:spacing w:line="360" w:lineRule="auto"/>
        <w:ind w:firstLine="422" w:firstLineChars="200"/>
        <w:jc w:val="left"/>
        <w:rPr>
          <w:color w:val="auto"/>
          <w:kern w:val="0"/>
          <w:highlight w:val="none"/>
        </w:rPr>
      </w:pPr>
      <w:r>
        <w:rPr>
          <w:rFonts w:hint="eastAsia"/>
          <w:b/>
          <w:bCs/>
          <w:color w:val="auto"/>
          <w:highlight w:val="none"/>
        </w:rPr>
        <w:t>2</w:t>
      </w:r>
      <w:r>
        <w:rPr>
          <w:rFonts w:hint="eastAsia"/>
          <w:color w:val="auto"/>
          <w:highlight w:val="none"/>
        </w:rPr>
        <w:t>　可能</w:t>
      </w:r>
      <w:r>
        <w:rPr>
          <w:color w:val="auto"/>
          <w:highlight w:val="none"/>
        </w:rPr>
        <w:t>穿越</w:t>
      </w:r>
      <w:r>
        <w:rPr>
          <w:rFonts w:hint="eastAsia"/>
          <w:color w:val="auto"/>
          <w:highlight w:val="none"/>
        </w:rPr>
        <w:t>中微风化岩体、孤石、抛石</w:t>
      </w:r>
      <w:r>
        <w:rPr>
          <w:color w:val="auto"/>
          <w:highlight w:val="none"/>
        </w:rPr>
        <w:t>的</w:t>
      </w:r>
      <w:r>
        <w:rPr>
          <w:rFonts w:hint="eastAsia"/>
          <w:color w:val="auto"/>
          <w:highlight w:val="none"/>
        </w:rPr>
        <w:t>暗挖法</w:t>
      </w:r>
      <w:r>
        <w:rPr>
          <w:color w:val="auto"/>
          <w:highlight w:val="none"/>
        </w:rPr>
        <w:t>隧道；</w:t>
      </w:r>
      <w:r>
        <w:rPr>
          <w:color w:val="auto"/>
          <w:kern w:val="0"/>
          <w:highlight w:val="none"/>
        </w:rPr>
        <w:t xml:space="preserve"> </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3</w:t>
      </w:r>
      <w:r>
        <w:rPr>
          <w:rFonts w:hint="eastAsia"/>
          <w:color w:val="auto"/>
          <w:kern w:val="0"/>
          <w:highlight w:val="none"/>
        </w:rPr>
        <w:t>　</w:t>
      </w:r>
      <w:r>
        <w:rPr>
          <w:rFonts w:hint="eastAsia"/>
          <w:color w:val="auto"/>
          <w:highlight w:val="none"/>
        </w:rPr>
        <w:t>场地存在</w:t>
      </w:r>
      <w:r>
        <w:rPr>
          <w:color w:val="auto"/>
          <w:highlight w:val="none"/>
        </w:rPr>
        <w:t>岩溶区、采空区</w:t>
      </w:r>
      <w:r>
        <w:rPr>
          <w:rFonts w:hint="eastAsia"/>
          <w:color w:val="auto"/>
          <w:highlight w:val="none"/>
        </w:rPr>
        <w:t>或</w:t>
      </w:r>
      <w:r>
        <w:rPr>
          <w:color w:val="auto"/>
          <w:highlight w:val="none"/>
        </w:rPr>
        <w:t>历史上发生过地面塌陷</w:t>
      </w:r>
      <w:r>
        <w:rPr>
          <w:rFonts w:hint="eastAsia"/>
          <w:color w:val="auto"/>
          <w:highlight w:val="none"/>
        </w:rPr>
        <w:t>的</w:t>
      </w:r>
      <w:r>
        <w:rPr>
          <w:color w:val="auto"/>
          <w:highlight w:val="none"/>
        </w:rPr>
        <w:t>隧道；</w:t>
      </w:r>
      <w:r>
        <w:rPr>
          <w:color w:val="auto"/>
          <w:kern w:val="0"/>
          <w:highlight w:val="none"/>
        </w:rPr>
        <w:t xml:space="preserve"> </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4</w:t>
      </w:r>
      <w:r>
        <w:rPr>
          <w:rFonts w:hint="eastAsia"/>
          <w:color w:val="auto"/>
          <w:kern w:val="0"/>
          <w:highlight w:val="none"/>
        </w:rPr>
        <w:t>　</w:t>
      </w:r>
      <w:r>
        <w:rPr>
          <w:color w:val="auto"/>
          <w:kern w:val="0"/>
          <w:highlight w:val="none"/>
        </w:rPr>
        <w:t>区域资料显示有断裂带通过</w:t>
      </w:r>
      <w:r>
        <w:rPr>
          <w:rFonts w:hint="eastAsia"/>
          <w:color w:val="auto"/>
          <w:kern w:val="0"/>
          <w:highlight w:val="none"/>
        </w:rPr>
        <w:t>隧道</w:t>
      </w:r>
      <w:r>
        <w:rPr>
          <w:color w:val="auto"/>
          <w:kern w:val="0"/>
          <w:highlight w:val="none"/>
        </w:rPr>
        <w:t>线位</w:t>
      </w:r>
      <w:r>
        <w:rPr>
          <w:rFonts w:hint="eastAsia"/>
          <w:color w:val="auto"/>
          <w:kern w:val="0"/>
          <w:highlight w:val="none"/>
        </w:rPr>
        <w:t>的</w:t>
      </w:r>
      <w:r>
        <w:rPr>
          <w:color w:val="auto"/>
          <w:kern w:val="0"/>
          <w:highlight w:val="none"/>
        </w:rPr>
        <w:t>隧道；</w:t>
      </w:r>
    </w:p>
    <w:p>
      <w:pPr>
        <w:autoSpaceDE w:val="0"/>
        <w:autoSpaceDN w:val="0"/>
        <w:adjustRightInd w:val="0"/>
        <w:spacing w:line="360" w:lineRule="auto"/>
        <w:ind w:firstLine="422" w:firstLineChars="200"/>
        <w:jc w:val="left"/>
        <w:rPr>
          <w:color w:val="auto"/>
          <w:highlight w:val="none"/>
        </w:rPr>
      </w:pPr>
      <w:r>
        <w:rPr>
          <w:rFonts w:hint="eastAsia"/>
          <w:b/>
          <w:bCs/>
          <w:color w:val="auto"/>
          <w:kern w:val="0"/>
          <w:highlight w:val="none"/>
        </w:rPr>
        <w:t>5</w:t>
      </w:r>
      <w:r>
        <w:rPr>
          <w:rFonts w:hint="eastAsia"/>
          <w:color w:val="auto"/>
          <w:kern w:val="0"/>
          <w:highlight w:val="none"/>
        </w:rPr>
        <w:t>　涉及航道报批的过水域</w:t>
      </w:r>
      <w:r>
        <w:rPr>
          <w:color w:val="auto"/>
          <w:kern w:val="0"/>
          <w:highlight w:val="none"/>
        </w:rPr>
        <w:t>隧道</w:t>
      </w:r>
      <w:r>
        <w:rPr>
          <w:rFonts w:hint="eastAsia"/>
          <w:color w:val="auto"/>
          <w:kern w:val="0"/>
          <w:highlight w:val="none"/>
        </w:rPr>
        <w:t>。</w:t>
      </w:r>
    </w:p>
    <w:p>
      <w:pPr>
        <w:spacing w:line="360" w:lineRule="auto"/>
        <w:rPr>
          <w:color w:val="auto"/>
          <w:highlight w:val="none"/>
        </w:rPr>
      </w:pPr>
      <w:r>
        <w:rPr>
          <w:b/>
          <w:bCs/>
          <w:color w:val="auto"/>
          <w:highlight w:val="none"/>
        </w:rPr>
        <w:t>7.1.</w:t>
      </w:r>
      <w:r>
        <w:rPr>
          <w:rFonts w:hint="eastAsia"/>
          <w:b/>
          <w:bCs/>
          <w:color w:val="auto"/>
          <w:highlight w:val="none"/>
        </w:rPr>
        <w:t>8</w:t>
      </w:r>
      <w:r>
        <w:rPr>
          <w:rFonts w:hint="eastAsia"/>
          <w:color w:val="auto"/>
          <w:highlight w:val="none"/>
        </w:rPr>
        <w:t>　</w:t>
      </w:r>
      <w:r>
        <w:rPr>
          <w:color w:val="auto"/>
          <w:highlight w:val="none"/>
        </w:rPr>
        <w:t>物探测线的布置应根据隧道的地质条件、地形、地貌及周边环境条件综合确定。物探纵测线应沿隧道轴线布置，分离式隧道应</w:t>
      </w:r>
      <w:r>
        <w:rPr>
          <w:rFonts w:hint="eastAsia"/>
          <w:color w:val="auto"/>
          <w:highlight w:val="none"/>
        </w:rPr>
        <w:t>左、右</w:t>
      </w:r>
      <w:r>
        <w:rPr>
          <w:color w:val="auto"/>
          <w:highlight w:val="none"/>
        </w:rPr>
        <w:t>洞</w:t>
      </w:r>
      <w:r>
        <w:rPr>
          <w:rFonts w:hint="eastAsia"/>
          <w:color w:val="auto"/>
          <w:highlight w:val="none"/>
        </w:rPr>
        <w:t>分别</w:t>
      </w:r>
      <w:r>
        <w:rPr>
          <w:color w:val="auto"/>
          <w:highlight w:val="none"/>
        </w:rPr>
        <w:t>布置；</w:t>
      </w:r>
      <w:r>
        <w:rPr>
          <w:rFonts w:hint="eastAsia"/>
          <w:color w:val="auto"/>
          <w:highlight w:val="none"/>
        </w:rPr>
        <w:t>山岭隧道</w:t>
      </w:r>
      <w:r>
        <w:rPr>
          <w:color w:val="auto"/>
          <w:highlight w:val="none"/>
        </w:rPr>
        <w:t>洞口处应布置不少于3条横测线；断裂带、岩溶发育区、</w:t>
      </w:r>
      <w:r>
        <w:rPr>
          <w:rFonts w:hint="eastAsia"/>
          <w:color w:val="auto"/>
          <w:highlight w:val="none"/>
        </w:rPr>
        <w:t>孤石</w:t>
      </w:r>
      <w:r>
        <w:rPr>
          <w:color w:val="auto"/>
          <w:highlight w:val="none"/>
        </w:rPr>
        <w:t>发育区等，宜针对性布置测线。</w:t>
      </w:r>
    </w:p>
    <w:p>
      <w:pPr>
        <w:pStyle w:val="3"/>
        <w:spacing w:before="360" w:line="415" w:lineRule="auto"/>
        <w:rPr>
          <w:rFonts w:ascii="Times New Roman" w:hAnsi="Times New Roman" w:eastAsia="宋体"/>
          <w:color w:val="auto"/>
          <w:highlight w:val="none"/>
        </w:rPr>
      </w:pPr>
      <w:bookmarkStart w:id="105" w:name="_Toc30506"/>
      <w:bookmarkStart w:id="106" w:name="_Toc16634"/>
      <w:bookmarkStart w:id="107" w:name="_Toc21246"/>
      <w:bookmarkStart w:id="108" w:name="_7.2　可行性研究勘察"/>
      <w:r>
        <w:rPr>
          <w:rFonts w:ascii="Times New Roman" w:hAnsi="Times New Roman" w:eastAsia="宋体"/>
          <w:color w:val="auto"/>
          <w:highlight w:val="none"/>
        </w:rPr>
        <w:t>7.2</w:t>
      </w:r>
      <w:r>
        <w:rPr>
          <w:rFonts w:hint="eastAsia" w:ascii="Times New Roman" w:hAnsi="Times New Roman" w:eastAsia="宋体"/>
          <w:color w:val="auto"/>
          <w:highlight w:val="none"/>
        </w:rPr>
        <w:t>　</w:t>
      </w:r>
      <w:r>
        <w:rPr>
          <w:rFonts w:ascii="Times New Roman" w:hAnsi="Times New Roman" w:eastAsia="宋体"/>
          <w:color w:val="auto"/>
          <w:highlight w:val="none"/>
        </w:rPr>
        <w:t>可行性研究勘察</w:t>
      </w:r>
      <w:bookmarkEnd w:id="105"/>
      <w:bookmarkEnd w:id="106"/>
      <w:bookmarkEnd w:id="107"/>
    </w:p>
    <w:bookmarkEnd w:id="108"/>
    <w:p>
      <w:pPr>
        <w:spacing w:line="360" w:lineRule="auto"/>
        <w:rPr>
          <w:color w:val="auto"/>
          <w:highlight w:val="none"/>
        </w:rPr>
      </w:pPr>
      <w:r>
        <w:rPr>
          <w:b/>
          <w:bCs/>
          <w:color w:val="auto"/>
          <w:highlight w:val="none"/>
        </w:rPr>
        <w:t>7.2.1</w:t>
      </w:r>
      <w:r>
        <w:rPr>
          <w:rFonts w:hint="eastAsia"/>
          <w:color w:val="auto"/>
          <w:highlight w:val="none"/>
        </w:rPr>
        <w:t>　</w:t>
      </w:r>
      <w:r>
        <w:rPr>
          <w:color w:val="auto"/>
          <w:highlight w:val="none"/>
        </w:rPr>
        <w:t>可行性研究勘察应以搜集资料、工程地质</w:t>
      </w:r>
      <w:r>
        <w:rPr>
          <w:rFonts w:hint="eastAsia"/>
          <w:color w:val="auto"/>
          <w:highlight w:val="none"/>
        </w:rPr>
        <w:t>调查与测绘</w:t>
      </w:r>
      <w:r>
        <w:rPr>
          <w:color w:val="auto"/>
          <w:highlight w:val="none"/>
        </w:rPr>
        <w:t>为主，辅以必要的勘探、测试工作，了解隧址段工程地质及水文地质条件，尤其是地质构造、不良地质作用、特殊性岩土的基本发育情况，评价其对隧道可能产生的影响。当存在两个或以上拟选场地时，应进行隧址的可行性比选。</w:t>
      </w:r>
    </w:p>
    <w:p>
      <w:pPr>
        <w:spacing w:line="360" w:lineRule="auto"/>
        <w:rPr>
          <w:color w:val="auto"/>
          <w:highlight w:val="none"/>
        </w:rPr>
      </w:pPr>
      <w:r>
        <w:rPr>
          <w:b/>
          <w:bCs/>
          <w:color w:val="auto"/>
          <w:highlight w:val="none"/>
        </w:rPr>
        <w:t>7.2.2</w:t>
      </w:r>
      <w:r>
        <w:rPr>
          <w:rFonts w:hint="eastAsia"/>
          <w:color w:val="auto"/>
          <w:highlight w:val="none"/>
        </w:rPr>
        <w:t>　</w:t>
      </w:r>
      <w:r>
        <w:rPr>
          <w:color w:val="auto"/>
          <w:highlight w:val="none"/>
        </w:rPr>
        <w:t>可行性研究勘察工程地质测绘比例尺宜为1:2000～1:5000。山岭隧道的测绘范围宜为线位两侧各200m～300m，地（水）下隧道的测绘范围宜为线位两侧300m～500m，沉管法水下隧道范围宜为隧道轴线两侧2km～3km。</w:t>
      </w:r>
    </w:p>
    <w:p>
      <w:pPr>
        <w:spacing w:line="360" w:lineRule="auto"/>
        <w:rPr>
          <w:color w:val="auto"/>
          <w:kern w:val="0"/>
          <w:highlight w:val="none"/>
        </w:rPr>
      </w:pPr>
      <w:r>
        <w:rPr>
          <w:b/>
          <w:bCs/>
          <w:color w:val="auto"/>
          <w:highlight w:val="none"/>
        </w:rPr>
        <w:t>7.2.3</w:t>
      </w:r>
      <w:r>
        <w:rPr>
          <w:rFonts w:hint="eastAsia"/>
          <w:color w:val="auto"/>
          <w:highlight w:val="none"/>
        </w:rPr>
        <w:t>　</w:t>
      </w:r>
      <w:r>
        <w:rPr>
          <w:color w:val="auto"/>
          <w:highlight w:val="none"/>
        </w:rPr>
        <w:t>可行性研究勘察</w:t>
      </w:r>
      <w:r>
        <w:rPr>
          <w:color w:val="auto"/>
          <w:kern w:val="0"/>
          <w:highlight w:val="none"/>
        </w:rPr>
        <w:t>勘探点间距宜为</w:t>
      </w:r>
      <w:r>
        <w:rPr>
          <w:color w:val="auto"/>
          <w:highlight w:val="none"/>
        </w:rPr>
        <w:t>400m～</w:t>
      </w:r>
      <w:r>
        <w:rPr>
          <w:rFonts w:hint="eastAsia"/>
          <w:color w:val="auto"/>
          <w:highlight w:val="none"/>
        </w:rPr>
        <w:t>10</w:t>
      </w:r>
      <w:r>
        <w:rPr>
          <w:color w:val="auto"/>
          <w:highlight w:val="none"/>
        </w:rPr>
        <w:t>00m。勘探孔</w:t>
      </w:r>
      <w:r>
        <w:rPr>
          <w:color w:val="auto"/>
          <w:kern w:val="0"/>
          <w:highlight w:val="none"/>
        </w:rPr>
        <w:t>深度应</w:t>
      </w:r>
      <w:r>
        <w:rPr>
          <w:rFonts w:hint="eastAsia"/>
          <w:color w:val="auto"/>
          <w:kern w:val="0"/>
          <w:highlight w:val="none"/>
        </w:rPr>
        <w:t>符合下列规定</w:t>
      </w:r>
      <w:r>
        <w:rPr>
          <w:color w:val="auto"/>
          <w:kern w:val="0"/>
          <w:highlight w:val="none"/>
        </w:rPr>
        <w:t>：</w:t>
      </w:r>
    </w:p>
    <w:p>
      <w:pPr>
        <w:spacing w:line="360" w:lineRule="auto"/>
        <w:ind w:firstLine="422" w:firstLineChars="200"/>
        <w:rPr>
          <w:color w:val="auto"/>
          <w:highlight w:val="none"/>
        </w:rPr>
      </w:pPr>
      <w:r>
        <w:rPr>
          <w:b/>
          <w:bCs/>
          <w:color w:val="auto"/>
          <w:highlight w:val="none"/>
        </w:rPr>
        <w:t>1</w:t>
      </w:r>
      <w:r>
        <w:rPr>
          <w:rFonts w:hint="eastAsia"/>
          <w:color w:val="auto"/>
          <w:highlight w:val="none"/>
        </w:rPr>
        <w:t>　</w:t>
      </w:r>
      <w:r>
        <w:rPr>
          <w:color w:val="auto"/>
          <w:highlight w:val="none"/>
        </w:rPr>
        <w:t>勘探孔深度应进入拟建隧道结构底板以下不小于2.5倍隧道高度，且应进入隧道</w:t>
      </w:r>
      <w:r>
        <w:rPr>
          <w:rFonts w:hint="eastAsia"/>
          <w:color w:val="auto"/>
          <w:highlight w:val="none"/>
        </w:rPr>
        <w:t>结构</w:t>
      </w:r>
      <w:r>
        <w:rPr>
          <w:color w:val="auto"/>
          <w:highlight w:val="none"/>
        </w:rPr>
        <w:t>底板以下不小于20m</w:t>
      </w:r>
      <w:r>
        <w:rPr>
          <w:rFonts w:hint="eastAsia"/>
          <w:color w:val="auto"/>
          <w:highlight w:val="none"/>
        </w:rPr>
        <w:t>或进入隧道结构底板以下中、微风化岩</w:t>
      </w:r>
      <w:r>
        <w:rPr>
          <w:color w:val="auto"/>
          <w:highlight w:val="none"/>
        </w:rPr>
        <w:t>不小于8m；</w:t>
      </w:r>
    </w:p>
    <w:p>
      <w:pPr>
        <w:spacing w:line="360" w:lineRule="auto"/>
        <w:ind w:firstLine="422" w:firstLineChars="200"/>
        <w:rPr>
          <w:color w:val="auto"/>
          <w:highlight w:val="none"/>
        </w:rPr>
      </w:pPr>
      <w:r>
        <w:rPr>
          <w:b/>
          <w:bCs/>
          <w:color w:val="auto"/>
          <w:highlight w:val="none"/>
        </w:rPr>
        <w:t>2</w:t>
      </w:r>
      <w:r>
        <w:rPr>
          <w:rFonts w:hint="eastAsia"/>
          <w:color w:val="auto"/>
          <w:highlight w:val="none"/>
        </w:rPr>
        <w:t>　</w:t>
      </w:r>
      <w:r>
        <w:rPr>
          <w:color w:val="auto"/>
          <w:highlight w:val="none"/>
        </w:rPr>
        <w:t>遇</w:t>
      </w:r>
      <w:r>
        <w:rPr>
          <w:rFonts w:hint="eastAsia"/>
          <w:color w:val="auto"/>
          <w:highlight w:val="none"/>
        </w:rPr>
        <w:t>软弱土层、</w:t>
      </w:r>
      <w:r>
        <w:rPr>
          <w:color w:val="auto"/>
          <w:highlight w:val="none"/>
        </w:rPr>
        <w:t>溶洞、土洞、暗河等应穿透</w:t>
      </w:r>
      <w:r>
        <w:rPr>
          <w:rFonts w:hint="eastAsia"/>
          <w:color w:val="auto"/>
          <w:highlight w:val="none"/>
        </w:rPr>
        <w:t>，且进入稳定持力层不小于5m</w:t>
      </w:r>
      <w:r>
        <w:rPr>
          <w:color w:val="auto"/>
          <w:highlight w:val="none"/>
        </w:rPr>
        <w:t>。</w:t>
      </w:r>
    </w:p>
    <w:p>
      <w:pPr>
        <w:spacing w:line="360" w:lineRule="auto"/>
        <w:rPr>
          <w:color w:val="auto"/>
          <w:highlight w:val="none"/>
        </w:rPr>
      </w:pPr>
      <w:r>
        <w:rPr>
          <w:b/>
          <w:bCs/>
          <w:color w:val="auto"/>
          <w:highlight w:val="none"/>
        </w:rPr>
        <w:t>7.2.4</w:t>
      </w:r>
      <w:r>
        <w:rPr>
          <w:rFonts w:hint="eastAsia"/>
          <w:color w:val="auto"/>
          <w:highlight w:val="none"/>
        </w:rPr>
        <w:t>　</w:t>
      </w:r>
      <w:r>
        <w:rPr>
          <w:color w:val="auto"/>
          <w:highlight w:val="none"/>
        </w:rPr>
        <w:t>可行性研究勘察</w:t>
      </w:r>
      <w:r>
        <w:rPr>
          <w:color w:val="auto"/>
          <w:kern w:val="0"/>
          <w:highlight w:val="none"/>
        </w:rPr>
        <w:t>应</w:t>
      </w:r>
      <w:r>
        <w:rPr>
          <w:rFonts w:hint="eastAsia"/>
          <w:color w:val="auto"/>
          <w:kern w:val="0"/>
          <w:highlight w:val="none"/>
        </w:rPr>
        <w:t>初步</w:t>
      </w:r>
      <w:r>
        <w:rPr>
          <w:color w:val="auto"/>
          <w:kern w:val="0"/>
          <w:highlight w:val="none"/>
        </w:rPr>
        <w:t>分析评价下列内容：</w:t>
      </w:r>
    </w:p>
    <w:p>
      <w:pPr>
        <w:spacing w:line="360" w:lineRule="auto"/>
        <w:ind w:firstLine="422" w:firstLineChars="200"/>
        <w:rPr>
          <w:color w:val="auto"/>
          <w:highlight w:val="none"/>
        </w:rPr>
      </w:pPr>
      <w:r>
        <w:rPr>
          <w:b/>
          <w:bCs/>
          <w:color w:val="auto"/>
          <w:highlight w:val="none"/>
        </w:rPr>
        <w:t>1</w:t>
      </w:r>
      <w:r>
        <w:rPr>
          <w:rFonts w:hint="eastAsia"/>
          <w:color w:val="auto"/>
          <w:highlight w:val="none"/>
        </w:rPr>
        <w:t>　</w:t>
      </w:r>
      <w:r>
        <w:rPr>
          <w:color w:val="auto"/>
          <w:highlight w:val="none"/>
        </w:rPr>
        <w:t>场地的稳定性和工程建设</w:t>
      </w:r>
      <w:r>
        <w:rPr>
          <w:rFonts w:hint="eastAsia"/>
          <w:color w:val="auto"/>
          <w:highlight w:val="none"/>
        </w:rPr>
        <w:t>的</w:t>
      </w:r>
      <w:r>
        <w:rPr>
          <w:color w:val="auto"/>
          <w:highlight w:val="none"/>
        </w:rPr>
        <w:t>适宜性</w:t>
      </w:r>
      <w:r>
        <w:rPr>
          <w:rFonts w:hint="eastAsia"/>
          <w:color w:val="auto"/>
          <w:highlight w:val="none"/>
        </w:rPr>
        <w:t>；</w:t>
      </w:r>
    </w:p>
    <w:p>
      <w:pPr>
        <w:spacing w:line="360" w:lineRule="auto"/>
        <w:ind w:firstLine="422" w:firstLineChars="200"/>
        <w:rPr>
          <w:color w:val="auto"/>
          <w:highlight w:val="none"/>
        </w:rPr>
      </w:pPr>
      <w:r>
        <w:rPr>
          <w:rFonts w:hint="eastAsia"/>
          <w:b/>
          <w:bCs/>
          <w:color w:val="auto"/>
          <w:highlight w:val="none"/>
        </w:rPr>
        <w:t>2</w:t>
      </w:r>
      <w:r>
        <w:rPr>
          <w:rFonts w:hint="eastAsia"/>
          <w:color w:val="auto"/>
          <w:highlight w:val="none"/>
        </w:rPr>
        <w:t>　地质构造发育情况、</w:t>
      </w:r>
      <w:r>
        <w:rPr>
          <w:color w:val="auto"/>
          <w:highlight w:val="none"/>
        </w:rPr>
        <w:t>隧道围岩</w:t>
      </w:r>
      <w:r>
        <w:rPr>
          <w:rFonts w:hint="eastAsia"/>
          <w:color w:val="auto"/>
          <w:highlight w:val="none"/>
        </w:rPr>
        <w:t>等级</w:t>
      </w:r>
      <w:r>
        <w:rPr>
          <w:color w:val="auto"/>
          <w:highlight w:val="none"/>
        </w:rPr>
        <w:t>、地应力分布、水文地质条件、洞口及邻近坡体稳定条件、隧道施工对环境的影响等；提出适宜的隧道</w:t>
      </w:r>
      <w:r>
        <w:rPr>
          <w:rFonts w:hint="eastAsia"/>
          <w:color w:val="auto"/>
          <w:highlight w:val="none"/>
        </w:rPr>
        <w:t>线</w:t>
      </w:r>
      <w:r>
        <w:rPr>
          <w:color w:val="auto"/>
          <w:highlight w:val="none"/>
        </w:rPr>
        <w:t>位建议；</w:t>
      </w:r>
    </w:p>
    <w:p>
      <w:pPr>
        <w:spacing w:line="360" w:lineRule="auto"/>
        <w:ind w:firstLine="422" w:firstLineChars="200"/>
        <w:rPr>
          <w:color w:val="auto"/>
          <w:highlight w:val="none"/>
        </w:rPr>
      </w:pPr>
      <w:r>
        <w:rPr>
          <w:rFonts w:hint="eastAsia"/>
          <w:b/>
          <w:bCs/>
          <w:color w:val="auto"/>
          <w:highlight w:val="none"/>
        </w:rPr>
        <w:t>3</w:t>
      </w:r>
      <w:r>
        <w:rPr>
          <w:rFonts w:hint="eastAsia"/>
          <w:color w:val="auto"/>
          <w:highlight w:val="none"/>
        </w:rPr>
        <w:t>　</w:t>
      </w:r>
      <w:r>
        <w:rPr>
          <w:color w:val="auto"/>
          <w:highlight w:val="none"/>
        </w:rPr>
        <w:t>存在不良地质作用、特殊性岩土时，初步分析其对隧道建设的影响。</w:t>
      </w:r>
    </w:p>
    <w:p>
      <w:pPr>
        <w:pStyle w:val="3"/>
        <w:rPr>
          <w:rFonts w:ascii="Times New Roman" w:hAnsi="Times New Roman" w:eastAsia="宋体"/>
          <w:color w:val="auto"/>
          <w:highlight w:val="none"/>
        </w:rPr>
      </w:pPr>
      <w:bookmarkStart w:id="109" w:name="_Toc12704"/>
      <w:bookmarkStart w:id="110" w:name="_Toc32082"/>
      <w:bookmarkStart w:id="111" w:name="_Toc17571"/>
      <w:bookmarkStart w:id="112" w:name="_7.3　初步勘察"/>
      <w:r>
        <w:rPr>
          <w:rFonts w:ascii="Times New Roman" w:hAnsi="Times New Roman" w:eastAsia="宋体"/>
          <w:color w:val="auto"/>
          <w:highlight w:val="none"/>
        </w:rPr>
        <w:t>7.3</w:t>
      </w:r>
      <w:r>
        <w:rPr>
          <w:rFonts w:hint="eastAsia" w:ascii="Times New Roman" w:hAnsi="Times New Roman" w:eastAsia="宋体"/>
          <w:color w:val="auto"/>
          <w:highlight w:val="none"/>
        </w:rPr>
        <w:t>　</w:t>
      </w:r>
      <w:r>
        <w:rPr>
          <w:rFonts w:ascii="Times New Roman" w:hAnsi="Times New Roman" w:eastAsia="宋体"/>
          <w:color w:val="auto"/>
          <w:highlight w:val="none"/>
        </w:rPr>
        <w:t>初步勘察</w:t>
      </w:r>
      <w:bookmarkEnd w:id="109"/>
      <w:bookmarkEnd w:id="110"/>
      <w:bookmarkEnd w:id="111"/>
    </w:p>
    <w:bookmarkEnd w:id="112"/>
    <w:p>
      <w:pPr>
        <w:autoSpaceDE w:val="0"/>
        <w:autoSpaceDN w:val="0"/>
        <w:adjustRightInd w:val="0"/>
        <w:spacing w:line="360" w:lineRule="auto"/>
        <w:jc w:val="left"/>
        <w:rPr>
          <w:color w:val="auto"/>
          <w:kern w:val="0"/>
          <w:highlight w:val="none"/>
        </w:rPr>
      </w:pPr>
      <w:r>
        <w:rPr>
          <w:b/>
          <w:bCs/>
          <w:color w:val="auto"/>
          <w:highlight w:val="none"/>
        </w:rPr>
        <w:t>7.3.</w:t>
      </w:r>
      <w:r>
        <w:rPr>
          <w:rFonts w:hint="eastAsia"/>
          <w:b/>
          <w:bCs/>
          <w:color w:val="auto"/>
          <w:highlight w:val="none"/>
        </w:rPr>
        <w:t>1</w:t>
      </w:r>
      <w:r>
        <w:rPr>
          <w:rFonts w:hint="eastAsia"/>
          <w:color w:val="auto"/>
          <w:highlight w:val="none"/>
        </w:rPr>
        <w:t>　</w:t>
      </w:r>
      <w:r>
        <w:rPr>
          <w:color w:val="auto"/>
          <w:highlight w:val="none"/>
        </w:rPr>
        <w:t>初步</w:t>
      </w:r>
      <w:r>
        <w:rPr>
          <w:rFonts w:hint="eastAsia"/>
          <w:color w:val="auto"/>
          <w:highlight w:val="none"/>
        </w:rPr>
        <w:t>勘察</w:t>
      </w:r>
      <w:r>
        <w:rPr>
          <w:color w:val="auto"/>
          <w:highlight w:val="none"/>
        </w:rPr>
        <w:t>工程地质测绘比例尺洞身段宜为1:1000~1:2000，隧道口边坡影响范围宜为1:500。</w:t>
      </w:r>
    </w:p>
    <w:p>
      <w:pPr>
        <w:autoSpaceDE w:val="0"/>
        <w:autoSpaceDN w:val="0"/>
        <w:adjustRightInd w:val="0"/>
        <w:spacing w:line="360" w:lineRule="auto"/>
        <w:jc w:val="left"/>
        <w:rPr>
          <w:color w:val="auto"/>
          <w:kern w:val="0"/>
          <w:szCs w:val="21"/>
          <w:highlight w:val="none"/>
        </w:rPr>
      </w:pPr>
      <w:r>
        <w:rPr>
          <w:b/>
          <w:bCs/>
          <w:color w:val="auto"/>
          <w:highlight w:val="none"/>
        </w:rPr>
        <w:t>7.3.</w:t>
      </w:r>
      <w:r>
        <w:rPr>
          <w:rFonts w:hint="eastAsia"/>
          <w:b/>
          <w:bCs/>
          <w:color w:val="auto"/>
          <w:highlight w:val="none"/>
        </w:rPr>
        <w:t>2</w:t>
      </w:r>
      <w:r>
        <w:rPr>
          <w:rFonts w:hint="eastAsia"/>
          <w:color w:val="auto"/>
          <w:highlight w:val="none"/>
        </w:rPr>
        <w:t>　</w:t>
      </w:r>
      <w:r>
        <w:rPr>
          <w:color w:val="auto"/>
          <w:kern w:val="0"/>
          <w:highlight w:val="none"/>
        </w:rPr>
        <w:t>初步勘察应初步查明以下内容：</w:t>
      </w:r>
    </w:p>
    <w:p>
      <w:pPr>
        <w:autoSpaceDE w:val="0"/>
        <w:autoSpaceDN w:val="0"/>
        <w:adjustRightInd w:val="0"/>
        <w:spacing w:line="360" w:lineRule="auto"/>
        <w:ind w:firstLine="422" w:firstLineChars="200"/>
        <w:jc w:val="left"/>
        <w:rPr>
          <w:rFonts w:hint="default" w:eastAsia="宋体"/>
          <w:b w:val="0"/>
          <w:bCs w:val="0"/>
          <w:color w:val="auto"/>
          <w:kern w:val="0"/>
          <w:highlight w:val="none"/>
          <w:lang w:val="en-US" w:eastAsia="zh-CN"/>
        </w:rPr>
      </w:pPr>
      <w:r>
        <w:rPr>
          <w:rFonts w:hint="eastAsia"/>
          <w:b/>
          <w:bCs/>
          <w:color w:val="auto"/>
          <w:kern w:val="0"/>
          <w:highlight w:val="none"/>
          <w:lang w:val="en-US" w:eastAsia="zh-CN"/>
        </w:rPr>
        <w:t>1</w:t>
      </w:r>
      <w:r>
        <w:rPr>
          <w:rFonts w:hint="eastAsia"/>
          <w:b w:val="0"/>
          <w:bCs w:val="0"/>
          <w:color w:val="auto"/>
          <w:kern w:val="0"/>
          <w:highlight w:val="none"/>
          <w:lang w:val="en-US" w:eastAsia="zh-CN"/>
        </w:rPr>
        <w:t xml:space="preserve">   场地的</w:t>
      </w:r>
      <w:r>
        <w:rPr>
          <w:color w:val="auto"/>
          <w:kern w:val="0"/>
          <w:highlight w:val="none"/>
        </w:rPr>
        <w:t>地貌类型、</w:t>
      </w:r>
      <w:r>
        <w:rPr>
          <w:rFonts w:hint="eastAsia"/>
          <w:color w:val="auto"/>
          <w:kern w:val="0"/>
          <w:highlight w:val="none"/>
        </w:rPr>
        <w:t>地形起伏变化情况</w:t>
      </w:r>
      <w:r>
        <w:rPr>
          <w:rFonts w:hint="eastAsia"/>
          <w:color w:val="auto"/>
          <w:highlight w:val="none"/>
          <w:lang w:val="en-US" w:eastAsia="zh-CN"/>
        </w:rPr>
        <w:t>、场地类别</w:t>
      </w:r>
      <w:r>
        <w:rPr>
          <w:color w:val="auto"/>
          <w:kern w:val="0"/>
          <w:highlight w:val="none"/>
        </w:rPr>
        <w:t>及</w:t>
      </w:r>
      <w:r>
        <w:rPr>
          <w:rFonts w:hint="eastAsia"/>
          <w:b w:val="0"/>
          <w:bCs w:val="0"/>
          <w:color w:val="auto"/>
          <w:kern w:val="0"/>
          <w:highlight w:val="none"/>
          <w:lang w:val="en-US" w:eastAsia="zh-CN"/>
        </w:rPr>
        <w:t>地震动参数；</w:t>
      </w:r>
    </w:p>
    <w:p>
      <w:pPr>
        <w:autoSpaceDE w:val="0"/>
        <w:autoSpaceDN w:val="0"/>
        <w:adjustRightInd w:val="0"/>
        <w:spacing w:line="360" w:lineRule="auto"/>
        <w:ind w:firstLine="422" w:firstLineChars="200"/>
        <w:jc w:val="left"/>
        <w:rPr>
          <w:rFonts w:hint="eastAsia" w:eastAsia="宋体"/>
          <w:color w:val="auto"/>
          <w:kern w:val="0"/>
          <w:highlight w:val="none"/>
          <w:lang w:eastAsia="zh-CN"/>
        </w:rPr>
      </w:pPr>
      <w:r>
        <w:rPr>
          <w:rFonts w:hint="eastAsia"/>
          <w:b/>
          <w:bCs/>
          <w:color w:val="auto"/>
          <w:kern w:val="0"/>
          <w:highlight w:val="none"/>
          <w:lang w:val="en-US" w:eastAsia="zh-CN"/>
        </w:rPr>
        <w:t>2</w:t>
      </w:r>
      <w:r>
        <w:rPr>
          <w:rFonts w:hint="eastAsia"/>
          <w:color w:val="auto"/>
          <w:kern w:val="0"/>
          <w:highlight w:val="none"/>
        </w:rPr>
        <w:t>　场区地质构造</w:t>
      </w:r>
      <w:r>
        <w:rPr>
          <w:rFonts w:hint="eastAsia"/>
          <w:color w:val="auto"/>
          <w:kern w:val="0"/>
          <w:highlight w:val="none"/>
          <w:lang w:eastAsia="zh-CN"/>
        </w:rPr>
        <w:t>、</w:t>
      </w:r>
      <w:r>
        <w:rPr>
          <w:rFonts w:hint="eastAsia"/>
          <w:color w:val="auto"/>
          <w:kern w:val="0"/>
          <w:highlight w:val="none"/>
        </w:rPr>
        <w:t>不良地质</w:t>
      </w:r>
      <w:r>
        <w:rPr>
          <w:rFonts w:hint="eastAsia"/>
          <w:color w:val="auto"/>
          <w:kern w:val="0"/>
          <w:highlight w:val="none"/>
          <w:lang w:val="en-US" w:eastAsia="zh-CN"/>
        </w:rPr>
        <w:t>与</w:t>
      </w:r>
      <w:r>
        <w:rPr>
          <w:rFonts w:hint="eastAsia"/>
          <w:color w:val="auto"/>
          <w:kern w:val="0"/>
          <w:highlight w:val="none"/>
        </w:rPr>
        <w:t>特殊性岩土的分布和工程地质特性</w:t>
      </w:r>
      <w:r>
        <w:rPr>
          <w:rFonts w:hint="eastAsia"/>
          <w:color w:val="auto"/>
          <w:kern w:val="0"/>
          <w:highlight w:val="none"/>
          <w:lang w:eastAsia="zh-CN"/>
        </w:rPr>
        <w:t>；</w:t>
      </w:r>
    </w:p>
    <w:p>
      <w:pPr>
        <w:autoSpaceDE w:val="0"/>
        <w:autoSpaceDN w:val="0"/>
        <w:adjustRightInd w:val="0"/>
        <w:spacing w:line="360" w:lineRule="auto"/>
        <w:ind w:firstLine="422" w:firstLineChars="200"/>
        <w:jc w:val="left"/>
        <w:rPr>
          <w:color w:val="auto"/>
          <w:highlight w:val="none"/>
        </w:rPr>
      </w:pPr>
      <w:r>
        <w:rPr>
          <w:rFonts w:hint="eastAsia"/>
          <w:b/>
          <w:bCs/>
          <w:color w:val="auto"/>
          <w:highlight w:val="none"/>
          <w:lang w:val="en-US" w:eastAsia="zh-CN"/>
        </w:rPr>
        <w:t>3</w:t>
      </w:r>
      <w:r>
        <w:rPr>
          <w:rFonts w:hint="eastAsia"/>
          <w:color w:val="auto"/>
          <w:highlight w:val="none"/>
        </w:rPr>
        <w:t>　</w:t>
      </w:r>
      <w:r>
        <w:rPr>
          <w:color w:val="auto"/>
          <w:highlight w:val="none"/>
        </w:rPr>
        <w:t>透水层的渗透性、地表水和地下水的分布及连通性，岩溶和断裂对地下水运移的影响；</w:t>
      </w:r>
      <w:r>
        <w:rPr>
          <w:color w:val="auto"/>
          <w:kern w:val="0"/>
          <w:highlight w:val="none"/>
        </w:rPr>
        <w:t>过水域隧道段地表水体的</w:t>
      </w:r>
      <w:r>
        <w:rPr>
          <w:color w:val="auto"/>
          <w:highlight w:val="none"/>
        </w:rPr>
        <w:t>水流速度、水位涨落潮差</w:t>
      </w:r>
      <w:r>
        <w:rPr>
          <w:color w:val="auto"/>
          <w:kern w:val="0"/>
          <w:highlight w:val="none"/>
        </w:rPr>
        <w:t>情况；</w:t>
      </w:r>
    </w:p>
    <w:p>
      <w:pPr>
        <w:autoSpaceDE w:val="0"/>
        <w:autoSpaceDN w:val="0"/>
        <w:adjustRightInd w:val="0"/>
        <w:spacing w:line="360" w:lineRule="auto"/>
        <w:ind w:firstLine="422" w:firstLineChars="200"/>
        <w:jc w:val="left"/>
        <w:rPr>
          <w:color w:val="auto"/>
          <w:highlight w:val="none"/>
        </w:rPr>
      </w:pPr>
      <w:r>
        <w:rPr>
          <w:rFonts w:hint="eastAsia"/>
          <w:b/>
          <w:bCs/>
          <w:color w:val="auto"/>
          <w:highlight w:val="none"/>
          <w:lang w:val="en-US" w:eastAsia="zh-CN"/>
        </w:rPr>
        <w:t>4</w:t>
      </w:r>
      <w:r>
        <w:rPr>
          <w:rFonts w:hint="eastAsia"/>
          <w:color w:val="auto"/>
          <w:highlight w:val="none"/>
        </w:rPr>
        <w:t>　场地土和地表水、地下水对建筑材料的腐蚀性；</w:t>
      </w:r>
    </w:p>
    <w:p>
      <w:pPr>
        <w:spacing w:line="360" w:lineRule="auto"/>
        <w:ind w:firstLine="422" w:firstLineChars="200"/>
        <w:rPr>
          <w:color w:val="auto"/>
          <w:highlight w:val="none"/>
        </w:rPr>
      </w:pPr>
      <w:r>
        <w:rPr>
          <w:rFonts w:hint="eastAsia"/>
          <w:b/>
          <w:bCs/>
          <w:color w:val="auto"/>
          <w:highlight w:val="none"/>
          <w:lang w:val="en-US" w:eastAsia="zh-CN"/>
        </w:rPr>
        <w:t>5</w:t>
      </w:r>
      <w:r>
        <w:rPr>
          <w:rFonts w:hint="eastAsia"/>
          <w:color w:val="auto"/>
          <w:highlight w:val="none"/>
        </w:rPr>
        <w:t>　</w:t>
      </w:r>
      <w:r>
        <w:rPr>
          <w:color w:val="auto"/>
          <w:highlight w:val="none"/>
        </w:rPr>
        <w:t>采空区、煤层或其它可能产生有毒有害气体的地层的发育情况；</w:t>
      </w:r>
    </w:p>
    <w:p>
      <w:pPr>
        <w:spacing w:line="360" w:lineRule="auto"/>
        <w:ind w:firstLine="420" w:firstLineChars="200"/>
        <w:rPr>
          <w:color w:val="auto"/>
          <w:highlight w:val="none"/>
        </w:rPr>
      </w:pPr>
      <w:r>
        <w:rPr>
          <w:rFonts w:hint="eastAsia"/>
          <w:color w:val="auto"/>
          <w:highlight w:val="none"/>
          <w:lang w:val="en-US" w:eastAsia="zh-CN"/>
        </w:rPr>
        <w:t>6</w:t>
      </w:r>
      <w:r>
        <w:rPr>
          <w:rFonts w:hint="eastAsia"/>
          <w:color w:val="auto"/>
          <w:highlight w:val="none"/>
        </w:rPr>
        <w:t>　</w:t>
      </w:r>
      <w:r>
        <w:rPr>
          <w:color w:val="auto"/>
          <w:highlight w:val="none"/>
        </w:rPr>
        <w:t>深埋隧道</w:t>
      </w:r>
      <w:r>
        <w:rPr>
          <w:rFonts w:hint="eastAsia"/>
          <w:color w:val="auto"/>
          <w:highlight w:val="none"/>
        </w:rPr>
        <w:t>及高应力区</w:t>
      </w:r>
      <w:r>
        <w:rPr>
          <w:color w:val="auto"/>
          <w:highlight w:val="none"/>
        </w:rPr>
        <w:t>岩体</w:t>
      </w:r>
      <w:r>
        <w:rPr>
          <w:rFonts w:hint="eastAsia"/>
          <w:color w:val="auto"/>
          <w:highlight w:val="none"/>
        </w:rPr>
        <w:t>中</w:t>
      </w:r>
      <w:r>
        <w:rPr>
          <w:color w:val="auto"/>
          <w:highlight w:val="none"/>
        </w:rPr>
        <w:t>隧道高地应力集中情况</w:t>
      </w:r>
      <w:r>
        <w:rPr>
          <w:rFonts w:hint="eastAsia"/>
          <w:color w:val="auto"/>
          <w:highlight w:val="none"/>
        </w:rPr>
        <w:t>及</w:t>
      </w:r>
      <w:r>
        <w:rPr>
          <w:color w:val="auto"/>
          <w:highlight w:val="none"/>
        </w:rPr>
        <w:t>偏压的可能性。</w:t>
      </w:r>
    </w:p>
    <w:p>
      <w:pPr>
        <w:spacing w:line="360" w:lineRule="auto"/>
        <w:rPr>
          <w:color w:val="auto"/>
          <w:highlight w:val="none"/>
        </w:rPr>
      </w:pPr>
      <w:r>
        <w:rPr>
          <w:b/>
          <w:bCs/>
          <w:color w:val="auto"/>
          <w:highlight w:val="none"/>
        </w:rPr>
        <w:t>7.3.</w:t>
      </w:r>
      <w:r>
        <w:rPr>
          <w:rFonts w:hint="eastAsia"/>
          <w:b/>
          <w:bCs/>
          <w:color w:val="auto"/>
          <w:highlight w:val="none"/>
        </w:rPr>
        <w:t>3</w:t>
      </w:r>
      <w:bookmarkStart w:id="113" w:name="_Hlk68772980"/>
      <w:r>
        <w:rPr>
          <w:rFonts w:hint="eastAsia"/>
          <w:color w:val="auto"/>
          <w:highlight w:val="none"/>
        </w:rPr>
        <w:t>　</w:t>
      </w:r>
      <w:r>
        <w:rPr>
          <w:color w:val="auto"/>
          <w:highlight w:val="none"/>
        </w:rPr>
        <w:t>初步勘察应综合采用</w:t>
      </w:r>
      <w:r>
        <w:rPr>
          <w:rFonts w:hint="eastAsia"/>
          <w:color w:val="auto"/>
          <w:highlight w:val="none"/>
        </w:rPr>
        <w:t>工程</w:t>
      </w:r>
      <w:r>
        <w:rPr>
          <w:color w:val="auto"/>
          <w:highlight w:val="none"/>
        </w:rPr>
        <w:t>地质</w:t>
      </w:r>
      <w:r>
        <w:rPr>
          <w:rFonts w:hint="eastAsia"/>
          <w:color w:val="auto"/>
          <w:highlight w:val="none"/>
        </w:rPr>
        <w:t>调查与测绘</w:t>
      </w:r>
      <w:r>
        <w:rPr>
          <w:color w:val="auto"/>
          <w:highlight w:val="none"/>
        </w:rPr>
        <w:t>、</w:t>
      </w:r>
      <w:r>
        <w:rPr>
          <w:rFonts w:hint="eastAsia"/>
          <w:color w:val="auto"/>
          <w:highlight w:val="none"/>
        </w:rPr>
        <w:t>钻探</w:t>
      </w:r>
      <w:r>
        <w:rPr>
          <w:color w:val="auto"/>
          <w:highlight w:val="none"/>
        </w:rPr>
        <w:t>、</w:t>
      </w:r>
      <w:r>
        <w:rPr>
          <w:rFonts w:hint="eastAsia"/>
          <w:color w:val="auto"/>
          <w:highlight w:val="none"/>
        </w:rPr>
        <w:t>物探、</w:t>
      </w:r>
      <w:r>
        <w:rPr>
          <w:color w:val="auto"/>
          <w:highlight w:val="none"/>
        </w:rPr>
        <w:t>原位测试、</w:t>
      </w:r>
      <w:r>
        <w:rPr>
          <w:rFonts w:hint="eastAsia"/>
          <w:color w:val="auto"/>
          <w:highlight w:val="none"/>
        </w:rPr>
        <w:t>水文地质试验、</w:t>
      </w:r>
      <w:r>
        <w:rPr>
          <w:color w:val="auto"/>
          <w:highlight w:val="none"/>
        </w:rPr>
        <w:t>室内试验等多种勘察方法。</w:t>
      </w:r>
    </w:p>
    <w:bookmarkEnd w:id="113"/>
    <w:p>
      <w:pPr>
        <w:autoSpaceDE w:val="0"/>
        <w:autoSpaceDN w:val="0"/>
        <w:adjustRightInd w:val="0"/>
        <w:spacing w:line="360" w:lineRule="auto"/>
        <w:jc w:val="left"/>
        <w:rPr>
          <w:color w:val="auto"/>
          <w:kern w:val="0"/>
          <w:highlight w:val="none"/>
        </w:rPr>
      </w:pPr>
      <w:r>
        <w:rPr>
          <w:b/>
          <w:bCs/>
          <w:color w:val="auto"/>
          <w:highlight w:val="none"/>
        </w:rPr>
        <w:t>7.3.</w:t>
      </w:r>
      <w:r>
        <w:rPr>
          <w:rFonts w:hint="eastAsia"/>
          <w:b/>
          <w:bCs/>
          <w:color w:val="auto"/>
          <w:highlight w:val="none"/>
        </w:rPr>
        <w:t>4</w:t>
      </w:r>
      <w:r>
        <w:rPr>
          <w:rFonts w:hint="eastAsia"/>
          <w:color w:val="auto"/>
          <w:highlight w:val="none"/>
        </w:rPr>
        <w:t>　</w:t>
      </w:r>
      <w:r>
        <w:rPr>
          <w:color w:val="auto"/>
          <w:highlight w:val="none"/>
        </w:rPr>
        <w:t>初步</w:t>
      </w:r>
      <w:r>
        <w:rPr>
          <w:rFonts w:hint="eastAsia"/>
          <w:color w:val="auto"/>
          <w:highlight w:val="none"/>
        </w:rPr>
        <w:t>勘察</w:t>
      </w:r>
      <w:r>
        <w:rPr>
          <w:color w:val="auto"/>
          <w:kern w:val="0"/>
          <w:highlight w:val="none"/>
        </w:rPr>
        <w:t>勘探点布置应符合下列规定：</w:t>
      </w:r>
    </w:p>
    <w:p>
      <w:pPr>
        <w:spacing w:line="360" w:lineRule="auto"/>
        <w:ind w:firstLine="422" w:firstLineChars="200"/>
        <w:rPr>
          <w:color w:val="auto"/>
          <w:highlight w:val="none"/>
        </w:rPr>
      </w:pPr>
      <w:r>
        <w:rPr>
          <w:b/>
          <w:bCs/>
          <w:color w:val="auto"/>
          <w:kern w:val="0"/>
          <w:highlight w:val="none"/>
        </w:rPr>
        <w:t>1</w:t>
      </w:r>
      <w:r>
        <w:rPr>
          <w:rFonts w:hint="eastAsia"/>
          <w:color w:val="auto"/>
          <w:kern w:val="0"/>
          <w:highlight w:val="none"/>
        </w:rPr>
        <w:t>　</w:t>
      </w:r>
      <w:r>
        <w:rPr>
          <w:color w:val="auto"/>
          <w:kern w:val="0"/>
          <w:highlight w:val="none"/>
        </w:rPr>
        <w:t>采用不同施工工法的隧道段，</w:t>
      </w:r>
      <w:r>
        <w:rPr>
          <w:color w:val="auto"/>
          <w:highlight w:val="none"/>
        </w:rPr>
        <w:t>勘探点沿</w:t>
      </w:r>
      <w:r>
        <w:rPr>
          <w:rFonts w:hint="eastAsia"/>
          <w:color w:val="auto"/>
          <w:highlight w:val="none"/>
        </w:rPr>
        <w:t>隧道</w:t>
      </w:r>
      <w:r>
        <w:rPr>
          <w:color w:val="auto"/>
          <w:highlight w:val="none"/>
        </w:rPr>
        <w:t>中线投影间距宜</w:t>
      </w:r>
      <w:r>
        <w:rPr>
          <w:color w:val="auto"/>
          <w:kern w:val="0"/>
          <w:highlight w:val="none"/>
        </w:rPr>
        <w:t>根据</w:t>
      </w:r>
      <w:r>
        <w:rPr>
          <w:color w:val="auto"/>
          <w:highlight w:val="none"/>
        </w:rPr>
        <w:t>场地</w:t>
      </w:r>
      <w:r>
        <w:rPr>
          <w:rFonts w:hint="eastAsia"/>
          <w:color w:val="auto"/>
          <w:highlight w:val="none"/>
        </w:rPr>
        <w:t>和</w:t>
      </w:r>
      <w:r>
        <w:rPr>
          <w:color w:val="auto"/>
          <w:highlight w:val="none"/>
        </w:rPr>
        <w:t>岩土条件复杂程度</w:t>
      </w:r>
      <w:r>
        <w:rPr>
          <w:rFonts w:hint="eastAsia"/>
          <w:color w:val="auto"/>
          <w:highlight w:val="none"/>
        </w:rPr>
        <w:t>等级</w:t>
      </w:r>
      <w:r>
        <w:rPr>
          <w:color w:val="auto"/>
          <w:highlight w:val="none"/>
        </w:rPr>
        <w:t>按表7.3.</w:t>
      </w:r>
      <w:r>
        <w:rPr>
          <w:rFonts w:hint="eastAsia"/>
          <w:color w:val="auto"/>
          <w:highlight w:val="none"/>
        </w:rPr>
        <w:t>4</w:t>
      </w:r>
      <w:r>
        <w:rPr>
          <w:color w:val="auto"/>
          <w:highlight w:val="none"/>
        </w:rPr>
        <w:t>控制。</w:t>
      </w:r>
    </w:p>
    <w:p>
      <w:pPr>
        <w:autoSpaceDE w:val="0"/>
        <w:autoSpaceDN w:val="0"/>
        <w:adjustRightInd w:val="0"/>
        <w:spacing w:line="360" w:lineRule="auto"/>
        <w:jc w:val="center"/>
        <w:rPr>
          <w:b/>
          <w:bCs/>
          <w:color w:val="auto"/>
          <w:kern w:val="0"/>
          <w:highlight w:val="none"/>
        </w:rPr>
      </w:pPr>
      <w:r>
        <w:rPr>
          <w:b/>
          <w:bCs/>
          <w:color w:val="auto"/>
          <w:kern w:val="0"/>
          <w:highlight w:val="none"/>
        </w:rPr>
        <w:t>表7.3.</w:t>
      </w:r>
      <w:r>
        <w:rPr>
          <w:rFonts w:hint="eastAsia"/>
          <w:b/>
          <w:bCs/>
          <w:color w:val="auto"/>
          <w:kern w:val="0"/>
          <w:highlight w:val="none"/>
        </w:rPr>
        <w:t>4</w:t>
      </w:r>
      <w:r>
        <w:rPr>
          <w:b/>
          <w:bCs/>
          <w:color w:val="auto"/>
          <w:highlight w:val="none"/>
        </w:rPr>
        <w:t>　</w:t>
      </w:r>
      <w:r>
        <w:rPr>
          <w:b/>
          <w:bCs/>
          <w:color w:val="auto"/>
          <w:kern w:val="0"/>
          <w:highlight w:val="none"/>
        </w:rPr>
        <w:t>初步勘察勘探点间距（m）</w:t>
      </w:r>
    </w:p>
    <w:tbl>
      <w:tblPr>
        <w:tblStyle w:val="22"/>
        <w:tblW w:w="82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77"/>
        <w:gridCol w:w="1842"/>
        <w:gridCol w:w="1758"/>
        <w:gridCol w:w="19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777" w:type="dxa"/>
            <w:vMerge w:val="restart"/>
            <w:tcBorders>
              <w:top w:val="single" w:color="auto" w:sz="12" w:space="0"/>
              <w:bottom w:val="single" w:color="auto" w:sz="4" w:space="0"/>
              <w:tl2br w:val="single" w:color="auto" w:sz="4" w:space="0"/>
            </w:tcBorders>
            <w:vAlign w:val="center"/>
          </w:tcPr>
          <w:p>
            <w:pPr>
              <w:autoSpaceDE w:val="0"/>
              <w:autoSpaceDN w:val="0"/>
              <w:adjustRightInd w:val="0"/>
              <w:jc w:val="right"/>
              <w:rPr>
                <w:color w:val="auto"/>
                <w:kern w:val="0"/>
                <w:sz w:val="20"/>
                <w:szCs w:val="20"/>
                <w:highlight w:val="none"/>
              </w:rPr>
            </w:pPr>
            <w:r>
              <w:rPr>
                <w:rFonts w:hint="eastAsia"/>
                <w:color w:val="auto"/>
                <w:kern w:val="0"/>
                <w:sz w:val="20"/>
                <w:szCs w:val="20"/>
                <w:highlight w:val="none"/>
              </w:rPr>
              <w:t>施工工法</w:t>
            </w:r>
          </w:p>
          <w:p>
            <w:pPr>
              <w:spacing w:line="0" w:lineRule="atLeast"/>
              <w:jc w:val="left"/>
              <w:rPr>
                <w:color w:val="auto"/>
                <w:sz w:val="20"/>
                <w:szCs w:val="20"/>
                <w:highlight w:val="none"/>
              </w:rPr>
            </w:pPr>
            <w:r>
              <w:rPr>
                <w:color w:val="auto"/>
                <w:sz w:val="20"/>
                <w:szCs w:val="20"/>
                <w:highlight w:val="none"/>
              </w:rPr>
              <w:t>场地</w:t>
            </w:r>
            <w:r>
              <w:rPr>
                <w:rFonts w:hint="eastAsia"/>
                <w:color w:val="auto"/>
                <w:sz w:val="20"/>
                <w:szCs w:val="20"/>
                <w:highlight w:val="none"/>
              </w:rPr>
              <w:t>和岩土</w:t>
            </w:r>
          </w:p>
          <w:p>
            <w:pPr>
              <w:autoSpaceDE w:val="0"/>
              <w:autoSpaceDN w:val="0"/>
              <w:adjustRightInd w:val="0"/>
              <w:spacing w:line="0" w:lineRule="atLeast"/>
              <w:rPr>
                <w:color w:val="auto"/>
                <w:kern w:val="0"/>
                <w:sz w:val="20"/>
                <w:szCs w:val="20"/>
                <w:highlight w:val="none"/>
              </w:rPr>
            </w:pPr>
            <w:r>
              <w:rPr>
                <w:rFonts w:hint="eastAsia"/>
                <w:color w:val="auto"/>
                <w:sz w:val="20"/>
                <w:szCs w:val="20"/>
                <w:highlight w:val="none"/>
              </w:rPr>
              <w:t>条件</w:t>
            </w:r>
            <w:r>
              <w:rPr>
                <w:color w:val="auto"/>
                <w:sz w:val="20"/>
                <w:szCs w:val="20"/>
                <w:highlight w:val="none"/>
              </w:rPr>
              <w:t>复杂程度等级</w:t>
            </w:r>
          </w:p>
        </w:tc>
        <w:tc>
          <w:tcPr>
            <w:tcW w:w="1842" w:type="dxa"/>
            <w:vMerge w:val="restart"/>
            <w:vAlign w:val="center"/>
          </w:tcPr>
          <w:p>
            <w:pPr>
              <w:jc w:val="center"/>
              <w:rPr>
                <w:color w:val="auto"/>
                <w:sz w:val="20"/>
                <w:szCs w:val="20"/>
                <w:highlight w:val="none"/>
              </w:rPr>
            </w:pPr>
            <w:r>
              <w:rPr>
                <w:color w:val="auto"/>
                <w:sz w:val="20"/>
                <w:szCs w:val="20"/>
                <w:highlight w:val="none"/>
              </w:rPr>
              <w:t>明挖法</w:t>
            </w:r>
            <w:r>
              <w:rPr>
                <w:rFonts w:hint="eastAsia"/>
                <w:color w:val="auto"/>
                <w:sz w:val="20"/>
                <w:szCs w:val="20"/>
                <w:highlight w:val="none"/>
              </w:rPr>
              <w:t>、</w:t>
            </w:r>
            <w:r>
              <w:rPr>
                <w:color w:val="auto"/>
                <w:sz w:val="20"/>
                <w:szCs w:val="20"/>
                <w:highlight w:val="none"/>
              </w:rPr>
              <w:t>沉管法</w:t>
            </w:r>
          </w:p>
        </w:tc>
        <w:tc>
          <w:tcPr>
            <w:tcW w:w="3659" w:type="dxa"/>
            <w:gridSpan w:val="2"/>
            <w:vAlign w:val="center"/>
          </w:tcPr>
          <w:p>
            <w:pPr>
              <w:autoSpaceDE w:val="0"/>
              <w:autoSpaceDN w:val="0"/>
              <w:adjustRightInd w:val="0"/>
              <w:jc w:val="center"/>
              <w:rPr>
                <w:color w:val="auto"/>
                <w:sz w:val="18"/>
                <w:szCs w:val="18"/>
                <w:highlight w:val="none"/>
              </w:rPr>
            </w:pPr>
            <w:r>
              <w:rPr>
                <w:color w:val="auto"/>
                <w:sz w:val="18"/>
                <w:szCs w:val="18"/>
                <w:highlight w:val="none"/>
              </w:rPr>
              <w:t>暗挖法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777" w:type="dxa"/>
            <w:vMerge w:val="continue"/>
            <w:tcBorders>
              <w:top w:val="single" w:color="auto" w:sz="4" w:space="0"/>
              <w:bottom w:val="single" w:color="auto" w:sz="4" w:space="0"/>
              <w:tl2br w:val="single" w:color="auto" w:sz="4" w:space="0"/>
            </w:tcBorders>
            <w:vAlign w:val="center"/>
          </w:tcPr>
          <w:p>
            <w:pPr>
              <w:autoSpaceDE w:val="0"/>
              <w:autoSpaceDN w:val="0"/>
              <w:adjustRightInd w:val="0"/>
              <w:jc w:val="center"/>
              <w:rPr>
                <w:color w:val="auto"/>
                <w:kern w:val="0"/>
                <w:sz w:val="20"/>
                <w:szCs w:val="20"/>
                <w:highlight w:val="none"/>
              </w:rPr>
            </w:pPr>
          </w:p>
        </w:tc>
        <w:tc>
          <w:tcPr>
            <w:tcW w:w="1842" w:type="dxa"/>
            <w:vMerge w:val="continue"/>
            <w:vAlign w:val="center"/>
          </w:tcPr>
          <w:p>
            <w:pPr>
              <w:jc w:val="center"/>
              <w:rPr>
                <w:color w:val="auto"/>
                <w:sz w:val="20"/>
                <w:szCs w:val="20"/>
                <w:highlight w:val="none"/>
              </w:rPr>
            </w:pPr>
          </w:p>
        </w:tc>
        <w:tc>
          <w:tcPr>
            <w:tcW w:w="1758" w:type="dxa"/>
            <w:vAlign w:val="center"/>
          </w:tcPr>
          <w:p>
            <w:pPr>
              <w:jc w:val="center"/>
              <w:rPr>
                <w:color w:val="auto"/>
                <w:sz w:val="20"/>
                <w:szCs w:val="21"/>
                <w:highlight w:val="none"/>
              </w:rPr>
            </w:pPr>
            <w:r>
              <w:rPr>
                <w:color w:val="auto"/>
                <w:sz w:val="20"/>
                <w:szCs w:val="21"/>
                <w:highlight w:val="none"/>
              </w:rPr>
              <w:t>山岭隧道</w:t>
            </w:r>
          </w:p>
        </w:tc>
        <w:tc>
          <w:tcPr>
            <w:tcW w:w="1901" w:type="dxa"/>
            <w:vAlign w:val="center"/>
          </w:tcPr>
          <w:p>
            <w:pPr>
              <w:autoSpaceDE w:val="0"/>
              <w:autoSpaceDN w:val="0"/>
              <w:adjustRightInd w:val="0"/>
              <w:jc w:val="center"/>
              <w:rPr>
                <w:color w:val="auto"/>
                <w:sz w:val="18"/>
                <w:szCs w:val="18"/>
                <w:highlight w:val="none"/>
              </w:rPr>
            </w:pPr>
            <w:r>
              <w:rPr>
                <w:rFonts w:hint="eastAsia"/>
                <w:color w:val="auto"/>
                <w:sz w:val="18"/>
                <w:szCs w:val="18"/>
                <w:highlight w:val="none"/>
              </w:rPr>
              <w:t>平原隧道、水下隧道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77" w:type="dxa"/>
            <w:tcBorders>
              <w:top w:val="single" w:color="auto" w:sz="4" w:space="0"/>
            </w:tcBorders>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一级</w:t>
            </w:r>
          </w:p>
        </w:tc>
        <w:tc>
          <w:tcPr>
            <w:tcW w:w="1842" w:type="dxa"/>
            <w:vAlign w:val="center"/>
          </w:tcPr>
          <w:p>
            <w:pPr>
              <w:autoSpaceDE w:val="0"/>
              <w:autoSpaceDN w:val="0"/>
              <w:adjustRightInd w:val="0"/>
              <w:spacing w:before="62" w:beforeLines="20" w:after="62" w:afterLines="20"/>
              <w:jc w:val="center"/>
              <w:rPr>
                <w:color w:val="auto"/>
                <w:kern w:val="0"/>
                <w:sz w:val="20"/>
                <w:szCs w:val="20"/>
                <w:highlight w:val="none"/>
              </w:rPr>
            </w:pPr>
            <w:r>
              <w:rPr>
                <w:rFonts w:hint="eastAsia"/>
                <w:color w:val="auto"/>
                <w:kern w:val="0"/>
                <w:sz w:val="20"/>
                <w:szCs w:val="20"/>
                <w:highlight w:val="none"/>
              </w:rPr>
              <w:t>3</w:t>
            </w:r>
            <w:r>
              <w:rPr>
                <w:color w:val="auto"/>
                <w:kern w:val="0"/>
                <w:sz w:val="20"/>
                <w:szCs w:val="20"/>
                <w:highlight w:val="none"/>
              </w:rPr>
              <w:t>0~</w:t>
            </w:r>
            <w:r>
              <w:rPr>
                <w:rFonts w:hint="eastAsia"/>
                <w:color w:val="auto"/>
                <w:kern w:val="0"/>
                <w:sz w:val="20"/>
                <w:szCs w:val="20"/>
                <w:highlight w:val="none"/>
              </w:rPr>
              <w:t>6</w:t>
            </w:r>
            <w:r>
              <w:rPr>
                <w:color w:val="auto"/>
                <w:kern w:val="0"/>
                <w:sz w:val="20"/>
                <w:szCs w:val="20"/>
                <w:highlight w:val="none"/>
              </w:rPr>
              <w:t>0</w:t>
            </w:r>
          </w:p>
        </w:tc>
        <w:tc>
          <w:tcPr>
            <w:tcW w:w="1758" w:type="dxa"/>
            <w:vMerge w:val="restart"/>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150~300</w:t>
            </w:r>
          </w:p>
        </w:tc>
        <w:tc>
          <w:tcPr>
            <w:tcW w:w="1901" w:type="dxa"/>
          </w:tcPr>
          <w:p>
            <w:pPr>
              <w:autoSpaceDE w:val="0"/>
              <w:autoSpaceDN w:val="0"/>
              <w:adjustRightInd w:val="0"/>
              <w:spacing w:before="62" w:beforeLines="20" w:after="62" w:afterLines="20"/>
              <w:jc w:val="center"/>
              <w:rPr>
                <w:color w:val="auto"/>
                <w:kern w:val="0"/>
                <w:sz w:val="20"/>
                <w:szCs w:val="20"/>
                <w:highlight w:val="none"/>
              </w:rPr>
            </w:pPr>
            <w:r>
              <w:rPr>
                <w:rFonts w:hint="eastAsia"/>
                <w:color w:val="auto"/>
                <w:kern w:val="0"/>
                <w:sz w:val="20"/>
                <w:szCs w:val="20"/>
                <w:highlight w:val="none"/>
              </w:rPr>
              <w:t>5</w:t>
            </w:r>
            <w:r>
              <w:rPr>
                <w:color w:val="auto"/>
                <w:kern w:val="0"/>
                <w:sz w:val="20"/>
                <w:szCs w:val="20"/>
                <w:highlight w:val="none"/>
              </w:rPr>
              <w:t>0~</w:t>
            </w:r>
            <w:r>
              <w:rPr>
                <w:rFonts w:hint="eastAsia"/>
                <w:color w:val="auto"/>
                <w:kern w:val="0"/>
                <w:sz w:val="20"/>
                <w:szCs w:val="20"/>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77"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二级</w:t>
            </w:r>
          </w:p>
        </w:tc>
        <w:tc>
          <w:tcPr>
            <w:tcW w:w="1842" w:type="dxa"/>
            <w:vAlign w:val="center"/>
          </w:tcPr>
          <w:p>
            <w:pPr>
              <w:autoSpaceDE w:val="0"/>
              <w:autoSpaceDN w:val="0"/>
              <w:adjustRightInd w:val="0"/>
              <w:spacing w:before="62" w:beforeLines="20" w:after="62" w:afterLines="20"/>
              <w:jc w:val="center"/>
              <w:rPr>
                <w:color w:val="auto"/>
                <w:kern w:val="0"/>
                <w:sz w:val="20"/>
                <w:szCs w:val="20"/>
                <w:highlight w:val="none"/>
              </w:rPr>
            </w:pPr>
            <w:r>
              <w:rPr>
                <w:rFonts w:hint="eastAsia"/>
                <w:color w:val="auto"/>
                <w:kern w:val="0"/>
                <w:sz w:val="20"/>
                <w:szCs w:val="20"/>
                <w:highlight w:val="none"/>
              </w:rPr>
              <w:t>6</w:t>
            </w:r>
            <w:r>
              <w:rPr>
                <w:color w:val="auto"/>
                <w:kern w:val="0"/>
                <w:sz w:val="20"/>
                <w:szCs w:val="20"/>
                <w:highlight w:val="none"/>
              </w:rPr>
              <w:t>0~</w:t>
            </w:r>
            <w:r>
              <w:rPr>
                <w:rFonts w:hint="eastAsia"/>
                <w:color w:val="auto"/>
                <w:kern w:val="0"/>
                <w:sz w:val="20"/>
                <w:szCs w:val="20"/>
                <w:highlight w:val="none"/>
              </w:rPr>
              <w:t>12</w:t>
            </w:r>
            <w:r>
              <w:rPr>
                <w:color w:val="auto"/>
                <w:kern w:val="0"/>
                <w:sz w:val="20"/>
                <w:szCs w:val="20"/>
                <w:highlight w:val="none"/>
              </w:rPr>
              <w:t>0</w:t>
            </w:r>
          </w:p>
        </w:tc>
        <w:tc>
          <w:tcPr>
            <w:tcW w:w="1758" w:type="dxa"/>
            <w:vMerge w:val="continue"/>
            <w:vAlign w:val="center"/>
          </w:tcPr>
          <w:p>
            <w:pPr>
              <w:autoSpaceDE w:val="0"/>
              <w:autoSpaceDN w:val="0"/>
              <w:adjustRightInd w:val="0"/>
              <w:spacing w:before="62" w:beforeLines="20" w:after="62" w:afterLines="20"/>
              <w:jc w:val="center"/>
              <w:rPr>
                <w:color w:val="auto"/>
                <w:kern w:val="0"/>
                <w:sz w:val="20"/>
                <w:szCs w:val="20"/>
                <w:highlight w:val="none"/>
              </w:rPr>
            </w:pPr>
          </w:p>
        </w:tc>
        <w:tc>
          <w:tcPr>
            <w:tcW w:w="1901" w:type="dxa"/>
          </w:tcPr>
          <w:p>
            <w:pPr>
              <w:autoSpaceDE w:val="0"/>
              <w:autoSpaceDN w:val="0"/>
              <w:adjustRightInd w:val="0"/>
              <w:spacing w:before="62" w:beforeLines="20" w:after="62" w:afterLines="20"/>
              <w:jc w:val="center"/>
              <w:rPr>
                <w:color w:val="auto"/>
                <w:kern w:val="0"/>
                <w:sz w:val="20"/>
                <w:szCs w:val="20"/>
                <w:highlight w:val="none"/>
              </w:rPr>
            </w:pPr>
            <w:r>
              <w:rPr>
                <w:rFonts w:hint="eastAsia"/>
                <w:color w:val="auto"/>
                <w:kern w:val="0"/>
                <w:sz w:val="20"/>
                <w:szCs w:val="20"/>
                <w:highlight w:val="none"/>
              </w:rPr>
              <w:t>80</w:t>
            </w:r>
            <w:r>
              <w:rPr>
                <w:color w:val="auto"/>
                <w:kern w:val="0"/>
                <w:sz w:val="20"/>
                <w:szCs w:val="20"/>
                <w:highlight w:val="none"/>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77"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三级</w:t>
            </w:r>
          </w:p>
        </w:tc>
        <w:tc>
          <w:tcPr>
            <w:tcW w:w="1842" w:type="dxa"/>
            <w:vAlign w:val="center"/>
          </w:tcPr>
          <w:p>
            <w:pPr>
              <w:autoSpaceDE w:val="0"/>
              <w:autoSpaceDN w:val="0"/>
              <w:adjustRightInd w:val="0"/>
              <w:spacing w:before="62" w:beforeLines="20" w:after="62" w:afterLines="20"/>
              <w:jc w:val="center"/>
              <w:rPr>
                <w:color w:val="auto"/>
                <w:kern w:val="0"/>
                <w:sz w:val="20"/>
                <w:szCs w:val="20"/>
                <w:highlight w:val="none"/>
              </w:rPr>
            </w:pPr>
            <w:r>
              <w:rPr>
                <w:rFonts w:hint="eastAsia"/>
                <w:color w:val="auto"/>
                <w:kern w:val="0"/>
                <w:sz w:val="20"/>
                <w:szCs w:val="20"/>
                <w:highlight w:val="none"/>
              </w:rPr>
              <w:t>12</w:t>
            </w:r>
            <w:r>
              <w:rPr>
                <w:color w:val="auto"/>
                <w:kern w:val="0"/>
                <w:sz w:val="20"/>
                <w:szCs w:val="20"/>
                <w:highlight w:val="none"/>
              </w:rPr>
              <w:t>0~</w:t>
            </w:r>
            <w:r>
              <w:rPr>
                <w:rFonts w:hint="eastAsia"/>
                <w:color w:val="auto"/>
                <w:kern w:val="0"/>
                <w:sz w:val="20"/>
                <w:szCs w:val="20"/>
                <w:highlight w:val="none"/>
              </w:rPr>
              <w:t>15</w:t>
            </w:r>
            <w:r>
              <w:rPr>
                <w:color w:val="auto"/>
                <w:kern w:val="0"/>
                <w:sz w:val="20"/>
                <w:szCs w:val="20"/>
                <w:highlight w:val="none"/>
              </w:rPr>
              <w:t>0</w:t>
            </w:r>
          </w:p>
        </w:tc>
        <w:tc>
          <w:tcPr>
            <w:tcW w:w="1758" w:type="dxa"/>
            <w:vMerge w:val="continue"/>
            <w:vAlign w:val="center"/>
          </w:tcPr>
          <w:p>
            <w:pPr>
              <w:autoSpaceDE w:val="0"/>
              <w:autoSpaceDN w:val="0"/>
              <w:adjustRightInd w:val="0"/>
              <w:spacing w:before="62" w:beforeLines="20" w:after="62" w:afterLines="20"/>
              <w:jc w:val="center"/>
              <w:rPr>
                <w:color w:val="auto"/>
                <w:kern w:val="0"/>
                <w:sz w:val="20"/>
                <w:szCs w:val="20"/>
                <w:highlight w:val="none"/>
              </w:rPr>
            </w:pPr>
          </w:p>
        </w:tc>
        <w:tc>
          <w:tcPr>
            <w:tcW w:w="1901" w:type="dxa"/>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1</w:t>
            </w:r>
            <w:r>
              <w:rPr>
                <w:rFonts w:hint="eastAsia"/>
                <w:color w:val="auto"/>
                <w:kern w:val="0"/>
                <w:sz w:val="20"/>
                <w:szCs w:val="20"/>
                <w:highlight w:val="none"/>
              </w:rPr>
              <w:t>0</w:t>
            </w:r>
            <w:r>
              <w:rPr>
                <w:color w:val="auto"/>
                <w:kern w:val="0"/>
                <w:sz w:val="20"/>
                <w:szCs w:val="20"/>
                <w:highlight w:val="none"/>
              </w:rPr>
              <w:t>0~</w:t>
            </w:r>
            <w:r>
              <w:rPr>
                <w:rFonts w:hint="eastAsia"/>
                <w:color w:val="auto"/>
                <w:kern w:val="0"/>
                <w:sz w:val="20"/>
                <w:szCs w:val="20"/>
                <w:highlight w:val="none"/>
              </w:rPr>
              <w:t>2</w:t>
            </w:r>
            <w:r>
              <w:rPr>
                <w:color w:val="auto"/>
                <w:kern w:val="0"/>
                <w:sz w:val="20"/>
                <w:szCs w:val="20"/>
                <w:highlight w:val="none"/>
              </w:rPr>
              <w:t>00</w:t>
            </w:r>
          </w:p>
        </w:tc>
      </w:tr>
    </w:tbl>
    <w:p>
      <w:pPr>
        <w:spacing w:line="360" w:lineRule="auto"/>
        <w:ind w:firstLine="422" w:firstLineChars="200"/>
        <w:rPr>
          <w:color w:val="auto"/>
          <w:kern w:val="0"/>
          <w:highlight w:val="none"/>
        </w:rPr>
      </w:pPr>
      <w:r>
        <w:rPr>
          <w:rFonts w:hint="eastAsia"/>
          <w:b/>
          <w:bCs/>
          <w:color w:val="auto"/>
          <w:kern w:val="0"/>
          <w:highlight w:val="none"/>
        </w:rPr>
        <w:t>2</w:t>
      </w:r>
      <w:r>
        <w:rPr>
          <w:rFonts w:hint="eastAsia"/>
          <w:color w:val="auto"/>
          <w:kern w:val="0"/>
          <w:highlight w:val="none"/>
        </w:rPr>
        <w:t>　</w:t>
      </w:r>
      <w:r>
        <w:rPr>
          <w:color w:val="auto"/>
          <w:kern w:val="0"/>
          <w:highlight w:val="none"/>
        </w:rPr>
        <w:t>山岭隧道应在隧道口、洞身沟谷地形段、地质构造复杂地段、</w:t>
      </w:r>
      <w:r>
        <w:rPr>
          <w:rFonts w:hint="eastAsia"/>
          <w:color w:val="auto"/>
          <w:highlight w:val="none"/>
        </w:rPr>
        <w:t>穿越</w:t>
      </w:r>
      <w:r>
        <w:rPr>
          <w:color w:val="auto"/>
          <w:highlight w:val="none"/>
        </w:rPr>
        <w:t>水域或水文地质复杂地段</w:t>
      </w:r>
      <w:r>
        <w:rPr>
          <w:color w:val="auto"/>
          <w:kern w:val="0"/>
          <w:highlight w:val="none"/>
        </w:rPr>
        <w:t>布置勘探点。</w:t>
      </w:r>
    </w:p>
    <w:p>
      <w:pPr>
        <w:autoSpaceDE w:val="0"/>
        <w:autoSpaceDN w:val="0"/>
        <w:adjustRightInd w:val="0"/>
        <w:spacing w:line="360" w:lineRule="auto"/>
        <w:jc w:val="left"/>
        <w:rPr>
          <w:color w:val="auto"/>
          <w:kern w:val="0"/>
          <w:highlight w:val="none"/>
        </w:rPr>
      </w:pPr>
      <w:r>
        <w:rPr>
          <w:b/>
          <w:bCs/>
          <w:color w:val="auto"/>
          <w:kern w:val="0"/>
          <w:highlight w:val="none"/>
        </w:rPr>
        <w:t>7.3.</w:t>
      </w:r>
      <w:r>
        <w:rPr>
          <w:rFonts w:hint="eastAsia"/>
          <w:b/>
          <w:bCs/>
          <w:color w:val="auto"/>
          <w:kern w:val="0"/>
          <w:highlight w:val="none"/>
        </w:rPr>
        <w:t>5</w:t>
      </w:r>
      <w:r>
        <w:rPr>
          <w:rFonts w:hint="eastAsia"/>
          <w:color w:val="auto"/>
          <w:kern w:val="0"/>
          <w:highlight w:val="none"/>
        </w:rPr>
        <w:t>　</w:t>
      </w:r>
      <w:r>
        <w:rPr>
          <w:color w:val="auto"/>
          <w:kern w:val="0"/>
          <w:highlight w:val="none"/>
        </w:rPr>
        <w:t>初步勘察勘探孔深度应符合下列规定：</w:t>
      </w:r>
    </w:p>
    <w:p>
      <w:pPr>
        <w:spacing w:line="360" w:lineRule="auto"/>
        <w:ind w:firstLine="422" w:firstLineChars="200"/>
        <w:rPr>
          <w:color w:val="auto"/>
          <w:kern w:val="0"/>
          <w:highlight w:val="none"/>
        </w:rPr>
      </w:pPr>
      <w:r>
        <w:rPr>
          <w:b/>
          <w:bCs/>
          <w:color w:val="auto"/>
          <w:kern w:val="0"/>
          <w:highlight w:val="none"/>
        </w:rPr>
        <w:t>1</w:t>
      </w:r>
      <w:r>
        <w:rPr>
          <w:rFonts w:hint="eastAsia"/>
          <w:color w:val="auto"/>
          <w:highlight w:val="none"/>
        </w:rPr>
        <w:t>　</w:t>
      </w:r>
      <w:r>
        <w:rPr>
          <w:color w:val="auto"/>
          <w:kern w:val="0"/>
          <w:highlight w:val="none"/>
        </w:rPr>
        <w:t>采用不同施工工法的隧道段，初勘阶段</w:t>
      </w:r>
      <w:r>
        <w:rPr>
          <w:color w:val="auto"/>
          <w:highlight w:val="none"/>
        </w:rPr>
        <w:t>勘探</w:t>
      </w:r>
      <w:r>
        <w:rPr>
          <w:color w:val="auto"/>
          <w:kern w:val="0"/>
          <w:highlight w:val="none"/>
        </w:rPr>
        <w:t>孔进入结构底板以下的深度</w:t>
      </w:r>
      <w:r>
        <w:rPr>
          <w:color w:val="auto"/>
          <w:highlight w:val="none"/>
        </w:rPr>
        <w:t>宜</w:t>
      </w:r>
      <w:r>
        <w:rPr>
          <w:color w:val="auto"/>
          <w:kern w:val="0"/>
          <w:highlight w:val="none"/>
        </w:rPr>
        <w:t>根据结构底板以下地层条件</w:t>
      </w:r>
      <w:r>
        <w:rPr>
          <w:color w:val="auto"/>
          <w:highlight w:val="none"/>
        </w:rPr>
        <w:t>按表7.3.</w:t>
      </w:r>
      <w:r>
        <w:rPr>
          <w:rFonts w:hint="eastAsia"/>
          <w:color w:val="auto"/>
          <w:highlight w:val="none"/>
        </w:rPr>
        <w:t>5</w:t>
      </w:r>
      <w:r>
        <w:rPr>
          <w:color w:val="auto"/>
          <w:highlight w:val="none"/>
        </w:rPr>
        <w:t>控制</w:t>
      </w:r>
      <w:r>
        <w:rPr>
          <w:rFonts w:hint="eastAsia"/>
          <w:color w:val="auto"/>
          <w:highlight w:val="none"/>
        </w:rPr>
        <w:t>；三种地层条件</w:t>
      </w:r>
      <w:r>
        <w:rPr>
          <w:rFonts w:hint="eastAsia"/>
          <w:color w:val="auto"/>
          <w:highlight w:val="none"/>
          <w:lang w:val="en-US" w:eastAsia="zh-CN"/>
        </w:rPr>
        <w:t>以最先符合者控制孔深</w:t>
      </w:r>
      <w:r>
        <w:rPr>
          <w:rFonts w:hint="eastAsia"/>
          <w:color w:val="auto"/>
          <w:kern w:val="0"/>
          <w:highlight w:val="none"/>
        </w:rPr>
        <w:t>。</w:t>
      </w:r>
    </w:p>
    <w:p>
      <w:pPr>
        <w:autoSpaceDE w:val="0"/>
        <w:autoSpaceDN w:val="0"/>
        <w:adjustRightInd w:val="0"/>
        <w:spacing w:line="360" w:lineRule="auto"/>
        <w:jc w:val="center"/>
        <w:rPr>
          <w:b/>
          <w:bCs/>
          <w:color w:val="auto"/>
          <w:kern w:val="0"/>
          <w:highlight w:val="none"/>
        </w:rPr>
      </w:pPr>
      <w:r>
        <w:rPr>
          <w:b/>
          <w:bCs/>
          <w:color w:val="auto"/>
          <w:kern w:val="0"/>
          <w:highlight w:val="none"/>
        </w:rPr>
        <w:t>表7.3.</w:t>
      </w:r>
      <w:r>
        <w:rPr>
          <w:rFonts w:hint="eastAsia"/>
          <w:b/>
          <w:bCs/>
          <w:color w:val="auto"/>
          <w:kern w:val="0"/>
          <w:highlight w:val="none"/>
        </w:rPr>
        <w:t>5</w:t>
      </w:r>
      <w:r>
        <w:rPr>
          <w:b/>
          <w:bCs/>
          <w:color w:val="auto"/>
          <w:kern w:val="0"/>
          <w:highlight w:val="none"/>
        </w:rPr>
        <w:t xml:space="preserve"> 初步勘察勘探孔进入结构底板以下深度</w:t>
      </w:r>
    </w:p>
    <w:tbl>
      <w:tblPr>
        <w:tblStyle w:val="22"/>
        <w:tblW w:w="816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39"/>
        <w:gridCol w:w="1975"/>
        <w:gridCol w:w="1975"/>
        <w:gridCol w:w="19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9" w:hRule="atLeast"/>
          <w:jc w:val="center"/>
        </w:trPr>
        <w:tc>
          <w:tcPr>
            <w:tcW w:w="2239" w:type="dxa"/>
            <w:vAlign w:val="center"/>
          </w:tcPr>
          <w:p>
            <w:pPr>
              <w:autoSpaceDE w:val="0"/>
              <w:autoSpaceDN w:val="0"/>
              <w:adjustRightInd w:val="0"/>
              <w:jc w:val="center"/>
              <w:rPr>
                <w:color w:val="auto"/>
                <w:kern w:val="0"/>
                <w:sz w:val="20"/>
                <w:szCs w:val="20"/>
                <w:highlight w:val="none"/>
              </w:rPr>
            </w:pPr>
            <w:r>
              <w:rPr>
                <w:color w:val="auto"/>
                <w:kern w:val="0"/>
                <w:sz w:val="20"/>
                <w:szCs w:val="20"/>
                <w:highlight w:val="none"/>
              </w:rPr>
              <w:t>结构底板以下地层条件</w:t>
            </w:r>
          </w:p>
        </w:tc>
        <w:tc>
          <w:tcPr>
            <w:tcW w:w="1975" w:type="dxa"/>
            <w:vAlign w:val="center"/>
          </w:tcPr>
          <w:p>
            <w:pPr>
              <w:autoSpaceDE w:val="0"/>
              <w:autoSpaceDN w:val="0"/>
              <w:adjustRightInd w:val="0"/>
              <w:spacing w:before="62" w:beforeLines="20" w:after="62" w:afterLines="20"/>
              <w:jc w:val="center"/>
              <w:rPr>
                <w:color w:val="auto"/>
                <w:sz w:val="20"/>
                <w:szCs w:val="21"/>
                <w:highlight w:val="none"/>
              </w:rPr>
            </w:pPr>
            <w:r>
              <w:rPr>
                <w:color w:val="auto"/>
                <w:sz w:val="20"/>
                <w:szCs w:val="20"/>
                <w:highlight w:val="none"/>
              </w:rPr>
              <w:t>明挖法</w:t>
            </w:r>
          </w:p>
        </w:tc>
        <w:tc>
          <w:tcPr>
            <w:tcW w:w="1975" w:type="dxa"/>
            <w:vAlign w:val="center"/>
          </w:tcPr>
          <w:p>
            <w:pPr>
              <w:jc w:val="center"/>
              <w:rPr>
                <w:color w:val="auto"/>
                <w:sz w:val="20"/>
                <w:szCs w:val="20"/>
                <w:highlight w:val="none"/>
              </w:rPr>
            </w:pPr>
            <w:r>
              <w:rPr>
                <w:color w:val="auto"/>
                <w:sz w:val="20"/>
                <w:szCs w:val="20"/>
                <w:highlight w:val="none"/>
              </w:rPr>
              <w:t>沉管法</w:t>
            </w:r>
          </w:p>
        </w:tc>
        <w:tc>
          <w:tcPr>
            <w:tcW w:w="1975" w:type="dxa"/>
            <w:vAlign w:val="center"/>
          </w:tcPr>
          <w:p>
            <w:pPr>
              <w:autoSpaceDE w:val="0"/>
              <w:autoSpaceDN w:val="0"/>
              <w:adjustRightInd w:val="0"/>
              <w:jc w:val="center"/>
              <w:rPr>
                <w:color w:val="auto"/>
                <w:sz w:val="18"/>
                <w:szCs w:val="18"/>
                <w:highlight w:val="none"/>
              </w:rPr>
            </w:pPr>
            <w:r>
              <w:rPr>
                <w:color w:val="auto"/>
                <w:sz w:val="18"/>
                <w:szCs w:val="18"/>
                <w:highlight w:val="none"/>
              </w:rPr>
              <w:t>暗挖法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39" w:type="dxa"/>
            <w:vAlign w:val="center"/>
          </w:tcPr>
          <w:p>
            <w:pPr>
              <w:autoSpaceDE w:val="0"/>
              <w:autoSpaceDN w:val="0"/>
              <w:adjustRightInd w:val="0"/>
              <w:jc w:val="center"/>
              <w:rPr>
                <w:color w:val="auto"/>
                <w:kern w:val="0"/>
                <w:sz w:val="20"/>
                <w:szCs w:val="20"/>
                <w:highlight w:val="none"/>
              </w:rPr>
            </w:pPr>
            <w:r>
              <w:rPr>
                <w:color w:val="auto"/>
                <w:kern w:val="0"/>
                <w:sz w:val="20"/>
                <w:szCs w:val="20"/>
                <w:highlight w:val="none"/>
              </w:rPr>
              <w:t>松散地层</w:t>
            </w:r>
          </w:p>
        </w:tc>
        <w:tc>
          <w:tcPr>
            <w:tcW w:w="1975" w:type="dxa"/>
            <w:vAlign w:val="center"/>
          </w:tcPr>
          <w:p>
            <w:pPr>
              <w:autoSpaceDE w:val="0"/>
              <w:autoSpaceDN w:val="0"/>
              <w:adjustRightInd w:val="0"/>
              <w:spacing w:before="62" w:beforeLines="20" w:after="62" w:afterLines="20"/>
              <w:jc w:val="center"/>
              <w:rPr>
                <w:color w:val="auto"/>
                <w:kern w:val="0"/>
                <w:sz w:val="20"/>
                <w:szCs w:val="20"/>
                <w:highlight w:val="none"/>
              </w:rPr>
            </w:pPr>
            <w:r>
              <w:rPr>
                <w:rFonts w:hint="eastAsia" w:ascii="宋体" w:hAnsi="宋体" w:cs="宋体"/>
                <w:color w:val="auto"/>
                <w:kern w:val="0"/>
                <w:sz w:val="20"/>
                <w:szCs w:val="20"/>
                <w:highlight w:val="none"/>
              </w:rPr>
              <w:t>≥</w:t>
            </w:r>
            <w:r>
              <w:rPr>
                <w:rFonts w:hint="eastAsia"/>
                <w:color w:val="auto"/>
                <w:kern w:val="0"/>
                <w:sz w:val="20"/>
                <w:szCs w:val="20"/>
                <w:highlight w:val="none"/>
                <w:lang w:val="en-US" w:eastAsia="zh-CN"/>
              </w:rPr>
              <w:t>1.5</w:t>
            </w:r>
            <w:r>
              <w:rPr>
                <w:i/>
                <w:iCs/>
                <w:color w:val="auto"/>
                <w:kern w:val="0"/>
                <w:sz w:val="20"/>
                <w:szCs w:val="20"/>
                <w:highlight w:val="none"/>
              </w:rPr>
              <w:t>h</w:t>
            </w:r>
            <w:r>
              <w:rPr>
                <w:rFonts w:hint="eastAsia"/>
                <w:color w:val="auto"/>
                <w:kern w:val="0"/>
                <w:sz w:val="20"/>
                <w:szCs w:val="20"/>
                <w:highlight w:val="none"/>
              </w:rPr>
              <w:t>且</w:t>
            </w:r>
            <w:r>
              <w:rPr>
                <w:rFonts w:hint="eastAsia" w:ascii="宋体" w:hAnsi="宋体" w:cs="宋体"/>
                <w:color w:val="auto"/>
                <w:kern w:val="0"/>
                <w:sz w:val="20"/>
                <w:szCs w:val="20"/>
                <w:highlight w:val="none"/>
              </w:rPr>
              <w:t>≥</w:t>
            </w:r>
            <w:r>
              <w:rPr>
                <w:rFonts w:hint="eastAsia"/>
                <w:color w:val="auto"/>
                <w:kern w:val="0"/>
                <w:sz w:val="20"/>
                <w:szCs w:val="20"/>
                <w:highlight w:val="none"/>
                <w:lang w:val="en-US" w:eastAsia="zh-CN"/>
              </w:rPr>
              <w:t>15</w:t>
            </w:r>
            <w:r>
              <w:rPr>
                <w:color w:val="auto"/>
                <w:kern w:val="0"/>
                <w:sz w:val="20"/>
                <w:szCs w:val="20"/>
                <w:highlight w:val="none"/>
              </w:rPr>
              <w:t>m</w:t>
            </w:r>
          </w:p>
        </w:tc>
        <w:tc>
          <w:tcPr>
            <w:tcW w:w="1975" w:type="dxa"/>
            <w:vAlign w:val="center"/>
          </w:tcPr>
          <w:p>
            <w:pPr>
              <w:autoSpaceDE w:val="0"/>
              <w:autoSpaceDN w:val="0"/>
              <w:adjustRightInd w:val="0"/>
              <w:jc w:val="center"/>
              <w:rPr>
                <w:color w:val="auto"/>
                <w:kern w:val="0"/>
                <w:sz w:val="20"/>
                <w:szCs w:val="20"/>
                <w:highlight w:val="none"/>
              </w:rPr>
            </w:pPr>
            <w:r>
              <w:rPr>
                <w:rFonts w:hint="eastAsia" w:ascii="宋体" w:hAnsi="宋体" w:cs="宋体"/>
                <w:color w:val="auto"/>
                <w:kern w:val="0"/>
                <w:sz w:val="20"/>
                <w:szCs w:val="20"/>
                <w:highlight w:val="none"/>
              </w:rPr>
              <w:t>≥</w:t>
            </w:r>
            <w:r>
              <w:rPr>
                <w:rFonts w:hint="eastAsia"/>
                <w:color w:val="auto"/>
                <w:kern w:val="0"/>
                <w:sz w:val="20"/>
                <w:szCs w:val="20"/>
                <w:highlight w:val="none"/>
              </w:rPr>
              <w:t>1.0</w:t>
            </w:r>
            <w:r>
              <w:rPr>
                <w:i/>
                <w:iCs/>
                <w:color w:val="auto"/>
                <w:kern w:val="0"/>
                <w:sz w:val="18"/>
                <w:szCs w:val="11"/>
                <w:highlight w:val="none"/>
              </w:rPr>
              <w:t>w</w:t>
            </w:r>
          </w:p>
        </w:tc>
        <w:tc>
          <w:tcPr>
            <w:tcW w:w="1975" w:type="dxa"/>
            <w:vAlign w:val="center"/>
          </w:tcPr>
          <w:p>
            <w:pPr>
              <w:autoSpaceDE w:val="0"/>
              <w:autoSpaceDN w:val="0"/>
              <w:adjustRightInd w:val="0"/>
              <w:jc w:val="center"/>
              <w:rPr>
                <w:color w:val="auto"/>
                <w:kern w:val="0"/>
                <w:sz w:val="20"/>
                <w:szCs w:val="20"/>
                <w:highlight w:val="none"/>
              </w:rPr>
            </w:pPr>
            <w:r>
              <w:rPr>
                <w:rFonts w:hint="eastAsia" w:ascii="宋体" w:hAnsi="宋体" w:cs="宋体"/>
                <w:color w:val="auto"/>
                <w:kern w:val="0"/>
                <w:sz w:val="20"/>
                <w:szCs w:val="20"/>
                <w:highlight w:val="none"/>
              </w:rPr>
              <w:t>≥</w:t>
            </w:r>
            <w:r>
              <w:rPr>
                <w:rFonts w:hint="eastAsia"/>
                <w:color w:val="auto"/>
                <w:kern w:val="0"/>
                <w:sz w:val="20"/>
                <w:szCs w:val="20"/>
                <w:highlight w:val="none"/>
              </w:rPr>
              <w:t>30m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39" w:type="dxa"/>
            <w:vAlign w:val="center"/>
          </w:tcPr>
          <w:p>
            <w:pPr>
              <w:autoSpaceDE w:val="0"/>
              <w:autoSpaceDN w:val="0"/>
              <w:adjustRightInd w:val="0"/>
              <w:jc w:val="center"/>
              <w:rPr>
                <w:color w:val="auto"/>
                <w:kern w:val="0"/>
                <w:sz w:val="20"/>
                <w:szCs w:val="20"/>
                <w:highlight w:val="none"/>
              </w:rPr>
            </w:pPr>
            <w:r>
              <w:rPr>
                <w:rFonts w:hint="eastAsia"/>
                <w:color w:val="auto"/>
                <w:kern w:val="0"/>
                <w:sz w:val="20"/>
                <w:szCs w:val="20"/>
                <w:highlight w:val="none"/>
              </w:rPr>
              <w:t>碎石土、</w:t>
            </w:r>
            <w:r>
              <w:rPr>
                <w:color w:val="auto"/>
                <w:kern w:val="0"/>
                <w:sz w:val="20"/>
                <w:szCs w:val="20"/>
                <w:highlight w:val="none"/>
              </w:rPr>
              <w:t>全</w:t>
            </w:r>
            <w:r>
              <w:rPr>
                <w:rFonts w:hint="eastAsia"/>
                <w:color w:val="auto"/>
                <w:kern w:val="0"/>
                <w:sz w:val="20"/>
                <w:szCs w:val="20"/>
                <w:highlight w:val="none"/>
              </w:rPr>
              <w:t>风化岩</w:t>
            </w:r>
            <w:r>
              <w:rPr>
                <w:color w:val="auto"/>
                <w:kern w:val="0"/>
                <w:sz w:val="20"/>
                <w:szCs w:val="20"/>
                <w:highlight w:val="none"/>
              </w:rPr>
              <w:t>、强风化岩或极软岩</w:t>
            </w:r>
          </w:p>
        </w:tc>
        <w:tc>
          <w:tcPr>
            <w:tcW w:w="1975" w:type="dxa"/>
            <w:vAlign w:val="center"/>
          </w:tcPr>
          <w:p>
            <w:pPr>
              <w:autoSpaceDE w:val="0"/>
              <w:autoSpaceDN w:val="0"/>
              <w:adjustRightInd w:val="0"/>
              <w:jc w:val="center"/>
              <w:rPr>
                <w:color w:val="auto"/>
                <w:kern w:val="0"/>
                <w:sz w:val="20"/>
                <w:szCs w:val="20"/>
                <w:highlight w:val="none"/>
              </w:rPr>
            </w:pPr>
            <w:r>
              <w:rPr>
                <w:rFonts w:hint="eastAsia" w:ascii="宋体" w:hAnsi="宋体" w:cs="宋体"/>
                <w:color w:val="auto"/>
                <w:kern w:val="0"/>
                <w:sz w:val="20"/>
                <w:szCs w:val="20"/>
                <w:highlight w:val="none"/>
              </w:rPr>
              <w:t>≥</w:t>
            </w:r>
            <w:r>
              <w:rPr>
                <w:rFonts w:hint="eastAsia"/>
                <w:color w:val="auto"/>
                <w:kern w:val="0"/>
                <w:sz w:val="20"/>
                <w:szCs w:val="20"/>
                <w:highlight w:val="none"/>
                <w:lang w:val="en-US" w:eastAsia="zh-CN"/>
              </w:rPr>
              <w:t>1.0</w:t>
            </w:r>
            <w:r>
              <w:rPr>
                <w:i/>
                <w:iCs/>
                <w:color w:val="auto"/>
                <w:kern w:val="0"/>
                <w:sz w:val="20"/>
                <w:szCs w:val="20"/>
                <w:highlight w:val="none"/>
              </w:rPr>
              <w:t>h</w:t>
            </w:r>
            <w:r>
              <w:rPr>
                <w:rFonts w:hint="eastAsia"/>
                <w:color w:val="auto"/>
                <w:kern w:val="0"/>
                <w:sz w:val="20"/>
                <w:szCs w:val="20"/>
                <w:highlight w:val="none"/>
              </w:rPr>
              <w:t>且</w:t>
            </w:r>
            <w:r>
              <w:rPr>
                <w:rFonts w:hint="eastAsia" w:ascii="宋体" w:hAnsi="宋体" w:cs="宋体"/>
                <w:color w:val="auto"/>
                <w:kern w:val="0"/>
                <w:sz w:val="20"/>
                <w:szCs w:val="20"/>
                <w:highlight w:val="none"/>
              </w:rPr>
              <w:t>≥</w:t>
            </w:r>
            <w:r>
              <w:rPr>
                <w:color w:val="auto"/>
                <w:kern w:val="0"/>
                <w:sz w:val="20"/>
                <w:szCs w:val="20"/>
                <w:highlight w:val="none"/>
              </w:rPr>
              <w:t>1</w:t>
            </w:r>
            <w:r>
              <w:rPr>
                <w:rFonts w:hint="eastAsia"/>
                <w:color w:val="auto"/>
                <w:kern w:val="0"/>
                <w:sz w:val="20"/>
                <w:szCs w:val="20"/>
                <w:highlight w:val="none"/>
                <w:lang w:val="en-US" w:eastAsia="zh-CN"/>
              </w:rPr>
              <w:t>0</w:t>
            </w:r>
            <w:r>
              <w:rPr>
                <w:color w:val="auto"/>
                <w:kern w:val="0"/>
                <w:sz w:val="20"/>
                <w:szCs w:val="20"/>
                <w:highlight w:val="none"/>
              </w:rPr>
              <w:t>m</w:t>
            </w:r>
          </w:p>
        </w:tc>
        <w:tc>
          <w:tcPr>
            <w:tcW w:w="1975" w:type="dxa"/>
            <w:vAlign w:val="center"/>
          </w:tcPr>
          <w:p>
            <w:pPr>
              <w:autoSpaceDE w:val="0"/>
              <w:autoSpaceDN w:val="0"/>
              <w:adjustRightInd w:val="0"/>
              <w:jc w:val="center"/>
              <w:rPr>
                <w:color w:val="auto"/>
                <w:kern w:val="0"/>
                <w:sz w:val="20"/>
                <w:szCs w:val="20"/>
                <w:highlight w:val="none"/>
              </w:rPr>
            </w:pPr>
            <w:r>
              <w:rPr>
                <w:rFonts w:hint="eastAsia" w:ascii="宋体" w:hAnsi="宋体" w:cs="宋体"/>
                <w:color w:val="auto"/>
                <w:kern w:val="0"/>
                <w:sz w:val="20"/>
                <w:szCs w:val="20"/>
                <w:highlight w:val="none"/>
              </w:rPr>
              <w:t>≥</w:t>
            </w:r>
            <w:r>
              <w:rPr>
                <w:color w:val="auto"/>
                <w:kern w:val="0"/>
                <w:sz w:val="20"/>
                <w:szCs w:val="20"/>
                <w:highlight w:val="none"/>
              </w:rPr>
              <w:t>0.</w:t>
            </w:r>
            <w:r>
              <w:rPr>
                <w:rFonts w:hint="eastAsia"/>
                <w:color w:val="auto"/>
                <w:kern w:val="0"/>
                <w:sz w:val="20"/>
                <w:szCs w:val="20"/>
                <w:highlight w:val="none"/>
              </w:rPr>
              <w:t>7</w:t>
            </w:r>
            <w:r>
              <w:rPr>
                <w:i/>
                <w:iCs/>
                <w:color w:val="auto"/>
                <w:kern w:val="0"/>
                <w:sz w:val="18"/>
                <w:szCs w:val="11"/>
                <w:highlight w:val="none"/>
              </w:rPr>
              <w:t>w</w:t>
            </w:r>
          </w:p>
        </w:tc>
        <w:tc>
          <w:tcPr>
            <w:tcW w:w="1975" w:type="dxa"/>
            <w:vAlign w:val="center"/>
          </w:tcPr>
          <w:p>
            <w:pPr>
              <w:autoSpaceDE w:val="0"/>
              <w:autoSpaceDN w:val="0"/>
              <w:adjustRightInd w:val="0"/>
              <w:jc w:val="center"/>
              <w:rPr>
                <w:color w:val="auto"/>
                <w:kern w:val="0"/>
                <w:sz w:val="20"/>
                <w:szCs w:val="20"/>
                <w:highlight w:val="none"/>
              </w:rPr>
            </w:pPr>
            <w:r>
              <w:rPr>
                <w:rFonts w:hint="eastAsia" w:ascii="宋体" w:hAnsi="宋体" w:cs="宋体"/>
                <w:color w:val="auto"/>
                <w:kern w:val="0"/>
                <w:sz w:val="20"/>
                <w:szCs w:val="20"/>
                <w:highlight w:val="none"/>
              </w:rPr>
              <w:t>≥</w:t>
            </w:r>
            <w:r>
              <w:rPr>
                <w:color w:val="auto"/>
                <w:kern w:val="0"/>
                <w:sz w:val="20"/>
                <w:szCs w:val="20"/>
                <w:highlight w:val="none"/>
              </w:rPr>
              <w:t>1</w:t>
            </w:r>
            <w:r>
              <w:rPr>
                <w:rFonts w:hint="eastAsia"/>
                <w:color w:val="auto"/>
                <w:kern w:val="0"/>
                <w:sz w:val="20"/>
                <w:szCs w:val="20"/>
                <w:highlight w:val="none"/>
              </w:rPr>
              <w:t>5</w:t>
            </w:r>
            <w:r>
              <w:rPr>
                <w:color w:val="auto"/>
                <w:kern w:val="0"/>
                <w:sz w:val="20"/>
                <w:szCs w:val="20"/>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239" w:type="dxa"/>
            <w:vAlign w:val="center"/>
          </w:tcPr>
          <w:p>
            <w:pPr>
              <w:autoSpaceDE w:val="0"/>
              <w:autoSpaceDN w:val="0"/>
              <w:adjustRightInd w:val="0"/>
              <w:jc w:val="center"/>
              <w:rPr>
                <w:color w:val="auto"/>
                <w:kern w:val="0"/>
                <w:sz w:val="20"/>
                <w:szCs w:val="20"/>
                <w:highlight w:val="none"/>
              </w:rPr>
            </w:pPr>
            <w:r>
              <w:rPr>
                <w:color w:val="auto"/>
                <w:kern w:val="0"/>
                <w:sz w:val="20"/>
                <w:szCs w:val="20"/>
                <w:highlight w:val="none"/>
              </w:rPr>
              <w:t>中</w:t>
            </w:r>
            <w:r>
              <w:rPr>
                <w:rFonts w:hint="eastAsia"/>
                <w:color w:val="auto"/>
                <w:kern w:val="0"/>
                <w:sz w:val="20"/>
                <w:szCs w:val="20"/>
                <w:highlight w:val="none"/>
              </w:rPr>
              <w:t>等风化岩</w:t>
            </w:r>
            <w:r>
              <w:rPr>
                <w:color w:val="auto"/>
                <w:kern w:val="0"/>
                <w:sz w:val="20"/>
                <w:szCs w:val="20"/>
                <w:highlight w:val="none"/>
              </w:rPr>
              <w:t>、微风化岩</w:t>
            </w:r>
          </w:p>
        </w:tc>
        <w:tc>
          <w:tcPr>
            <w:tcW w:w="1975" w:type="dxa"/>
            <w:vAlign w:val="center"/>
          </w:tcPr>
          <w:p>
            <w:pPr>
              <w:autoSpaceDE w:val="0"/>
              <w:autoSpaceDN w:val="0"/>
              <w:adjustRightInd w:val="0"/>
              <w:jc w:val="center"/>
              <w:rPr>
                <w:color w:val="auto"/>
                <w:kern w:val="0"/>
                <w:sz w:val="20"/>
                <w:szCs w:val="20"/>
                <w:highlight w:val="none"/>
              </w:rPr>
            </w:pPr>
            <w:r>
              <w:rPr>
                <w:rFonts w:hint="eastAsia" w:ascii="宋体" w:hAnsi="宋体" w:cs="宋体"/>
                <w:color w:val="auto"/>
                <w:kern w:val="0"/>
                <w:sz w:val="20"/>
                <w:szCs w:val="20"/>
                <w:highlight w:val="none"/>
              </w:rPr>
              <w:t>≥</w:t>
            </w:r>
            <w:r>
              <w:rPr>
                <w:rFonts w:hint="eastAsia"/>
                <w:color w:val="auto"/>
                <w:kern w:val="0"/>
                <w:sz w:val="20"/>
                <w:szCs w:val="20"/>
                <w:highlight w:val="none"/>
                <w:lang w:val="en-US" w:eastAsia="zh-CN"/>
              </w:rPr>
              <w:t>6</w:t>
            </w:r>
            <w:r>
              <w:rPr>
                <w:color w:val="auto"/>
                <w:kern w:val="0"/>
                <w:sz w:val="20"/>
                <w:szCs w:val="20"/>
                <w:highlight w:val="none"/>
              </w:rPr>
              <w:t>m</w:t>
            </w:r>
          </w:p>
        </w:tc>
        <w:tc>
          <w:tcPr>
            <w:tcW w:w="1975" w:type="dxa"/>
            <w:vAlign w:val="center"/>
          </w:tcPr>
          <w:p>
            <w:pPr>
              <w:autoSpaceDE w:val="0"/>
              <w:autoSpaceDN w:val="0"/>
              <w:adjustRightInd w:val="0"/>
              <w:jc w:val="center"/>
              <w:rPr>
                <w:color w:val="auto"/>
                <w:kern w:val="0"/>
                <w:sz w:val="20"/>
                <w:szCs w:val="20"/>
                <w:highlight w:val="none"/>
              </w:rPr>
            </w:pPr>
            <w:r>
              <w:rPr>
                <w:rFonts w:hint="eastAsia" w:ascii="宋体" w:hAnsi="宋体" w:cs="宋体"/>
                <w:color w:val="auto"/>
                <w:kern w:val="0"/>
                <w:sz w:val="20"/>
                <w:szCs w:val="20"/>
                <w:highlight w:val="none"/>
              </w:rPr>
              <w:t>≥</w:t>
            </w:r>
            <w:r>
              <w:rPr>
                <w:color w:val="auto"/>
                <w:kern w:val="0"/>
                <w:sz w:val="20"/>
                <w:szCs w:val="20"/>
                <w:highlight w:val="none"/>
              </w:rPr>
              <w:t>0.</w:t>
            </w:r>
            <w:r>
              <w:rPr>
                <w:rFonts w:hint="eastAsia"/>
                <w:color w:val="auto"/>
                <w:kern w:val="0"/>
                <w:sz w:val="20"/>
                <w:szCs w:val="20"/>
                <w:highlight w:val="none"/>
              </w:rPr>
              <w:t>5</w:t>
            </w:r>
            <w:r>
              <w:rPr>
                <w:i/>
                <w:iCs/>
                <w:color w:val="auto"/>
                <w:kern w:val="0"/>
                <w:sz w:val="18"/>
                <w:szCs w:val="11"/>
                <w:highlight w:val="none"/>
              </w:rPr>
              <w:t>w</w:t>
            </w:r>
          </w:p>
        </w:tc>
        <w:tc>
          <w:tcPr>
            <w:tcW w:w="1975" w:type="dxa"/>
            <w:vAlign w:val="center"/>
          </w:tcPr>
          <w:p>
            <w:pPr>
              <w:autoSpaceDE w:val="0"/>
              <w:autoSpaceDN w:val="0"/>
              <w:adjustRightInd w:val="0"/>
              <w:jc w:val="center"/>
              <w:rPr>
                <w:color w:val="auto"/>
                <w:kern w:val="0"/>
                <w:sz w:val="20"/>
                <w:szCs w:val="20"/>
                <w:highlight w:val="none"/>
              </w:rPr>
            </w:pPr>
            <w:r>
              <w:rPr>
                <w:rFonts w:hint="eastAsia" w:ascii="宋体" w:hAnsi="宋体" w:cs="宋体"/>
                <w:color w:val="auto"/>
                <w:kern w:val="0"/>
                <w:sz w:val="20"/>
                <w:szCs w:val="20"/>
                <w:highlight w:val="none"/>
              </w:rPr>
              <w:t>≥</w:t>
            </w:r>
            <w:r>
              <w:rPr>
                <w:rFonts w:hint="eastAsia"/>
                <w:color w:val="auto"/>
                <w:kern w:val="0"/>
                <w:sz w:val="20"/>
                <w:szCs w:val="20"/>
                <w:highlight w:val="none"/>
              </w:rPr>
              <w:t>8</w:t>
            </w:r>
            <w:r>
              <w:rPr>
                <w:color w:val="auto"/>
                <w:kern w:val="0"/>
                <w:sz w:val="20"/>
                <w:szCs w:val="20"/>
                <w:highlight w:val="none"/>
              </w:rPr>
              <w:t>m</w:t>
            </w:r>
          </w:p>
        </w:tc>
      </w:tr>
    </w:tbl>
    <w:p>
      <w:pPr>
        <w:snapToGrid w:val="0"/>
        <w:spacing w:line="360" w:lineRule="auto"/>
        <w:ind w:left="1050" w:leftChars="200" w:hanging="630" w:hangingChars="350"/>
        <w:jc w:val="left"/>
        <w:rPr>
          <w:color w:val="auto"/>
          <w:kern w:val="0"/>
          <w:sz w:val="18"/>
          <w:szCs w:val="11"/>
          <w:highlight w:val="none"/>
        </w:rPr>
      </w:pPr>
      <w:r>
        <w:rPr>
          <w:color w:val="auto"/>
          <w:kern w:val="0"/>
          <w:sz w:val="18"/>
          <w:szCs w:val="11"/>
          <w:highlight w:val="none"/>
        </w:rPr>
        <w:t>注：</w:t>
      </w:r>
      <w:r>
        <w:rPr>
          <w:i/>
          <w:iCs/>
          <w:color w:val="auto"/>
          <w:kern w:val="0"/>
          <w:sz w:val="18"/>
          <w:szCs w:val="11"/>
          <w:highlight w:val="none"/>
        </w:rPr>
        <w:t>h</w:t>
      </w:r>
      <w:r>
        <w:rPr>
          <w:color w:val="auto"/>
          <w:kern w:val="0"/>
          <w:sz w:val="18"/>
          <w:szCs w:val="11"/>
          <w:highlight w:val="none"/>
        </w:rPr>
        <w:t>为隧道</w:t>
      </w:r>
      <w:r>
        <w:rPr>
          <w:rFonts w:hint="eastAsia"/>
          <w:color w:val="auto"/>
          <w:sz w:val="18"/>
          <w:szCs w:val="18"/>
          <w:highlight w:val="none"/>
        </w:rPr>
        <w:t>开挖</w:t>
      </w:r>
      <w:r>
        <w:rPr>
          <w:color w:val="auto"/>
          <w:kern w:val="0"/>
          <w:sz w:val="18"/>
          <w:szCs w:val="11"/>
          <w:highlight w:val="none"/>
        </w:rPr>
        <w:t>深度；</w:t>
      </w:r>
      <w:r>
        <w:rPr>
          <w:i/>
          <w:iCs/>
          <w:color w:val="auto"/>
          <w:kern w:val="0"/>
          <w:sz w:val="18"/>
          <w:szCs w:val="11"/>
          <w:highlight w:val="none"/>
        </w:rPr>
        <w:t>w</w:t>
      </w:r>
      <w:r>
        <w:rPr>
          <w:color w:val="auto"/>
          <w:kern w:val="0"/>
          <w:sz w:val="18"/>
          <w:szCs w:val="11"/>
          <w:highlight w:val="none"/>
        </w:rPr>
        <w:t>为隧道底板宽度。</w:t>
      </w:r>
    </w:p>
    <w:p>
      <w:pPr>
        <w:autoSpaceDE w:val="0"/>
        <w:autoSpaceDN w:val="0"/>
        <w:adjustRightInd w:val="0"/>
        <w:spacing w:before="156" w:beforeLines="50" w:line="360" w:lineRule="auto"/>
        <w:ind w:firstLine="422" w:firstLineChars="200"/>
        <w:jc w:val="left"/>
        <w:rPr>
          <w:color w:val="auto"/>
          <w:kern w:val="0"/>
          <w:highlight w:val="none"/>
        </w:rPr>
      </w:pPr>
      <w:r>
        <w:rPr>
          <w:b/>
          <w:bCs/>
          <w:color w:val="auto"/>
          <w:kern w:val="0"/>
          <w:highlight w:val="none"/>
        </w:rPr>
        <w:t>2</w:t>
      </w:r>
      <w:r>
        <w:rPr>
          <w:rFonts w:hint="eastAsia"/>
          <w:color w:val="auto"/>
          <w:kern w:val="0"/>
          <w:highlight w:val="none"/>
        </w:rPr>
        <w:t>　深厚软土区明挖法、沉管法采用桩筏基础时，应参照本规范6.3.3的桩基础控制勘探孔深度；</w:t>
      </w:r>
    </w:p>
    <w:p>
      <w:pPr>
        <w:spacing w:line="360" w:lineRule="auto"/>
        <w:ind w:firstLine="422" w:firstLineChars="200"/>
        <w:rPr>
          <w:color w:val="auto"/>
          <w:kern w:val="0"/>
          <w:highlight w:val="none"/>
        </w:rPr>
      </w:pPr>
      <w:r>
        <w:rPr>
          <w:rFonts w:hint="eastAsia"/>
          <w:b/>
          <w:bCs/>
          <w:color w:val="auto"/>
          <w:kern w:val="0"/>
          <w:highlight w:val="none"/>
        </w:rPr>
        <w:t>3</w:t>
      </w:r>
      <w:r>
        <w:rPr>
          <w:rFonts w:hint="eastAsia"/>
          <w:color w:val="auto"/>
          <w:kern w:val="0"/>
          <w:highlight w:val="none"/>
        </w:rPr>
        <w:t>　</w:t>
      </w:r>
      <w:r>
        <w:rPr>
          <w:color w:val="auto"/>
          <w:kern w:val="0"/>
          <w:highlight w:val="none"/>
        </w:rPr>
        <w:t>遇岩溶、土洞</w:t>
      </w:r>
      <w:r>
        <w:rPr>
          <w:rFonts w:hint="eastAsia"/>
          <w:color w:val="auto"/>
          <w:highlight w:val="none"/>
        </w:rPr>
        <w:t>、</w:t>
      </w:r>
      <w:r>
        <w:rPr>
          <w:color w:val="auto"/>
          <w:highlight w:val="none"/>
        </w:rPr>
        <w:t>采空区、</w:t>
      </w:r>
      <w:r>
        <w:rPr>
          <w:color w:val="auto"/>
          <w:kern w:val="0"/>
          <w:highlight w:val="none"/>
        </w:rPr>
        <w:t>软土层等，应穿透并根据需要</w:t>
      </w:r>
      <w:r>
        <w:rPr>
          <w:rFonts w:hint="eastAsia"/>
          <w:color w:val="auto"/>
          <w:kern w:val="0"/>
          <w:highlight w:val="none"/>
        </w:rPr>
        <w:t>适当</w:t>
      </w:r>
      <w:r>
        <w:rPr>
          <w:color w:val="auto"/>
          <w:kern w:val="0"/>
          <w:highlight w:val="none"/>
        </w:rPr>
        <w:t>加深。</w:t>
      </w:r>
    </w:p>
    <w:p>
      <w:pPr>
        <w:spacing w:line="360" w:lineRule="auto"/>
        <w:rPr>
          <w:color w:val="auto"/>
          <w:highlight w:val="none"/>
        </w:rPr>
      </w:pPr>
      <w:r>
        <w:rPr>
          <w:b/>
          <w:bCs/>
          <w:color w:val="auto"/>
          <w:highlight w:val="none"/>
        </w:rPr>
        <w:t>7.3.</w:t>
      </w:r>
      <w:r>
        <w:rPr>
          <w:rFonts w:hint="eastAsia"/>
          <w:b/>
          <w:bCs/>
          <w:color w:val="auto"/>
          <w:highlight w:val="none"/>
        </w:rPr>
        <w:t>6</w:t>
      </w:r>
      <w:r>
        <w:rPr>
          <w:rFonts w:hint="eastAsia"/>
          <w:color w:val="auto"/>
          <w:highlight w:val="none"/>
        </w:rPr>
        <w:t>　初步勘察应评价</w:t>
      </w:r>
      <w:r>
        <w:rPr>
          <w:color w:val="auto"/>
          <w:kern w:val="0"/>
          <w:highlight w:val="none"/>
        </w:rPr>
        <w:t>场地的稳定性和</w:t>
      </w:r>
      <w:r>
        <w:rPr>
          <w:rFonts w:hint="eastAsia"/>
          <w:color w:val="auto"/>
          <w:kern w:val="0"/>
          <w:highlight w:val="none"/>
        </w:rPr>
        <w:t>工程建设的</w:t>
      </w:r>
      <w:r>
        <w:rPr>
          <w:color w:val="auto"/>
          <w:kern w:val="0"/>
          <w:highlight w:val="none"/>
        </w:rPr>
        <w:t>适宜性</w:t>
      </w:r>
      <w:r>
        <w:rPr>
          <w:rFonts w:hint="eastAsia"/>
          <w:color w:val="auto"/>
          <w:highlight w:val="none"/>
        </w:rPr>
        <w:t>，并初步</w:t>
      </w:r>
      <w:r>
        <w:rPr>
          <w:color w:val="auto"/>
          <w:highlight w:val="none"/>
        </w:rPr>
        <w:t>分析评价下列内容：</w:t>
      </w:r>
    </w:p>
    <w:p>
      <w:pPr>
        <w:autoSpaceDE w:val="0"/>
        <w:autoSpaceDN w:val="0"/>
        <w:adjustRightInd w:val="0"/>
        <w:spacing w:line="360" w:lineRule="auto"/>
        <w:ind w:firstLine="422" w:firstLineChars="200"/>
        <w:jc w:val="left"/>
        <w:rPr>
          <w:color w:val="auto"/>
          <w:highlight w:val="none"/>
        </w:rPr>
      </w:pPr>
      <w:r>
        <w:rPr>
          <w:b/>
          <w:bCs/>
          <w:color w:val="auto"/>
          <w:highlight w:val="none"/>
        </w:rPr>
        <w:t>1</w:t>
      </w:r>
      <w:r>
        <w:rPr>
          <w:rFonts w:hint="eastAsia"/>
          <w:color w:val="auto"/>
          <w:highlight w:val="none"/>
        </w:rPr>
        <w:t>　</w:t>
      </w:r>
      <w:r>
        <w:rPr>
          <w:rFonts w:hint="eastAsia"/>
          <w:color w:val="auto"/>
          <w:szCs w:val="21"/>
          <w:highlight w:val="none"/>
        </w:rPr>
        <w:t>评价</w:t>
      </w:r>
      <w:r>
        <w:rPr>
          <w:color w:val="auto"/>
          <w:highlight w:val="none"/>
        </w:rPr>
        <w:t>地基</w:t>
      </w:r>
      <w:r>
        <w:rPr>
          <w:rFonts w:hint="eastAsia"/>
          <w:color w:val="auto"/>
          <w:highlight w:val="none"/>
        </w:rPr>
        <w:t>的稳定性</w:t>
      </w:r>
      <w:r>
        <w:rPr>
          <w:color w:val="auto"/>
          <w:highlight w:val="none"/>
        </w:rPr>
        <w:t>和均匀性；</w:t>
      </w:r>
    </w:p>
    <w:p>
      <w:pPr>
        <w:autoSpaceDE w:val="0"/>
        <w:autoSpaceDN w:val="0"/>
        <w:adjustRightInd w:val="0"/>
        <w:spacing w:line="360" w:lineRule="auto"/>
        <w:ind w:firstLine="422" w:firstLineChars="200"/>
        <w:jc w:val="left"/>
        <w:rPr>
          <w:color w:val="auto"/>
          <w:highlight w:val="none"/>
        </w:rPr>
      </w:pPr>
      <w:r>
        <w:rPr>
          <w:b/>
          <w:bCs/>
          <w:color w:val="auto"/>
          <w:highlight w:val="none"/>
        </w:rPr>
        <w:t>2</w:t>
      </w:r>
      <w:r>
        <w:rPr>
          <w:rFonts w:hint="eastAsia"/>
          <w:color w:val="auto"/>
          <w:highlight w:val="none"/>
        </w:rPr>
        <w:t>　</w:t>
      </w:r>
      <w:r>
        <w:rPr>
          <w:rFonts w:hint="eastAsia"/>
          <w:color w:val="auto"/>
          <w:szCs w:val="21"/>
          <w:highlight w:val="none"/>
        </w:rPr>
        <w:t>评价</w:t>
      </w:r>
      <w:r>
        <w:rPr>
          <w:rFonts w:hint="eastAsia"/>
          <w:color w:val="auto"/>
          <w:highlight w:val="none"/>
        </w:rPr>
        <w:t>断层、褶皱对工程可能产生的影响，并提出防治措施建议；</w:t>
      </w:r>
    </w:p>
    <w:p>
      <w:pPr>
        <w:autoSpaceDE w:val="0"/>
        <w:autoSpaceDN w:val="0"/>
        <w:adjustRightInd w:val="0"/>
        <w:spacing w:line="360" w:lineRule="auto"/>
        <w:ind w:firstLine="422" w:firstLineChars="200"/>
        <w:jc w:val="left"/>
        <w:rPr>
          <w:color w:val="auto"/>
          <w:kern w:val="0"/>
          <w:highlight w:val="none"/>
        </w:rPr>
      </w:pPr>
      <w:r>
        <w:rPr>
          <w:rFonts w:hint="eastAsia"/>
          <w:b/>
          <w:bCs/>
          <w:color w:val="auto"/>
          <w:highlight w:val="none"/>
        </w:rPr>
        <w:t>3</w:t>
      </w:r>
      <w:r>
        <w:rPr>
          <w:rFonts w:hint="eastAsia"/>
          <w:color w:val="auto"/>
          <w:highlight w:val="none"/>
        </w:rPr>
        <w:t>　</w:t>
      </w:r>
      <w:r>
        <w:rPr>
          <w:color w:val="auto"/>
          <w:kern w:val="0"/>
          <w:highlight w:val="none"/>
        </w:rPr>
        <w:t>分析</w:t>
      </w:r>
      <w:r>
        <w:rPr>
          <w:color w:val="auto"/>
          <w:highlight w:val="none"/>
        </w:rPr>
        <w:t>明挖法隧道、各类作业井</w:t>
      </w:r>
      <w:r>
        <w:rPr>
          <w:color w:val="auto"/>
          <w:kern w:val="0"/>
          <w:highlight w:val="none"/>
        </w:rPr>
        <w:t>基坑支护</w:t>
      </w:r>
      <w:r>
        <w:rPr>
          <w:rFonts w:hint="eastAsia"/>
          <w:color w:val="auto"/>
          <w:kern w:val="0"/>
          <w:highlight w:val="none"/>
        </w:rPr>
        <w:t>、地下水控制</w:t>
      </w:r>
      <w:r>
        <w:rPr>
          <w:color w:val="auto"/>
          <w:kern w:val="0"/>
          <w:highlight w:val="none"/>
        </w:rPr>
        <w:t>可能遇到的岩土工程问题，</w:t>
      </w:r>
      <w:r>
        <w:rPr>
          <w:color w:val="auto"/>
          <w:highlight w:val="none"/>
        </w:rPr>
        <w:t>评价</w:t>
      </w:r>
      <w:r>
        <w:rPr>
          <w:rFonts w:hint="eastAsia"/>
          <w:color w:val="auto"/>
          <w:kern w:val="0"/>
          <w:highlight w:val="none"/>
        </w:rPr>
        <w:t>基坑的</w:t>
      </w:r>
      <w:r>
        <w:rPr>
          <w:color w:val="auto"/>
          <w:kern w:val="0"/>
          <w:highlight w:val="none"/>
        </w:rPr>
        <w:t>稳定性</w:t>
      </w:r>
      <w:r>
        <w:rPr>
          <w:rFonts w:hint="eastAsia"/>
          <w:color w:val="auto"/>
          <w:kern w:val="0"/>
          <w:highlight w:val="none"/>
        </w:rPr>
        <w:t>、岩土的可挖性，初步预测基坑涌水量；</w:t>
      </w:r>
    </w:p>
    <w:p>
      <w:pPr>
        <w:autoSpaceDE w:val="0"/>
        <w:autoSpaceDN w:val="0"/>
        <w:adjustRightInd w:val="0"/>
        <w:spacing w:line="360" w:lineRule="auto"/>
        <w:ind w:firstLine="422" w:firstLineChars="200"/>
        <w:jc w:val="left"/>
        <w:rPr>
          <w:color w:val="auto"/>
          <w:highlight w:val="none"/>
        </w:rPr>
      </w:pPr>
      <w:r>
        <w:rPr>
          <w:rFonts w:hint="eastAsia"/>
          <w:b/>
          <w:bCs/>
          <w:color w:val="auto"/>
          <w:highlight w:val="none"/>
        </w:rPr>
        <w:t>4</w:t>
      </w:r>
      <w:r>
        <w:rPr>
          <w:rFonts w:hint="eastAsia"/>
          <w:color w:val="auto"/>
          <w:highlight w:val="none"/>
        </w:rPr>
        <w:t>　</w:t>
      </w:r>
      <w:r>
        <w:rPr>
          <w:color w:val="auto"/>
          <w:highlight w:val="none"/>
        </w:rPr>
        <w:t>对于暗挖法隧道，</w:t>
      </w:r>
      <w:r>
        <w:rPr>
          <w:rFonts w:hint="eastAsia"/>
          <w:color w:val="auto"/>
          <w:highlight w:val="none"/>
        </w:rPr>
        <w:t>按附录F</w:t>
      </w:r>
      <w:r>
        <w:rPr>
          <w:color w:val="auto"/>
          <w:highlight w:val="none"/>
        </w:rPr>
        <w:t>初步进行</w:t>
      </w:r>
      <w:r>
        <w:rPr>
          <w:rFonts w:hint="eastAsia"/>
          <w:color w:val="auto"/>
          <w:highlight w:val="none"/>
        </w:rPr>
        <w:t>隧道</w:t>
      </w:r>
      <w:r>
        <w:rPr>
          <w:color w:val="auto"/>
          <w:highlight w:val="none"/>
        </w:rPr>
        <w:t>围岩分级，分析隧道开挖、围岩支护、地下水控制可能遇到的岩土工程问题</w:t>
      </w:r>
      <w:r>
        <w:rPr>
          <w:rFonts w:hint="eastAsia"/>
          <w:color w:val="auto"/>
          <w:highlight w:val="none"/>
        </w:rPr>
        <w:t>，评价洞室围岩的稳定性；</w:t>
      </w:r>
      <w:r>
        <w:rPr>
          <w:rFonts w:hint="eastAsia"/>
          <w:color w:val="auto"/>
          <w:kern w:val="0"/>
          <w:highlight w:val="none"/>
        </w:rPr>
        <w:t>当可能产生偏压、膨胀压力、岩爆和其他特殊情况时，提出开展专门研究的建议；</w:t>
      </w:r>
    </w:p>
    <w:p>
      <w:pPr>
        <w:autoSpaceDE w:val="0"/>
        <w:autoSpaceDN w:val="0"/>
        <w:adjustRightInd w:val="0"/>
        <w:spacing w:line="360" w:lineRule="auto"/>
        <w:ind w:firstLine="422" w:firstLineChars="200"/>
        <w:jc w:val="left"/>
        <w:rPr>
          <w:color w:val="auto"/>
          <w:kern w:val="0"/>
          <w:highlight w:val="none"/>
        </w:rPr>
      </w:pPr>
      <w:r>
        <w:rPr>
          <w:rFonts w:hint="eastAsia"/>
          <w:b/>
          <w:bCs/>
          <w:color w:val="auto"/>
          <w:highlight w:val="none"/>
        </w:rPr>
        <w:t>5</w:t>
      </w:r>
      <w:r>
        <w:rPr>
          <w:rFonts w:hint="eastAsia"/>
          <w:color w:val="auto"/>
          <w:highlight w:val="none"/>
        </w:rPr>
        <w:t>　对环境风险等级较高的工程，分析工程可能引发的环境安全问题，提出防治措施的初步建议</w:t>
      </w:r>
      <w:r>
        <w:rPr>
          <w:color w:val="auto"/>
          <w:kern w:val="0"/>
          <w:highlight w:val="none"/>
        </w:rPr>
        <w:t>。</w:t>
      </w:r>
    </w:p>
    <w:p>
      <w:pPr>
        <w:pStyle w:val="3"/>
        <w:rPr>
          <w:rFonts w:ascii="Times New Roman" w:hAnsi="Times New Roman" w:eastAsia="宋体"/>
          <w:color w:val="auto"/>
          <w:highlight w:val="none"/>
        </w:rPr>
      </w:pPr>
      <w:bookmarkStart w:id="114" w:name="_Toc2703"/>
      <w:bookmarkStart w:id="115" w:name="_Toc10809"/>
      <w:bookmarkStart w:id="116" w:name="_Toc4040"/>
      <w:bookmarkStart w:id="117" w:name="_7.4　详细勘察"/>
      <w:r>
        <w:rPr>
          <w:rFonts w:ascii="Times New Roman" w:hAnsi="Times New Roman" w:eastAsia="宋体"/>
          <w:color w:val="auto"/>
          <w:highlight w:val="none"/>
        </w:rPr>
        <w:t>7.4</w:t>
      </w:r>
      <w:r>
        <w:rPr>
          <w:rFonts w:hint="eastAsia" w:ascii="Times New Roman" w:hAnsi="Times New Roman" w:eastAsia="宋体"/>
          <w:color w:val="auto"/>
          <w:highlight w:val="none"/>
        </w:rPr>
        <w:t>　</w:t>
      </w:r>
      <w:r>
        <w:rPr>
          <w:rFonts w:ascii="Times New Roman" w:hAnsi="Times New Roman" w:eastAsia="宋体"/>
          <w:color w:val="auto"/>
          <w:highlight w:val="none"/>
        </w:rPr>
        <w:t>详细勘察</w:t>
      </w:r>
      <w:bookmarkEnd w:id="114"/>
      <w:bookmarkEnd w:id="115"/>
      <w:bookmarkEnd w:id="116"/>
    </w:p>
    <w:bookmarkEnd w:id="117"/>
    <w:p>
      <w:pPr>
        <w:autoSpaceDE w:val="0"/>
        <w:autoSpaceDN w:val="0"/>
        <w:adjustRightInd w:val="0"/>
        <w:spacing w:line="360" w:lineRule="auto"/>
        <w:jc w:val="left"/>
        <w:rPr>
          <w:color w:val="auto"/>
          <w:kern w:val="0"/>
          <w:szCs w:val="21"/>
          <w:highlight w:val="none"/>
        </w:rPr>
      </w:pPr>
      <w:r>
        <w:rPr>
          <w:b/>
          <w:bCs/>
          <w:color w:val="auto"/>
          <w:highlight w:val="none"/>
        </w:rPr>
        <w:t>7.4.1</w:t>
      </w:r>
      <w:r>
        <w:rPr>
          <w:rFonts w:hint="eastAsia"/>
          <w:color w:val="auto"/>
          <w:highlight w:val="none"/>
        </w:rPr>
        <w:t>　</w:t>
      </w:r>
      <w:r>
        <w:rPr>
          <w:color w:val="auto"/>
          <w:kern w:val="0"/>
          <w:highlight w:val="none"/>
        </w:rPr>
        <w:t>详细勘察</w:t>
      </w:r>
      <w:r>
        <w:rPr>
          <w:color w:val="auto"/>
          <w:highlight w:val="none"/>
        </w:rPr>
        <w:t>应重点查明下列内容：</w:t>
      </w:r>
    </w:p>
    <w:p>
      <w:pPr>
        <w:spacing w:line="360" w:lineRule="auto"/>
        <w:ind w:firstLine="422" w:firstLineChars="200"/>
        <w:rPr>
          <w:color w:val="auto"/>
          <w:kern w:val="0"/>
          <w:highlight w:val="none"/>
        </w:rPr>
      </w:pPr>
      <w:r>
        <w:rPr>
          <w:rFonts w:hint="eastAsia"/>
          <w:b/>
          <w:bCs/>
          <w:color w:val="auto"/>
          <w:kern w:val="0"/>
          <w:highlight w:val="none"/>
        </w:rPr>
        <w:t>1</w:t>
      </w:r>
      <w:r>
        <w:rPr>
          <w:rFonts w:hint="eastAsia"/>
          <w:color w:val="auto"/>
          <w:kern w:val="0"/>
          <w:highlight w:val="none"/>
        </w:rPr>
        <w:t>　</w:t>
      </w:r>
      <w:r>
        <w:rPr>
          <w:color w:val="auto"/>
          <w:highlight w:val="none"/>
        </w:rPr>
        <w:t>岩溶、</w:t>
      </w:r>
      <w:r>
        <w:rPr>
          <w:rFonts w:hint="eastAsia"/>
          <w:color w:val="auto"/>
          <w:highlight w:val="none"/>
        </w:rPr>
        <w:t>土洞</w:t>
      </w:r>
      <w:r>
        <w:rPr>
          <w:color w:val="auto"/>
          <w:highlight w:val="none"/>
        </w:rPr>
        <w:t>、采空区等的</w:t>
      </w:r>
      <w:r>
        <w:rPr>
          <w:rFonts w:hint="eastAsia"/>
          <w:color w:val="auto"/>
          <w:highlight w:val="none"/>
        </w:rPr>
        <w:t>发育强度和空间</w:t>
      </w:r>
      <w:r>
        <w:rPr>
          <w:color w:val="auto"/>
          <w:highlight w:val="none"/>
        </w:rPr>
        <w:t>分布</w:t>
      </w:r>
      <w:r>
        <w:rPr>
          <w:rFonts w:hint="eastAsia"/>
          <w:color w:val="auto"/>
          <w:highlight w:val="none"/>
        </w:rPr>
        <w:t>；</w:t>
      </w:r>
    </w:p>
    <w:p>
      <w:pPr>
        <w:spacing w:line="360" w:lineRule="auto"/>
        <w:ind w:firstLine="422" w:firstLineChars="200"/>
        <w:rPr>
          <w:color w:val="auto"/>
          <w:kern w:val="0"/>
          <w:highlight w:val="none"/>
        </w:rPr>
      </w:pPr>
      <w:r>
        <w:rPr>
          <w:rFonts w:hint="eastAsia"/>
          <w:b/>
          <w:bCs/>
          <w:color w:val="auto"/>
          <w:kern w:val="0"/>
          <w:highlight w:val="none"/>
        </w:rPr>
        <w:t>2</w:t>
      </w:r>
      <w:r>
        <w:rPr>
          <w:rFonts w:hint="eastAsia"/>
          <w:color w:val="auto"/>
          <w:kern w:val="0"/>
          <w:highlight w:val="none"/>
        </w:rPr>
        <w:t>　明挖法或暗挖法隧道，查明</w:t>
      </w:r>
      <w:r>
        <w:rPr>
          <w:rFonts w:hint="eastAsia"/>
          <w:color w:val="auto"/>
          <w:highlight w:val="none"/>
        </w:rPr>
        <w:t>构造破碎带、</w:t>
      </w:r>
      <w:r>
        <w:rPr>
          <w:color w:val="auto"/>
          <w:highlight w:val="none"/>
        </w:rPr>
        <w:t>煤层、矿体、膨胀岩土等的分布</w:t>
      </w:r>
      <w:r>
        <w:rPr>
          <w:rFonts w:hint="eastAsia"/>
          <w:color w:val="auto"/>
          <w:highlight w:val="none"/>
        </w:rPr>
        <w:t>，</w:t>
      </w:r>
      <w:r>
        <w:rPr>
          <w:color w:val="auto"/>
          <w:highlight w:val="none"/>
        </w:rPr>
        <w:t>地表水和地下水连通性</w:t>
      </w:r>
      <w:r>
        <w:rPr>
          <w:rFonts w:hint="eastAsia"/>
          <w:color w:val="auto"/>
          <w:kern w:val="0"/>
          <w:highlight w:val="none"/>
        </w:rPr>
        <w:t>，</w:t>
      </w:r>
      <w:r>
        <w:rPr>
          <w:rFonts w:hint="eastAsia"/>
          <w:color w:val="auto"/>
          <w:highlight w:val="none"/>
        </w:rPr>
        <w:t>场地</w:t>
      </w:r>
      <w:r>
        <w:rPr>
          <w:color w:val="auto"/>
          <w:highlight w:val="none"/>
        </w:rPr>
        <w:t>地下水位</w:t>
      </w:r>
      <w:r>
        <w:rPr>
          <w:rFonts w:hint="eastAsia"/>
          <w:color w:val="auto"/>
          <w:highlight w:val="none"/>
        </w:rPr>
        <w:t>及其</w:t>
      </w:r>
      <w:r>
        <w:rPr>
          <w:color w:val="auto"/>
          <w:highlight w:val="none"/>
        </w:rPr>
        <w:t>变化幅度，储水体的</w:t>
      </w:r>
      <w:r>
        <w:rPr>
          <w:rFonts w:hint="eastAsia"/>
          <w:color w:val="auto"/>
          <w:highlight w:val="none"/>
        </w:rPr>
        <w:t>空间</w:t>
      </w:r>
      <w:r>
        <w:rPr>
          <w:color w:val="auto"/>
          <w:highlight w:val="none"/>
        </w:rPr>
        <w:t>分布</w:t>
      </w:r>
      <w:r>
        <w:rPr>
          <w:rFonts w:hint="eastAsia"/>
          <w:color w:val="auto"/>
          <w:highlight w:val="none"/>
        </w:rPr>
        <w:t>，</w:t>
      </w:r>
      <w:r>
        <w:rPr>
          <w:color w:val="auto"/>
          <w:kern w:val="0"/>
          <w:highlight w:val="none"/>
        </w:rPr>
        <w:t>隧道影响深度范围内承压水、有害气体</w:t>
      </w:r>
      <w:r>
        <w:rPr>
          <w:rFonts w:hint="eastAsia"/>
          <w:color w:val="auto"/>
          <w:kern w:val="0"/>
          <w:highlight w:val="none"/>
        </w:rPr>
        <w:t>的</w:t>
      </w:r>
      <w:r>
        <w:rPr>
          <w:color w:val="auto"/>
          <w:kern w:val="0"/>
          <w:highlight w:val="none"/>
        </w:rPr>
        <w:t>分布情况</w:t>
      </w:r>
      <w:r>
        <w:rPr>
          <w:rFonts w:hint="eastAsia"/>
          <w:color w:val="auto"/>
          <w:kern w:val="0"/>
          <w:highlight w:val="none"/>
        </w:rPr>
        <w:t>等</w:t>
      </w:r>
      <w:r>
        <w:rPr>
          <w:color w:val="auto"/>
          <w:kern w:val="0"/>
          <w:highlight w:val="none"/>
        </w:rPr>
        <w:t>；</w:t>
      </w:r>
    </w:p>
    <w:p>
      <w:pPr>
        <w:spacing w:line="360" w:lineRule="auto"/>
        <w:ind w:firstLine="422" w:firstLineChars="200"/>
        <w:rPr>
          <w:color w:val="auto"/>
          <w:kern w:val="0"/>
          <w:highlight w:val="none"/>
        </w:rPr>
      </w:pPr>
      <w:r>
        <w:rPr>
          <w:rFonts w:hint="eastAsia"/>
          <w:b/>
          <w:bCs/>
          <w:color w:val="auto"/>
          <w:kern w:val="0"/>
          <w:highlight w:val="none"/>
        </w:rPr>
        <w:t>3</w:t>
      </w:r>
      <w:r>
        <w:rPr>
          <w:rFonts w:hint="eastAsia"/>
          <w:color w:val="auto"/>
          <w:kern w:val="0"/>
          <w:highlight w:val="none"/>
        </w:rPr>
        <w:t>　明挖法隧道，查明填土、暗浜、软弱土层、饱和砂层的分布及工程特性，基岩浅埋区的覆盖层厚度、岩面起伏情况、岩体结构面产状及其力学性质；</w:t>
      </w:r>
    </w:p>
    <w:p>
      <w:pPr>
        <w:spacing w:line="360" w:lineRule="auto"/>
        <w:ind w:firstLine="422" w:firstLineChars="200"/>
        <w:rPr>
          <w:color w:val="auto"/>
          <w:kern w:val="0"/>
          <w:highlight w:val="none"/>
        </w:rPr>
      </w:pPr>
      <w:r>
        <w:rPr>
          <w:rFonts w:hint="eastAsia"/>
          <w:b/>
          <w:bCs/>
          <w:color w:val="auto"/>
          <w:kern w:val="0"/>
          <w:highlight w:val="none"/>
        </w:rPr>
        <w:t>4</w:t>
      </w:r>
      <w:r>
        <w:rPr>
          <w:rFonts w:hint="eastAsia"/>
          <w:color w:val="auto"/>
          <w:kern w:val="0"/>
          <w:highlight w:val="none"/>
        </w:rPr>
        <w:t>　暗挖法隧道，查明所通过土层的成分、性状、密实度、渗透性，岩体的风化程度、强度和完整性；盾构法、顶管法隧道，还应查明高灵敏度软土、高塑性黏性土、松散砂层、含承压水砂层、软硬不均地层、含块粒或卵粒地层等的分布和特征；</w:t>
      </w:r>
    </w:p>
    <w:p>
      <w:pPr>
        <w:autoSpaceDE w:val="0"/>
        <w:autoSpaceDN w:val="0"/>
        <w:adjustRightInd w:val="0"/>
        <w:spacing w:line="360" w:lineRule="auto"/>
        <w:ind w:firstLine="422" w:firstLineChars="200"/>
        <w:jc w:val="left"/>
        <w:rPr>
          <w:color w:val="auto"/>
          <w:highlight w:val="none"/>
        </w:rPr>
      </w:pPr>
      <w:r>
        <w:rPr>
          <w:rFonts w:hint="eastAsia"/>
          <w:b/>
          <w:bCs/>
          <w:color w:val="auto"/>
          <w:kern w:val="0"/>
          <w:highlight w:val="none"/>
        </w:rPr>
        <w:t>5</w:t>
      </w:r>
      <w:r>
        <w:rPr>
          <w:rFonts w:hint="eastAsia"/>
          <w:color w:val="auto"/>
          <w:kern w:val="0"/>
          <w:highlight w:val="none"/>
        </w:rPr>
        <w:t>　</w:t>
      </w:r>
      <w:r>
        <w:rPr>
          <w:rFonts w:hint="eastAsia"/>
          <w:color w:val="auto"/>
          <w:highlight w:val="none"/>
        </w:rPr>
        <w:t>沉管法</w:t>
      </w:r>
      <w:r>
        <w:rPr>
          <w:color w:val="auto"/>
          <w:highlight w:val="none"/>
        </w:rPr>
        <w:t>隧道</w:t>
      </w:r>
      <w:r>
        <w:rPr>
          <w:rFonts w:hint="eastAsia"/>
          <w:color w:val="auto"/>
          <w:highlight w:val="none"/>
        </w:rPr>
        <w:t>，查明基槽范围</w:t>
      </w:r>
      <w:r>
        <w:rPr>
          <w:rFonts w:hint="eastAsia"/>
          <w:color w:val="auto"/>
          <w:kern w:val="0"/>
          <w:highlight w:val="none"/>
        </w:rPr>
        <w:t>岩面</w:t>
      </w:r>
      <w:r>
        <w:rPr>
          <w:color w:val="auto"/>
          <w:kern w:val="0"/>
          <w:highlight w:val="none"/>
        </w:rPr>
        <w:t>的起伏形态</w:t>
      </w:r>
      <w:r>
        <w:rPr>
          <w:rFonts w:hint="eastAsia"/>
          <w:color w:val="auto"/>
          <w:kern w:val="0"/>
          <w:highlight w:val="none"/>
        </w:rPr>
        <w:t>；水下地形测量推断浮运航道、临时航道等范围可能存在的水下礁石的分布和规模</w:t>
      </w:r>
      <w:r>
        <w:rPr>
          <w:rFonts w:hint="eastAsia"/>
          <w:color w:val="auto"/>
          <w:highlight w:val="none"/>
        </w:rPr>
        <w:t>；</w:t>
      </w:r>
    </w:p>
    <w:p>
      <w:pPr>
        <w:autoSpaceDE w:val="0"/>
        <w:autoSpaceDN w:val="0"/>
        <w:adjustRightInd w:val="0"/>
        <w:spacing w:line="360" w:lineRule="auto"/>
        <w:ind w:firstLine="422" w:firstLineChars="200"/>
        <w:jc w:val="left"/>
        <w:rPr>
          <w:color w:val="auto"/>
          <w:highlight w:val="none"/>
        </w:rPr>
      </w:pPr>
      <w:r>
        <w:rPr>
          <w:rFonts w:hint="eastAsia"/>
          <w:b/>
          <w:bCs/>
          <w:color w:val="auto"/>
          <w:highlight w:val="none"/>
        </w:rPr>
        <w:t>6</w:t>
      </w:r>
      <w:r>
        <w:rPr>
          <w:rFonts w:hint="eastAsia"/>
          <w:color w:val="auto"/>
          <w:highlight w:val="none"/>
        </w:rPr>
        <w:t>　深层排水隧道尚应查明沿线地下水水温和水化学成分，特别要查明涌水量丰富的含水层、汇水构造、强透水带，以及与地表水体连通的断层、破碎带、节理裂隙密集带和岩溶通道。</w:t>
      </w:r>
    </w:p>
    <w:p>
      <w:pPr>
        <w:spacing w:line="360" w:lineRule="auto"/>
        <w:rPr>
          <w:color w:val="auto"/>
          <w:highlight w:val="none"/>
        </w:rPr>
      </w:pPr>
      <w:r>
        <w:rPr>
          <w:b/>
          <w:bCs/>
          <w:color w:val="auto"/>
          <w:highlight w:val="none"/>
        </w:rPr>
        <w:t>7.4.2</w:t>
      </w:r>
      <w:r>
        <w:rPr>
          <w:rFonts w:hint="eastAsia"/>
          <w:color w:val="auto"/>
          <w:highlight w:val="none"/>
        </w:rPr>
        <w:t>　</w:t>
      </w:r>
      <w:r>
        <w:rPr>
          <w:color w:val="auto"/>
          <w:highlight w:val="none"/>
        </w:rPr>
        <w:t>详细勘察勘探点布置应</w:t>
      </w:r>
      <w:r>
        <w:rPr>
          <w:rFonts w:hint="eastAsia"/>
          <w:color w:val="auto"/>
          <w:highlight w:val="none"/>
        </w:rPr>
        <w:t>符合下列规定</w:t>
      </w:r>
      <w:r>
        <w:rPr>
          <w:color w:val="auto"/>
          <w:highlight w:val="none"/>
        </w:rPr>
        <w:t>：</w:t>
      </w:r>
    </w:p>
    <w:p>
      <w:pPr>
        <w:spacing w:line="360" w:lineRule="auto"/>
        <w:ind w:firstLine="422" w:firstLineChars="200"/>
        <w:rPr>
          <w:color w:val="auto"/>
          <w:highlight w:val="none"/>
        </w:rPr>
      </w:pPr>
      <w:r>
        <w:rPr>
          <w:b/>
          <w:bCs/>
          <w:color w:val="auto"/>
          <w:kern w:val="0"/>
          <w:highlight w:val="none"/>
        </w:rPr>
        <w:t>1</w:t>
      </w:r>
      <w:r>
        <w:rPr>
          <w:rFonts w:hint="eastAsia"/>
          <w:color w:val="auto"/>
          <w:highlight w:val="none"/>
        </w:rPr>
        <w:t>　</w:t>
      </w:r>
      <w:r>
        <w:rPr>
          <w:color w:val="auto"/>
          <w:kern w:val="0"/>
          <w:highlight w:val="none"/>
        </w:rPr>
        <w:t>采用不同施工工法的隧道段，</w:t>
      </w:r>
      <w:r>
        <w:rPr>
          <w:color w:val="auto"/>
          <w:highlight w:val="none"/>
        </w:rPr>
        <w:t>勘探点沿</w:t>
      </w:r>
      <w:r>
        <w:rPr>
          <w:rFonts w:hint="eastAsia"/>
          <w:color w:val="auto"/>
          <w:highlight w:val="none"/>
        </w:rPr>
        <w:t>隧道</w:t>
      </w:r>
      <w:r>
        <w:rPr>
          <w:color w:val="auto"/>
          <w:highlight w:val="none"/>
        </w:rPr>
        <w:t>中线投影间距宜</w:t>
      </w:r>
      <w:r>
        <w:rPr>
          <w:color w:val="auto"/>
          <w:kern w:val="0"/>
          <w:highlight w:val="none"/>
        </w:rPr>
        <w:t>根据</w:t>
      </w:r>
      <w:r>
        <w:rPr>
          <w:color w:val="auto"/>
          <w:highlight w:val="none"/>
        </w:rPr>
        <w:t>场地</w:t>
      </w:r>
      <w:r>
        <w:rPr>
          <w:rFonts w:hint="eastAsia"/>
          <w:color w:val="auto"/>
          <w:highlight w:val="none"/>
        </w:rPr>
        <w:t>和</w:t>
      </w:r>
      <w:r>
        <w:rPr>
          <w:color w:val="auto"/>
          <w:highlight w:val="none"/>
        </w:rPr>
        <w:t>岩土条件复杂程度</w:t>
      </w:r>
      <w:r>
        <w:rPr>
          <w:rFonts w:hint="eastAsia"/>
          <w:color w:val="auto"/>
          <w:highlight w:val="none"/>
        </w:rPr>
        <w:t>等级</w:t>
      </w:r>
      <w:r>
        <w:rPr>
          <w:color w:val="auto"/>
          <w:highlight w:val="none"/>
        </w:rPr>
        <w:t>按表7.4.2控制。</w:t>
      </w:r>
    </w:p>
    <w:p>
      <w:pPr>
        <w:autoSpaceDE w:val="0"/>
        <w:autoSpaceDN w:val="0"/>
        <w:adjustRightInd w:val="0"/>
        <w:spacing w:line="360" w:lineRule="auto"/>
        <w:jc w:val="center"/>
        <w:rPr>
          <w:b/>
          <w:bCs/>
          <w:color w:val="auto"/>
          <w:kern w:val="0"/>
          <w:highlight w:val="none"/>
        </w:rPr>
      </w:pPr>
      <w:r>
        <w:rPr>
          <w:b/>
          <w:bCs/>
          <w:color w:val="auto"/>
          <w:kern w:val="0"/>
          <w:highlight w:val="none"/>
        </w:rPr>
        <w:t>表7.4.2</w:t>
      </w:r>
      <w:r>
        <w:rPr>
          <w:b/>
          <w:bCs/>
          <w:color w:val="auto"/>
          <w:highlight w:val="none"/>
        </w:rPr>
        <w:t>　</w:t>
      </w:r>
      <w:r>
        <w:rPr>
          <w:b/>
          <w:bCs/>
          <w:color w:val="auto"/>
          <w:kern w:val="0"/>
          <w:highlight w:val="none"/>
        </w:rPr>
        <w:t>详细勘察勘探点间距（m）</w:t>
      </w:r>
    </w:p>
    <w:tbl>
      <w:tblPr>
        <w:tblStyle w:val="22"/>
        <w:tblW w:w="826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13"/>
        <w:gridCol w:w="1638"/>
        <w:gridCol w:w="1627"/>
        <w:gridCol w:w="19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3013" w:type="dxa"/>
            <w:vMerge w:val="restart"/>
            <w:tcBorders>
              <w:top w:val="single" w:color="auto" w:sz="12" w:space="0"/>
              <w:bottom w:val="single" w:color="auto" w:sz="4" w:space="0"/>
              <w:tl2br w:val="single" w:color="auto" w:sz="4" w:space="0"/>
            </w:tcBorders>
            <w:vAlign w:val="center"/>
          </w:tcPr>
          <w:p>
            <w:pPr>
              <w:autoSpaceDE w:val="0"/>
              <w:autoSpaceDN w:val="0"/>
              <w:adjustRightInd w:val="0"/>
              <w:jc w:val="right"/>
              <w:rPr>
                <w:color w:val="auto"/>
                <w:kern w:val="0"/>
                <w:sz w:val="20"/>
                <w:szCs w:val="20"/>
                <w:highlight w:val="none"/>
              </w:rPr>
            </w:pPr>
            <w:bookmarkStart w:id="118" w:name="_Hlk68773365"/>
            <w:r>
              <w:rPr>
                <w:rFonts w:hint="eastAsia"/>
                <w:color w:val="auto"/>
                <w:kern w:val="0"/>
                <w:sz w:val="20"/>
                <w:szCs w:val="20"/>
                <w:highlight w:val="none"/>
              </w:rPr>
              <w:t>施工工法</w:t>
            </w:r>
          </w:p>
          <w:p>
            <w:pPr>
              <w:spacing w:line="0" w:lineRule="atLeast"/>
              <w:jc w:val="left"/>
              <w:rPr>
                <w:color w:val="auto"/>
                <w:sz w:val="20"/>
                <w:szCs w:val="20"/>
                <w:highlight w:val="none"/>
              </w:rPr>
            </w:pPr>
            <w:r>
              <w:rPr>
                <w:color w:val="auto"/>
                <w:sz w:val="20"/>
                <w:szCs w:val="20"/>
                <w:highlight w:val="none"/>
              </w:rPr>
              <w:t>场地</w:t>
            </w:r>
            <w:r>
              <w:rPr>
                <w:rFonts w:hint="eastAsia"/>
                <w:color w:val="auto"/>
                <w:sz w:val="20"/>
                <w:szCs w:val="20"/>
                <w:highlight w:val="none"/>
              </w:rPr>
              <w:t>和岩土</w:t>
            </w:r>
          </w:p>
          <w:p>
            <w:pPr>
              <w:autoSpaceDE w:val="0"/>
              <w:autoSpaceDN w:val="0"/>
              <w:adjustRightInd w:val="0"/>
              <w:spacing w:line="0" w:lineRule="atLeast"/>
              <w:rPr>
                <w:color w:val="auto"/>
                <w:kern w:val="0"/>
                <w:sz w:val="20"/>
                <w:szCs w:val="20"/>
                <w:highlight w:val="none"/>
              </w:rPr>
            </w:pPr>
            <w:r>
              <w:rPr>
                <w:rFonts w:hint="eastAsia"/>
                <w:color w:val="auto"/>
                <w:sz w:val="20"/>
                <w:szCs w:val="20"/>
                <w:highlight w:val="none"/>
              </w:rPr>
              <w:t>条件</w:t>
            </w:r>
            <w:r>
              <w:rPr>
                <w:color w:val="auto"/>
                <w:sz w:val="20"/>
                <w:szCs w:val="20"/>
                <w:highlight w:val="none"/>
              </w:rPr>
              <w:t>复杂程度等级</w:t>
            </w:r>
          </w:p>
        </w:tc>
        <w:tc>
          <w:tcPr>
            <w:tcW w:w="1638" w:type="dxa"/>
            <w:vMerge w:val="restart"/>
            <w:vAlign w:val="center"/>
          </w:tcPr>
          <w:p>
            <w:pPr>
              <w:jc w:val="center"/>
              <w:rPr>
                <w:color w:val="auto"/>
                <w:sz w:val="20"/>
                <w:szCs w:val="20"/>
                <w:highlight w:val="none"/>
              </w:rPr>
            </w:pPr>
            <w:r>
              <w:rPr>
                <w:color w:val="auto"/>
                <w:sz w:val="20"/>
                <w:szCs w:val="20"/>
                <w:highlight w:val="none"/>
              </w:rPr>
              <w:t>明挖法</w:t>
            </w:r>
            <w:r>
              <w:rPr>
                <w:rFonts w:hint="eastAsia"/>
                <w:color w:val="auto"/>
                <w:sz w:val="20"/>
                <w:szCs w:val="20"/>
                <w:highlight w:val="none"/>
              </w:rPr>
              <w:t>、沉管法</w:t>
            </w:r>
          </w:p>
        </w:tc>
        <w:tc>
          <w:tcPr>
            <w:tcW w:w="3612" w:type="dxa"/>
            <w:gridSpan w:val="2"/>
            <w:vAlign w:val="center"/>
          </w:tcPr>
          <w:p>
            <w:pPr>
              <w:autoSpaceDE w:val="0"/>
              <w:autoSpaceDN w:val="0"/>
              <w:adjustRightInd w:val="0"/>
              <w:jc w:val="center"/>
              <w:rPr>
                <w:color w:val="auto"/>
                <w:sz w:val="18"/>
                <w:szCs w:val="18"/>
                <w:highlight w:val="none"/>
              </w:rPr>
            </w:pPr>
            <w:r>
              <w:rPr>
                <w:color w:val="auto"/>
                <w:sz w:val="18"/>
                <w:szCs w:val="18"/>
                <w:highlight w:val="none"/>
              </w:rPr>
              <w:t>暗挖法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013" w:type="dxa"/>
            <w:vMerge w:val="continue"/>
            <w:tcBorders>
              <w:top w:val="single" w:color="auto" w:sz="4" w:space="0"/>
              <w:bottom w:val="single" w:color="auto" w:sz="4" w:space="0"/>
              <w:tl2br w:val="single" w:color="auto" w:sz="4" w:space="0"/>
            </w:tcBorders>
            <w:vAlign w:val="center"/>
          </w:tcPr>
          <w:p>
            <w:pPr>
              <w:autoSpaceDE w:val="0"/>
              <w:autoSpaceDN w:val="0"/>
              <w:adjustRightInd w:val="0"/>
              <w:jc w:val="center"/>
              <w:rPr>
                <w:color w:val="auto"/>
                <w:kern w:val="0"/>
                <w:sz w:val="20"/>
                <w:szCs w:val="20"/>
                <w:highlight w:val="none"/>
              </w:rPr>
            </w:pPr>
          </w:p>
        </w:tc>
        <w:tc>
          <w:tcPr>
            <w:tcW w:w="1638" w:type="dxa"/>
            <w:vMerge w:val="continue"/>
            <w:vAlign w:val="center"/>
          </w:tcPr>
          <w:p>
            <w:pPr>
              <w:jc w:val="center"/>
              <w:rPr>
                <w:color w:val="auto"/>
                <w:sz w:val="20"/>
                <w:szCs w:val="20"/>
                <w:highlight w:val="none"/>
              </w:rPr>
            </w:pPr>
          </w:p>
        </w:tc>
        <w:tc>
          <w:tcPr>
            <w:tcW w:w="1627" w:type="dxa"/>
            <w:vAlign w:val="center"/>
          </w:tcPr>
          <w:p>
            <w:pPr>
              <w:autoSpaceDE w:val="0"/>
              <w:autoSpaceDN w:val="0"/>
              <w:adjustRightInd w:val="0"/>
              <w:jc w:val="center"/>
              <w:rPr>
                <w:color w:val="auto"/>
                <w:sz w:val="20"/>
                <w:szCs w:val="21"/>
                <w:highlight w:val="none"/>
              </w:rPr>
            </w:pPr>
            <w:r>
              <w:rPr>
                <w:color w:val="auto"/>
                <w:sz w:val="20"/>
                <w:szCs w:val="21"/>
                <w:highlight w:val="none"/>
              </w:rPr>
              <w:t>山岭隧道</w:t>
            </w:r>
          </w:p>
        </w:tc>
        <w:tc>
          <w:tcPr>
            <w:tcW w:w="1985" w:type="dxa"/>
            <w:vAlign w:val="center"/>
          </w:tcPr>
          <w:p>
            <w:pPr>
              <w:autoSpaceDE w:val="0"/>
              <w:autoSpaceDN w:val="0"/>
              <w:adjustRightInd w:val="0"/>
              <w:jc w:val="center"/>
              <w:rPr>
                <w:color w:val="auto"/>
                <w:sz w:val="18"/>
                <w:szCs w:val="18"/>
                <w:highlight w:val="none"/>
              </w:rPr>
            </w:pPr>
            <w:r>
              <w:rPr>
                <w:rFonts w:hint="eastAsia"/>
                <w:color w:val="auto"/>
                <w:sz w:val="18"/>
                <w:szCs w:val="18"/>
                <w:highlight w:val="none"/>
              </w:rPr>
              <w:t>平原隧道、水下隧道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13" w:type="dxa"/>
            <w:tcBorders>
              <w:top w:val="single" w:color="auto" w:sz="4" w:space="0"/>
            </w:tcBorders>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一级</w:t>
            </w:r>
          </w:p>
        </w:tc>
        <w:tc>
          <w:tcPr>
            <w:tcW w:w="1638" w:type="dxa"/>
            <w:vAlign w:val="center"/>
          </w:tcPr>
          <w:p>
            <w:pPr>
              <w:autoSpaceDE w:val="0"/>
              <w:autoSpaceDN w:val="0"/>
              <w:adjustRightInd w:val="0"/>
              <w:jc w:val="center"/>
              <w:rPr>
                <w:color w:val="auto"/>
                <w:kern w:val="0"/>
                <w:sz w:val="20"/>
                <w:szCs w:val="20"/>
                <w:highlight w:val="none"/>
              </w:rPr>
            </w:pPr>
            <w:r>
              <w:rPr>
                <w:color w:val="auto"/>
                <w:kern w:val="0"/>
                <w:sz w:val="20"/>
                <w:szCs w:val="20"/>
                <w:highlight w:val="none"/>
              </w:rPr>
              <w:t>10~</w:t>
            </w:r>
            <w:r>
              <w:rPr>
                <w:rFonts w:hint="eastAsia"/>
                <w:color w:val="auto"/>
                <w:kern w:val="0"/>
                <w:sz w:val="20"/>
                <w:szCs w:val="20"/>
                <w:highlight w:val="none"/>
              </w:rPr>
              <w:t>20</w:t>
            </w:r>
          </w:p>
        </w:tc>
        <w:tc>
          <w:tcPr>
            <w:tcW w:w="1627" w:type="dxa"/>
            <w:vMerge w:val="restart"/>
            <w:vAlign w:val="center"/>
          </w:tcPr>
          <w:p>
            <w:pPr>
              <w:autoSpaceDE w:val="0"/>
              <w:autoSpaceDN w:val="0"/>
              <w:adjustRightInd w:val="0"/>
              <w:jc w:val="center"/>
              <w:rPr>
                <w:color w:val="auto"/>
                <w:kern w:val="0"/>
                <w:sz w:val="20"/>
                <w:szCs w:val="20"/>
                <w:highlight w:val="none"/>
              </w:rPr>
            </w:pPr>
            <w:r>
              <w:rPr>
                <w:rFonts w:hint="eastAsia"/>
                <w:color w:val="auto"/>
                <w:kern w:val="0"/>
                <w:sz w:val="20"/>
                <w:szCs w:val="20"/>
                <w:highlight w:val="none"/>
              </w:rPr>
              <w:t>5</w:t>
            </w:r>
            <w:r>
              <w:rPr>
                <w:color w:val="auto"/>
                <w:kern w:val="0"/>
                <w:sz w:val="20"/>
                <w:szCs w:val="20"/>
                <w:highlight w:val="none"/>
              </w:rPr>
              <w:t>0~150</w:t>
            </w:r>
          </w:p>
        </w:tc>
        <w:tc>
          <w:tcPr>
            <w:tcW w:w="1985" w:type="dxa"/>
            <w:vAlign w:val="center"/>
          </w:tcPr>
          <w:p>
            <w:pPr>
              <w:autoSpaceDE w:val="0"/>
              <w:autoSpaceDN w:val="0"/>
              <w:adjustRightInd w:val="0"/>
              <w:jc w:val="center"/>
              <w:rPr>
                <w:color w:val="auto"/>
                <w:kern w:val="0"/>
                <w:sz w:val="20"/>
                <w:szCs w:val="20"/>
                <w:highlight w:val="none"/>
              </w:rPr>
            </w:pPr>
            <w:r>
              <w:rPr>
                <w:color w:val="auto"/>
                <w:kern w:val="0"/>
                <w:sz w:val="20"/>
                <w:szCs w:val="20"/>
                <w:highlight w:val="none"/>
              </w:rPr>
              <w:t>10~30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13"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二级</w:t>
            </w:r>
          </w:p>
        </w:tc>
        <w:tc>
          <w:tcPr>
            <w:tcW w:w="1638" w:type="dxa"/>
            <w:vAlign w:val="center"/>
          </w:tcPr>
          <w:p>
            <w:pPr>
              <w:autoSpaceDE w:val="0"/>
              <w:autoSpaceDN w:val="0"/>
              <w:adjustRightInd w:val="0"/>
              <w:jc w:val="center"/>
              <w:rPr>
                <w:color w:val="auto"/>
                <w:kern w:val="0"/>
                <w:sz w:val="20"/>
                <w:szCs w:val="20"/>
                <w:highlight w:val="none"/>
              </w:rPr>
            </w:pPr>
            <w:r>
              <w:rPr>
                <w:rFonts w:hint="eastAsia"/>
                <w:color w:val="auto"/>
                <w:kern w:val="0"/>
                <w:sz w:val="20"/>
                <w:szCs w:val="20"/>
                <w:highlight w:val="none"/>
              </w:rPr>
              <w:t>20</w:t>
            </w:r>
            <w:r>
              <w:rPr>
                <w:color w:val="auto"/>
                <w:kern w:val="0"/>
                <w:sz w:val="20"/>
                <w:szCs w:val="20"/>
                <w:highlight w:val="none"/>
              </w:rPr>
              <w:t>~</w:t>
            </w:r>
            <w:r>
              <w:rPr>
                <w:rFonts w:hint="eastAsia"/>
                <w:color w:val="auto"/>
                <w:kern w:val="0"/>
                <w:sz w:val="20"/>
                <w:szCs w:val="20"/>
                <w:highlight w:val="none"/>
              </w:rPr>
              <w:t>4</w:t>
            </w:r>
            <w:r>
              <w:rPr>
                <w:color w:val="auto"/>
                <w:kern w:val="0"/>
                <w:sz w:val="20"/>
                <w:szCs w:val="20"/>
                <w:highlight w:val="none"/>
              </w:rPr>
              <w:t>0</w:t>
            </w:r>
          </w:p>
        </w:tc>
        <w:tc>
          <w:tcPr>
            <w:tcW w:w="1627" w:type="dxa"/>
            <w:vMerge w:val="continue"/>
            <w:vAlign w:val="center"/>
          </w:tcPr>
          <w:p>
            <w:pPr>
              <w:autoSpaceDE w:val="0"/>
              <w:autoSpaceDN w:val="0"/>
              <w:adjustRightInd w:val="0"/>
              <w:jc w:val="center"/>
              <w:rPr>
                <w:color w:val="auto"/>
                <w:kern w:val="0"/>
                <w:sz w:val="20"/>
                <w:szCs w:val="20"/>
                <w:highlight w:val="none"/>
              </w:rPr>
            </w:pPr>
          </w:p>
        </w:tc>
        <w:tc>
          <w:tcPr>
            <w:tcW w:w="1985" w:type="dxa"/>
            <w:vAlign w:val="center"/>
          </w:tcPr>
          <w:p>
            <w:pPr>
              <w:autoSpaceDE w:val="0"/>
              <w:autoSpaceDN w:val="0"/>
              <w:adjustRightInd w:val="0"/>
              <w:jc w:val="center"/>
              <w:rPr>
                <w:color w:val="auto"/>
                <w:kern w:val="0"/>
                <w:sz w:val="20"/>
                <w:szCs w:val="20"/>
                <w:highlight w:val="none"/>
              </w:rPr>
            </w:pPr>
            <w:r>
              <w:rPr>
                <w:color w:val="auto"/>
                <w:kern w:val="0"/>
                <w:sz w:val="20"/>
                <w:szCs w:val="20"/>
                <w:highlight w:val="none"/>
              </w:rPr>
              <w:t>30~50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13"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三级</w:t>
            </w:r>
          </w:p>
        </w:tc>
        <w:tc>
          <w:tcPr>
            <w:tcW w:w="1638" w:type="dxa"/>
            <w:vAlign w:val="center"/>
          </w:tcPr>
          <w:p>
            <w:pPr>
              <w:autoSpaceDE w:val="0"/>
              <w:autoSpaceDN w:val="0"/>
              <w:adjustRightInd w:val="0"/>
              <w:jc w:val="center"/>
              <w:rPr>
                <w:color w:val="auto"/>
                <w:kern w:val="0"/>
                <w:sz w:val="20"/>
                <w:szCs w:val="20"/>
                <w:highlight w:val="none"/>
              </w:rPr>
            </w:pPr>
            <w:r>
              <w:rPr>
                <w:rFonts w:hint="eastAsia"/>
                <w:color w:val="auto"/>
                <w:kern w:val="0"/>
                <w:sz w:val="20"/>
                <w:szCs w:val="20"/>
                <w:highlight w:val="none"/>
              </w:rPr>
              <w:t>4</w:t>
            </w:r>
            <w:r>
              <w:rPr>
                <w:color w:val="auto"/>
                <w:kern w:val="0"/>
                <w:sz w:val="20"/>
                <w:szCs w:val="20"/>
                <w:highlight w:val="none"/>
              </w:rPr>
              <w:t>0~</w:t>
            </w:r>
            <w:r>
              <w:rPr>
                <w:rFonts w:hint="eastAsia"/>
                <w:color w:val="auto"/>
                <w:kern w:val="0"/>
                <w:sz w:val="20"/>
                <w:szCs w:val="20"/>
                <w:highlight w:val="none"/>
              </w:rPr>
              <w:t>50</w:t>
            </w:r>
          </w:p>
        </w:tc>
        <w:tc>
          <w:tcPr>
            <w:tcW w:w="1627" w:type="dxa"/>
            <w:vMerge w:val="continue"/>
            <w:vAlign w:val="center"/>
          </w:tcPr>
          <w:p>
            <w:pPr>
              <w:autoSpaceDE w:val="0"/>
              <w:autoSpaceDN w:val="0"/>
              <w:adjustRightInd w:val="0"/>
              <w:jc w:val="center"/>
              <w:rPr>
                <w:color w:val="auto"/>
                <w:kern w:val="0"/>
                <w:sz w:val="20"/>
                <w:szCs w:val="20"/>
                <w:highlight w:val="none"/>
              </w:rPr>
            </w:pPr>
          </w:p>
        </w:tc>
        <w:tc>
          <w:tcPr>
            <w:tcW w:w="1985" w:type="dxa"/>
            <w:vAlign w:val="center"/>
          </w:tcPr>
          <w:p>
            <w:pPr>
              <w:autoSpaceDE w:val="0"/>
              <w:autoSpaceDN w:val="0"/>
              <w:adjustRightInd w:val="0"/>
              <w:jc w:val="center"/>
              <w:rPr>
                <w:color w:val="auto"/>
                <w:kern w:val="0"/>
                <w:sz w:val="20"/>
                <w:szCs w:val="20"/>
                <w:highlight w:val="none"/>
              </w:rPr>
            </w:pPr>
            <w:r>
              <w:rPr>
                <w:color w:val="auto"/>
                <w:kern w:val="0"/>
                <w:sz w:val="20"/>
                <w:szCs w:val="20"/>
                <w:highlight w:val="none"/>
              </w:rPr>
              <w:t>50~60</w:t>
            </w:r>
          </w:p>
        </w:tc>
      </w:tr>
      <w:bookmarkEnd w:id="118"/>
    </w:tbl>
    <w:p>
      <w:pPr>
        <w:spacing w:line="360" w:lineRule="auto"/>
        <w:ind w:firstLine="422" w:firstLineChars="200"/>
        <w:rPr>
          <w:color w:val="auto"/>
          <w:highlight w:val="none"/>
        </w:rPr>
      </w:pPr>
      <w:r>
        <w:rPr>
          <w:rFonts w:hint="eastAsia"/>
          <w:b/>
          <w:bCs/>
          <w:color w:val="auto"/>
          <w:highlight w:val="none"/>
        </w:rPr>
        <w:t>2</w:t>
      </w:r>
      <w:r>
        <w:rPr>
          <w:rFonts w:hint="eastAsia"/>
          <w:color w:val="auto"/>
          <w:highlight w:val="none"/>
        </w:rPr>
        <w:t>　明挖法隧道，沿中线布置的勘探点间距宜按表</w:t>
      </w:r>
      <w:r>
        <w:rPr>
          <w:color w:val="auto"/>
          <w:highlight w:val="none"/>
        </w:rPr>
        <w:t>7.4.2</w:t>
      </w:r>
      <w:r>
        <w:rPr>
          <w:rFonts w:hint="eastAsia"/>
          <w:color w:val="auto"/>
          <w:highlight w:val="none"/>
        </w:rPr>
        <w:t>的2倍控制；可根据需要在开挖边线外（2～3）倍开挖深度范围布置勘探点；存在深厚软土或潜在顺坡向结构面、土岩界面等不利情况时，可适当扩大勘察范围，布置基坑边坡勘探线；</w:t>
      </w:r>
    </w:p>
    <w:p>
      <w:pPr>
        <w:spacing w:line="360" w:lineRule="auto"/>
        <w:ind w:firstLine="422" w:firstLineChars="200"/>
        <w:rPr>
          <w:color w:val="auto"/>
          <w:highlight w:val="none"/>
        </w:rPr>
      </w:pPr>
      <w:r>
        <w:rPr>
          <w:rFonts w:hint="eastAsia"/>
          <w:b/>
          <w:bCs/>
          <w:color w:val="auto"/>
          <w:highlight w:val="none"/>
        </w:rPr>
        <w:t>3</w:t>
      </w:r>
      <w:r>
        <w:rPr>
          <w:rFonts w:hint="eastAsia"/>
          <w:color w:val="auto"/>
          <w:highlight w:val="none"/>
        </w:rPr>
        <w:t>　沉管法隧道，沿中线布置的勘探点间距宜按表</w:t>
      </w:r>
      <w:r>
        <w:rPr>
          <w:color w:val="auto"/>
          <w:highlight w:val="none"/>
        </w:rPr>
        <w:t>7.4.2</w:t>
      </w:r>
      <w:r>
        <w:rPr>
          <w:rFonts w:hint="eastAsia"/>
          <w:color w:val="auto"/>
          <w:highlight w:val="none"/>
        </w:rPr>
        <w:t>的2倍控制；横勘探线间距及横勘探线在两侧放坡范围的勘探点间距宜为40m~60m；</w:t>
      </w:r>
      <w:r>
        <w:rPr>
          <w:color w:val="auto"/>
          <w:highlight w:val="none"/>
        </w:rPr>
        <w:t>浮运航道</w:t>
      </w:r>
      <w:r>
        <w:rPr>
          <w:rFonts w:hint="eastAsia"/>
          <w:color w:val="auto"/>
          <w:highlight w:val="none"/>
        </w:rPr>
        <w:t>、临时航道</w:t>
      </w:r>
      <w:r>
        <w:rPr>
          <w:color w:val="auto"/>
          <w:highlight w:val="none"/>
        </w:rPr>
        <w:t>和系泊段</w:t>
      </w:r>
      <w:r>
        <w:rPr>
          <w:rFonts w:hint="eastAsia"/>
          <w:color w:val="auto"/>
          <w:highlight w:val="none"/>
        </w:rPr>
        <w:t>的疏浚范围应</w:t>
      </w:r>
      <w:r>
        <w:rPr>
          <w:color w:val="auto"/>
          <w:highlight w:val="none"/>
        </w:rPr>
        <w:t>布置勘探点</w:t>
      </w:r>
      <w:r>
        <w:rPr>
          <w:rFonts w:hint="eastAsia"/>
          <w:color w:val="auto"/>
          <w:highlight w:val="none"/>
        </w:rPr>
        <w:t>，勘探点间距宜为50m~150m</w:t>
      </w:r>
      <w:r>
        <w:rPr>
          <w:color w:val="auto"/>
          <w:highlight w:val="none"/>
        </w:rPr>
        <w:t>；</w:t>
      </w:r>
      <w:r>
        <w:rPr>
          <w:rFonts w:hint="eastAsia"/>
          <w:color w:val="auto"/>
          <w:highlight w:val="none"/>
        </w:rPr>
        <w:t>水下地形测量推断可能存在水下礁石的位置应布置勘探点。</w:t>
      </w:r>
    </w:p>
    <w:p>
      <w:pPr>
        <w:spacing w:line="360" w:lineRule="auto"/>
        <w:ind w:firstLine="422" w:firstLineChars="200"/>
        <w:rPr>
          <w:color w:val="auto"/>
          <w:highlight w:val="none"/>
        </w:rPr>
      </w:pPr>
      <w:r>
        <w:rPr>
          <w:rFonts w:hint="eastAsia"/>
          <w:b/>
          <w:bCs/>
          <w:color w:val="auto"/>
          <w:highlight w:val="none"/>
        </w:rPr>
        <w:t>4</w:t>
      </w:r>
      <w:r>
        <w:rPr>
          <w:rFonts w:hint="eastAsia"/>
          <w:color w:val="auto"/>
          <w:highlight w:val="none"/>
        </w:rPr>
        <w:t>　暗挖法岩质隧道，</w:t>
      </w:r>
      <w:r>
        <w:rPr>
          <w:color w:val="auto"/>
          <w:highlight w:val="none"/>
        </w:rPr>
        <w:t>地质构造复杂地段、岩体破碎带应布置勘探点</w:t>
      </w:r>
      <w:r>
        <w:rPr>
          <w:rFonts w:hint="eastAsia"/>
          <w:color w:val="auto"/>
          <w:highlight w:val="none"/>
        </w:rPr>
        <w:t>；</w:t>
      </w:r>
      <w:r>
        <w:rPr>
          <w:color w:val="auto"/>
          <w:highlight w:val="none"/>
        </w:rPr>
        <w:t>纵</w:t>
      </w:r>
      <w:r>
        <w:rPr>
          <w:rFonts w:hint="eastAsia"/>
          <w:color w:val="auto"/>
          <w:highlight w:val="none"/>
        </w:rPr>
        <w:t>断面</w:t>
      </w:r>
      <w:r>
        <w:rPr>
          <w:color w:val="auto"/>
          <w:highlight w:val="none"/>
        </w:rPr>
        <w:t>地形显著低洼部位宜布置勘探点，而若该处隧道顶</w:t>
      </w:r>
      <w:r>
        <w:rPr>
          <w:rFonts w:hint="eastAsia"/>
          <w:color w:val="auto"/>
          <w:highlight w:val="none"/>
        </w:rPr>
        <w:t>埋深</w:t>
      </w:r>
      <w:r>
        <w:rPr>
          <w:color w:val="auto"/>
          <w:highlight w:val="none"/>
        </w:rPr>
        <w:t>不超过</w:t>
      </w:r>
      <w:r>
        <w:rPr>
          <w:rFonts w:hint="eastAsia"/>
          <w:color w:val="auto"/>
          <w:highlight w:val="none"/>
        </w:rPr>
        <w:t>5</w:t>
      </w:r>
      <w:r>
        <w:rPr>
          <w:color w:val="auto"/>
          <w:highlight w:val="none"/>
        </w:rPr>
        <w:t>倍洞径则应布置勘探点；竖（斜）井、导坑、横洞等辅助通道应布置勘探点；山岭隧道</w:t>
      </w:r>
      <w:r>
        <w:rPr>
          <w:rFonts w:hint="eastAsia"/>
          <w:color w:val="auto"/>
          <w:highlight w:val="none"/>
        </w:rPr>
        <w:t>明洞段、</w:t>
      </w:r>
      <w:r>
        <w:rPr>
          <w:color w:val="auto"/>
          <w:highlight w:val="none"/>
        </w:rPr>
        <w:t>洞口</w:t>
      </w:r>
      <w:r>
        <w:rPr>
          <w:rFonts w:hint="eastAsia"/>
          <w:color w:val="auto"/>
          <w:highlight w:val="none"/>
        </w:rPr>
        <w:t>段</w:t>
      </w:r>
      <w:r>
        <w:rPr>
          <w:color w:val="auto"/>
          <w:highlight w:val="none"/>
        </w:rPr>
        <w:t>应</w:t>
      </w:r>
      <w:r>
        <w:rPr>
          <w:rFonts w:hint="eastAsia"/>
          <w:color w:val="auto"/>
          <w:highlight w:val="none"/>
        </w:rPr>
        <w:t>根据岩土条件复杂程度</w:t>
      </w:r>
      <w:r>
        <w:rPr>
          <w:color w:val="auto"/>
          <w:highlight w:val="none"/>
        </w:rPr>
        <w:t>布置</w:t>
      </w:r>
      <w:r>
        <w:rPr>
          <w:rFonts w:hint="eastAsia"/>
          <w:color w:val="auto"/>
          <w:highlight w:val="none"/>
        </w:rPr>
        <w:t>若干横向勘探线，线距和孔距宜为20m~40m</w:t>
      </w:r>
      <w:r>
        <w:rPr>
          <w:color w:val="auto"/>
          <w:highlight w:val="none"/>
        </w:rPr>
        <w:t>；</w:t>
      </w:r>
    </w:p>
    <w:p>
      <w:pPr>
        <w:spacing w:line="360" w:lineRule="auto"/>
        <w:ind w:firstLine="422" w:firstLineChars="200"/>
        <w:rPr>
          <w:color w:val="auto"/>
          <w:highlight w:val="none"/>
        </w:rPr>
      </w:pPr>
      <w:r>
        <w:rPr>
          <w:rFonts w:hint="eastAsia"/>
          <w:b/>
          <w:bCs/>
          <w:color w:val="auto"/>
          <w:highlight w:val="none"/>
        </w:rPr>
        <w:t>5</w:t>
      </w:r>
      <w:r>
        <w:rPr>
          <w:rFonts w:hint="eastAsia"/>
          <w:color w:val="auto"/>
          <w:highlight w:val="none"/>
        </w:rPr>
        <w:t>　</w:t>
      </w:r>
      <w:r>
        <w:rPr>
          <w:color w:val="auto"/>
          <w:kern w:val="0"/>
          <w:highlight w:val="none"/>
        </w:rPr>
        <w:t>井径</w:t>
      </w:r>
      <w:r>
        <w:rPr>
          <w:rFonts w:hint="eastAsia"/>
          <w:color w:val="auto"/>
          <w:kern w:val="0"/>
          <w:highlight w:val="none"/>
        </w:rPr>
        <w:t>不小于</w:t>
      </w:r>
      <w:r>
        <w:rPr>
          <w:color w:val="auto"/>
          <w:kern w:val="0"/>
          <w:highlight w:val="none"/>
        </w:rPr>
        <w:t>10m的</w:t>
      </w:r>
      <w:r>
        <w:rPr>
          <w:rFonts w:hint="eastAsia"/>
          <w:color w:val="auto"/>
          <w:highlight w:val="none"/>
        </w:rPr>
        <w:t>盾构井、顶管井应布置不少于2个勘探点</w:t>
      </w:r>
      <w:r>
        <w:rPr>
          <w:color w:val="auto"/>
          <w:kern w:val="0"/>
          <w:highlight w:val="none"/>
        </w:rPr>
        <w:t>，矩形井勘探点宜布置在井的角点，圆形井勘探点</w:t>
      </w:r>
      <w:r>
        <w:rPr>
          <w:rFonts w:hint="eastAsia"/>
          <w:color w:val="auto"/>
          <w:kern w:val="0"/>
          <w:highlight w:val="none"/>
        </w:rPr>
        <w:t>宜</w:t>
      </w:r>
      <w:r>
        <w:rPr>
          <w:color w:val="auto"/>
          <w:kern w:val="0"/>
          <w:highlight w:val="none"/>
        </w:rPr>
        <w:t>沿周边均匀布置；如井径</w:t>
      </w:r>
      <w:r>
        <w:rPr>
          <w:rFonts w:hint="eastAsia"/>
          <w:color w:val="auto"/>
          <w:kern w:val="0"/>
          <w:highlight w:val="none"/>
        </w:rPr>
        <w:t>小于</w:t>
      </w:r>
      <w:r>
        <w:rPr>
          <w:color w:val="auto"/>
          <w:kern w:val="0"/>
          <w:highlight w:val="none"/>
        </w:rPr>
        <w:t>10m，勘探点宜布置在井位中心</w:t>
      </w:r>
      <w:r>
        <w:rPr>
          <w:rFonts w:hint="eastAsia"/>
          <w:color w:val="auto"/>
          <w:highlight w:val="none"/>
        </w:rPr>
        <w:t>；每条人行地下通道</w:t>
      </w:r>
      <w:r>
        <w:rPr>
          <w:rFonts w:hint="eastAsia"/>
          <w:color w:val="auto"/>
          <w:kern w:val="0"/>
          <w:highlight w:val="none"/>
        </w:rPr>
        <w:t>的勘探点数不宜少于2个；</w:t>
      </w:r>
    </w:p>
    <w:p>
      <w:pPr>
        <w:spacing w:line="360" w:lineRule="auto"/>
        <w:ind w:firstLine="422" w:firstLineChars="200"/>
        <w:rPr>
          <w:color w:val="auto"/>
          <w:highlight w:val="none"/>
        </w:rPr>
      </w:pPr>
      <w:r>
        <w:rPr>
          <w:rFonts w:hint="eastAsia"/>
          <w:b/>
          <w:bCs/>
          <w:color w:val="auto"/>
          <w:highlight w:val="none"/>
        </w:rPr>
        <w:t>6</w:t>
      </w:r>
      <w:r>
        <w:rPr>
          <w:rFonts w:hint="eastAsia"/>
          <w:color w:val="auto"/>
          <w:highlight w:val="none"/>
        </w:rPr>
        <w:t>　</w:t>
      </w:r>
      <w:r>
        <w:rPr>
          <w:color w:val="auto"/>
          <w:highlight w:val="none"/>
        </w:rPr>
        <w:t>地下水丰富、水文地质条件复杂的地段应布置</w:t>
      </w:r>
      <w:r>
        <w:rPr>
          <w:rFonts w:hint="eastAsia"/>
          <w:color w:val="auto"/>
          <w:highlight w:val="none"/>
        </w:rPr>
        <w:t>水文地质勘探孔。</w:t>
      </w:r>
    </w:p>
    <w:p>
      <w:pPr>
        <w:spacing w:line="360" w:lineRule="auto"/>
        <w:rPr>
          <w:color w:val="auto"/>
          <w:highlight w:val="none"/>
        </w:rPr>
      </w:pPr>
      <w:r>
        <w:rPr>
          <w:b/>
          <w:bCs/>
          <w:color w:val="auto"/>
          <w:highlight w:val="none"/>
        </w:rPr>
        <w:t>7.4.3</w:t>
      </w:r>
      <w:r>
        <w:rPr>
          <w:rFonts w:hint="eastAsia"/>
          <w:color w:val="auto"/>
          <w:highlight w:val="none"/>
        </w:rPr>
        <w:t>　</w:t>
      </w:r>
      <w:r>
        <w:rPr>
          <w:color w:val="auto"/>
          <w:highlight w:val="none"/>
        </w:rPr>
        <w:t>勘探孔深度应符合下列规定：</w:t>
      </w:r>
    </w:p>
    <w:p>
      <w:pPr>
        <w:spacing w:line="360" w:lineRule="auto"/>
        <w:ind w:firstLine="422" w:firstLineChars="200"/>
        <w:rPr>
          <w:color w:val="auto"/>
          <w:highlight w:val="none"/>
        </w:rPr>
      </w:pPr>
      <w:r>
        <w:rPr>
          <w:b/>
          <w:bCs/>
          <w:color w:val="auto"/>
          <w:kern w:val="0"/>
          <w:highlight w:val="none"/>
        </w:rPr>
        <w:t>1</w:t>
      </w:r>
      <w:r>
        <w:rPr>
          <w:b/>
          <w:bCs/>
          <w:color w:val="auto"/>
          <w:highlight w:val="none"/>
        </w:rPr>
        <w:t>　</w:t>
      </w:r>
      <w:r>
        <w:rPr>
          <w:color w:val="auto"/>
          <w:kern w:val="0"/>
          <w:highlight w:val="none"/>
        </w:rPr>
        <w:t>采用不同施工工法的隧道段，</w:t>
      </w:r>
      <w:r>
        <w:rPr>
          <w:rFonts w:hint="eastAsia"/>
          <w:color w:val="auto"/>
          <w:kern w:val="0"/>
          <w:highlight w:val="none"/>
        </w:rPr>
        <w:t>一般性</w:t>
      </w:r>
      <w:r>
        <w:rPr>
          <w:color w:val="auto"/>
          <w:highlight w:val="none"/>
        </w:rPr>
        <w:t>勘探</w:t>
      </w:r>
      <w:r>
        <w:rPr>
          <w:color w:val="auto"/>
          <w:kern w:val="0"/>
          <w:highlight w:val="none"/>
        </w:rPr>
        <w:t>孔进入结构底板</w:t>
      </w:r>
      <w:r>
        <w:rPr>
          <w:rFonts w:hint="eastAsia"/>
          <w:color w:val="auto"/>
          <w:kern w:val="0"/>
          <w:highlight w:val="none"/>
        </w:rPr>
        <w:t>或洞底</w:t>
      </w:r>
      <w:r>
        <w:rPr>
          <w:color w:val="auto"/>
          <w:kern w:val="0"/>
          <w:highlight w:val="none"/>
        </w:rPr>
        <w:t>以下深度</w:t>
      </w:r>
      <w:r>
        <w:rPr>
          <w:color w:val="auto"/>
          <w:highlight w:val="none"/>
        </w:rPr>
        <w:t>宜</w:t>
      </w:r>
      <w:r>
        <w:rPr>
          <w:color w:val="auto"/>
          <w:kern w:val="0"/>
          <w:highlight w:val="none"/>
        </w:rPr>
        <w:t>根据结构底板以下地层条件</w:t>
      </w:r>
      <w:r>
        <w:rPr>
          <w:color w:val="auto"/>
          <w:highlight w:val="none"/>
        </w:rPr>
        <w:t>按表7.4.3控制</w:t>
      </w:r>
      <w:r>
        <w:rPr>
          <w:rFonts w:hint="eastAsia"/>
          <w:color w:val="auto"/>
          <w:highlight w:val="none"/>
          <w:lang w:eastAsia="zh-CN"/>
        </w:rPr>
        <w:t>；</w:t>
      </w:r>
      <w:r>
        <w:rPr>
          <w:rFonts w:hint="eastAsia"/>
          <w:color w:val="auto"/>
          <w:highlight w:val="none"/>
        </w:rPr>
        <w:t>三种地层条件</w:t>
      </w:r>
      <w:r>
        <w:rPr>
          <w:rFonts w:hint="eastAsia"/>
          <w:color w:val="auto"/>
          <w:highlight w:val="none"/>
          <w:lang w:val="en-US" w:eastAsia="zh-CN"/>
        </w:rPr>
        <w:t>以最先符合者控制孔深</w:t>
      </w:r>
      <w:r>
        <w:rPr>
          <w:color w:val="auto"/>
          <w:highlight w:val="none"/>
        </w:rPr>
        <w:t>。</w:t>
      </w:r>
      <w:r>
        <w:rPr>
          <w:rFonts w:hint="eastAsia"/>
          <w:color w:val="auto"/>
          <w:highlight w:val="none"/>
        </w:rPr>
        <w:t>控制性勘探孔除满足表7.4.3外，其深度尚应满足变形计算、稳定性分析以及地下水控制的要求</w:t>
      </w:r>
      <w:r>
        <w:rPr>
          <w:rFonts w:hint="eastAsia"/>
          <w:color w:val="auto"/>
          <w:szCs w:val="21"/>
          <w:highlight w:val="none"/>
          <w:lang w:eastAsia="zh-CN"/>
        </w:rPr>
        <w:t>。</w:t>
      </w:r>
    </w:p>
    <w:p>
      <w:pPr>
        <w:autoSpaceDE w:val="0"/>
        <w:autoSpaceDN w:val="0"/>
        <w:adjustRightInd w:val="0"/>
        <w:spacing w:line="360" w:lineRule="auto"/>
        <w:jc w:val="center"/>
        <w:rPr>
          <w:b/>
          <w:bCs/>
          <w:color w:val="auto"/>
          <w:kern w:val="0"/>
          <w:highlight w:val="none"/>
        </w:rPr>
      </w:pPr>
      <w:r>
        <w:rPr>
          <w:b/>
          <w:bCs/>
          <w:color w:val="auto"/>
          <w:kern w:val="0"/>
          <w:highlight w:val="none"/>
        </w:rPr>
        <w:t>表7.4.3</w:t>
      </w:r>
      <w:r>
        <w:rPr>
          <w:rFonts w:hint="eastAsia"/>
          <w:b/>
          <w:bCs/>
          <w:color w:val="auto"/>
          <w:kern w:val="0"/>
          <w:highlight w:val="none"/>
        </w:rPr>
        <w:t>　</w:t>
      </w:r>
      <w:r>
        <w:rPr>
          <w:b/>
          <w:bCs/>
          <w:color w:val="auto"/>
          <w:kern w:val="0"/>
          <w:highlight w:val="none"/>
        </w:rPr>
        <w:t>详细勘察勘探孔进入结构底板</w:t>
      </w:r>
      <w:r>
        <w:rPr>
          <w:rFonts w:hint="eastAsia"/>
          <w:b/>
          <w:bCs/>
          <w:color w:val="auto"/>
          <w:kern w:val="0"/>
          <w:highlight w:val="none"/>
        </w:rPr>
        <w:t>或洞底</w:t>
      </w:r>
      <w:r>
        <w:rPr>
          <w:b/>
          <w:bCs/>
          <w:color w:val="auto"/>
          <w:kern w:val="0"/>
          <w:highlight w:val="none"/>
        </w:rPr>
        <w:t>以下深度</w:t>
      </w:r>
    </w:p>
    <w:tbl>
      <w:tblPr>
        <w:tblStyle w:val="22"/>
        <w:tblW w:w="816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39"/>
        <w:gridCol w:w="1975"/>
        <w:gridCol w:w="1975"/>
        <w:gridCol w:w="19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239"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结构底板以下地层条件</w:t>
            </w:r>
          </w:p>
        </w:tc>
        <w:tc>
          <w:tcPr>
            <w:tcW w:w="1975" w:type="dxa"/>
            <w:vAlign w:val="center"/>
          </w:tcPr>
          <w:p>
            <w:pPr>
              <w:jc w:val="center"/>
              <w:rPr>
                <w:color w:val="auto"/>
                <w:sz w:val="20"/>
                <w:szCs w:val="21"/>
                <w:highlight w:val="none"/>
              </w:rPr>
            </w:pPr>
            <w:r>
              <w:rPr>
                <w:color w:val="auto"/>
                <w:sz w:val="20"/>
                <w:szCs w:val="20"/>
                <w:highlight w:val="none"/>
              </w:rPr>
              <w:t>明挖法</w:t>
            </w:r>
          </w:p>
        </w:tc>
        <w:tc>
          <w:tcPr>
            <w:tcW w:w="1975" w:type="dxa"/>
            <w:vAlign w:val="center"/>
          </w:tcPr>
          <w:p>
            <w:pPr>
              <w:jc w:val="center"/>
              <w:rPr>
                <w:color w:val="auto"/>
                <w:sz w:val="20"/>
                <w:szCs w:val="20"/>
                <w:highlight w:val="none"/>
              </w:rPr>
            </w:pPr>
            <w:r>
              <w:rPr>
                <w:color w:val="auto"/>
                <w:sz w:val="20"/>
                <w:szCs w:val="20"/>
                <w:highlight w:val="none"/>
              </w:rPr>
              <w:t>沉管法</w:t>
            </w:r>
          </w:p>
        </w:tc>
        <w:tc>
          <w:tcPr>
            <w:tcW w:w="1975" w:type="dxa"/>
            <w:vAlign w:val="center"/>
          </w:tcPr>
          <w:p>
            <w:pPr>
              <w:autoSpaceDE w:val="0"/>
              <w:autoSpaceDN w:val="0"/>
              <w:adjustRightInd w:val="0"/>
              <w:jc w:val="center"/>
              <w:rPr>
                <w:color w:val="auto"/>
                <w:sz w:val="18"/>
                <w:szCs w:val="18"/>
                <w:highlight w:val="none"/>
              </w:rPr>
            </w:pPr>
            <w:r>
              <w:rPr>
                <w:color w:val="auto"/>
                <w:sz w:val="18"/>
                <w:szCs w:val="18"/>
                <w:highlight w:val="none"/>
              </w:rPr>
              <w:t>暗挖法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39"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松散地层</w:t>
            </w:r>
          </w:p>
        </w:tc>
        <w:tc>
          <w:tcPr>
            <w:tcW w:w="1975" w:type="dxa"/>
            <w:vAlign w:val="center"/>
          </w:tcPr>
          <w:p>
            <w:pPr>
              <w:autoSpaceDE w:val="0"/>
              <w:autoSpaceDN w:val="0"/>
              <w:adjustRightInd w:val="0"/>
              <w:spacing w:before="62" w:beforeLines="20" w:after="62" w:afterLines="20"/>
              <w:jc w:val="center"/>
              <w:rPr>
                <w:color w:val="auto"/>
                <w:kern w:val="0"/>
                <w:sz w:val="20"/>
                <w:szCs w:val="20"/>
                <w:highlight w:val="none"/>
              </w:rPr>
            </w:pPr>
            <w:r>
              <w:rPr>
                <w:rFonts w:hint="eastAsia" w:ascii="宋体" w:hAnsi="宋体" w:cs="宋体"/>
                <w:color w:val="auto"/>
                <w:kern w:val="0"/>
                <w:sz w:val="20"/>
                <w:szCs w:val="20"/>
                <w:highlight w:val="none"/>
              </w:rPr>
              <w:t>≥</w:t>
            </w:r>
            <w:r>
              <w:rPr>
                <w:rFonts w:hint="eastAsia"/>
                <w:color w:val="auto"/>
                <w:kern w:val="0"/>
                <w:sz w:val="20"/>
                <w:szCs w:val="20"/>
                <w:highlight w:val="none"/>
                <w:lang w:val="en-US" w:eastAsia="zh-CN"/>
              </w:rPr>
              <w:t>1.0</w:t>
            </w:r>
            <w:r>
              <w:rPr>
                <w:i/>
                <w:iCs/>
                <w:color w:val="auto"/>
                <w:kern w:val="0"/>
                <w:sz w:val="20"/>
                <w:szCs w:val="20"/>
                <w:highlight w:val="none"/>
              </w:rPr>
              <w:t>h</w:t>
            </w:r>
            <w:r>
              <w:rPr>
                <w:rFonts w:hint="eastAsia"/>
                <w:color w:val="auto"/>
                <w:kern w:val="0"/>
                <w:sz w:val="20"/>
                <w:szCs w:val="20"/>
                <w:highlight w:val="none"/>
              </w:rPr>
              <w:t>且</w:t>
            </w:r>
            <w:r>
              <w:rPr>
                <w:rFonts w:hint="eastAsia" w:ascii="宋体" w:hAnsi="宋体" w:cs="宋体"/>
                <w:color w:val="auto"/>
                <w:kern w:val="0"/>
                <w:sz w:val="20"/>
                <w:szCs w:val="20"/>
                <w:highlight w:val="none"/>
              </w:rPr>
              <w:t>≥</w:t>
            </w:r>
            <w:r>
              <w:rPr>
                <w:rFonts w:hint="eastAsia"/>
                <w:color w:val="auto"/>
                <w:kern w:val="0"/>
                <w:sz w:val="20"/>
                <w:szCs w:val="20"/>
                <w:highlight w:val="none"/>
                <w:lang w:val="en-US" w:eastAsia="zh-CN"/>
              </w:rPr>
              <w:t>12</w:t>
            </w:r>
            <w:r>
              <w:rPr>
                <w:color w:val="auto"/>
                <w:kern w:val="0"/>
                <w:sz w:val="20"/>
                <w:szCs w:val="20"/>
                <w:highlight w:val="none"/>
              </w:rPr>
              <w:t>m</w:t>
            </w:r>
          </w:p>
        </w:tc>
        <w:tc>
          <w:tcPr>
            <w:tcW w:w="1975" w:type="dxa"/>
            <w:vAlign w:val="center"/>
          </w:tcPr>
          <w:p>
            <w:pPr>
              <w:autoSpaceDE w:val="0"/>
              <w:autoSpaceDN w:val="0"/>
              <w:adjustRightInd w:val="0"/>
              <w:jc w:val="center"/>
              <w:rPr>
                <w:color w:val="auto"/>
                <w:kern w:val="0"/>
                <w:sz w:val="20"/>
                <w:szCs w:val="20"/>
                <w:highlight w:val="none"/>
              </w:rPr>
            </w:pPr>
            <w:r>
              <w:rPr>
                <w:rFonts w:hint="eastAsia" w:ascii="宋体" w:hAnsi="宋体" w:cs="宋体"/>
                <w:color w:val="auto"/>
                <w:kern w:val="0"/>
                <w:sz w:val="20"/>
                <w:szCs w:val="20"/>
                <w:highlight w:val="none"/>
              </w:rPr>
              <w:t>≥</w:t>
            </w:r>
            <w:r>
              <w:rPr>
                <w:color w:val="auto"/>
                <w:kern w:val="0"/>
                <w:sz w:val="20"/>
                <w:szCs w:val="20"/>
                <w:highlight w:val="none"/>
              </w:rPr>
              <w:t>0.6</w:t>
            </w:r>
            <w:r>
              <w:rPr>
                <w:i/>
                <w:iCs/>
                <w:color w:val="auto"/>
                <w:kern w:val="0"/>
                <w:sz w:val="18"/>
                <w:szCs w:val="11"/>
                <w:highlight w:val="none"/>
              </w:rPr>
              <w:t>w</w:t>
            </w:r>
          </w:p>
        </w:tc>
        <w:tc>
          <w:tcPr>
            <w:tcW w:w="1975" w:type="dxa"/>
            <w:vAlign w:val="center"/>
          </w:tcPr>
          <w:p>
            <w:pPr>
              <w:autoSpaceDE w:val="0"/>
              <w:autoSpaceDN w:val="0"/>
              <w:adjustRightInd w:val="0"/>
              <w:jc w:val="center"/>
              <w:rPr>
                <w:color w:val="auto"/>
                <w:kern w:val="0"/>
                <w:sz w:val="20"/>
                <w:szCs w:val="20"/>
                <w:highlight w:val="none"/>
              </w:rPr>
            </w:pPr>
            <w:r>
              <w:rPr>
                <w:rFonts w:hint="eastAsia" w:ascii="宋体" w:hAnsi="宋体" w:cs="宋体"/>
                <w:color w:val="auto"/>
                <w:kern w:val="0"/>
                <w:sz w:val="20"/>
                <w:szCs w:val="20"/>
                <w:highlight w:val="none"/>
              </w:rPr>
              <w:t>≥</w:t>
            </w:r>
            <w:r>
              <w:rPr>
                <w:color w:val="auto"/>
                <w:kern w:val="0"/>
                <w:sz w:val="20"/>
                <w:szCs w:val="20"/>
                <w:highlight w:val="none"/>
              </w:rPr>
              <w:t>2.0</w:t>
            </w:r>
            <w:r>
              <w:rPr>
                <w:i/>
                <w:iCs/>
                <w:color w:val="auto"/>
                <w:kern w:val="0"/>
                <w:sz w:val="20"/>
                <w:szCs w:val="20"/>
                <w:highlight w:val="none"/>
              </w:rPr>
              <w:t>d</w:t>
            </w:r>
            <w:r>
              <w:rPr>
                <w:rFonts w:hint="eastAsia"/>
                <w:color w:val="auto"/>
                <w:kern w:val="0"/>
                <w:sz w:val="20"/>
                <w:szCs w:val="20"/>
                <w:highlight w:val="none"/>
              </w:rPr>
              <w:t>且</w:t>
            </w:r>
            <w:r>
              <w:rPr>
                <w:rFonts w:hint="eastAsia" w:ascii="宋体" w:hAnsi="宋体" w:cs="宋体"/>
                <w:color w:val="auto"/>
                <w:kern w:val="0"/>
                <w:sz w:val="20"/>
                <w:szCs w:val="20"/>
                <w:highlight w:val="none"/>
              </w:rPr>
              <w:t>≥</w:t>
            </w:r>
            <w:r>
              <w:rPr>
                <w:rFonts w:hint="eastAsia"/>
                <w:color w:val="auto"/>
                <w:kern w:val="0"/>
                <w:sz w:val="20"/>
                <w:szCs w:val="20"/>
                <w:highlight w:val="none"/>
                <w:lang w:val="en-US" w:eastAsia="zh-CN"/>
              </w:rPr>
              <w:t>15</w:t>
            </w:r>
            <w:r>
              <w:rPr>
                <w:color w:val="auto"/>
                <w:kern w:val="0"/>
                <w:sz w:val="20"/>
                <w:szCs w:val="20"/>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239" w:type="dxa"/>
            <w:vAlign w:val="center"/>
          </w:tcPr>
          <w:p>
            <w:pPr>
              <w:autoSpaceDE w:val="0"/>
              <w:autoSpaceDN w:val="0"/>
              <w:adjustRightInd w:val="0"/>
              <w:spacing w:before="62" w:beforeLines="20" w:after="62" w:afterLines="20"/>
              <w:jc w:val="center"/>
              <w:rPr>
                <w:color w:val="auto"/>
                <w:kern w:val="0"/>
                <w:sz w:val="20"/>
                <w:szCs w:val="20"/>
                <w:highlight w:val="none"/>
              </w:rPr>
            </w:pPr>
            <w:r>
              <w:rPr>
                <w:rFonts w:hint="eastAsia"/>
                <w:color w:val="auto"/>
                <w:kern w:val="0"/>
                <w:sz w:val="20"/>
                <w:szCs w:val="20"/>
                <w:highlight w:val="none"/>
              </w:rPr>
              <w:t>碎石土、</w:t>
            </w:r>
            <w:r>
              <w:rPr>
                <w:color w:val="auto"/>
                <w:kern w:val="0"/>
                <w:sz w:val="20"/>
                <w:szCs w:val="20"/>
                <w:highlight w:val="none"/>
              </w:rPr>
              <w:t>全</w:t>
            </w:r>
            <w:r>
              <w:rPr>
                <w:rFonts w:hint="eastAsia"/>
                <w:color w:val="auto"/>
                <w:kern w:val="0"/>
                <w:sz w:val="20"/>
                <w:szCs w:val="20"/>
                <w:highlight w:val="none"/>
              </w:rPr>
              <w:t>风化岩</w:t>
            </w:r>
            <w:r>
              <w:rPr>
                <w:color w:val="auto"/>
                <w:kern w:val="0"/>
                <w:sz w:val="20"/>
                <w:szCs w:val="20"/>
                <w:highlight w:val="none"/>
              </w:rPr>
              <w:t>、强风化岩或极软岩</w:t>
            </w:r>
          </w:p>
        </w:tc>
        <w:tc>
          <w:tcPr>
            <w:tcW w:w="1975" w:type="dxa"/>
            <w:vAlign w:val="center"/>
          </w:tcPr>
          <w:p>
            <w:pPr>
              <w:autoSpaceDE w:val="0"/>
              <w:autoSpaceDN w:val="0"/>
              <w:adjustRightInd w:val="0"/>
              <w:jc w:val="center"/>
              <w:rPr>
                <w:rFonts w:hint="eastAsia" w:eastAsia="宋体"/>
                <w:color w:val="auto"/>
                <w:kern w:val="0"/>
                <w:sz w:val="20"/>
                <w:szCs w:val="20"/>
                <w:highlight w:val="none"/>
                <w:lang w:eastAsia="zh-CN"/>
              </w:rPr>
            </w:pPr>
            <w:r>
              <w:rPr>
                <w:rFonts w:hint="eastAsia" w:ascii="宋体" w:hAnsi="宋体" w:cs="宋体"/>
                <w:color w:val="auto"/>
                <w:kern w:val="0"/>
                <w:sz w:val="20"/>
                <w:szCs w:val="20"/>
                <w:highlight w:val="none"/>
              </w:rPr>
              <w:t>≥</w:t>
            </w:r>
            <w:r>
              <w:rPr>
                <w:rFonts w:hint="eastAsia"/>
                <w:color w:val="auto"/>
                <w:kern w:val="0"/>
                <w:sz w:val="20"/>
                <w:szCs w:val="20"/>
                <w:highlight w:val="none"/>
                <w:lang w:val="en-US" w:eastAsia="zh-CN"/>
              </w:rPr>
              <w:t>0.7</w:t>
            </w:r>
            <w:r>
              <w:rPr>
                <w:i/>
                <w:iCs/>
                <w:color w:val="auto"/>
                <w:kern w:val="0"/>
                <w:sz w:val="20"/>
                <w:szCs w:val="20"/>
                <w:highlight w:val="none"/>
              </w:rPr>
              <w:t>h</w:t>
            </w:r>
            <w:r>
              <w:rPr>
                <w:rFonts w:hint="eastAsia"/>
                <w:color w:val="auto"/>
                <w:kern w:val="0"/>
                <w:sz w:val="20"/>
                <w:szCs w:val="20"/>
                <w:highlight w:val="none"/>
              </w:rPr>
              <w:t>且</w:t>
            </w:r>
            <w:r>
              <w:rPr>
                <w:rFonts w:hint="eastAsia" w:ascii="宋体" w:hAnsi="宋体" w:cs="宋体"/>
                <w:color w:val="auto"/>
                <w:kern w:val="0"/>
                <w:sz w:val="20"/>
                <w:szCs w:val="20"/>
                <w:highlight w:val="none"/>
              </w:rPr>
              <w:t>≥</w:t>
            </w:r>
            <w:r>
              <w:rPr>
                <w:rFonts w:hint="eastAsia"/>
                <w:color w:val="auto"/>
                <w:kern w:val="0"/>
                <w:sz w:val="20"/>
                <w:szCs w:val="20"/>
                <w:highlight w:val="none"/>
                <w:lang w:val="en-US" w:eastAsia="zh-CN"/>
              </w:rPr>
              <w:t>8</w:t>
            </w:r>
            <w:r>
              <w:rPr>
                <w:color w:val="auto"/>
                <w:kern w:val="0"/>
                <w:sz w:val="20"/>
                <w:szCs w:val="20"/>
                <w:highlight w:val="none"/>
              </w:rPr>
              <w:t>m</w:t>
            </w:r>
          </w:p>
        </w:tc>
        <w:tc>
          <w:tcPr>
            <w:tcW w:w="1975" w:type="dxa"/>
            <w:vAlign w:val="center"/>
          </w:tcPr>
          <w:p>
            <w:pPr>
              <w:autoSpaceDE w:val="0"/>
              <w:autoSpaceDN w:val="0"/>
              <w:adjustRightInd w:val="0"/>
              <w:jc w:val="center"/>
              <w:rPr>
                <w:color w:val="auto"/>
                <w:kern w:val="0"/>
                <w:sz w:val="20"/>
                <w:szCs w:val="20"/>
                <w:highlight w:val="none"/>
              </w:rPr>
            </w:pPr>
            <w:r>
              <w:rPr>
                <w:rFonts w:hint="eastAsia" w:ascii="宋体" w:hAnsi="宋体" w:cs="宋体"/>
                <w:color w:val="auto"/>
                <w:kern w:val="0"/>
                <w:sz w:val="20"/>
                <w:szCs w:val="20"/>
                <w:highlight w:val="none"/>
              </w:rPr>
              <w:t>≥</w:t>
            </w:r>
            <w:r>
              <w:rPr>
                <w:color w:val="auto"/>
                <w:kern w:val="0"/>
                <w:sz w:val="20"/>
                <w:szCs w:val="20"/>
                <w:highlight w:val="none"/>
              </w:rPr>
              <w:t>0.4</w:t>
            </w:r>
            <w:r>
              <w:rPr>
                <w:i/>
                <w:iCs/>
                <w:color w:val="auto"/>
                <w:kern w:val="0"/>
                <w:sz w:val="18"/>
                <w:szCs w:val="11"/>
                <w:highlight w:val="none"/>
              </w:rPr>
              <w:t>w</w:t>
            </w:r>
          </w:p>
        </w:tc>
        <w:tc>
          <w:tcPr>
            <w:tcW w:w="1975" w:type="dxa"/>
            <w:vAlign w:val="center"/>
          </w:tcPr>
          <w:p>
            <w:pPr>
              <w:autoSpaceDE w:val="0"/>
              <w:autoSpaceDN w:val="0"/>
              <w:adjustRightInd w:val="0"/>
              <w:jc w:val="center"/>
              <w:rPr>
                <w:color w:val="auto"/>
                <w:kern w:val="0"/>
                <w:sz w:val="20"/>
                <w:szCs w:val="20"/>
                <w:highlight w:val="none"/>
              </w:rPr>
            </w:pPr>
            <w:r>
              <w:rPr>
                <w:rFonts w:hint="eastAsia" w:ascii="宋体" w:hAnsi="宋体" w:cs="宋体"/>
                <w:color w:val="auto"/>
                <w:kern w:val="0"/>
                <w:sz w:val="20"/>
                <w:szCs w:val="20"/>
                <w:highlight w:val="none"/>
              </w:rPr>
              <w:t>≥</w:t>
            </w:r>
            <w:r>
              <w:rPr>
                <w:color w:val="auto"/>
                <w:kern w:val="0"/>
                <w:sz w:val="20"/>
                <w:szCs w:val="20"/>
                <w:highlight w:val="none"/>
              </w:rPr>
              <w:t>1.0</w:t>
            </w:r>
            <w:r>
              <w:rPr>
                <w:i/>
                <w:iCs/>
                <w:color w:val="auto"/>
                <w:kern w:val="0"/>
                <w:sz w:val="20"/>
                <w:szCs w:val="20"/>
                <w:highlight w:val="none"/>
              </w:rPr>
              <w:t>d</w:t>
            </w:r>
            <w:r>
              <w:rPr>
                <w:rFonts w:hint="eastAsia"/>
                <w:color w:val="auto"/>
                <w:kern w:val="0"/>
                <w:sz w:val="20"/>
                <w:szCs w:val="20"/>
                <w:highlight w:val="none"/>
              </w:rPr>
              <w:t>且</w:t>
            </w:r>
            <w:r>
              <w:rPr>
                <w:rFonts w:hint="eastAsia" w:ascii="宋体" w:hAnsi="宋体" w:cs="宋体"/>
                <w:color w:val="auto"/>
                <w:kern w:val="0"/>
                <w:sz w:val="20"/>
                <w:szCs w:val="20"/>
                <w:highlight w:val="none"/>
              </w:rPr>
              <w:t>≥</w:t>
            </w:r>
            <w:r>
              <w:rPr>
                <w:color w:val="auto"/>
                <w:kern w:val="0"/>
                <w:sz w:val="20"/>
                <w:szCs w:val="20"/>
                <w:highlight w:val="none"/>
              </w:rPr>
              <w:t>10m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39"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中</w:t>
            </w:r>
            <w:r>
              <w:rPr>
                <w:rFonts w:hint="eastAsia"/>
                <w:color w:val="auto"/>
                <w:kern w:val="0"/>
                <w:sz w:val="20"/>
                <w:szCs w:val="20"/>
                <w:highlight w:val="none"/>
              </w:rPr>
              <w:t>等风化岩</w:t>
            </w:r>
            <w:r>
              <w:rPr>
                <w:color w:val="auto"/>
                <w:kern w:val="0"/>
                <w:sz w:val="20"/>
                <w:szCs w:val="20"/>
                <w:highlight w:val="none"/>
              </w:rPr>
              <w:t>、微风化岩</w:t>
            </w:r>
          </w:p>
        </w:tc>
        <w:tc>
          <w:tcPr>
            <w:tcW w:w="1975" w:type="dxa"/>
            <w:vAlign w:val="center"/>
          </w:tcPr>
          <w:p>
            <w:pPr>
              <w:autoSpaceDE w:val="0"/>
              <w:autoSpaceDN w:val="0"/>
              <w:adjustRightInd w:val="0"/>
              <w:jc w:val="center"/>
              <w:rPr>
                <w:color w:val="auto"/>
                <w:kern w:val="0"/>
                <w:sz w:val="20"/>
                <w:szCs w:val="20"/>
                <w:highlight w:val="none"/>
              </w:rPr>
            </w:pPr>
            <w:r>
              <w:rPr>
                <w:rFonts w:hint="eastAsia" w:ascii="宋体" w:hAnsi="宋体" w:cs="宋体"/>
                <w:color w:val="auto"/>
                <w:kern w:val="0"/>
                <w:sz w:val="20"/>
                <w:szCs w:val="20"/>
                <w:highlight w:val="none"/>
              </w:rPr>
              <w:t>≥</w:t>
            </w:r>
            <w:r>
              <w:rPr>
                <w:rFonts w:hint="eastAsia"/>
                <w:color w:val="auto"/>
                <w:kern w:val="0"/>
                <w:sz w:val="20"/>
                <w:szCs w:val="20"/>
                <w:highlight w:val="none"/>
              </w:rPr>
              <w:t>5</w:t>
            </w:r>
            <w:r>
              <w:rPr>
                <w:color w:val="auto"/>
                <w:kern w:val="0"/>
                <w:sz w:val="20"/>
                <w:szCs w:val="20"/>
                <w:highlight w:val="none"/>
              </w:rPr>
              <w:t>m</w:t>
            </w:r>
          </w:p>
        </w:tc>
        <w:tc>
          <w:tcPr>
            <w:tcW w:w="1975" w:type="dxa"/>
            <w:vAlign w:val="center"/>
          </w:tcPr>
          <w:p>
            <w:pPr>
              <w:autoSpaceDE w:val="0"/>
              <w:autoSpaceDN w:val="0"/>
              <w:adjustRightInd w:val="0"/>
              <w:jc w:val="center"/>
              <w:rPr>
                <w:color w:val="auto"/>
                <w:kern w:val="0"/>
                <w:sz w:val="20"/>
                <w:szCs w:val="20"/>
                <w:highlight w:val="none"/>
              </w:rPr>
            </w:pPr>
            <w:r>
              <w:rPr>
                <w:rFonts w:hint="eastAsia" w:ascii="宋体" w:hAnsi="宋体" w:cs="宋体"/>
                <w:color w:val="auto"/>
                <w:kern w:val="0"/>
                <w:sz w:val="20"/>
                <w:szCs w:val="20"/>
                <w:highlight w:val="none"/>
              </w:rPr>
              <w:t>≥</w:t>
            </w:r>
            <w:r>
              <w:rPr>
                <w:color w:val="auto"/>
                <w:kern w:val="0"/>
                <w:sz w:val="20"/>
                <w:szCs w:val="20"/>
                <w:highlight w:val="none"/>
              </w:rPr>
              <w:t>0.3</w:t>
            </w:r>
            <w:r>
              <w:rPr>
                <w:i/>
                <w:iCs/>
                <w:color w:val="auto"/>
                <w:kern w:val="0"/>
                <w:sz w:val="18"/>
                <w:szCs w:val="11"/>
                <w:highlight w:val="none"/>
              </w:rPr>
              <w:t>w</w:t>
            </w:r>
          </w:p>
        </w:tc>
        <w:tc>
          <w:tcPr>
            <w:tcW w:w="1975" w:type="dxa"/>
            <w:vAlign w:val="center"/>
          </w:tcPr>
          <w:p>
            <w:pPr>
              <w:autoSpaceDE w:val="0"/>
              <w:autoSpaceDN w:val="0"/>
              <w:adjustRightInd w:val="0"/>
              <w:jc w:val="center"/>
              <w:rPr>
                <w:color w:val="auto"/>
                <w:kern w:val="0"/>
                <w:sz w:val="20"/>
                <w:szCs w:val="20"/>
                <w:highlight w:val="none"/>
              </w:rPr>
            </w:pPr>
            <w:r>
              <w:rPr>
                <w:rFonts w:hint="eastAsia" w:ascii="宋体" w:hAnsi="宋体" w:cs="宋体"/>
                <w:color w:val="auto"/>
                <w:kern w:val="0"/>
                <w:sz w:val="20"/>
                <w:szCs w:val="20"/>
                <w:highlight w:val="none"/>
              </w:rPr>
              <w:t>≥</w:t>
            </w:r>
            <w:r>
              <w:rPr>
                <w:color w:val="auto"/>
                <w:kern w:val="0"/>
                <w:sz w:val="20"/>
                <w:szCs w:val="20"/>
                <w:highlight w:val="none"/>
              </w:rPr>
              <w:t>0.</w:t>
            </w:r>
            <w:r>
              <w:rPr>
                <w:rFonts w:hint="eastAsia"/>
                <w:color w:val="auto"/>
                <w:kern w:val="0"/>
                <w:sz w:val="20"/>
                <w:szCs w:val="20"/>
                <w:highlight w:val="none"/>
              </w:rPr>
              <w:t>5</w:t>
            </w:r>
            <w:r>
              <w:rPr>
                <w:i/>
                <w:iCs/>
                <w:color w:val="auto"/>
                <w:kern w:val="0"/>
                <w:sz w:val="20"/>
                <w:szCs w:val="20"/>
                <w:highlight w:val="none"/>
              </w:rPr>
              <w:t>d</w:t>
            </w:r>
            <w:r>
              <w:rPr>
                <w:rFonts w:hint="eastAsia"/>
                <w:color w:val="auto"/>
                <w:kern w:val="0"/>
                <w:sz w:val="20"/>
                <w:szCs w:val="20"/>
                <w:highlight w:val="none"/>
              </w:rPr>
              <w:t>且</w:t>
            </w:r>
            <w:r>
              <w:rPr>
                <w:rFonts w:hint="eastAsia" w:ascii="宋体" w:hAnsi="宋体" w:cs="宋体"/>
                <w:color w:val="auto"/>
                <w:kern w:val="0"/>
                <w:sz w:val="20"/>
                <w:szCs w:val="20"/>
                <w:highlight w:val="none"/>
              </w:rPr>
              <w:t>≥</w:t>
            </w:r>
            <w:r>
              <w:rPr>
                <w:color w:val="auto"/>
                <w:kern w:val="0"/>
                <w:sz w:val="20"/>
                <w:szCs w:val="20"/>
                <w:highlight w:val="none"/>
              </w:rPr>
              <w:t>5m</w:t>
            </w:r>
          </w:p>
        </w:tc>
      </w:tr>
    </w:tbl>
    <w:p>
      <w:pPr>
        <w:snapToGrid w:val="0"/>
        <w:spacing w:line="360" w:lineRule="auto"/>
        <w:ind w:left="1050" w:leftChars="200" w:hanging="630" w:hangingChars="350"/>
        <w:jc w:val="left"/>
        <w:rPr>
          <w:color w:val="auto"/>
          <w:sz w:val="18"/>
          <w:szCs w:val="20"/>
          <w:highlight w:val="none"/>
        </w:rPr>
      </w:pPr>
      <w:r>
        <w:rPr>
          <w:color w:val="auto"/>
          <w:kern w:val="0"/>
          <w:sz w:val="18"/>
          <w:szCs w:val="11"/>
          <w:highlight w:val="none"/>
        </w:rPr>
        <w:t>注：</w:t>
      </w:r>
      <w:r>
        <w:rPr>
          <w:i/>
          <w:iCs/>
          <w:color w:val="auto"/>
          <w:kern w:val="0"/>
          <w:sz w:val="18"/>
          <w:szCs w:val="11"/>
          <w:highlight w:val="none"/>
        </w:rPr>
        <w:t>h</w:t>
      </w:r>
      <w:r>
        <w:rPr>
          <w:color w:val="auto"/>
          <w:kern w:val="0"/>
          <w:sz w:val="18"/>
          <w:szCs w:val="11"/>
          <w:highlight w:val="none"/>
        </w:rPr>
        <w:t>为隧道开挖</w:t>
      </w:r>
      <w:r>
        <w:rPr>
          <w:rFonts w:hint="eastAsia"/>
          <w:color w:val="auto"/>
          <w:sz w:val="18"/>
          <w:szCs w:val="18"/>
          <w:highlight w:val="none"/>
        </w:rPr>
        <w:t>深度</w:t>
      </w:r>
      <w:r>
        <w:rPr>
          <w:color w:val="auto"/>
          <w:kern w:val="0"/>
          <w:sz w:val="18"/>
          <w:szCs w:val="11"/>
          <w:highlight w:val="none"/>
        </w:rPr>
        <w:t>；</w:t>
      </w:r>
      <w:r>
        <w:rPr>
          <w:i/>
          <w:iCs/>
          <w:color w:val="auto"/>
          <w:kern w:val="0"/>
          <w:sz w:val="18"/>
          <w:szCs w:val="11"/>
          <w:highlight w:val="none"/>
        </w:rPr>
        <w:t>w</w:t>
      </w:r>
      <w:r>
        <w:rPr>
          <w:color w:val="auto"/>
          <w:kern w:val="0"/>
          <w:sz w:val="18"/>
          <w:szCs w:val="11"/>
          <w:highlight w:val="none"/>
        </w:rPr>
        <w:t>为隧道底板宽度，</w:t>
      </w:r>
      <w:r>
        <w:rPr>
          <w:i/>
          <w:iCs/>
          <w:color w:val="auto"/>
          <w:kern w:val="0"/>
          <w:sz w:val="20"/>
          <w:szCs w:val="20"/>
          <w:highlight w:val="none"/>
        </w:rPr>
        <w:t>d</w:t>
      </w:r>
      <w:r>
        <w:rPr>
          <w:color w:val="auto"/>
          <w:kern w:val="0"/>
          <w:sz w:val="18"/>
          <w:szCs w:val="11"/>
          <w:highlight w:val="none"/>
        </w:rPr>
        <w:t>为隧道洞体直径。</w:t>
      </w:r>
    </w:p>
    <w:p>
      <w:pPr>
        <w:autoSpaceDE w:val="0"/>
        <w:autoSpaceDN w:val="0"/>
        <w:adjustRightInd w:val="0"/>
        <w:spacing w:before="156" w:beforeLines="50" w:line="360" w:lineRule="auto"/>
        <w:ind w:firstLine="422" w:firstLineChars="200"/>
        <w:jc w:val="left"/>
        <w:rPr>
          <w:color w:val="auto"/>
          <w:kern w:val="0"/>
          <w:highlight w:val="none"/>
        </w:rPr>
      </w:pPr>
      <w:r>
        <w:rPr>
          <w:b/>
          <w:bCs/>
          <w:color w:val="auto"/>
          <w:kern w:val="0"/>
          <w:highlight w:val="none"/>
        </w:rPr>
        <w:t>2</w:t>
      </w:r>
      <w:r>
        <w:rPr>
          <w:rFonts w:hint="eastAsia"/>
          <w:color w:val="auto"/>
          <w:kern w:val="0"/>
          <w:highlight w:val="none"/>
        </w:rPr>
        <w:t>　深厚软土区明挖法、沉管法采用桩筏基础时，应参照本规范第6.4.3条的桩基础控制勘探孔深度；</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3</w:t>
      </w:r>
      <w:r>
        <w:rPr>
          <w:rFonts w:hint="eastAsia"/>
          <w:color w:val="auto"/>
          <w:kern w:val="0"/>
          <w:highlight w:val="none"/>
        </w:rPr>
        <w:t>　松散地层中隧道</w:t>
      </w:r>
      <w:r>
        <w:rPr>
          <w:rFonts w:hint="eastAsia"/>
          <w:color w:val="auto"/>
          <w:highlight w:val="none"/>
        </w:rPr>
        <w:t>勘探孔及井位勘探孔深度</w:t>
      </w:r>
      <w:r>
        <w:rPr>
          <w:rFonts w:hint="eastAsia"/>
          <w:color w:val="auto"/>
          <w:kern w:val="0"/>
          <w:highlight w:val="none"/>
        </w:rPr>
        <w:t>应满足地基变形计算和基坑开挖支护设计的要求</w:t>
      </w:r>
      <w:r>
        <w:rPr>
          <w:rFonts w:hint="eastAsia"/>
          <w:color w:val="auto"/>
          <w:szCs w:val="21"/>
          <w:highlight w:val="none"/>
          <w:lang w:eastAsia="zh-CN"/>
        </w:rPr>
        <w:t>；</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4</w:t>
      </w:r>
      <w:r>
        <w:rPr>
          <w:rFonts w:hint="eastAsia"/>
          <w:color w:val="auto"/>
          <w:kern w:val="0"/>
          <w:highlight w:val="none"/>
        </w:rPr>
        <w:t>　沉管法</w:t>
      </w:r>
      <w:r>
        <w:rPr>
          <w:color w:val="auto"/>
          <w:highlight w:val="none"/>
        </w:rPr>
        <w:t>隧道浮运航道</w:t>
      </w:r>
      <w:r>
        <w:rPr>
          <w:rFonts w:hint="eastAsia"/>
          <w:color w:val="auto"/>
          <w:highlight w:val="none"/>
        </w:rPr>
        <w:t>的勘探孔深度应满足疏浚工程量计算需要。</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5</w:t>
      </w:r>
      <w:r>
        <w:rPr>
          <w:rFonts w:hint="eastAsia"/>
          <w:color w:val="auto"/>
          <w:kern w:val="0"/>
          <w:highlight w:val="none"/>
        </w:rPr>
        <w:t>　</w:t>
      </w:r>
      <w:r>
        <w:rPr>
          <w:color w:val="auto"/>
          <w:kern w:val="0"/>
          <w:highlight w:val="none"/>
        </w:rPr>
        <w:t>当</w:t>
      </w:r>
      <w:r>
        <w:rPr>
          <w:rFonts w:hint="eastAsia"/>
          <w:color w:val="auto"/>
          <w:kern w:val="0"/>
          <w:highlight w:val="none"/>
        </w:rPr>
        <w:t>明</w:t>
      </w:r>
      <w:r>
        <w:rPr>
          <w:color w:val="auto"/>
          <w:kern w:val="0"/>
          <w:highlight w:val="none"/>
        </w:rPr>
        <w:t>挖法隧道外侧临近山坡时，应综合考虑现状坡体叠加隧道边坡后的坡体稳定性来确定</w:t>
      </w:r>
      <w:r>
        <w:rPr>
          <w:rFonts w:hint="eastAsia"/>
          <w:color w:val="auto"/>
          <w:kern w:val="0"/>
          <w:highlight w:val="none"/>
        </w:rPr>
        <w:t>勘探</w:t>
      </w:r>
      <w:r>
        <w:rPr>
          <w:color w:val="auto"/>
          <w:kern w:val="0"/>
          <w:highlight w:val="none"/>
        </w:rPr>
        <w:t>深度。</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6</w:t>
      </w:r>
      <w:r>
        <w:rPr>
          <w:rFonts w:hint="eastAsia"/>
          <w:color w:val="auto"/>
          <w:kern w:val="0"/>
          <w:highlight w:val="none"/>
        </w:rPr>
        <w:t>　</w:t>
      </w:r>
      <w:r>
        <w:rPr>
          <w:color w:val="auto"/>
          <w:kern w:val="0"/>
          <w:highlight w:val="none"/>
        </w:rPr>
        <w:t>遇岩溶、土洞、暗河、</w:t>
      </w:r>
      <w:r>
        <w:rPr>
          <w:rFonts w:hint="eastAsia"/>
          <w:color w:val="auto"/>
          <w:kern w:val="0"/>
          <w:highlight w:val="none"/>
        </w:rPr>
        <w:t>采空区、</w:t>
      </w:r>
      <w:r>
        <w:rPr>
          <w:color w:val="auto"/>
          <w:kern w:val="0"/>
          <w:highlight w:val="none"/>
        </w:rPr>
        <w:t>软</w:t>
      </w:r>
      <w:r>
        <w:rPr>
          <w:rFonts w:hint="eastAsia"/>
          <w:color w:val="auto"/>
          <w:kern w:val="0"/>
          <w:highlight w:val="none"/>
        </w:rPr>
        <w:t>弱松散土</w:t>
      </w:r>
      <w:r>
        <w:rPr>
          <w:color w:val="auto"/>
          <w:kern w:val="0"/>
          <w:highlight w:val="none"/>
        </w:rPr>
        <w:t>层等，应穿透并根据需要加深。</w:t>
      </w:r>
    </w:p>
    <w:p>
      <w:pPr>
        <w:autoSpaceDE w:val="0"/>
        <w:autoSpaceDN w:val="0"/>
        <w:adjustRightInd w:val="0"/>
        <w:spacing w:line="360" w:lineRule="auto"/>
        <w:jc w:val="left"/>
        <w:rPr>
          <w:color w:val="auto"/>
          <w:kern w:val="0"/>
          <w:szCs w:val="21"/>
          <w:highlight w:val="none"/>
        </w:rPr>
      </w:pPr>
      <w:r>
        <w:rPr>
          <w:b/>
          <w:bCs/>
          <w:color w:val="auto"/>
          <w:highlight w:val="none"/>
        </w:rPr>
        <w:t>7.4.4</w:t>
      </w:r>
      <w:r>
        <w:rPr>
          <w:rFonts w:hint="eastAsia"/>
          <w:color w:val="auto"/>
          <w:highlight w:val="none"/>
        </w:rPr>
        <w:t>　</w:t>
      </w:r>
      <w:r>
        <w:rPr>
          <w:color w:val="auto"/>
          <w:kern w:val="0"/>
          <w:highlight w:val="none"/>
        </w:rPr>
        <w:t>详细勘察</w:t>
      </w:r>
      <w:r>
        <w:rPr>
          <w:color w:val="auto"/>
          <w:highlight w:val="none"/>
        </w:rPr>
        <w:t>应重点分析评价下列内容：</w:t>
      </w:r>
    </w:p>
    <w:p>
      <w:pPr>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评价场地与地基的地震效应；</w:t>
      </w:r>
    </w:p>
    <w:p>
      <w:pPr>
        <w:spacing w:line="360" w:lineRule="auto"/>
        <w:ind w:firstLine="422" w:firstLineChars="200"/>
        <w:rPr>
          <w:color w:val="auto"/>
          <w:kern w:val="0"/>
          <w:highlight w:val="none"/>
        </w:rPr>
      </w:pPr>
      <w:r>
        <w:rPr>
          <w:rFonts w:hint="eastAsia"/>
          <w:b/>
          <w:bCs/>
          <w:color w:val="auto"/>
          <w:kern w:val="0"/>
          <w:highlight w:val="none"/>
        </w:rPr>
        <w:t>2</w:t>
      </w:r>
      <w:r>
        <w:rPr>
          <w:rFonts w:hint="eastAsia"/>
          <w:color w:val="auto"/>
          <w:kern w:val="0"/>
          <w:highlight w:val="none"/>
        </w:rPr>
        <w:t>　</w:t>
      </w:r>
      <w:r>
        <w:rPr>
          <w:color w:val="auto"/>
          <w:kern w:val="0"/>
          <w:highlight w:val="none"/>
        </w:rPr>
        <w:t>根据沿线工程地质条件、水文地质条件、环境地质条件，评价施工工法的适用性；</w:t>
      </w:r>
    </w:p>
    <w:p>
      <w:pPr>
        <w:spacing w:line="360" w:lineRule="auto"/>
        <w:ind w:firstLine="422" w:firstLineChars="200"/>
        <w:rPr>
          <w:color w:val="auto"/>
          <w:kern w:val="0"/>
          <w:highlight w:val="none"/>
        </w:rPr>
      </w:pPr>
      <w:r>
        <w:rPr>
          <w:rFonts w:hint="eastAsia"/>
          <w:b/>
          <w:bCs/>
          <w:color w:val="auto"/>
          <w:kern w:val="0"/>
          <w:highlight w:val="none"/>
        </w:rPr>
        <w:t>3</w:t>
      </w:r>
      <w:r>
        <w:rPr>
          <w:rFonts w:hint="eastAsia"/>
          <w:color w:val="auto"/>
          <w:kern w:val="0"/>
          <w:highlight w:val="none"/>
        </w:rPr>
        <w:t>　</w:t>
      </w:r>
      <w:r>
        <w:rPr>
          <w:color w:val="auto"/>
          <w:kern w:val="0"/>
          <w:highlight w:val="none"/>
        </w:rPr>
        <w:t>分析评价拟建场地的</w:t>
      </w:r>
      <w:r>
        <w:rPr>
          <w:color w:val="auto"/>
          <w:highlight w:val="none"/>
        </w:rPr>
        <w:t>断裂、岩溶、煤层、矿体、膨胀岩土、采空区等</w:t>
      </w:r>
      <w:r>
        <w:rPr>
          <w:color w:val="auto"/>
          <w:kern w:val="0"/>
          <w:highlight w:val="none"/>
        </w:rPr>
        <w:t>不良地质作用</w:t>
      </w:r>
      <w:r>
        <w:rPr>
          <w:rFonts w:hint="eastAsia"/>
          <w:color w:val="auto"/>
          <w:kern w:val="0"/>
          <w:highlight w:val="none"/>
        </w:rPr>
        <w:t>和</w:t>
      </w:r>
      <w:r>
        <w:rPr>
          <w:color w:val="auto"/>
          <w:kern w:val="0"/>
          <w:highlight w:val="none"/>
        </w:rPr>
        <w:t>特殊性岩土的分布情况及其对隧道的影响，提供相应</w:t>
      </w:r>
      <w:r>
        <w:rPr>
          <w:rFonts w:hint="eastAsia"/>
          <w:color w:val="auto"/>
          <w:kern w:val="0"/>
          <w:highlight w:val="none"/>
        </w:rPr>
        <w:t>治</w:t>
      </w:r>
      <w:r>
        <w:rPr>
          <w:color w:val="auto"/>
          <w:kern w:val="0"/>
          <w:highlight w:val="none"/>
        </w:rPr>
        <w:t>理措施建议；</w:t>
      </w:r>
    </w:p>
    <w:p>
      <w:pPr>
        <w:spacing w:line="360" w:lineRule="auto"/>
        <w:ind w:firstLine="422" w:firstLineChars="200"/>
        <w:rPr>
          <w:color w:val="auto"/>
          <w:kern w:val="0"/>
          <w:highlight w:val="none"/>
        </w:rPr>
      </w:pPr>
      <w:r>
        <w:rPr>
          <w:rFonts w:hint="eastAsia"/>
          <w:b/>
          <w:bCs/>
          <w:color w:val="auto"/>
          <w:kern w:val="0"/>
          <w:highlight w:val="none"/>
        </w:rPr>
        <w:t>4</w:t>
      </w:r>
      <w:r>
        <w:rPr>
          <w:rFonts w:hint="eastAsia"/>
          <w:color w:val="auto"/>
          <w:kern w:val="0"/>
          <w:highlight w:val="none"/>
        </w:rPr>
        <w:t>　</w:t>
      </w:r>
      <w:r>
        <w:rPr>
          <w:color w:val="auto"/>
          <w:kern w:val="0"/>
          <w:highlight w:val="none"/>
        </w:rPr>
        <w:t>分析评价</w:t>
      </w:r>
      <w:r>
        <w:rPr>
          <w:color w:val="auto"/>
          <w:highlight w:val="none"/>
        </w:rPr>
        <w:t>地表水、地下水</w:t>
      </w:r>
      <w:r>
        <w:rPr>
          <w:rFonts w:hint="eastAsia"/>
          <w:color w:val="auto"/>
          <w:highlight w:val="none"/>
        </w:rPr>
        <w:t>和</w:t>
      </w:r>
      <w:r>
        <w:rPr>
          <w:color w:val="auto"/>
          <w:highlight w:val="none"/>
        </w:rPr>
        <w:t>有害气体</w:t>
      </w:r>
      <w:r>
        <w:rPr>
          <w:color w:val="auto"/>
          <w:kern w:val="0"/>
          <w:highlight w:val="none"/>
        </w:rPr>
        <w:t>对隧道设计和施工可能产生的影响，提出</w:t>
      </w:r>
      <w:r>
        <w:rPr>
          <w:rFonts w:hint="eastAsia"/>
          <w:color w:val="auto"/>
          <w:kern w:val="0"/>
          <w:highlight w:val="none"/>
        </w:rPr>
        <w:t>处理</w:t>
      </w:r>
      <w:r>
        <w:rPr>
          <w:color w:val="auto"/>
          <w:kern w:val="0"/>
          <w:highlight w:val="none"/>
        </w:rPr>
        <w:t>措施</w:t>
      </w:r>
      <w:r>
        <w:rPr>
          <w:rFonts w:hint="eastAsia"/>
          <w:color w:val="auto"/>
          <w:kern w:val="0"/>
          <w:highlight w:val="none"/>
        </w:rPr>
        <w:t>建议</w:t>
      </w:r>
      <w:r>
        <w:rPr>
          <w:color w:val="auto"/>
          <w:kern w:val="0"/>
          <w:highlight w:val="none"/>
        </w:rPr>
        <w:t>；需降水施工时，应分段提出工程降水方案和有关参数</w:t>
      </w:r>
      <w:r>
        <w:rPr>
          <w:rFonts w:hint="eastAsia"/>
          <w:color w:val="auto"/>
          <w:kern w:val="0"/>
          <w:highlight w:val="none"/>
        </w:rPr>
        <w:t>；</w:t>
      </w:r>
    </w:p>
    <w:p>
      <w:pPr>
        <w:spacing w:line="360" w:lineRule="auto"/>
        <w:ind w:firstLine="422" w:firstLineChars="200"/>
        <w:rPr>
          <w:color w:val="auto"/>
          <w:kern w:val="0"/>
          <w:highlight w:val="none"/>
        </w:rPr>
      </w:pPr>
      <w:r>
        <w:rPr>
          <w:rFonts w:hint="eastAsia"/>
          <w:b/>
          <w:bCs/>
          <w:color w:val="auto"/>
          <w:kern w:val="0"/>
          <w:highlight w:val="none"/>
        </w:rPr>
        <w:t>5</w:t>
      </w:r>
      <w:r>
        <w:rPr>
          <w:rFonts w:hint="eastAsia"/>
          <w:color w:val="auto"/>
          <w:kern w:val="0"/>
          <w:highlight w:val="none"/>
        </w:rPr>
        <w:t>　</w:t>
      </w:r>
      <w:r>
        <w:rPr>
          <w:color w:val="auto"/>
          <w:kern w:val="0"/>
          <w:highlight w:val="none"/>
        </w:rPr>
        <w:t>分析评价进出洞口、竖（斜）井、导坑、横洞等辅助通道的工程地质条件及岩土稳定性</w:t>
      </w:r>
      <w:r>
        <w:rPr>
          <w:color w:val="auto"/>
          <w:highlight w:val="none"/>
        </w:rPr>
        <w:t>，提供设计、施工相关的岩土参数</w:t>
      </w:r>
      <w:r>
        <w:rPr>
          <w:color w:val="auto"/>
          <w:kern w:val="0"/>
          <w:highlight w:val="none"/>
        </w:rPr>
        <w:t>；</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6</w:t>
      </w:r>
      <w:r>
        <w:rPr>
          <w:rFonts w:hint="eastAsia"/>
          <w:color w:val="auto"/>
          <w:kern w:val="0"/>
          <w:highlight w:val="none"/>
        </w:rPr>
        <w:t>　</w:t>
      </w:r>
      <w:r>
        <w:rPr>
          <w:color w:val="auto"/>
          <w:kern w:val="0"/>
          <w:highlight w:val="none"/>
        </w:rPr>
        <w:t>根据沿线地下设施及障碍物专项调查报告，分析评价其对隧道设计和施工的不利影响，</w:t>
      </w:r>
      <w:r>
        <w:rPr>
          <w:rFonts w:hint="eastAsia"/>
          <w:color w:val="auto"/>
          <w:kern w:val="0"/>
          <w:highlight w:val="none"/>
        </w:rPr>
        <w:t>提出处理措施建议；</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lang w:val="en-US" w:eastAsia="zh-CN"/>
        </w:rPr>
        <w:t>7</w:t>
      </w:r>
      <w:r>
        <w:rPr>
          <w:rFonts w:hint="eastAsia"/>
          <w:color w:val="auto"/>
          <w:kern w:val="0"/>
          <w:highlight w:val="none"/>
          <w:lang w:val="en-US" w:eastAsia="zh-CN"/>
        </w:rPr>
        <w:t xml:space="preserve">  </w:t>
      </w:r>
      <w:r>
        <w:rPr>
          <w:rFonts w:hint="eastAsia"/>
          <w:color w:val="auto"/>
          <w:kern w:val="0"/>
          <w:highlight w:val="none"/>
        </w:rPr>
        <w:t>管道穿越堤岸时，分析破堤对堤岸稳定性的影响和堤岸变形对管道的影响，提供相关建议；</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lang w:val="en-US" w:eastAsia="zh-CN"/>
        </w:rPr>
        <w:t>8</w:t>
      </w:r>
      <w:r>
        <w:rPr>
          <w:rFonts w:hint="eastAsia"/>
          <w:color w:val="auto"/>
          <w:kern w:val="0"/>
          <w:highlight w:val="none"/>
        </w:rPr>
        <w:t>　分析</w:t>
      </w:r>
      <w:r>
        <w:rPr>
          <w:color w:val="auto"/>
          <w:kern w:val="0"/>
          <w:highlight w:val="none"/>
        </w:rPr>
        <w:t>隧道施工对</w:t>
      </w:r>
      <w:r>
        <w:rPr>
          <w:rFonts w:hint="eastAsia"/>
          <w:color w:val="auto"/>
          <w:kern w:val="0"/>
          <w:highlight w:val="none"/>
        </w:rPr>
        <w:t>周边</w:t>
      </w:r>
      <w:r>
        <w:rPr>
          <w:color w:val="auto"/>
          <w:kern w:val="0"/>
          <w:highlight w:val="none"/>
        </w:rPr>
        <w:t>环境的不利影响，提出</w:t>
      </w:r>
      <w:r>
        <w:rPr>
          <w:rFonts w:hint="eastAsia"/>
          <w:color w:val="auto"/>
          <w:kern w:val="0"/>
          <w:highlight w:val="none"/>
        </w:rPr>
        <w:t>周边环境保护措施</w:t>
      </w:r>
      <w:r>
        <w:rPr>
          <w:color w:val="auto"/>
          <w:kern w:val="0"/>
          <w:highlight w:val="none"/>
        </w:rPr>
        <w:t>建议</w:t>
      </w:r>
      <w:r>
        <w:rPr>
          <w:rFonts w:hint="eastAsia"/>
          <w:color w:val="auto"/>
          <w:kern w:val="0"/>
          <w:highlight w:val="none"/>
        </w:rPr>
        <w:t>；</w:t>
      </w:r>
    </w:p>
    <w:p>
      <w:pPr>
        <w:spacing w:line="360" w:lineRule="auto"/>
        <w:ind w:firstLine="422" w:firstLineChars="200"/>
        <w:rPr>
          <w:color w:val="auto"/>
          <w:highlight w:val="none"/>
        </w:rPr>
      </w:pPr>
      <w:r>
        <w:rPr>
          <w:rFonts w:hint="eastAsia"/>
          <w:b/>
          <w:bCs/>
          <w:color w:val="auto"/>
          <w:highlight w:val="none"/>
          <w:lang w:val="en-US" w:eastAsia="zh-CN"/>
        </w:rPr>
        <w:t>9</w:t>
      </w:r>
      <w:r>
        <w:rPr>
          <w:rFonts w:hint="eastAsia"/>
          <w:color w:val="auto"/>
          <w:highlight w:val="none"/>
        </w:rPr>
        <w:t>　</w:t>
      </w:r>
      <w:r>
        <w:rPr>
          <w:color w:val="auto"/>
          <w:highlight w:val="none"/>
        </w:rPr>
        <w:t>提供</w:t>
      </w:r>
      <w:r>
        <w:rPr>
          <w:rFonts w:hint="eastAsia"/>
          <w:color w:val="auto"/>
          <w:highlight w:val="none"/>
        </w:rPr>
        <w:t>隧道设计所需</w:t>
      </w:r>
      <w:r>
        <w:rPr>
          <w:color w:val="auto"/>
          <w:highlight w:val="none"/>
        </w:rPr>
        <w:t>的</w:t>
      </w:r>
      <w:r>
        <w:rPr>
          <w:rFonts w:hint="eastAsia"/>
          <w:color w:val="auto"/>
          <w:highlight w:val="none"/>
        </w:rPr>
        <w:t>岩土参数</w:t>
      </w:r>
      <w:r>
        <w:rPr>
          <w:color w:val="auto"/>
          <w:highlight w:val="none"/>
        </w:rPr>
        <w:t>建议值，并</w:t>
      </w:r>
      <w:r>
        <w:rPr>
          <w:rFonts w:hint="eastAsia"/>
          <w:color w:val="auto"/>
          <w:highlight w:val="none"/>
        </w:rPr>
        <w:t>按附录G</w:t>
      </w:r>
      <w:r>
        <w:rPr>
          <w:color w:val="auto"/>
          <w:highlight w:val="none"/>
        </w:rPr>
        <w:t>进行土、石工程分级</w:t>
      </w:r>
      <w:r>
        <w:rPr>
          <w:rFonts w:hint="eastAsia"/>
          <w:color w:val="auto"/>
          <w:highlight w:val="none"/>
        </w:rPr>
        <w:t>。</w:t>
      </w:r>
    </w:p>
    <w:p>
      <w:pPr>
        <w:spacing w:line="360" w:lineRule="auto"/>
        <w:ind w:firstLine="422" w:firstLineChars="200"/>
        <w:rPr>
          <w:color w:val="auto"/>
          <w:highlight w:val="none"/>
        </w:rPr>
      </w:pPr>
      <w:r>
        <w:rPr>
          <w:rFonts w:hint="eastAsia"/>
          <w:b/>
          <w:bCs/>
          <w:color w:val="auto"/>
          <w:highlight w:val="none"/>
          <w:lang w:val="en-US" w:eastAsia="zh-CN"/>
        </w:rPr>
        <w:t>10</w:t>
      </w:r>
      <w:r>
        <w:rPr>
          <w:rFonts w:hint="eastAsia"/>
          <w:color w:val="auto"/>
          <w:highlight w:val="none"/>
        </w:rPr>
        <w:t>　提出对岩土体、工程结构、周边环境设施的变形及地下水位变化等的检测、监测建议。</w:t>
      </w:r>
    </w:p>
    <w:p>
      <w:pPr>
        <w:spacing w:line="360" w:lineRule="auto"/>
        <w:ind w:firstLine="422" w:firstLineChars="200"/>
        <w:rPr>
          <w:color w:val="auto"/>
          <w:highlight w:val="none"/>
        </w:rPr>
      </w:pPr>
      <w:r>
        <w:rPr>
          <w:rFonts w:hint="eastAsia"/>
          <w:b/>
          <w:bCs/>
          <w:color w:val="auto"/>
          <w:highlight w:val="none"/>
        </w:rPr>
        <w:t>1</w:t>
      </w:r>
      <w:r>
        <w:rPr>
          <w:rFonts w:hint="eastAsia"/>
          <w:b/>
          <w:bCs/>
          <w:color w:val="auto"/>
          <w:highlight w:val="none"/>
          <w:lang w:val="en-US" w:eastAsia="zh-CN"/>
        </w:rPr>
        <w:t>1</w:t>
      </w:r>
      <w:r>
        <w:rPr>
          <w:rFonts w:hint="eastAsia"/>
          <w:color w:val="auto"/>
          <w:highlight w:val="none"/>
        </w:rPr>
        <w:t>　分析工程建设</w:t>
      </w:r>
      <w:r>
        <w:rPr>
          <w:color w:val="auto"/>
          <w:highlight w:val="none"/>
        </w:rPr>
        <w:t>过程可能</w:t>
      </w:r>
      <w:r>
        <w:rPr>
          <w:rFonts w:hint="eastAsia"/>
          <w:color w:val="auto"/>
          <w:highlight w:val="none"/>
        </w:rPr>
        <w:t>引发或</w:t>
      </w:r>
      <w:r>
        <w:rPr>
          <w:color w:val="auto"/>
          <w:highlight w:val="none"/>
        </w:rPr>
        <w:t>遭遇的地质风险</w:t>
      </w:r>
      <w:r>
        <w:rPr>
          <w:rFonts w:hint="eastAsia"/>
          <w:color w:val="auto"/>
          <w:highlight w:val="none"/>
        </w:rPr>
        <w:t>，并提出</w:t>
      </w:r>
      <w:r>
        <w:rPr>
          <w:color w:val="auto"/>
          <w:highlight w:val="none"/>
        </w:rPr>
        <w:t>应对措施</w:t>
      </w:r>
      <w:r>
        <w:rPr>
          <w:rFonts w:hint="eastAsia"/>
          <w:color w:val="auto"/>
          <w:highlight w:val="none"/>
        </w:rPr>
        <w:t>建议。</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1</w:t>
      </w:r>
      <w:r>
        <w:rPr>
          <w:rFonts w:hint="eastAsia"/>
          <w:b/>
          <w:bCs/>
          <w:color w:val="auto"/>
          <w:kern w:val="0"/>
          <w:highlight w:val="none"/>
          <w:lang w:val="en-US" w:eastAsia="zh-CN"/>
        </w:rPr>
        <w:t>2</w:t>
      </w:r>
      <w:r>
        <w:rPr>
          <w:rFonts w:hint="eastAsia"/>
          <w:color w:val="auto"/>
          <w:kern w:val="0"/>
          <w:highlight w:val="none"/>
        </w:rPr>
        <w:t>　</w:t>
      </w:r>
      <w:r>
        <w:rPr>
          <w:color w:val="auto"/>
          <w:kern w:val="0"/>
          <w:highlight w:val="none"/>
        </w:rPr>
        <w:t>对</w:t>
      </w:r>
      <w:r>
        <w:rPr>
          <w:rFonts w:hint="eastAsia"/>
          <w:color w:val="auto"/>
          <w:kern w:val="0"/>
          <w:highlight w:val="none"/>
        </w:rPr>
        <w:t>明挖法</w:t>
      </w:r>
      <w:r>
        <w:rPr>
          <w:color w:val="auto"/>
          <w:kern w:val="0"/>
          <w:highlight w:val="none"/>
        </w:rPr>
        <w:t>隧道</w:t>
      </w:r>
      <w:r>
        <w:rPr>
          <w:rFonts w:hint="eastAsia"/>
          <w:color w:val="auto"/>
          <w:kern w:val="0"/>
          <w:highlight w:val="none"/>
        </w:rPr>
        <w:t>，还应分析评价下列内容：</w:t>
      </w:r>
    </w:p>
    <w:p>
      <w:pPr>
        <w:numPr>
          <w:ilvl w:val="0"/>
          <w:numId w:val="3"/>
        </w:numPr>
        <w:autoSpaceDE w:val="0"/>
        <w:autoSpaceDN w:val="0"/>
        <w:adjustRightInd w:val="0"/>
        <w:spacing w:line="360" w:lineRule="auto"/>
        <w:ind w:left="945" w:leftChars="300" w:hanging="315" w:hangingChars="150"/>
        <w:jc w:val="left"/>
        <w:rPr>
          <w:color w:val="auto"/>
          <w:kern w:val="0"/>
          <w:highlight w:val="none"/>
        </w:rPr>
      </w:pPr>
      <w:r>
        <w:rPr>
          <w:color w:val="auto"/>
          <w:kern w:val="0"/>
          <w:highlight w:val="none"/>
        </w:rPr>
        <w:t>分析评价地基持力层的工程特性</w:t>
      </w:r>
      <w:r>
        <w:rPr>
          <w:rFonts w:hint="eastAsia"/>
          <w:color w:val="auto"/>
          <w:kern w:val="0"/>
          <w:highlight w:val="none"/>
        </w:rPr>
        <w:t>及地基的均匀性</w:t>
      </w:r>
      <w:r>
        <w:rPr>
          <w:color w:val="auto"/>
          <w:kern w:val="0"/>
          <w:highlight w:val="none"/>
        </w:rPr>
        <w:t>，提出</w:t>
      </w:r>
      <w:r>
        <w:rPr>
          <w:rFonts w:hint="eastAsia"/>
          <w:color w:val="auto"/>
          <w:kern w:val="0"/>
          <w:highlight w:val="none"/>
        </w:rPr>
        <w:t>地基基础形式及</w:t>
      </w:r>
      <w:r>
        <w:rPr>
          <w:color w:val="auto"/>
          <w:kern w:val="0"/>
          <w:highlight w:val="none"/>
        </w:rPr>
        <w:t>地基处理方案建议；</w:t>
      </w:r>
    </w:p>
    <w:p>
      <w:pPr>
        <w:numPr>
          <w:ilvl w:val="0"/>
          <w:numId w:val="3"/>
        </w:numPr>
        <w:autoSpaceDE w:val="0"/>
        <w:autoSpaceDN w:val="0"/>
        <w:adjustRightInd w:val="0"/>
        <w:spacing w:line="360" w:lineRule="auto"/>
        <w:ind w:left="945" w:leftChars="300" w:hanging="315" w:hangingChars="150"/>
        <w:jc w:val="left"/>
        <w:rPr>
          <w:color w:val="auto"/>
          <w:kern w:val="0"/>
          <w:highlight w:val="none"/>
        </w:rPr>
      </w:pPr>
      <w:r>
        <w:rPr>
          <w:rFonts w:hint="eastAsia"/>
          <w:color w:val="auto"/>
          <w:kern w:val="0"/>
          <w:highlight w:val="none"/>
        </w:rPr>
        <w:t>分析评价地下水水位的变化规律及其对隧道结构抗浮的影响，提出抗浮设计水位及抗浮设计建议；必要时对抗浮设防水位进行专项研究；</w:t>
      </w:r>
    </w:p>
    <w:p>
      <w:pPr>
        <w:numPr>
          <w:ilvl w:val="0"/>
          <w:numId w:val="3"/>
        </w:numPr>
        <w:autoSpaceDE w:val="0"/>
        <w:autoSpaceDN w:val="0"/>
        <w:adjustRightInd w:val="0"/>
        <w:spacing w:line="360" w:lineRule="auto"/>
        <w:ind w:firstLine="630" w:firstLineChars="300"/>
        <w:jc w:val="left"/>
        <w:rPr>
          <w:color w:val="auto"/>
          <w:kern w:val="0"/>
          <w:highlight w:val="none"/>
        </w:rPr>
      </w:pPr>
      <w:r>
        <w:rPr>
          <w:rFonts w:hint="eastAsia"/>
          <w:color w:val="auto"/>
          <w:kern w:val="0"/>
          <w:highlight w:val="none"/>
        </w:rPr>
        <w:t>软土地区抗浮桩同时作为竖向支承桩时，提出隧道运营期设计最低水位；</w:t>
      </w:r>
    </w:p>
    <w:p>
      <w:pPr>
        <w:numPr>
          <w:ilvl w:val="0"/>
          <w:numId w:val="3"/>
        </w:numPr>
        <w:autoSpaceDE w:val="0"/>
        <w:autoSpaceDN w:val="0"/>
        <w:adjustRightInd w:val="0"/>
        <w:spacing w:line="360" w:lineRule="auto"/>
        <w:ind w:firstLine="630" w:firstLineChars="300"/>
        <w:jc w:val="left"/>
        <w:rPr>
          <w:color w:val="auto"/>
          <w:kern w:val="0"/>
          <w:highlight w:val="none"/>
        </w:rPr>
      </w:pPr>
      <w:r>
        <w:rPr>
          <w:color w:val="auto"/>
          <w:kern w:val="0"/>
          <w:highlight w:val="none"/>
        </w:rPr>
        <w:t>分析评价隧道基坑产生流砂、管涌的可能性，提出防治措施建议；</w:t>
      </w:r>
    </w:p>
    <w:p>
      <w:pPr>
        <w:numPr>
          <w:ilvl w:val="0"/>
          <w:numId w:val="3"/>
        </w:numPr>
        <w:autoSpaceDE w:val="0"/>
        <w:autoSpaceDN w:val="0"/>
        <w:adjustRightInd w:val="0"/>
        <w:spacing w:line="360" w:lineRule="auto"/>
        <w:ind w:firstLine="630" w:firstLineChars="300"/>
        <w:jc w:val="left"/>
        <w:rPr>
          <w:color w:val="auto"/>
          <w:kern w:val="0"/>
          <w:highlight w:val="none"/>
        </w:rPr>
      </w:pPr>
      <w:r>
        <w:rPr>
          <w:color w:val="auto"/>
          <w:kern w:val="0"/>
          <w:highlight w:val="none"/>
        </w:rPr>
        <w:t>分析评价溶土洞、采空区等对隧道底板稳定性的影响，提出处理措施建议；</w:t>
      </w:r>
    </w:p>
    <w:p>
      <w:pPr>
        <w:numPr>
          <w:ilvl w:val="0"/>
          <w:numId w:val="3"/>
        </w:numPr>
        <w:autoSpaceDE w:val="0"/>
        <w:autoSpaceDN w:val="0"/>
        <w:adjustRightInd w:val="0"/>
        <w:spacing w:line="360" w:lineRule="auto"/>
        <w:ind w:left="945" w:leftChars="300" w:hanging="315" w:hangingChars="150"/>
        <w:jc w:val="left"/>
        <w:rPr>
          <w:color w:val="auto"/>
          <w:kern w:val="0"/>
          <w:highlight w:val="none"/>
        </w:rPr>
      </w:pPr>
      <w:r>
        <w:rPr>
          <w:color w:val="auto"/>
          <w:kern w:val="0"/>
          <w:highlight w:val="none"/>
        </w:rPr>
        <w:t>分析</w:t>
      </w:r>
      <w:r>
        <w:rPr>
          <w:rFonts w:hint="eastAsia"/>
          <w:color w:val="auto"/>
          <w:kern w:val="0"/>
          <w:highlight w:val="none"/>
        </w:rPr>
        <w:t>评价地下水、软弱土层、土岩界面、岩体结构面、构造破碎带对</w:t>
      </w:r>
      <w:r>
        <w:rPr>
          <w:color w:val="auto"/>
          <w:kern w:val="0"/>
          <w:highlight w:val="none"/>
        </w:rPr>
        <w:t>隧道基坑</w:t>
      </w:r>
      <w:r>
        <w:rPr>
          <w:rFonts w:hint="eastAsia"/>
          <w:color w:val="auto"/>
          <w:kern w:val="0"/>
          <w:highlight w:val="none"/>
        </w:rPr>
        <w:t>边坡</w:t>
      </w:r>
      <w:r>
        <w:rPr>
          <w:color w:val="auto"/>
          <w:kern w:val="0"/>
          <w:highlight w:val="none"/>
        </w:rPr>
        <w:t>稳定性</w:t>
      </w:r>
      <w:r>
        <w:rPr>
          <w:rFonts w:hint="eastAsia"/>
          <w:color w:val="auto"/>
          <w:kern w:val="0"/>
          <w:highlight w:val="none"/>
        </w:rPr>
        <w:t>的影响</w:t>
      </w:r>
      <w:r>
        <w:rPr>
          <w:color w:val="auto"/>
          <w:kern w:val="0"/>
          <w:highlight w:val="none"/>
        </w:rPr>
        <w:t>，提出支护</w:t>
      </w:r>
      <w:r>
        <w:rPr>
          <w:rFonts w:hint="eastAsia"/>
          <w:color w:val="auto"/>
          <w:kern w:val="0"/>
          <w:highlight w:val="none"/>
        </w:rPr>
        <w:t>和地下水控制</w:t>
      </w:r>
      <w:r>
        <w:rPr>
          <w:color w:val="auto"/>
          <w:kern w:val="0"/>
          <w:highlight w:val="none"/>
        </w:rPr>
        <w:t>措施建议</w:t>
      </w:r>
      <w:r>
        <w:rPr>
          <w:rFonts w:hint="eastAsia"/>
          <w:color w:val="auto"/>
          <w:kern w:val="0"/>
          <w:highlight w:val="none"/>
        </w:rPr>
        <w:t>。</w:t>
      </w:r>
      <w:r>
        <w:rPr>
          <w:color w:val="auto"/>
          <w:kern w:val="0"/>
          <w:highlight w:val="none"/>
        </w:rPr>
        <w:t xml:space="preserve"> </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1</w:t>
      </w:r>
      <w:r>
        <w:rPr>
          <w:rFonts w:hint="eastAsia"/>
          <w:b/>
          <w:bCs/>
          <w:color w:val="auto"/>
          <w:kern w:val="0"/>
          <w:highlight w:val="none"/>
          <w:lang w:val="en-US" w:eastAsia="zh-CN"/>
        </w:rPr>
        <w:t>3</w:t>
      </w:r>
      <w:r>
        <w:rPr>
          <w:rFonts w:hint="eastAsia"/>
          <w:color w:val="auto"/>
          <w:kern w:val="0"/>
          <w:highlight w:val="none"/>
        </w:rPr>
        <w:t>　对</w:t>
      </w:r>
      <w:r>
        <w:rPr>
          <w:rFonts w:hint="eastAsia"/>
          <w:color w:val="auto"/>
          <w:highlight w:val="none"/>
        </w:rPr>
        <w:t>沉管法</w:t>
      </w:r>
      <w:r>
        <w:rPr>
          <w:color w:val="auto"/>
          <w:highlight w:val="none"/>
        </w:rPr>
        <w:t>隧道</w:t>
      </w:r>
      <w:r>
        <w:rPr>
          <w:rFonts w:hint="eastAsia"/>
          <w:color w:val="auto"/>
          <w:highlight w:val="none"/>
        </w:rPr>
        <w:t>，还应</w:t>
      </w:r>
      <w:r>
        <w:rPr>
          <w:color w:val="auto"/>
          <w:kern w:val="0"/>
          <w:highlight w:val="none"/>
        </w:rPr>
        <w:t>分析评价</w:t>
      </w:r>
      <w:r>
        <w:rPr>
          <w:rFonts w:hint="eastAsia"/>
          <w:color w:val="auto"/>
          <w:kern w:val="0"/>
          <w:highlight w:val="none"/>
        </w:rPr>
        <w:t>下列内容：</w:t>
      </w:r>
    </w:p>
    <w:p>
      <w:pPr>
        <w:numPr>
          <w:ilvl w:val="0"/>
          <w:numId w:val="4"/>
        </w:numPr>
        <w:autoSpaceDE w:val="0"/>
        <w:autoSpaceDN w:val="0"/>
        <w:adjustRightInd w:val="0"/>
        <w:spacing w:line="360" w:lineRule="auto"/>
        <w:ind w:firstLine="630" w:firstLineChars="300"/>
        <w:jc w:val="left"/>
        <w:rPr>
          <w:color w:val="auto"/>
          <w:highlight w:val="none"/>
        </w:rPr>
      </w:pPr>
      <w:r>
        <w:rPr>
          <w:color w:val="auto"/>
          <w:kern w:val="0"/>
          <w:highlight w:val="none"/>
        </w:rPr>
        <w:t>分析评价河床的稳定性</w:t>
      </w:r>
      <w:r>
        <w:rPr>
          <w:rFonts w:hint="eastAsia"/>
          <w:color w:val="auto"/>
          <w:highlight w:val="none"/>
        </w:rPr>
        <w:t>；</w:t>
      </w:r>
    </w:p>
    <w:p>
      <w:pPr>
        <w:numPr>
          <w:ilvl w:val="0"/>
          <w:numId w:val="4"/>
        </w:numPr>
        <w:autoSpaceDE w:val="0"/>
        <w:autoSpaceDN w:val="0"/>
        <w:adjustRightInd w:val="0"/>
        <w:spacing w:line="360" w:lineRule="auto"/>
        <w:ind w:firstLine="630" w:firstLineChars="300"/>
        <w:jc w:val="left"/>
        <w:rPr>
          <w:color w:val="auto"/>
          <w:kern w:val="0"/>
          <w:highlight w:val="none"/>
        </w:rPr>
      </w:pPr>
      <w:r>
        <w:rPr>
          <w:color w:val="auto"/>
          <w:kern w:val="0"/>
          <w:highlight w:val="none"/>
        </w:rPr>
        <w:t>分析评价地基持力层的工程特性</w:t>
      </w:r>
      <w:r>
        <w:rPr>
          <w:rFonts w:hint="eastAsia"/>
          <w:color w:val="auto"/>
          <w:kern w:val="0"/>
          <w:highlight w:val="none"/>
        </w:rPr>
        <w:t>及地基的均匀性</w:t>
      </w:r>
      <w:r>
        <w:rPr>
          <w:color w:val="auto"/>
          <w:kern w:val="0"/>
          <w:highlight w:val="none"/>
        </w:rPr>
        <w:t>，提出地基处理方案建议；</w:t>
      </w:r>
    </w:p>
    <w:p>
      <w:pPr>
        <w:numPr>
          <w:ilvl w:val="0"/>
          <w:numId w:val="4"/>
        </w:numPr>
        <w:autoSpaceDE w:val="0"/>
        <w:autoSpaceDN w:val="0"/>
        <w:adjustRightInd w:val="0"/>
        <w:spacing w:line="360" w:lineRule="auto"/>
        <w:ind w:firstLine="630" w:firstLineChars="300"/>
        <w:jc w:val="left"/>
        <w:rPr>
          <w:color w:val="auto"/>
          <w:kern w:val="0"/>
          <w:highlight w:val="none"/>
        </w:rPr>
      </w:pPr>
      <w:r>
        <w:rPr>
          <w:rFonts w:hint="eastAsia"/>
          <w:color w:val="auto"/>
          <w:kern w:val="0"/>
          <w:highlight w:val="none"/>
        </w:rPr>
        <w:t>分析评价放坡范围岩土体的稳定性，提出水下放坡坡率建议值；</w:t>
      </w:r>
    </w:p>
    <w:p>
      <w:pPr>
        <w:numPr>
          <w:ilvl w:val="0"/>
          <w:numId w:val="4"/>
        </w:numPr>
        <w:autoSpaceDE w:val="0"/>
        <w:autoSpaceDN w:val="0"/>
        <w:adjustRightInd w:val="0"/>
        <w:spacing w:line="360" w:lineRule="auto"/>
        <w:ind w:firstLine="630" w:firstLineChars="300"/>
        <w:jc w:val="left"/>
        <w:rPr>
          <w:color w:val="auto"/>
          <w:kern w:val="0"/>
          <w:highlight w:val="none"/>
        </w:rPr>
      </w:pPr>
      <w:r>
        <w:rPr>
          <w:rFonts w:hint="eastAsia"/>
          <w:color w:val="auto"/>
          <w:kern w:val="0"/>
          <w:highlight w:val="none"/>
        </w:rPr>
        <w:t>分析评价基槽开挖深度范围内岩土体的可挖掘性，提出水下挖掘措施建议。</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14</w:t>
      </w:r>
      <w:r>
        <w:rPr>
          <w:rFonts w:hint="eastAsia"/>
          <w:color w:val="auto"/>
          <w:kern w:val="0"/>
          <w:highlight w:val="none"/>
        </w:rPr>
        <w:t>　</w:t>
      </w:r>
      <w:r>
        <w:rPr>
          <w:color w:val="auto"/>
          <w:kern w:val="0"/>
          <w:highlight w:val="none"/>
        </w:rPr>
        <w:t>对</w:t>
      </w:r>
      <w:r>
        <w:rPr>
          <w:rFonts w:hint="eastAsia"/>
          <w:color w:val="auto"/>
          <w:kern w:val="0"/>
          <w:highlight w:val="none"/>
        </w:rPr>
        <w:t>暗挖法</w:t>
      </w:r>
      <w:r>
        <w:rPr>
          <w:color w:val="auto"/>
          <w:kern w:val="0"/>
          <w:highlight w:val="none"/>
        </w:rPr>
        <w:t>隧道</w:t>
      </w:r>
      <w:r>
        <w:rPr>
          <w:rFonts w:hint="eastAsia"/>
          <w:color w:val="auto"/>
          <w:kern w:val="0"/>
          <w:highlight w:val="none"/>
        </w:rPr>
        <w:t>，还应分析评价下列内容：</w:t>
      </w:r>
    </w:p>
    <w:p>
      <w:pPr>
        <w:numPr>
          <w:ilvl w:val="0"/>
          <w:numId w:val="5"/>
        </w:numPr>
        <w:autoSpaceDE w:val="0"/>
        <w:autoSpaceDN w:val="0"/>
        <w:adjustRightInd w:val="0"/>
        <w:spacing w:line="360" w:lineRule="auto"/>
        <w:ind w:firstLine="630" w:firstLineChars="300"/>
        <w:rPr>
          <w:color w:val="auto"/>
          <w:kern w:val="0"/>
          <w:highlight w:val="none"/>
        </w:rPr>
      </w:pPr>
      <w:r>
        <w:rPr>
          <w:color w:val="auto"/>
          <w:kern w:val="0"/>
          <w:highlight w:val="none"/>
        </w:rPr>
        <w:t>分析评价围岩的风化程度、完整性</w:t>
      </w:r>
      <w:r>
        <w:rPr>
          <w:rFonts w:hint="eastAsia"/>
          <w:color w:val="auto"/>
          <w:kern w:val="0"/>
          <w:highlight w:val="none"/>
        </w:rPr>
        <w:t>及其</w:t>
      </w:r>
      <w:r>
        <w:rPr>
          <w:color w:val="auto"/>
          <w:kern w:val="0"/>
          <w:highlight w:val="none"/>
        </w:rPr>
        <w:t>稳定性</w:t>
      </w:r>
      <w:r>
        <w:rPr>
          <w:rFonts w:hint="eastAsia"/>
          <w:color w:val="auto"/>
          <w:kern w:val="0"/>
          <w:highlight w:val="none"/>
        </w:rPr>
        <w:t>，按附录F进行隧道围岩分级</w:t>
      </w:r>
      <w:r>
        <w:rPr>
          <w:color w:val="auto"/>
          <w:kern w:val="0"/>
          <w:highlight w:val="none"/>
        </w:rPr>
        <w:t>；</w:t>
      </w:r>
    </w:p>
    <w:p>
      <w:pPr>
        <w:numPr>
          <w:ilvl w:val="0"/>
          <w:numId w:val="5"/>
        </w:numPr>
        <w:autoSpaceDE w:val="0"/>
        <w:autoSpaceDN w:val="0"/>
        <w:adjustRightInd w:val="0"/>
        <w:spacing w:line="360" w:lineRule="auto"/>
        <w:ind w:firstLine="630" w:firstLineChars="300"/>
        <w:rPr>
          <w:color w:val="auto"/>
          <w:kern w:val="0"/>
          <w:highlight w:val="none"/>
        </w:rPr>
      </w:pPr>
      <w:r>
        <w:rPr>
          <w:color w:val="auto"/>
          <w:kern w:val="0"/>
          <w:highlight w:val="none"/>
        </w:rPr>
        <w:t>分析评价地质构造复杂地段及不利地形对隧道工程的影响；</w:t>
      </w:r>
    </w:p>
    <w:p>
      <w:pPr>
        <w:numPr>
          <w:ilvl w:val="0"/>
          <w:numId w:val="5"/>
        </w:numPr>
        <w:autoSpaceDE w:val="0"/>
        <w:autoSpaceDN w:val="0"/>
        <w:adjustRightInd w:val="0"/>
        <w:spacing w:line="360" w:lineRule="auto"/>
        <w:ind w:left="945" w:leftChars="300" w:hanging="315" w:hangingChars="150"/>
        <w:rPr>
          <w:color w:val="auto"/>
          <w:kern w:val="0"/>
          <w:highlight w:val="none"/>
        </w:rPr>
      </w:pPr>
      <w:r>
        <w:rPr>
          <w:color w:val="auto"/>
          <w:kern w:val="0"/>
          <w:highlight w:val="none"/>
        </w:rPr>
        <w:t>分析评价进出洞口地带自然边坡</w:t>
      </w:r>
      <w:r>
        <w:rPr>
          <w:rFonts w:hint="eastAsia"/>
          <w:color w:val="auto"/>
          <w:kern w:val="0"/>
          <w:highlight w:val="none"/>
        </w:rPr>
        <w:t>的</w:t>
      </w:r>
      <w:r>
        <w:rPr>
          <w:color w:val="auto"/>
          <w:kern w:val="0"/>
          <w:highlight w:val="none"/>
        </w:rPr>
        <w:t>稳定性</w:t>
      </w:r>
      <w:r>
        <w:rPr>
          <w:rFonts w:hint="eastAsia"/>
          <w:color w:val="auto"/>
          <w:kern w:val="0"/>
          <w:highlight w:val="none"/>
        </w:rPr>
        <w:t>以及</w:t>
      </w:r>
      <w:r>
        <w:rPr>
          <w:color w:val="auto"/>
          <w:kern w:val="0"/>
          <w:highlight w:val="none"/>
        </w:rPr>
        <w:t>隧道施工</w:t>
      </w:r>
      <w:r>
        <w:rPr>
          <w:rFonts w:hint="eastAsia"/>
          <w:color w:val="auto"/>
          <w:kern w:val="0"/>
          <w:highlight w:val="none"/>
        </w:rPr>
        <w:t>对其稳定性的影响，提出支护措施建议；</w:t>
      </w:r>
    </w:p>
    <w:p>
      <w:pPr>
        <w:numPr>
          <w:ilvl w:val="0"/>
          <w:numId w:val="5"/>
        </w:numPr>
        <w:autoSpaceDE w:val="0"/>
        <w:autoSpaceDN w:val="0"/>
        <w:adjustRightInd w:val="0"/>
        <w:spacing w:line="360" w:lineRule="auto"/>
        <w:ind w:left="945" w:leftChars="300" w:hanging="315" w:hangingChars="150"/>
        <w:rPr>
          <w:color w:val="auto"/>
          <w:kern w:val="0"/>
          <w:highlight w:val="none"/>
        </w:rPr>
      </w:pPr>
      <w:r>
        <w:rPr>
          <w:color w:val="auto"/>
          <w:kern w:val="0"/>
          <w:highlight w:val="none"/>
        </w:rPr>
        <w:t>分析地下水的运移通道</w:t>
      </w:r>
      <w:r>
        <w:rPr>
          <w:rFonts w:hint="eastAsia"/>
          <w:color w:val="auto"/>
          <w:kern w:val="0"/>
          <w:highlight w:val="none"/>
        </w:rPr>
        <w:t>和承压水的分布，估算最大涌水量</w:t>
      </w:r>
      <w:r>
        <w:rPr>
          <w:color w:val="auto"/>
          <w:kern w:val="0"/>
          <w:highlight w:val="none"/>
        </w:rPr>
        <w:t>，</w:t>
      </w:r>
      <w:r>
        <w:rPr>
          <w:rFonts w:hint="eastAsia"/>
          <w:color w:val="auto"/>
          <w:kern w:val="0"/>
          <w:highlight w:val="none"/>
        </w:rPr>
        <w:t>预测掘进时突水、突泥、流沙、开挖面坍塌、冒顶、边墙失稳、洞底隆起、岩爆及围岩松动的风险及发生地段，提出防治措施建议；对深埋隧道提供外水压力折减系数；</w:t>
      </w:r>
    </w:p>
    <w:p>
      <w:pPr>
        <w:numPr>
          <w:ilvl w:val="0"/>
          <w:numId w:val="5"/>
        </w:numPr>
        <w:autoSpaceDE w:val="0"/>
        <w:autoSpaceDN w:val="0"/>
        <w:adjustRightInd w:val="0"/>
        <w:spacing w:line="360" w:lineRule="auto"/>
        <w:ind w:firstLine="630" w:firstLineChars="300"/>
        <w:rPr>
          <w:color w:val="auto"/>
          <w:kern w:val="0"/>
          <w:highlight w:val="none"/>
        </w:rPr>
      </w:pPr>
      <w:r>
        <w:rPr>
          <w:rFonts w:hint="eastAsia"/>
          <w:color w:val="auto"/>
          <w:kern w:val="0"/>
          <w:highlight w:val="none"/>
        </w:rPr>
        <w:t>分析评价有害气体对隧道施工可能产生的风险，提出预防措施建议；</w:t>
      </w:r>
    </w:p>
    <w:p>
      <w:pPr>
        <w:numPr>
          <w:ilvl w:val="0"/>
          <w:numId w:val="5"/>
        </w:numPr>
        <w:autoSpaceDE w:val="0"/>
        <w:autoSpaceDN w:val="0"/>
        <w:adjustRightInd w:val="0"/>
        <w:spacing w:line="360" w:lineRule="auto"/>
        <w:ind w:firstLine="630" w:firstLineChars="300"/>
        <w:rPr>
          <w:color w:val="auto"/>
          <w:kern w:val="0"/>
          <w:highlight w:val="none"/>
        </w:rPr>
      </w:pPr>
      <w:r>
        <w:rPr>
          <w:color w:val="auto"/>
          <w:kern w:val="0"/>
          <w:highlight w:val="none"/>
        </w:rPr>
        <w:t>对工程地质、水文地质条件复杂地段，提出超前地质预报</w:t>
      </w:r>
      <w:r>
        <w:rPr>
          <w:rFonts w:hint="eastAsia"/>
          <w:color w:val="auto"/>
          <w:kern w:val="0"/>
          <w:highlight w:val="none"/>
        </w:rPr>
        <w:t>措施</w:t>
      </w:r>
      <w:r>
        <w:rPr>
          <w:color w:val="auto"/>
          <w:kern w:val="0"/>
          <w:highlight w:val="none"/>
        </w:rPr>
        <w:t>建议</w:t>
      </w:r>
      <w:r>
        <w:rPr>
          <w:rFonts w:hint="eastAsia"/>
          <w:color w:val="auto"/>
          <w:kern w:val="0"/>
          <w:highlight w:val="none"/>
          <w:lang w:eastAsia="zh-CN"/>
        </w:rPr>
        <w:t>。</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lang w:val="en-US" w:eastAsia="zh-CN"/>
        </w:rPr>
        <w:t>15</w:t>
      </w:r>
      <w:r>
        <w:rPr>
          <w:rFonts w:hint="eastAsia"/>
          <w:color w:val="auto"/>
          <w:highlight w:val="none"/>
        </w:rPr>
        <w:t>　</w:t>
      </w:r>
      <w:r>
        <w:rPr>
          <w:rFonts w:hint="eastAsia"/>
          <w:color w:val="auto"/>
          <w:kern w:val="0"/>
          <w:highlight w:val="none"/>
          <w:lang w:val="en-US" w:eastAsia="zh-CN"/>
        </w:rPr>
        <w:t>对</w:t>
      </w:r>
      <w:r>
        <w:rPr>
          <w:rFonts w:hint="eastAsia"/>
          <w:color w:val="auto"/>
          <w:kern w:val="0"/>
          <w:highlight w:val="none"/>
        </w:rPr>
        <w:t>顶管法隧道</w:t>
      </w:r>
      <w:r>
        <w:rPr>
          <w:rFonts w:hint="eastAsia"/>
          <w:color w:val="auto"/>
          <w:kern w:val="0"/>
          <w:highlight w:val="none"/>
          <w:lang w:eastAsia="zh-CN"/>
        </w:rPr>
        <w:t>，</w:t>
      </w:r>
      <w:r>
        <w:rPr>
          <w:rFonts w:hint="eastAsia"/>
          <w:color w:val="auto"/>
          <w:kern w:val="0"/>
          <w:highlight w:val="none"/>
          <w:lang w:val="en-US" w:eastAsia="zh-CN"/>
        </w:rPr>
        <w:t>还应</w:t>
      </w:r>
      <w:r>
        <w:rPr>
          <w:rFonts w:hint="eastAsia"/>
          <w:color w:val="auto"/>
          <w:kern w:val="0"/>
          <w:highlight w:val="none"/>
        </w:rPr>
        <w:t>分析沿线</w:t>
      </w:r>
      <w:r>
        <w:rPr>
          <w:color w:val="auto"/>
          <w:szCs w:val="21"/>
          <w:highlight w:val="none"/>
        </w:rPr>
        <w:t>硬质阻碍物</w:t>
      </w:r>
      <w:r>
        <w:rPr>
          <w:rFonts w:hint="eastAsia"/>
          <w:color w:val="auto"/>
          <w:szCs w:val="21"/>
          <w:highlight w:val="none"/>
        </w:rPr>
        <w:t>对</w:t>
      </w:r>
      <w:r>
        <w:rPr>
          <w:rFonts w:hint="eastAsia"/>
          <w:color w:val="auto"/>
          <w:szCs w:val="21"/>
          <w:highlight w:val="none"/>
          <w:lang w:val="en-US" w:eastAsia="zh-CN"/>
        </w:rPr>
        <w:t>顶进</w:t>
      </w:r>
      <w:r>
        <w:rPr>
          <w:rFonts w:hint="eastAsia"/>
          <w:color w:val="auto"/>
          <w:szCs w:val="21"/>
          <w:highlight w:val="none"/>
        </w:rPr>
        <w:t>施工的影响，提出清障措施建议。</w:t>
      </w:r>
    </w:p>
    <w:p>
      <w:pPr>
        <w:widowControl/>
        <w:jc w:val="left"/>
        <w:rPr>
          <w:color w:val="auto"/>
          <w:sz w:val="28"/>
          <w:szCs w:val="28"/>
          <w:highlight w:val="none"/>
        </w:rPr>
      </w:pPr>
      <w:r>
        <w:rPr>
          <w:color w:val="auto"/>
          <w:sz w:val="28"/>
          <w:szCs w:val="28"/>
          <w:highlight w:val="none"/>
        </w:rPr>
        <w:br w:type="page"/>
      </w:r>
    </w:p>
    <w:p>
      <w:pPr>
        <w:rPr>
          <w:color w:val="auto"/>
          <w:sz w:val="10"/>
          <w:szCs w:val="10"/>
          <w:highlight w:val="none"/>
        </w:rPr>
      </w:pPr>
    </w:p>
    <w:p>
      <w:pPr>
        <w:pStyle w:val="2"/>
        <w:spacing w:before="480" w:after="480" w:line="240" w:lineRule="auto"/>
        <w:rPr>
          <w:color w:val="auto"/>
          <w:highlight w:val="none"/>
        </w:rPr>
      </w:pPr>
      <w:bookmarkStart w:id="119" w:name="_Toc23114"/>
      <w:bookmarkStart w:id="120" w:name="_Toc30010"/>
      <w:bookmarkStart w:id="121" w:name="_Toc23790"/>
      <w:bookmarkStart w:id="122" w:name="_8　城市给排水厂站工程"/>
      <w:r>
        <w:rPr>
          <w:rFonts w:hint="eastAsia"/>
          <w:color w:val="auto"/>
          <w:highlight w:val="none"/>
        </w:rPr>
        <w:t>8　城市给排水厂站工程</w:t>
      </w:r>
      <w:bookmarkEnd w:id="119"/>
      <w:bookmarkEnd w:id="120"/>
      <w:bookmarkEnd w:id="121"/>
    </w:p>
    <w:bookmarkEnd w:id="122"/>
    <w:p>
      <w:pPr>
        <w:pStyle w:val="3"/>
        <w:rPr>
          <w:rFonts w:ascii="Times New Roman" w:hAnsi="Times New Roman" w:eastAsia="宋体"/>
          <w:color w:val="auto"/>
          <w:highlight w:val="none"/>
        </w:rPr>
      </w:pPr>
      <w:bookmarkStart w:id="123" w:name="_Toc4707"/>
      <w:bookmarkStart w:id="124" w:name="_Toc12930"/>
      <w:bookmarkStart w:id="125" w:name="_Toc29182"/>
      <w:bookmarkStart w:id="126" w:name="_8.1　一般规定"/>
      <w:r>
        <w:rPr>
          <w:rFonts w:ascii="Times New Roman" w:hAnsi="Times New Roman" w:eastAsia="宋体"/>
          <w:color w:val="auto"/>
          <w:highlight w:val="none"/>
        </w:rPr>
        <w:t>8.1</w:t>
      </w:r>
      <w:r>
        <w:rPr>
          <w:rFonts w:hint="eastAsia" w:ascii="Times New Roman" w:hAnsi="Times New Roman" w:eastAsia="宋体"/>
          <w:color w:val="auto"/>
          <w:highlight w:val="none"/>
        </w:rPr>
        <w:t>　</w:t>
      </w:r>
      <w:r>
        <w:rPr>
          <w:rFonts w:ascii="Times New Roman" w:hAnsi="Times New Roman" w:eastAsia="宋体"/>
          <w:color w:val="auto"/>
          <w:highlight w:val="none"/>
        </w:rPr>
        <w:t>一般规定</w:t>
      </w:r>
      <w:bookmarkEnd w:id="123"/>
      <w:bookmarkEnd w:id="124"/>
      <w:bookmarkEnd w:id="125"/>
    </w:p>
    <w:bookmarkEnd w:id="126"/>
    <w:p>
      <w:pPr>
        <w:autoSpaceDE w:val="0"/>
        <w:spacing w:line="360" w:lineRule="auto"/>
        <w:jc w:val="left"/>
        <w:rPr>
          <w:color w:val="auto"/>
          <w:szCs w:val="21"/>
          <w:highlight w:val="none"/>
        </w:rPr>
      </w:pPr>
      <w:r>
        <w:rPr>
          <w:b/>
          <w:bCs/>
          <w:color w:val="auto"/>
          <w:highlight w:val="none"/>
        </w:rPr>
        <w:t>8.1.1</w:t>
      </w:r>
      <w:r>
        <w:rPr>
          <w:rFonts w:hint="eastAsia"/>
          <w:color w:val="auto"/>
          <w:highlight w:val="none"/>
        </w:rPr>
        <w:t>　</w:t>
      </w:r>
      <w:r>
        <w:rPr>
          <w:color w:val="auto"/>
          <w:highlight w:val="none"/>
        </w:rPr>
        <w:t>本章适用于</w:t>
      </w:r>
      <w:r>
        <w:rPr>
          <w:rFonts w:hint="eastAsia"/>
          <w:color w:val="auto"/>
          <w:highlight w:val="none"/>
        </w:rPr>
        <w:t>城市</w:t>
      </w:r>
      <w:r>
        <w:rPr>
          <w:color w:val="auto"/>
          <w:highlight w:val="none"/>
        </w:rPr>
        <w:t>给排水工程厂区水处理建（构）筑物、泵房以及取水头部、排放口等主要构筑物的岩土工程勘察。</w:t>
      </w:r>
      <w:r>
        <w:rPr>
          <w:rFonts w:hint="eastAsia"/>
          <w:color w:val="auto"/>
          <w:highlight w:val="none"/>
        </w:rPr>
        <w:t>附属管理用房的勘察按现行国家标准</w:t>
      </w:r>
      <w:r>
        <w:rPr>
          <w:color w:val="auto"/>
          <w:highlight w:val="none"/>
        </w:rPr>
        <w:t>《岩土工程勘察规范》GB 50021的有关规定执行</w:t>
      </w:r>
      <w:r>
        <w:rPr>
          <w:rFonts w:hint="eastAsia"/>
          <w:color w:val="auto"/>
          <w:highlight w:val="none"/>
        </w:rPr>
        <w:t>；厂区道路按本规范第5章有关规定执行。</w:t>
      </w:r>
    </w:p>
    <w:p>
      <w:pPr>
        <w:autoSpaceDE w:val="0"/>
        <w:spacing w:line="360" w:lineRule="auto"/>
        <w:jc w:val="left"/>
        <w:rPr>
          <w:color w:val="auto"/>
          <w:szCs w:val="21"/>
          <w:highlight w:val="none"/>
        </w:rPr>
      </w:pPr>
      <w:r>
        <w:rPr>
          <w:b/>
          <w:bCs/>
          <w:color w:val="auto"/>
          <w:highlight w:val="none"/>
        </w:rPr>
        <w:t>8.1.2</w:t>
      </w:r>
      <w:r>
        <w:rPr>
          <w:rFonts w:hint="eastAsia"/>
          <w:color w:val="auto"/>
          <w:highlight w:val="none"/>
        </w:rPr>
        <w:t>　</w:t>
      </w:r>
      <w:r>
        <w:rPr>
          <w:color w:val="auto"/>
          <w:highlight w:val="none"/>
        </w:rPr>
        <w:t>勘察前应根据各阶段勘察的工作需要，取得下列图纸和资料：</w:t>
      </w:r>
    </w:p>
    <w:p>
      <w:pPr>
        <w:autoSpaceDE w:val="0"/>
        <w:spacing w:line="360" w:lineRule="auto"/>
        <w:ind w:firstLine="422" w:firstLineChars="200"/>
        <w:jc w:val="left"/>
        <w:rPr>
          <w:color w:val="auto"/>
          <w:highlight w:val="none"/>
        </w:rPr>
      </w:pPr>
      <w:r>
        <w:rPr>
          <w:b/>
          <w:bCs/>
          <w:color w:val="auto"/>
          <w:highlight w:val="none"/>
        </w:rPr>
        <w:t>1</w:t>
      </w:r>
      <w:r>
        <w:rPr>
          <w:rFonts w:hint="eastAsia"/>
          <w:color w:val="auto"/>
          <w:highlight w:val="none"/>
        </w:rPr>
        <w:t>　</w:t>
      </w:r>
      <w:r>
        <w:rPr>
          <w:color w:val="auto"/>
          <w:highlight w:val="none"/>
        </w:rPr>
        <w:t>给排水厂站的平面</w:t>
      </w:r>
      <w:r>
        <w:rPr>
          <w:rFonts w:hint="eastAsia"/>
          <w:color w:val="auto"/>
          <w:highlight w:val="none"/>
        </w:rPr>
        <w:t>总体</w:t>
      </w:r>
      <w:r>
        <w:rPr>
          <w:color w:val="auto"/>
          <w:highlight w:val="none"/>
        </w:rPr>
        <w:t>设计图；</w:t>
      </w:r>
    </w:p>
    <w:p>
      <w:pPr>
        <w:autoSpaceDE w:val="0"/>
        <w:spacing w:line="360" w:lineRule="auto"/>
        <w:ind w:firstLine="422" w:firstLineChars="200"/>
        <w:jc w:val="left"/>
        <w:rPr>
          <w:color w:val="auto"/>
          <w:highlight w:val="none"/>
        </w:rPr>
      </w:pPr>
      <w:r>
        <w:rPr>
          <w:b/>
          <w:bCs/>
          <w:color w:val="auto"/>
          <w:highlight w:val="none"/>
        </w:rPr>
        <w:t>2</w:t>
      </w:r>
      <w:r>
        <w:rPr>
          <w:rFonts w:hint="eastAsia"/>
          <w:color w:val="auto"/>
          <w:highlight w:val="none"/>
        </w:rPr>
        <w:t>　</w:t>
      </w:r>
      <w:r>
        <w:rPr>
          <w:color w:val="auto"/>
          <w:highlight w:val="none"/>
        </w:rPr>
        <w:t>水处理构筑物、泵房、取水头部或排放口、管理用房及其他附属设施的布置、尺寸、地基基础型式，</w:t>
      </w:r>
      <w:r>
        <w:rPr>
          <w:color w:val="auto"/>
          <w:kern w:val="0"/>
          <w:highlight w:val="none"/>
        </w:rPr>
        <w:t>地埋式建构筑物及电梯井等</w:t>
      </w:r>
      <w:r>
        <w:rPr>
          <w:rFonts w:hint="eastAsia"/>
          <w:color w:val="auto"/>
          <w:kern w:val="0"/>
          <w:highlight w:val="none"/>
        </w:rPr>
        <w:t>的</w:t>
      </w:r>
      <w:r>
        <w:rPr>
          <w:color w:val="auto"/>
          <w:highlight w:val="none"/>
        </w:rPr>
        <w:t>基坑尺寸</w:t>
      </w:r>
      <w:r>
        <w:rPr>
          <w:color w:val="auto"/>
          <w:kern w:val="0"/>
          <w:highlight w:val="none"/>
        </w:rPr>
        <w:t>、基底高程</w:t>
      </w:r>
      <w:r>
        <w:rPr>
          <w:color w:val="auto"/>
          <w:highlight w:val="none"/>
        </w:rPr>
        <w:t>、</w:t>
      </w:r>
      <w:r>
        <w:rPr>
          <w:rFonts w:hint="eastAsia"/>
          <w:color w:val="auto"/>
          <w:highlight w:val="none"/>
        </w:rPr>
        <w:t>开挖深度、</w:t>
      </w:r>
      <w:r>
        <w:rPr>
          <w:color w:val="auto"/>
          <w:highlight w:val="none"/>
        </w:rPr>
        <w:t>支护方式</w:t>
      </w:r>
      <w:r>
        <w:rPr>
          <w:rFonts w:hint="eastAsia"/>
          <w:color w:val="auto"/>
          <w:highlight w:val="none"/>
        </w:rPr>
        <w:t>、底板结构</w:t>
      </w:r>
      <w:r>
        <w:rPr>
          <w:color w:val="auto"/>
          <w:highlight w:val="none"/>
        </w:rPr>
        <w:t>，工程桩</w:t>
      </w:r>
      <w:r>
        <w:rPr>
          <w:rFonts w:hint="eastAsia"/>
          <w:color w:val="auto"/>
          <w:highlight w:val="none"/>
        </w:rPr>
        <w:t>、抗拔桩</w:t>
      </w:r>
      <w:r>
        <w:rPr>
          <w:color w:val="auto"/>
          <w:highlight w:val="none"/>
        </w:rPr>
        <w:t>的</w:t>
      </w:r>
      <w:r>
        <w:rPr>
          <w:rFonts w:hint="eastAsia"/>
          <w:color w:val="auto"/>
          <w:highlight w:val="none"/>
        </w:rPr>
        <w:t>布置和桩径</w:t>
      </w:r>
      <w:r>
        <w:rPr>
          <w:color w:val="auto"/>
          <w:highlight w:val="none"/>
        </w:rPr>
        <w:t>，</w:t>
      </w:r>
      <w:r>
        <w:rPr>
          <w:rFonts w:hint="eastAsia"/>
          <w:color w:val="auto"/>
          <w:highlight w:val="none"/>
        </w:rPr>
        <w:t>地基、桩基的</w:t>
      </w:r>
      <w:r>
        <w:rPr>
          <w:color w:val="auto"/>
          <w:highlight w:val="none"/>
        </w:rPr>
        <w:t>承载力和变形要求</w:t>
      </w:r>
      <w:r>
        <w:rPr>
          <w:rFonts w:hint="eastAsia"/>
          <w:color w:val="auto"/>
          <w:highlight w:val="none"/>
        </w:rPr>
        <w:t>等</w:t>
      </w:r>
      <w:r>
        <w:rPr>
          <w:color w:val="auto"/>
          <w:highlight w:val="none"/>
        </w:rPr>
        <w:t>；</w:t>
      </w:r>
    </w:p>
    <w:p>
      <w:pPr>
        <w:autoSpaceDE w:val="0"/>
        <w:spacing w:line="360" w:lineRule="auto"/>
        <w:ind w:firstLine="422" w:firstLineChars="200"/>
        <w:jc w:val="left"/>
        <w:rPr>
          <w:color w:val="auto"/>
          <w:szCs w:val="21"/>
          <w:highlight w:val="none"/>
        </w:rPr>
      </w:pPr>
      <w:r>
        <w:rPr>
          <w:b/>
          <w:bCs/>
          <w:color w:val="auto"/>
          <w:szCs w:val="21"/>
          <w:highlight w:val="none"/>
        </w:rPr>
        <w:t>3</w:t>
      </w:r>
      <w:r>
        <w:rPr>
          <w:rFonts w:hint="eastAsia"/>
          <w:color w:val="auto"/>
          <w:szCs w:val="21"/>
          <w:highlight w:val="none"/>
        </w:rPr>
        <w:t>　</w:t>
      </w:r>
      <w:r>
        <w:rPr>
          <w:color w:val="auto"/>
          <w:szCs w:val="21"/>
          <w:highlight w:val="none"/>
        </w:rPr>
        <w:t>取水头部水体的水文资料。</w:t>
      </w:r>
    </w:p>
    <w:p>
      <w:pPr>
        <w:autoSpaceDE w:val="0"/>
        <w:spacing w:line="360" w:lineRule="auto"/>
        <w:jc w:val="left"/>
        <w:rPr>
          <w:color w:val="auto"/>
          <w:highlight w:val="none"/>
        </w:rPr>
      </w:pPr>
      <w:r>
        <w:rPr>
          <w:rFonts w:hint="eastAsia"/>
          <w:b/>
          <w:bCs/>
          <w:color w:val="auto"/>
          <w:highlight w:val="none"/>
        </w:rPr>
        <w:t>8.1.3</w:t>
      </w:r>
      <w:r>
        <w:rPr>
          <w:rFonts w:hint="eastAsia"/>
          <w:color w:val="auto"/>
          <w:highlight w:val="none"/>
        </w:rPr>
        <w:t>　当地埋式建构筑物</w:t>
      </w:r>
      <w:r>
        <w:rPr>
          <w:color w:val="auto"/>
          <w:highlight w:val="none"/>
        </w:rPr>
        <w:t>基坑开挖深度范围内</w:t>
      </w:r>
      <w:r>
        <w:rPr>
          <w:rFonts w:hint="eastAsia"/>
          <w:color w:val="auto"/>
          <w:highlight w:val="none"/>
        </w:rPr>
        <w:t>存在</w:t>
      </w:r>
      <w:r>
        <w:rPr>
          <w:color w:val="auto"/>
          <w:highlight w:val="none"/>
        </w:rPr>
        <w:t>明显的土岩界</w:t>
      </w:r>
      <w:r>
        <w:rPr>
          <w:rFonts w:hint="eastAsia"/>
          <w:color w:val="auto"/>
          <w:highlight w:val="none"/>
        </w:rPr>
        <w:t>面</w:t>
      </w:r>
      <w:r>
        <w:rPr>
          <w:color w:val="auto"/>
          <w:highlight w:val="none"/>
        </w:rPr>
        <w:t>，或岩层存在明显的层理或软弱夹层时，</w:t>
      </w:r>
      <w:r>
        <w:rPr>
          <w:rFonts w:hint="eastAsia"/>
          <w:color w:val="auto"/>
          <w:highlight w:val="none"/>
        </w:rPr>
        <w:t>应对其</w:t>
      </w:r>
      <w:r>
        <w:rPr>
          <w:rFonts w:hint="eastAsia"/>
          <w:color w:val="auto"/>
          <w:szCs w:val="21"/>
          <w:highlight w:val="none"/>
        </w:rPr>
        <w:t>进行专门的勘察。</w:t>
      </w:r>
    </w:p>
    <w:p>
      <w:pPr>
        <w:pStyle w:val="3"/>
        <w:rPr>
          <w:rFonts w:ascii="Times New Roman" w:hAnsi="Times New Roman" w:eastAsia="宋体"/>
          <w:color w:val="auto"/>
          <w:highlight w:val="none"/>
        </w:rPr>
      </w:pPr>
      <w:bookmarkStart w:id="127" w:name="_Toc9600"/>
      <w:bookmarkStart w:id="128" w:name="_Toc25399"/>
      <w:bookmarkStart w:id="129" w:name="_Toc4329"/>
      <w:bookmarkStart w:id="130" w:name="_8.2　可行性研究勘察"/>
      <w:r>
        <w:rPr>
          <w:rFonts w:ascii="Times New Roman" w:hAnsi="Times New Roman" w:eastAsia="宋体"/>
          <w:color w:val="auto"/>
          <w:highlight w:val="none"/>
        </w:rPr>
        <w:t>8.2</w:t>
      </w:r>
      <w:r>
        <w:rPr>
          <w:rFonts w:hint="eastAsia" w:ascii="Times New Roman" w:hAnsi="Times New Roman" w:eastAsia="宋体"/>
          <w:color w:val="auto"/>
          <w:highlight w:val="none"/>
        </w:rPr>
        <w:t>　</w:t>
      </w:r>
      <w:r>
        <w:rPr>
          <w:rFonts w:ascii="Times New Roman" w:hAnsi="Times New Roman" w:eastAsia="宋体"/>
          <w:color w:val="auto"/>
          <w:highlight w:val="none"/>
        </w:rPr>
        <w:t>可行性研究勘察</w:t>
      </w:r>
      <w:bookmarkEnd w:id="127"/>
      <w:bookmarkEnd w:id="128"/>
      <w:bookmarkEnd w:id="129"/>
    </w:p>
    <w:bookmarkEnd w:id="130"/>
    <w:p>
      <w:pPr>
        <w:spacing w:line="360" w:lineRule="auto"/>
        <w:rPr>
          <w:color w:val="auto"/>
          <w:highlight w:val="none"/>
        </w:rPr>
      </w:pPr>
      <w:r>
        <w:rPr>
          <w:b/>
          <w:bCs/>
          <w:color w:val="auto"/>
          <w:highlight w:val="none"/>
        </w:rPr>
        <w:t>8.2.1</w:t>
      </w:r>
      <w:r>
        <w:rPr>
          <w:rFonts w:hint="eastAsia"/>
          <w:color w:val="auto"/>
          <w:highlight w:val="none"/>
        </w:rPr>
        <w:t>　</w:t>
      </w:r>
      <w:r>
        <w:rPr>
          <w:color w:val="auto"/>
          <w:highlight w:val="none"/>
        </w:rPr>
        <w:t>可行性研究勘察</w:t>
      </w:r>
      <w:r>
        <w:rPr>
          <w:rFonts w:hint="eastAsia"/>
          <w:color w:val="auto"/>
          <w:highlight w:val="none"/>
        </w:rPr>
        <w:t>应</w:t>
      </w:r>
      <w:r>
        <w:rPr>
          <w:color w:val="auto"/>
          <w:highlight w:val="none"/>
        </w:rPr>
        <w:t>以资料搜集、现场踏勘、</w:t>
      </w:r>
      <w:r>
        <w:rPr>
          <w:rFonts w:hint="eastAsia"/>
          <w:color w:val="auto"/>
          <w:highlight w:val="none"/>
        </w:rPr>
        <w:t>工程</w:t>
      </w:r>
      <w:r>
        <w:rPr>
          <w:color w:val="auto"/>
          <w:highlight w:val="none"/>
        </w:rPr>
        <w:t>地质</w:t>
      </w:r>
      <w:r>
        <w:rPr>
          <w:rFonts w:hint="eastAsia"/>
          <w:color w:val="auto"/>
          <w:highlight w:val="none"/>
        </w:rPr>
        <w:t>调查与测绘</w:t>
      </w:r>
      <w:r>
        <w:rPr>
          <w:color w:val="auto"/>
          <w:highlight w:val="none"/>
        </w:rPr>
        <w:t>为主，根据具体条件辅以必要的</w:t>
      </w:r>
      <w:r>
        <w:rPr>
          <w:rFonts w:hint="eastAsia"/>
          <w:color w:val="auto"/>
          <w:highlight w:val="none"/>
        </w:rPr>
        <w:t>勘探、测试及试验工作。</w:t>
      </w:r>
      <w:r>
        <w:rPr>
          <w:color w:val="auto"/>
          <w:highlight w:val="none"/>
        </w:rPr>
        <w:t>当有两个或以上拟选场址时，</w:t>
      </w:r>
      <w:r>
        <w:rPr>
          <w:rFonts w:hint="eastAsia"/>
          <w:color w:val="auto"/>
          <w:highlight w:val="none"/>
        </w:rPr>
        <w:t>应进行厂址的可行性比选勘察</w:t>
      </w:r>
      <w:r>
        <w:rPr>
          <w:color w:val="auto"/>
          <w:highlight w:val="none"/>
        </w:rPr>
        <w:t>。</w:t>
      </w:r>
    </w:p>
    <w:p>
      <w:pPr>
        <w:spacing w:line="360" w:lineRule="auto"/>
        <w:rPr>
          <w:color w:val="auto"/>
          <w:highlight w:val="none"/>
        </w:rPr>
      </w:pPr>
      <w:r>
        <w:rPr>
          <w:rFonts w:hint="eastAsia"/>
          <w:b/>
          <w:bCs/>
          <w:color w:val="auto"/>
          <w:highlight w:val="none"/>
        </w:rPr>
        <w:t>8.2.2</w:t>
      </w:r>
      <w:r>
        <w:rPr>
          <w:rFonts w:hint="eastAsia"/>
          <w:color w:val="auto"/>
          <w:highlight w:val="none"/>
        </w:rPr>
        <w:t>　工程地质调查与测绘比例尺宜为1:1000~1:2000</w:t>
      </w:r>
      <w:r>
        <w:rPr>
          <w:rFonts w:hint="eastAsia"/>
          <w:color w:val="auto"/>
          <w:kern w:val="0"/>
          <w:highlight w:val="none"/>
        </w:rPr>
        <w:t>，范围不宜小于厂区红线外50m</w:t>
      </w:r>
      <w:r>
        <w:rPr>
          <w:rFonts w:hint="eastAsia"/>
          <w:color w:val="auto"/>
          <w:highlight w:val="none"/>
        </w:rPr>
        <w:t>。</w:t>
      </w:r>
    </w:p>
    <w:p>
      <w:pPr>
        <w:spacing w:line="360" w:lineRule="auto"/>
        <w:rPr>
          <w:color w:val="auto"/>
          <w:highlight w:val="none"/>
        </w:rPr>
      </w:pPr>
      <w:r>
        <w:rPr>
          <w:b/>
          <w:bCs/>
          <w:color w:val="auto"/>
          <w:highlight w:val="none"/>
        </w:rPr>
        <w:t>8.2.</w:t>
      </w:r>
      <w:r>
        <w:rPr>
          <w:rFonts w:hint="eastAsia"/>
          <w:b/>
          <w:bCs/>
          <w:color w:val="auto"/>
          <w:highlight w:val="none"/>
        </w:rPr>
        <w:t>3</w:t>
      </w:r>
      <w:r>
        <w:rPr>
          <w:rFonts w:hint="eastAsia"/>
          <w:color w:val="auto"/>
          <w:highlight w:val="none"/>
        </w:rPr>
        <w:t>　</w:t>
      </w:r>
      <w:r>
        <w:rPr>
          <w:color w:val="auto"/>
          <w:highlight w:val="none"/>
        </w:rPr>
        <w:t>可行性研究勘察应</w:t>
      </w:r>
      <w:r>
        <w:rPr>
          <w:rFonts w:hint="eastAsia"/>
          <w:color w:val="auto"/>
          <w:highlight w:val="none"/>
        </w:rPr>
        <w:t>分析</w:t>
      </w:r>
      <w:r>
        <w:rPr>
          <w:color w:val="auto"/>
          <w:kern w:val="0"/>
          <w:highlight w:val="none"/>
        </w:rPr>
        <w:t>评价</w:t>
      </w:r>
      <w:r>
        <w:rPr>
          <w:rFonts w:hint="eastAsia"/>
          <w:color w:val="auto"/>
          <w:kern w:val="0"/>
          <w:highlight w:val="none"/>
        </w:rPr>
        <w:t>以下内容</w:t>
      </w:r>
      <w:r>
        <w:rPr>
          <w:color w:val="auto"/>
          <w:kern w:val="0"/>
          <w:highlight w:val="none"/>
        </w:rPr>
        <w:t>：</w:t>
      </w:r>
    </w:p>
    <w:p>
      <w:pPr>
        <w:spacing w:line="360" w:lineRule="auto"/>
        <w:ind w:firstLine="422" w:firstLineChars="200"/>
        <w:rPr>
          <w:color w:val="auto"/>
          <w:kern w:val="0"/>
          <w:highlight w:val="none"/>
        </w:rPr>
      </w:pPr>
      <w:r>
        <w:rPr>
          <w:b/>
          <w:bCs/>
          <w:color w:val="auto"/>
          <w:highlight w:val="none"/>
        </w:rPr>
        <w:t>1</w:t>
      </w:r>
      <w:r>
        <w:rPr>
          <w:rFonts w:hint="eastAsia"/>
          <w:color w:val="auto"/>
          <w:highlight w:val="none"/>
        </w:rPr>
        <w:t>　</w:t>
      </w:r>
      <w:r>
        <w:rPr>
          <w:rFonts w:hint="eastAsia"/>
          <w:color w:val="auto"/>
          <w:kern w:val="0"/>
          <w:highlight w:val="none"/>
        </w:rPr>
        <w:t>场地的稳定性和工程建设的适宜性</w:t>
      </w:r>
      <w:r>
        <w:rPr>
          <w:color w:val="auto"/>
          <w:kern w:val="0"/>
          <w:highlight w:val="none"/>
        </w:rPr>
        <w:t>；</w:t>
      </w:r>
    </w:p>
    <w:p>
      <w:pPr>
        <w:spacing w:line="360" w:lineRule="auto"/>
        <w:ind w:firstLine="422" w:firstLineChars="200"/>
        <w:rPr>
          <w:color w:val="auto"/>
          <w:kern w:val="0"/>
          <w:highlight w:val="none"/>
        </w:rPr>
      </w:pPr>
      <w:r>
        <w:rPr>
          <w:b/>
          <w:bCs/>
          <w:color w:val="auto"/>
          <w:kern w:val="0"/>
          <w:highlight w:val="none"/>
        </w:rPr>
        <w:t>2</w:t>
      </w:r>
      <w:r>
        <w:rPr>
          <w:rFonts w:hint="eastAsia"/>
          <w:color w:val="auto"/>
          <w:kern w:val="0"/>
          <w:highlight w:val="none"/>
        </w:rPr>
        <w:t>　</w:t>
      </w:r>
      <w:r>
        <w:rPr>
          <w:rFonts w:hint="eastAsia"/>
          <w:color w:val="auto"/>
          <w:highlight w:val="none"/>
        </w:rPr>
        <w:t>场地及周边</w:t>
      </w:r>
      <w:r>
        <w:rPr>
          <w:color w:val="auto"/>
          <w:highlight w:val="none"/>
        </w:rPr>
        <w:t>不良地质作用</w:t>
      </w:r>
      <w:r>
        <w:rPr>
          <w:rFonts w:hint="eastAsia"/>
          <w:color w:val="auto"/>
          <w:highlight w:val="none"/>
        </w:rPr>
        <w:t>和地质灾害可能造成的影响</w:t>
      </w:r>
      <w:r>
        <w:rPr>
          <w:color w:val="auto"/>
          <w:kern w:val="0"/>
          <w:highlight w:val="none"/>
        </w:rPr>
        <w:t>；</w:t>
      </w:r>
    </w:p>
    <w:p>
      <w:pPr>
        <w:spacing w:line="360" w:lineRule="auto"/>
        <w:ind w:firstLine="422" w:firstLineChars="200"/>
        <w:rPr>
          <w:color w:val="auto"/>
          <w:highlight w:val="none"/>
        </w:rPr>
      </w:pPr>
      <w:r>
        <w:rPr>
          <w:b/>
          <w:bCs/>
          <w:color w:val="auto"/>
          <w:highlight w:val="none"/>
        </w:rPr>
        <w:t>3</w:t>
      </w:r>
      <w:r>
        <w:rPr>
          <w:rFonts w:hint="eastAsia"/>
          <w:color w:val="auto"/>
          <w:highlight w:val="none"/>
        </w:rPr>
        <w:t>　场地特殊性岩土可能造成的不利影响</w:t>
      </w:r>
      <w:r>
        <w:rPr>
          <w:color w:val="auto"/>
          <w:highlight w:val="none"/>
        </w:rPr>
        <w:t>。</w:t>
      </w:r>
    </w:p>
    <w:p>
      <w:pPr>
        <w:pStyle w:val="3"/>
        <w:rPr>
          <w:rFonts w:ascii="Times New Roman" w:hAnsi="Times New Roman" w:eastAsia="宋体"/>
          <w:color w:val="auto"/>
          <w:highlight w:val="none"/>
        </w:rPr>
      </w:pPr>
      <w:bookmarkStart w:id="131" w:name="_Toc9207"/>
      <w:bookmarkStart w:id="132" w:name="_Toc5761"/>
      <w:bookmarkStart w:id="133" w:name="_Toc6101"/>
      <w:bookmarkStart w:id="134" w:name="_8.3　初步勘察"/>
      <w:r>
        <w:rPr>
          <w:rFonts w:ascii="Times New Roman" w:hAnsi="Times New Roman" w:eastAsia="宋体"/>
          <w:color w:val="auto"/>
          <w:highlight w:val="none"/>
        </w:rPr>
        <w:t>8.3</w:t>
      </w:r>
      <w:r>
        <w:rPr>
          <w:rFonts w:hint="eastAsia" w:ascii="Times New Roman" w:hAnsi="Times New Roman" w:eastAsia="宋体"/>
          <w:color w:val="auto"/>
          <w:highlight w:val="none"/>
        </w:rPr>
        <w:t>　</w:t>
      </w:r>
      <w:r>
        <w:rPr>
          <w:rFonts w:ascii="Times New Roman" w:hAnsi="Times New Roman" w:eastAsia="宋体"/>
          <w:color w:val="auto"/>
          <w:highlight w:val="none"/>
        </w:rPr>
        <w:t>初步勘察</w:t>
      </w:r>
      <w:bookmarkEnd w:id="131"/>
      <w:bookmarkEnd w:id="132"/>
      <w:bookmarkEnd w:id="133"/>
    </w:p>
    <w:bookmarkEnd w:id="134"/>
    <w:p>
      <w:pPr>
        <w:autoSpaceDE w:val="0"/>
        <w:autoSpaceDN w:val="0"/>
        <w:adjustRightInd w:val="0"/>
        <w:spacing w:line="360" w:lineRule="auto"/>
        <w:jc w:val="left"/>
        <w:rPr>
          <w:color w:val="auto"/>
          <w:kern w:val="0"/>
          <w:szCs w:val="21"/>
          <w:highlight w:val="none"/>
        </w:rPr>
      </w:pPr>
      <w:r>
        <w:rPr>
          <w:b/>
          <w:bCs/>
          <w:color w:val="auto"/>
          <w:highlight w:val="none"/>
        </w:rPr>
        <w:t>8.3.1</w:t>
      </w:r>
      <w:r>
        <w:rPr>
          <w:rFonts w:hint="eastAsia"/>
          <w:color w:val="auto"/>
          <w:highlight w:val="none"/>
        </w:rPr>
        <w:t>　</w:t>
      </w:r>
      <w:r>
        <w:rPr>
          <w:color w:val="auto"/>
          <w:kern w:val="0"/>
          <w:highlight w:val="none"/>
        </w:rPr>
        <w:t>初步勘察应初步查明以下内容：</w:t>
      </w:r>
    </w:p>
    <w:p>
      <w:pPr>
        <w:autoSpaceDE w:val="0"/>
        <w:autoSpaceDN w:val="0"/>
        <w:adjustRightInd w:val="0"/>
        <w:spacing w:line="360" w:lineRule="auto"/>
        <w:ind w:firstLine="422" w:firstLineChars="200"/>
        <w:jc w:val="left"/>
        <w:rPr>
          <w:rFonts w:hint="default" w:eastAsia="宋体"/>
          <w:b w:val="0"/>
          <w:bCs w:val="0"/>
          <w:color w:val="auto"/>
          <w:kern w:val="0"/>
          <w:highlight w:val="none"/>
          <w:lang w:val="en-US" w:eastAsia="zh-CN"/>
        </w:rPr>
      </w:pPr>
      <w:r>
        <w:rPr>
          <w:rFonts w:hint="eastAsia"/>
          <w:b/>
          <w:bCs/>
          <w:color w:val="auto"/>
          <w:kern w:val="0"/>
          <w:highlight w:val="none"/>
          <w:lang w:val="en-US" w:eastAsia="zh-CN"/>
        </w:rPr>
        <w:t>1</w:t>
      </w:r>
      <w:r>
        <w:rPr>
          <w:rFonts w:hint="eastAsia"/>
          <w:color w:val="auto"/>
          <w:highlight w:val="none"/>
        </w:rPr>
        <w:t>　</w:t>
      </w:r>
      <w:r>
        <w:rPr>
          <w:rFonts w:hint="eastAsia"/>
          <w:b w:val="0"/>
          <w:bCs w:val="0"/>
          <w:color w:val="auto"/>
          <w:kern w:val="0"/>
          <w:highlight w:val="none"/>
          <w:lang w:val="en-US" w:eastAsia="zh-CN"/>
        </w:rPr>
        <w:t>场地的</w:t>
      </w:r>
      <w:r>
        <w:rPr>
          <w:color w:val="auto"/>
          <w:kern w:val="0"/>
          <w:highlight w:val="none"/>
        </w:rPr>
        <w:t>地貌类型、</w:t>
      </w:r>
      <w:r>
        <w:rPr>
          <w:rFonts w:hint="eastAsia"/>
          <w:color w:val="auto"/>
          <w:kern w:val="0"/>
          <w:highlight w:val="none"/>
        </w:rPr>
        <w:t>地形起伏变化情况</w:t>
      </w:r>
      <w:r>
        <w:rPr>
          <w:rFonts w:hint="eastAsia"/>
          <w:color w:val="auto"/>
          <w:highlight w:val="none"/>
          <w:lang w:val="en-US" w:eastAsia="zh-CN"/>
        </w:rPr>
        <w:t>、场地类别</w:t>
      </w:r>
      <w:r>
        <w:rPr>
          <w:color w:val="auto"/>
          <w:kern w:val="0"/>
          <w:highlight w:val="none"/>
        </w:rPr>
        <w:t>及</w:t>
      </w:r>
      <w:r>
        <w:rPr>
          <w:rFonts w:hint="eastAsia"/>
          <w:b w:val="0"/>
          <w:bCs w:val="0"/>
          <w:color w:val="auto"/>
          <w:kern w:val="0"/>
          <w:highlight w:val="none"/>
          <w:lang w:val="en-US" w:eastAsia="zh-CN"/>
        </w:rPr>
        <w:t>地震动参数；</w:t>
      </w:r>
    </w:p>
    <w:p>
      <w:pPr>
        <w:spacing w:line="360" w:lineRule="auto"/>
        <w:ind w:firstLine="422" w:firstLineChars="200"/>
        <w:rPr>
          <w:color w:val="auto"/>
          <w:highlight w:val="none"/>
        </w:rPr>
      </w:pPr>
      <w:r>
        <w:rPr>
          <w:rFonts w:hint="eastAsia"/>
          <w:b/>
          <w:bCs/>
          <w:color w:val="auto"/>
          <w:highlight w:val="none"/>
          <w:lang w:val="en-US" w:eastAsia="zh-CN"/>
        </w:rPr>
        <w:t>2</w:t>
      </w:r>
      <w:r>
        <w:rPr>
          <w:rFonts w:hint="eastAsia"/>
          <w:color w:val="auto"/>
          <w:highlight w:val="none"/>
        </w:rPr>
        <w:t>　</w:t>
      </w:r>
      <w:r>
        <w:rPr>
          <w:color w:val="auto"/>
          <w:highlight w:val="none"/>
        </w:rPr>
        <w:t>场地地层的组成</w:t>
      </w:r>
      <w:r>
        <w:rPr>
          <w:rFonts w:hint="eastAsia"/>
          <w:color w:val="auto"/>
          <w:highlight w:val="none"/>
        </w:rPr>
        <w:t>、</w:t>
      </w:r>
      <w:r>
        <w:rPr>
          <w:color w:val="auto"/>
          <w:highlight w:val="none"/>
        </w:rPr>
        <w:t>分布情况</w:t>
      </w:r>
      <w:r>
        <w:rPr>
          <w:rFonts w:hint="eastAsia"/>
          <w:color w:val="auto"/>
          <w:highlight w:val="none"/>
        </w:rPr>
        <w:t>和</w:t>
      </w:r>
      <w:r>
        <w:rPr>
          <w:color w:val="auto"/>
          <w:highlight w:val="none"/>
        </w:rPr>
        <w:t>岩土特性；</w:t>
      </w:r>
    </w:p>
    <w:p>
      <w:pPr>
        <w:spacing w:line="360" w:lineRule="auto"/>
        <w:ind w:firstLine="422" w:firstLineChars="200"/>
        <w:rPr>
          <w:color w:val="auto"/>
          <w:highlight w:val="none"/>
        </w:rPr>
      </w:pPr>
      <w:r>
        <w:rPr>
          <w:rFonts w:hint="eastAsia"/>
          <w:b/>
          <w:bCs/>
          <w:color w:val="auto"/>
          <w:highlight w:val="none"/>
          <w:lang w:val="en-US" w:eastAsia="zh-CN"/>
        </w:rPr>
        <w:t>3</w:t>
      </w:r>
      <w:r>
        <w:rPr>
          <w:rFonts w:hint="eastAsia"/>
          <w:color w:val="auto"/>
          <w:highlight w:val="none"/>
        </w:rPr>
        <w:t>　</w:t>
      </w:r>
      <w:r>
        <w:rPr>
          <w:color w:val="auto"/>
          <w:highlight w:val="none"/>
        </w:rPr>
        <w:t>场地及周边的不良地质作用分布、规模和类型；</w:t>
      </w:r>
    </w:p>
    <w:p>
      <w:pPr>
        <w:spacing w:line="360" w:lineRule="auto"/>
        <w:ind w:firstLine="422" w:firstLineChars="200"/>
        <w:rPr>
          <w:color w:val="auto"/>
          <w:highlight w:val="none"/>
        </w:rPr>
      </w:pPr>
      <w:r>
        <w:rPr>
          <w:rFonts w:hint="eastAsia"/>
          <w:b/>
          <w:bCs/>
          <w:color w:val="auto"/>
          <w:highlight w:val="none"/>
          <w:lang w:val="en-US" w:eastAsia="zh-CN"/>
        </w:rPr>
        <w:t>4</w:t>
      </w:r>
      <w:r>
        <w:rPr>
          <w:rFonts w:hint="eastAsia"/>
          <w:color w:val="auto"/>
          <w:highlight w:val="none"/>
        </w:rPr>
        <w:t>　</w:t>
      </w:r>
      <w:r>
        <w:rPr>
          <w:color w:val="auto"/>
          <w:highlight w:val="none"/>
        </w:rPr>
        <w:t>特殊性岩土的分布、成因和工程地质特性；</w:t>
      </w:r>
    </w:p>
    <w:p>
      <w:pPr>
        <w:spacing w:line="360" w:lineRule="auto"/>
        <w:ind w:firstLine="422" w:firstLineChars="200"/>
        <w:rPr>
          <w:color w:val="auto"/>
          <w:szCs w:val="21"/>
          <w:highlight w:val="none"/>
        </w:rPr>
      </w:pPr>
      <w:r>
        <w:rPr>
          <w:rFonts w:hint="eastAsia"/>
          <w:b/>
          <w:bCs/>
          <w:color w:val="auto"/>
          <w:highlight w:val="none"/>
          <w:lang w:val="en-US" w:eastAsia="zh-CN"/>
        </w:rPr>
        <w:t>5</w:t>
      </w:r>
      <w:r>
        <w:rPr>
          <w:rFonts w:hint="eastAsia"/>
          <w:color w:val="auto"/>
          <w:highlight w:val="none"/>
        </w:rPr>
        <w:t>　</w:t>
      </w:r>
      <w:r>
        <w:rPr>
          <w:color w:val="auto"/>
          <w:highlight w:val="none"/>
        </w:rPr>
        <w:t>地表水和地下水的分布及连通性，透水层的渗透性；</w:t>
      </w:r>
    </w:p>
    <w:p>
      <w:pPr>
        <w:autoSpaceDE w:val="0"/>
        <w:autoSpaceDN w:val="0"/>
        <w:adjustRightInd w:val="0"/>
        <w:spacing w:line="360" w:lineRule="auto"/>
        <w:ind w:firstLine="422" w:firstLineChars="200"/>
        <w:jc w:val="left"/>
        <w:rPr>
          <w:color w:val="auto"/>
          <w:highlight w:val="none"/>
        </w:rPr>
      </w:pPr>
      <w:r>
        <w:rPr>
          <w:rFonts w:hint="eastAsia"/>
          <w:b/>
          <w:bCs/>
          <w:color w:val="auto"/>
          <w:highlight w:val="none"/>
          <w:lang w:val="en-US" w:eastAsia="zh-CN"/>
        </w:rPr>
        <w:t>6</w:t>
      </w:r>
      <w:r>
        <w:rPr>
          <w:rFonts w:hint="eastAsia"/>
          <w:color w:val="auto"/>
          <w:highlight w:val="none"/>
        </w:rPr>
        <w:t>　场地土和地表水、地下水对建筑材料的腐蚀性；</w:t>
      </w:r>
    </w:p>
    <w:p>
      <w:pPr>
        <w:spacing w:line="360" w:lineRule="auto"/>
        <w:ind w:firstLine="422" w:firstLineChars="200"/>
        <w:rPr>
          <w:color w:val="auto"/>
          <w:highlight w:val="none"/>
        </w:rPr>
      </w:pPr>
      <w:r>
        <w:rPr>
          <w:rFonts w:hint="eastAsia"/>
          <w:b/>
          <w:bCs/>
          <w:color w:val="auto"/>
          <w:highlight w:val="none"/>
          <w:lang w:val="en-US" w:eastAsia="zh-CN"/>
        </w:rPr>
        <w:t>7</w:t>
      </w:r>
      <w:r>
        <w:rPr>
          <w:rFonts w:hint="eastAsia"/>
          <w:color w:val="auto"/>
          <w:highlight w:val="none"/>
        </w:rPr>
        <w:t>　</w:t>
      </w:r>
      <w:r>
        <w:rPr>
          <w:color w:val="auto"/>
          <w:highlight w:val="none"/>
        </w:rPr>
        <w:t>煤层或其它可能产生有毒有害气体的地层的发育情况。</w:t>
      </w:r>
    </w:p>
    <w:p>
      <w:pPr>
        <w:autoSpaceDE w:val="0"/>
        <w:spacing w:line="360" w:lineRule="auto"/>
        <w:jc w:val="left"/>
        <w:rPr>
          <w:color w:val="auto"/>
          <w:highlight w:val="none"/>
        </w:rPr>
      </w:pPr>
      <w:r>
        <w:rPr>
          <w:b/>
          <w:bCs/>
          <w:color w:val="auto"/>
          <w:highlight w:val="none"/>
        </w:rPr>
        <w:t>8.3.2</w:t>
      </w:r>
      <w:r>
        <w:rPr>
          <w:rFonts w:hint="eastAsia"/>
          <w:color w:val="auto"/>
          <w:highlight w:val="none"/>
        </w:rPr>
        <w:t>　</w:t>
      </w:r>
      <w:r>
        <w:rPr>
          <w:color w:val="auto"/>
          <w:highlight w:val="none"/>
        </w:rPr>
        <w:t>初步勘察勘探点布置应符合下列规定：</w:t>
      </w:r>
    </w:p>
    <w:p>
      <w:pPr>
        <w:autoSpaceDE w:val="0"/>
        <w:spacing w:line="360" w:lineRule="auto"/>
        <w:ind w:firstLine="422" w:firstLineChars="200"/>
        <w:jc w:val="left"/>
        <w:rPr>
          <w:color w:val="auto"/>
          <w:highlight w:val="none"/>
        </w:rPr>
      </w:pPr>
      <w:r>
        <w:rPr>
          <w:b/>
          <w:bCs/>
          <w:color w:val="auto"/>
          <w:highlight w:val="none"/>
        </w:rPr>
        <w:t>1</w:t>
      </w:r>
      <w:r>
        <w:rPr>
          <w:rFonts w:hint="eastAsia"/>
          <w:color w:val="auto"/>
          <w:highlight w:val="none"/>
        </w:rPr>
        <w:t>　</w:t>
      </w:r>
      <w:r>
        <w:rPr>
          <w:color w:val="auto"/>
          <w:highlight w:val="none"/>
        </w:rPr>
        <w:t>厂区水处理构筑物勘探点可按网格状布置，间距宜为</w:t>
      </w:r>
      <w:r>
        <w:rPr>
          <w:rFonts w:hint="eastAsia"/>
          <w:color w:val="auto"/>
          <w:highlight w:val="none"/>
        </w:rPr>
        <w:t>5</w:t>
      </w:r>
      <w:r>
        <w:rPr>
          <w:color w:val="auto"/>
          <w:highlight w:val="none"/>
        </w:rPr>
        <w:t>0m～</w:t>
      </w:r>
      <w:r>
        <w:rPr>
          <w:rFonts w:hint="eastAsia"/>
          <w:color w:val="auto"/>
          <w:highlight w:val="none"/>
        </w:rPr>
        <w:t>15</w:t>
      </w:r>
      <w:r>
        <w:rPr>
          <w:color w:val="auto"/>
          <w:highlight w:val="none"/>
        </w:rPr>
        <w:t>0m；</w:t>
      </w:r>
    </w:p>
    <w:p>
      <w:pPr>
        <w:autoSpaceDE w:val="0"/>
        <w:spacing w:line="360" w:lineRule="auto"/>
        <w:ind w:firstLine="422" w:firstLineChars="200"/>
        <w:jc w:val="left"/>
        <w:rPr>
          <w:color w:val="auto"/>
          <w:kern w:val="0"/>
          <w:highlight w:val="none"/>
        </w:rPr>
      </w:pPr>
      <w:r>
        <w:rPr>
          <w:rFonts w:hint="eastAsia"/>
          <w:b/>
          <w:bCs/>
          <w:color w:val="auto"/>
          <w:kern w:val="0"/>
          <w:highlight w:val="none"/>
        </w:rPr>
        <w:t>2</w:t>
      </w:r>
      <w:r>
        <w:rPr>
          <w:rFonts w:hint="eastAsia"/>
          <w:color w:val="auto"/>
          <w:kern w:val="0"/>
          <w:highlight w:val="none"/>
        </w:rPr>
        <w:t>　</w:t>
      </w:r>
      <w:r>
        <w:rPr>
          <w:color w:val="auto"/>
          <w:kern w:val="0"/>
          <w:highlight w:val="none"/>
        </w:rPr>
        <w:t>基坑边线应布置勘探点，间距</w:t>
      </w:r>
      <w:r>
        <w:rPr>
          <w:color w:val="auto"/>
          <w:highlight w:val="none"/>
        </w:rPr>
        <w:t>宜为50m～100m</w:t>
      </w:r>
      <w:r>
        <w:rPr>
          <w:rFonts w:hint="eastAsia"/>
          <w:color w:val="auto"/>
          <w:highlight w:val="none"/>
        </w:rPr>
        <w:t>；</w:t>
      </w:r>
    </w:p>
    <w:p>
      <w:pPr>
        <w:autoSpaceDE w:val="0"/>
        <w:spacing w:line="360" w:lineRule="auto"/>
        <w:ind w:firstLine="422" w:firstLineChars="200"/>
        <w:jc w:val="left"/>
        <w:rPr>
          <w:color w:val="auto"/>
          <w:highlight w:val="none"/>
        </w:rPr>
      </w:pPr>
      <w:r>
        <w:rPr>
          <w:rFonts w:hint="eastAsia"/>
          <w:b/>
          <w:bCs/>
          <w:color w:val="auto"/>
          <w:highlight w:val="none"/>
        </w:rPr>
        <w:t>3</w:t>
      </w:r>
      <w:r>
        <w:rPr>
          <w:rFonts w:hint="eastAsia"/>
          <w:color w:val="auto"/>
          <w:highlight w:val="none"/>
        </w:rPr>
        <w:t>　</w:t>
      </w:r>
      <w:r>
        <w:rPr>
          <w:rFonts w:hint="eastAsia"/>
          <w:color w:val="auto"/>
          <w:highlight w:val="none"/>
          <w:lang w:val="en-US" w:eastAsia="zh-CN"/>
        </w:rPr>
        <w:t>厂区内其它</w:t>
      </w:r>
      <w:r>
        <w:rPr>
          <w:color w:val="auto"/>
          <w:highlight w:val="none"/>
        </w:rPr>
        <w:t>单体构筑物及厂区外的泵房、取排水构筑物等应布置勘探点</w:t>
      </w:r>
      <w:r>
        <w:rPr>
          <w:rFonts w:hint="eastAsia"/>
          <w:color w:val="auto"/>
          <w:highlight w:val="none"/>
        </w:rPr>
        <w:t>。</w:t>
      </w:r>
    </w:p>
    <w:p>
      <w:pPr>
        <w:spacing w:line="360" w:lineRule="auto"/>
        <w:rPr>
          <w:color w:val="auto"/>
          <w:highlight w:val="none"/>
        </w:rPr>
      </w:pPr>
      <w:r>
        <w:rPr>
          <w:b/>
          <w:bCs/>
          <w:color w:val="auto"/>
          <w:highlight w:val="none"/>
        </w:rPr>
        <w:t>8.</w:t>
      </w:r>
      <w:r>
        <w:rPr>
          <w:rFonts w:hint="eastAsia"/>
          <w:b/>
          <w:bCs/>
          <w:color w:val="auto"/>
          <w:highlight w:val="none"/>
        </w:rPr>
        <w:t>3</w:t>
      </w:r>
      <w:r>
        <w:rPr>
          <w:b/>
          <w:bCs/>
          <w:color w:val="auto"/>
          <w:highlight w:val="none"/>
        </w:rPr>
        <w:t>.3</w:t>
      </w:r>
      <w:r>
        <w:rPr>
          <w:rFonts w:hint="eastAsia"/>
          <w:color w:val="auto"/>
          <w:highlight w:val="none"/>
        </w:rPr>
        <w:t>　</w:t>
      </w:r>
      <w:r>
        <w:rPr>
          <w:color w:val="auto"/>
          <w:highlight w:val="none"/>
        </w:rPr>
        <w:t>勘探孔深度应根据</w:t>
      </w:r>
      <w:r>
        <w:rPr>
          <w:rFonts w:hint="eastAsia"/>
          <w:color w:val="auto"/>
          <w:highlight w:val="none"/>
        </w:rPr>
        <w:t>拟建构筑物性质、基础形式、施工工法及地基岩土条件等综合确定，并应符合</w:t>
      </w:r>
      <w:r>
        <w:rPr>
          <w:color w:val="auto"/>
          <w:highlight w:val="none"/>
        </w:rPr>
        <w:t>下列</w:t>
      </w:r>
      <w:r>
        <w:rPr>
          <w:rFonts w:hint="eastAsia"/>
          <w:color w:val="auto"/>
          <w:highlight w:val="none"/>
        </w:rPr>
        <w:t>规定</w:t>
      </w:r>
      <w:r>
        <w:rPr>
          <w:color w:val="auto"/>
          <w:highlight w:val="none"/>
        </w:rPr>
        <w:t>：</w:t>
      </w:r>
    </w:p>
    <w:p>
      <w:pPr>
        <w:autoSpaceDE w:val="0"/>
        <w:spacing w:line="360" w:lineRule="auto"/>
        <w:ind w:firstLine="422" w:firstLineChars="200"/>
        <w:jc w:val="left"/>
        <w:rPr>
          <w:color w:val="auto"/>
          <w:highlight w:val="none"/>
        </w:rPr>
      </w:pPr>
      <w:r>
        <w:rPr>
          <w:b/>
          <w:bCs/>
          <w:color w:val="auto"/>
          <w:highlight w:val="none"/>
        </w:rPr>
        <w:t>1</w:t>
      </w:r>
      <w:r>
        <w:rPr>
          <w:rFonts w:hint="eastAsia"/>
          <w:color w:val="auto"/>
          <w:highlight w:val="none"/>
        </w:rPr>
        <w:t>　</w:t>
      </w:r>
      <w:r>
        <w:rPr>
          <w:color w:val="auto"/>
          <w:highlight w:val="none"/>
        </w:rPr>
        <w:t>厂区</w:t>
      </w:r>
      <w:r>
        <w:rPr>
          <w:rFonts w:hint="eastAsia"/>
          <w:color w:val="auto"/>
          <w:highlight w:val="none"/>
        </w:rPr>
        <w:t>水处理构筑物勘探孔深度不宜小于20m，采用桩基时不宜小于桩端以下5倍桩径且不小于5m；遇软土、</w:t>
      </w:r>
      <w:r>
        <w:rPr>
          <w:color w:val="auto"/>
          <w:highlight w:val="none"/>
        </w:rPr>
        <w:t>溶洞、</w:t>
      </w:r>
      <w:r>
        <w:rPr>
          <w:rFonts w:hint="eastAsia"/>
          <w:color w:val="auto"/>
          <w:highlight w:val="none"/>
        </w:rPr>
        <w:t>土洞、</w:t>
      </w:r>
      <w:r>
        <w:rPr>
          <w:color w:val="auto"/>
          <w:highlight w:val="none"/>
        </w:rPr>
        <w:t>采空区</w:t>
      </w:r>
      <w:r>
        <w:rPr>
          <w:rFonts w:hint="eastAsia"/>
          <w:color w:val="auto"/>
          <w:highlight w:val="none"/>
        </w:rPr>
        <w:t>应予以钻穿</w:t>
      </w:r>
      <w:r>
        <w:rPr>
          <w:color w:val="auto"/>
          <w:kern w:val="0"/>
          <w:highlight w:val="none"/>
        </w:rPr>
        <w:t>并根据需要</w:t>
      </w:r>
      <w:r>
        <w:rPr>
          <w:rFonts w:hint="eastAsia"/>
          <w:color w:val="auto"/>
          <w:kern w:val="0"/>
          <w:highlight w:val="none"/>
        </w:rPr>
        <w:t>适当</w:t>
      </w:r>
      <w:r>
        <w:rPr>
          <w:color w:val="auto"/>
          <w:kern w:val="0"/>
          <w:highlight w:val="none"/>
        </w:rPr>
        <w:t>加深</w:t>
      </w:r>
      <w:r>
        <w:rPr>
          <w:color w:val="auto"/>
          <w:highlight w:val="none"/>
        </w:rPr>
        <w:t>；</w:t>
      </w:r>
    </w:p>
    <w:p>
      <w:pPr>
        <w:autoSpaceDE w:val="0"/>
        <w:spacing w:line="360" w:lineRule="auto"/>
        <w:ind w:firstLine="422" w:firstLineChars="200"/>
        <w:jc w:val="left"/>
        <w:rPr>
          <w:color w:val="auto"/>
          <w:highlight w:val="none"/>
        </w:rPr>
      </w:pPr>
      <w:r>
        <w:rPr>
          <w:rFonts w:hint="eastAsia"/>
          <w:b/>
          <w:bCs/>
          <w:color w:val="auto"/>
          <w:highlight w:val="none"/>
        </w:rPr>
        <w:t>2</w:t>
      </w:r>
      <w:r>
        <w:rPr>
          <w:rFonts w:hint="eastAsia"/>
          <w:color w:val="auto"/>
          <w:highlight w:val="none"/>
        </w:rPr>
        <w:t>　地埋式污水厂、泵站勘探孔深度不宜小于40m，遇软土、砂层、</w:t>
      </w:r>
      <w:r>
        <w:rPr>
          <w:color w:val="auto"/>
          <w:highlight w:val="none"/>
        </w:rPr>
        <w:t>溶洞、</w:t>
      </w:r>
      <w:r>
        <w:rPr>
          <w:rFonts w:hint="eastAsia"/>
          <w:color w:val="auto"/>
          <w:highlight w:val="none"/>
        </w:rPr>
        <w:t>土洞、</w:t>
      </w:r>
      <w:r>
        <w:rPr>
          <w:color w:val="auto"/>
          <w:highlight w:val="none"/>
        </w:rPr>
        <w:t>采空区、破碎带</w:t>
      </w:r>
      <w:r>
        <w:rPr>
          <w:rFonts w:hint="eastAsia"/>
          <w:color w:val="auto"/>
          <w:highlight w:val="none"/>
        </w:rPr>
        <w:t>应予以钻穿</w:t>
      </w:r>
      <w:r>
        <w:rPr>
          <w:color w:val="auto"/>
          <w:kern w:val="0"/>
          <w:highlight w:val="none"/>
        </w:rPr>
        <w:t>并根据需要</w:t>
      </w:r>
      <w:r>
        <w:rPr>
          <w:rFonts w:hint="eastAsia"/>
          <w:color w:val="auto"/>
          <w:kern w:val="0"/>
          <w:highlight w:val="none"/>
        </w:rPr>
        <w:t>适当</w:t>
      </w:r>
      <w:r>
        <w:rPr>
          <w:color w:val="auto"/>
          <w:kern w:val="0"/>
          <w:highlight w:val="none"/>
        </w:rPr>
        <w:t>加深</w:t>
      </w:r>
      <w:r>
        <w:rPr>
          <w:rFonts w:hint="eastAsia"/>
          <w:color w:val="auto"/>
          <w:highlight w:val="none"/>
        </w:rPr>
        <w:t>；</w:t>
      </w:r>
    </w:p>
    <w:p>
      <w:pPr>
        <w:autoSpaceDE w:val="0"/>
        <w:spacing w:line="360" w:lineRule="auto"/>
        <w:ind w:firstLine="422" w:firstLineChars="200"/>
        <w:jc w:val="left"/>
        <w:rPr>
          <w:color w:val="auto"/>
          <w:highlight w:val="none"/>
        </w:rPr>
      </w:pPr>
      <w:r>
        <w:rPr>
          <w:rFonts w:hint="eastAsia"/>
          <w:b/>
          <w:bCs/>
          <w:color w:val="auto"/>
          <w:highlight w:val="none"/>
        </w:rPr>
        <w:t>3</w:t>
      </w:r>
      <w:r>
        <w:rPr>
          <w:rFonts w:hint="eastAsia"/>
          <w:color w:val="auto"/>
          <w:highlight w:val="none"/>
        </w:rPr>
        <w:t>　以上</w:t>
      </w:r>
      <w:r>
        <w:rPr>
          <w:color w:val="auto"/>
          <w:highlight w:val="none"/>
        </w:rPr>
        <w:t>勘探深度范围内遇</w:t>
      </w:r>
      <w:r>
        <w:rPr>
          <w:rFonts w:hint="eastAsia"/>
          <w:color w:val="auto"/>
          <w:highlight w:val="none"/>
        </w:rPr>
        <w:t>稳定</w:t>
      </w:r>
      <w:r>
        <w:rPr>
          <w:color w:val="auto"/>
          <w:highlight w:val="none"/>
        </w:rPr>
        <w:t>基岩时勘探孔深度可适当减小。</w:t>
      </w:r>
    </w:p>
    <w:p>
      <w:pPr>
        <w:autoSpaceDE w:val="0"/>
        <w:spacing w:line="360" w:lineRule="auto"/>
        <w:jc w:val="left"/>
        <w:rPr>
          <w:color w:val="auto"/>
          <w:kern w:val="0"/>
          <w:highlight w:val="none"/>
        </w:rPr>
      </w:pPr>
      <w:r>
        <w:rPr>
          <w:b/>
          <w:bCs/>
          <w:color w:val="auto"/>
          <w:highlight w:val="none"/>
        </w:rPr>
        <w:t>8.3.</w:t>
      </w:r>
      <w:r>
        <w:rPr>
          <w:rFonts w:hint="eastAsia"/>
          <w:b/>
          <w:bCs/>
          <w:color w:val="auto"/>
          <w:highlight w:val="none"/>
        </w:rPr>
        <w:t>4</w:t>
      </w:r>
      <w:r>
        <w:rPr>
          <w:rFonts w:hint="eastAsia"/>
          <w:color w:val="auto"/>
          <w:highlight w:val="none"/>
        </w:rPr>
        <w:t>　</w:t>
      </w:r>
      <w:r>
        <w:rPr>
          <w:color w:val="auto"/>
          <w:kern w:val="0"/>
          <w:highlight w:val="none"/>
        </w:rPr>
        <w:t>地埋式建构筑物宜沿基坑边布置物探测线，并根据需要在基坑内布置若干测线。</w:t>
      </w:r>
    </w:p>
    <w:p>
      <w:pPr>
        <w:spacing w:line="360" w:lineRule="auto"/>
        <w:rPr>
          <w:color w:val="auto"/>
          <w:highlight w:val="none"/>
        </w:rPr>
      </w:pPr>
      <w:r>
        <w:rPr>
          <w:rFonts w:hint="eastAsia"/>
          <w:b/>
          <w:bCs/>
          <w:color w:val="auto"/>
          <w:highlight w:val="none"/>
        </w:rPr>
        <w:t>8</w:t>
      </w:r>
      <w:r>
        <w:rPr>
          <w:b/>
          <w:bCs/>
          <w:color w:val="auto"/>
          <w:highlight w:val="none"/>
        </w:rPr>
        <w:t>.3.</w:t>
      </w:r>
      <w:r>
        <w:rPr>
          <w:rFonts w:hint="eastAsia"/>
          <w:b/>
          <w:bCs/>
          <w:color w:val="auto"/>
          <w:highlight w:val="none"/>
        </w:rPr>
        <w:t>5</w:t>
      </w:r>
      <w:r>
        <w:rPr>
          <w:rFonts w:hint="eastAsia"/>
          <w:color w:val="auto"/>
          <w:highlight w:val="none"/>
        </w:rPr>
        <w:t>　初步勘察应评价</w:t>
      </w:r>
      <w:r>
        <w:rPr>
          <w:color w:val="auto"/>
          <w:kern w:val="0"/>
          <w:highlight w:val="none"/>
        </w:rPr>
        <w:t>场地的稳定性和</w:t>
      </w:r>
      <w:r>
        <w:rPr>
          <w:rFonts w:hint="eastAsia"/>
          <w:color w:val="auto"/>
          <w:kern w:val="0"/>
          <w:highlight w:val="none"/>
        </w:rPr>
        <w:t>工程建设的</w:t>
      </w:r>
      <w:r>
        <w:rPr>
          <w:color w:val="auto"/>
          <w:kern w:val="0"/>
          <w:highlight w:val="none"/>
        </w:rPr>
        <w:t>适宜性</w:t>
      </w:r>
      <w:r>
        <w:rPr>
          <w:rFonts w:hint="eastAsia"/>
          <w:color w:val="auto"/>
          <w:highlight w:val="none"/>
        </w:rPr>
        <w:t>，并初步</w:t>
      </w:r>
      <w:r>
        <w:rPr>
          <w:color w:val="auto"/>
          <w:highlight w:val="none"/>
        </w:rPr>
        <w:t>分析评价下列内容：</w:t>
      </w:r>
    </w:p>
    <w:p>
      <w:pPr>
        <w:spacing w:line="360" w:lineRule="auto"/>
        <w:ind w:firstLine="422" w:firstLineChars="200"/>
        <w:rPr>
          <w:color w:val="auto"/>
          <w:highlight w:val="none"/>
        </w:rPr>
      </w:pPr>
      <w:r>
        <w:rPr>
          <w:b/>
          <w:bCs/>
          <w:color w:val="auto"/>
          <w:highlight w:val="none"/>
        </w:rPr>
        <w:t>1</w:t>
      </w:r>
      <w:r>
        <w:rPr>
          <w:rFonts w:hint="eastAsia"/>
          <w:color w:val="auto"/>
          <w:highlight w:val="none"/>
        </w:rPr>
        <w:t>　</w:t>
      </w:r>
      <w:r>
        <w:rPr>
          <w:rFonts w:hint="eastAsia"/>
          <w:color w:val="auto"/>
          <w:szCs w:val="21"/>
          <w:highlight w:val="none"/>
        </w:rPr>
        <w:t>评价</w:t>
      </w:r>
      <w:r>
        <w:rPr>
          <w:color w:val="auto"/>
          <w:highlight w:val="none"/>
        </w:rPr>
        <w:t>地基</w:t>
      </w:r>
      <w:r>
        <w:rPr>
          <w:rFonts w:hint="eastAsia"/>
          <w:color w:val="auto"/>
          <w:highlight w:val="none"/>
        </w:rPr>
        <w:t>的稳定性</w:t>
      </w:r>
      <w:r>
        <w:rPr>
          <w:color w:val="auto"/>
          <w:highlight w:val="none"/>
        </w:rPr>
        <w:t>和均匀性</w:t>
      </w:r>
      <w:r>
        <w:rPr>
          <w:rFonts w:hint="eastAsia"/>
          <w:color w:val="auto"/>
          <w:highlight w:val="none"/>
        </w:rPr>
        <w:t>，提出地基基础选型的建议，并提供初步设计所需的岩土参数；</w:t>
      </w:r>
    </w:p>
    <w:p>
      <w:pPr>
        <w:spacing w:line="360" w:lineRule="auto"/>
        <w:ind w:firstLine="422" w:firstLineChars="200"/>
        <w:rPr>
          <w:color w:val="auto"/>
          <w:highlight w:val="none"/>
        </w:rPr>
      </w:pPr>
      <w:r>
        <w:rPr>
          <w:b/>
          <w:bCs/>
          <w:color w:val="auto"/>
          <w:highlight w:val="none"/>
        </w:rPr>
        <w:t>2</w:t>
      </w:r>
      <w:r>
        <w:rPr>
          <w:rFonts w:hint="eastAsia"/>
          <w:color w:val="auto"/>
          <w:highlight w:val="none"/>
        </w:rPr>
        <w:t>　</w:t>
      </w:r>
      <w:r>
        <w:rPr>
          <w:rFonts w:hint="eastAsia"/>
          <w:color w:val="auto"/>
          <w:szCs w:val="21"/>
          <w:highlight w:val="none"/>
        </w:rPr>
        <w:t>评价</w:t>
      </w:r>
      <w:r>
        <w:rPr>
          <w:rFonts w:hint="eastAsia"/>
          <w:color w:val="auto"/>
          <w:highlight w:val="none"/>
        </w:rPr>
        <w:t>场地与地基的地震效应；</w:t>
      </w:r>
    </w:p>
    <w:p>
      <w:pPr>
        <w:spacing w:line="360" w:lineRule="auto"/>
        <w:ind w:firstLine="422" w:firstLineChars="200"/>
        <w:rPr>
          <w:color w:val="auto"/>
          <w:highlight w:val="none"/>
        </w:rPr>
      </w:pPr>
      <w:r>
        <w:rPr>
          <w:rFonts w:hint="eastAsia"/>
          <w:b/>
          <w:bCs/>
          <w:color w:val="auto"/>
          <w:highlight w:val="none"/>
        </w:rPr>
        <w:t>3</w:t>
      </w:r>
      <w:r>
        <w:rPr>
          <w:rFonts w:hint="eastAsia"/>
          <w:color w:val="auto"/>
          <w:highlight w:val="none"/>
        </w:rPr>
        <w:t>　提出对不良地质作用的初步防治措施建议</w:t>
      </w:r>
      <w:r>
        <w:rPr>
          <w:color w:val="auto"/>
          <w:highlight w:val="none"/>
        </w:rPr>
        <w:t>；</w:t>
      </w:r>
    </w:p>
    <w:p>
      <w:pPr>
        <w:spacing w:line="360" w:lineRule="auto"/>
        <w:ind w:firstLine="422" w:firstLineChars="200"/>
        <w:rPr>
          <w:color w:val="auto"/>
          <w:highlight w:val="none"/>
        </w:rPr>
      </w:pPr>
      <w:r>
        <w:rPr>
          <w:rFonts w:hint="eastAsia"/>
          <w:b/>
          <w:bCs/>
          <w:color w:val="auto"/>
          <w:highlight w:val="none"/>
        </w:rPr>
        <w:t>4</w:t>
      </w:r>
      <w:r>
        <w:rPr>
          <w:rFonts w:hint="eastAsia"/>
          <w:color w:val="auto"/>
          <w:highlight w:val="none"/>
        </w:rPr>
        <w:t>　提出对特殊性岩土的初步处理建议；</w:t>
      </w:r>
    </w:p>
    <w:p>
      <w:pPr>
        <w:spacing w:line="360" w:lineRule="auto"/>
        <w:ind w:firstLine="422" w:firstLineChars="200"/>
        <w:rPr>
          <w:color w:val="auto"/>
          <w:highlight w:val="none"/>
        </w:rPr>
      </w:pPr>
      <w:r>
        <w:rPr>
          <w:rFonts w:hint="eastAsia"/>
          <w:b/>
          <w:bCs/>
          <w:color w:val="auto"/>
          <w:highlight w:val="none"/>
        </w:rPr>
        <w:t>5</w:t>
      </w:r>
      <w:r>
        <w:rPr>
          <w:rFonts w:hint="eastAsia"/>
          <w:color w:val="auto"/>
          <w:highlight w:val="none"/>
        </w:rPr>
        <w:t>　提出基坑支护、地下水控制、地下结构抗浮等的初步措施建议</w:t>
      </w:r>
      <w:r>
        <w:rPr>
          <w:color w:val="auto"/>
          <w:highlight w:val="none"/>
        </w:rPr>
        <w:t>。</w:t>
      </w:r>
    </w:p>
    <w:p>
      <w:pPr>
        <w:pStyle w:val="3"/>
        <w:rPr>
          <w:rFonts w:ascii="Times New Roman" w:hAnsi="Times New Roman" w:eastAsia="宋体"/>
          <w:color w:val="auto"/>
          <w:highlight w:val="none"/>
        </w:rPr>
      </w:pPr>
      <w:bookmarkStart w:id="135" w:name="_Toc22217"/>
      <w:bookmarkStart w:id="136" w:name="_Toc23152"/>
      <w:bookmarkStart w:id="137" w:name="_Toc24366"/>
      <w:bookmarkStart w:id="138" w:name="_8.4　详细勘察"/>
      <w:r>
        <w:rPr>
          <w:rFonts w:ascii="Times New Roman" w:hAnsi="Times New Roman" w:eastAsia="宋体"/>
          <w:color w:val="auto"/>
          <w:highlight w:val="none"/>
        </w:rPr>
        <w:t>8.4</w:t>
      </w:r>
      <w:r>
        <w:rPr>
          <w:rFonts w:hint="eastAsia" w:ascii="Times New Roman" w:hAnsi="Times New Roman" w:eastAsia="宋体"/>
          <w:color w:val="auto"/>
          <w:highlight w:val="none"/>
        </w:rPr>
        <w:t>　</w:t>
      </w:r>
      <w:r>
        <w:rPr>
          <w:rFonts w:ascii="Times New Roman" w:hAnsi="Times New Roman" w:eastAsia="宋体"/>
          <w:color w:val="auto"/>
          <w:highlight w:val="none"/>
        </w:rPr>
        <w:t>详细勘察</w:t>
      </w:r>
      <w:bookmarkEnd w:id="135"/>
      <w:bookmarkEnd w:id="136"/>
      <w:bookmarkEnd w:id="137"/>
    </w:p>
    <w:bookmarkEnd w:id="138"/>
    <w:p>
      <w:pPr>
        <w:autoSpaceDE w:val="0"/>
        <w:autoSpaceDN w:val="0"/>
        <w:adjustRightInd w:val="0"/>
        <w:spacing w:line="360" w:lineRule="auto"/>
        <w:jc w:val="left"/>
        <w:rPr>
          <w:color w:val="auto"/>
          <w:highlight w:val="none"/>
        </w:rPr>
      </w:pPr>
      <w:r>
        <w:rPr>
          <w:b/>
          <w:bCs/>
          <w:color w:val="auto"/>
          <w:highlight w:val="none"/>
        </w:rPr>
        <w:t>8.4.1</w:t>
      </w:r>
      <w:r>
        <w:rPr>
          <w:rFonts w:hint="eastAsia"/>
          <w:color w:val="auto"/>
          <w:highlight w:val="none"/>
        </w:rPr>
        <w:t>　</w:t>
      </w:r>
      <w:r>
        <w:rPr>
          <w:color w:val="auto"/>
          <w:kern w:val="0"/>
          <w:highlight w:val="none"/>
        </w:rPr>
        <w:t>详细勘察应</w:t>
      </w:r>
      <w:r>
        <w:rPr>
          <w:color w:val="auto"/>
          <w:highlight w:val="none"/>
        </w:rPr>
        <w:t>重点查明</w:t>
      </w:r>
      <w:r>
        <w:rPr>
          <w:rFonts w:hint="eastAsia"/>
          <w:color w:val="auto"/>
          <w:highlight w:val="none"/>
        </w:rPr>
        <w:t>以下</w:t>
      </w:r>
      <w:r>
        <w:rPr>
          <w:color w:val="auto"/>
          <w:highlight w:val="none"/>
        </w:rPr>
        <w:t>内容</w:t>
      </w:r>
      <w:r>
        <w:rPr>
          <w:rFonts w:hint="eastAsia"/>
          <w:color w:val="auto"/>
          <w:highlight w:val="none"/>
        </w:rPr>
        <w:t>：</w:t>
      </w:r>
    </w:p>
    <w:p>
      <w:pPr>
        <w:autoSpaceDE w:val="0"/>
        <w:spacing w:line="360" w:lineRule="auto"/>
        <w:ind w:firstLine="422" w:firstLineChars="200"/>
        <w:jc w:val="left"/>
        <w:rPr>
          <w:color w:val="auto"/>
          <w:szCs w:val="21"/>
          <w:highlight w:val="none"/>
        </w:rPr>
      </w:pPr>
      <w:r>
        <w:rPr>
          <w:b/>
          <w:bCs/>
          <w:color w:val="auto"/>
          <w:szCs w:val="21"/>
          <w:highlight w:val="none"/>
        </w:rPr>
        <w:t>1</w:t>
      </w:r>
      <w:r>
        <w:rPr>
          <w:rFonts w:hint="eastAsia"/>
          <w:color w:val="auto"/>
          <w:szCs w:val="21"/>
          <w:highlight w:val="none"/>
        </w:rPr>
        <w:t>　</w:t>
      </w:r>
      <w:r>
        <w:rPr>
          <w:color w:val="auto"/>
          <w:szCs w:val="21"/>
          <w:highlight w:val="none"/>
        </w:rPr>
        <w:t>场地地层的组成和分布情况</w:t>
      </w:r>
      <w:r>
        <w:rPr>
          <w:rFonts w:hint="eastAsia"/>
          <w:color w:val="auto"/>
          <w:szCs w:val="21"/>
          <w:highlight w:val="none"/>
        </w:rPr>
        <w:t>，</w:t>
      </w:r>
      <w:r>
        <w:rPr>
          <w:color w:val="auto"/>
          <w:szCs w:val="21"/>
          <w:highlight w:val="none"/>
        </w:rPr>
        <w:t>主要控制性地层的空间分布及岩土特性；</w:t>
      </w:r>
    </w:p>
    <w:p>
      <w:pPr>
        <w:autoSpaceDE w:val="0"/>
        <w:spacing w:line="360" w:lineRule="auto"/>
        <w:ind w:firstLine="422" w:firstLineChars="200"/>
        <w:jc w:val="left"/>
        <w:rPr>
          <w:color w:val="auto"/>
          <w:szCs w:val="21"/>
          <w:highlight w:val="none"/>
        </w:rPr>
      </w:pPr>
      <w:r>
        <w:rPr>
          <w:rFonts w:hint="eastAsia"/>
          <w:b/>
          <w:bCs/>
          <w:color w:val="auto"/>
          <w:szCs w:val="21"/>
          <w:highlight w:val="none"/>
        </w:rPr>
        <w:t>2</w:t>
      </w:r>
      <w:r>
        <w:rPr>
          <w:rFonts w:hint="eastAsia"/>
          <w:color w:val="auto"/>
          <w:szCs w:val="21"/>
          <w:highlight w:val="none"/>
        </w:rPr>
        <w:t>　</w:t>
      </w:r>
      <w:r>
        <w:rPr>
          <w:color w:val="auto"/>
          <w:szCs w:val="21"/>
          <w:highlight w:val="none"/>
        </w:rPr>
        <w:t>场地及周边对工程有影响的不良地质作用</w:t>
      </w:r>
      <w:r>
        <w:rPr>
          <w:rFonts w:hint="eastAsia"/>
          <w:color w:val="auto"/>
          <w:szCs w:val="21"/>
          <w:highlight w:val="none"/>
        </w:rPr>
        <w:t>的</w:t>
      </w:r>
      <w:r>
        <w:rPr>
          <w:color w:val="auto"/>
          <w:szCs w:val="21"/>
          <w:highlight w:val="none"/>
        </w:rPr>
        <w:t>分布、规模、类型</w:t>
      </w:r>
      <w:r>
        <w:rPr>
          <w:rFonts w:hint="eastAsia"/>
          <w:color w:val="auto"/>
          <w:szCs w:val="21"/>
          <w:highlight w:val="none"/>
        </w:rPr>
        <w:t>和</w:t>
      </w:r>
      <w:r>
        <w:rPr>
          <w:color w:val="auto"/>
          <w:szCs w:val="21"/>
          <w:highlight w:val="none"/>
        </w:rPr>
        <w:t>成因；</w:t>
      </w:r>
    </w:p>
    <w:p>
      <w:pPr>
        <w:autoSpaceDE w:val="0"/>
        <w:spacing w:line="360" w:lineRule="auto"/>
        <w:ind w:firstLine="422" w:firstLineChars="200"/>
        <w:jc w:val="left"/>
        <w:rPr>
          <w:color w:val="auto"/>
          <w:szCs w:val="21"/>
          <w:highlight w:val="none"/>
        </w:rPr>
      </w:pPr>
      <w:r>
        <w:rPr>
          <w:rFonts w:hint="eastAsia"/>
          <w:b/>
          <w:bCs/>
          <w:color w:val="auto"/>
          <w:szCs w:val="21"/>
          <w:highlight w:val="none"/>
        </w:rPr>
        <w:t>3</w:t>
      </w:r>
      <w:r>
        <w:rPr>
          <w:rFonts w:hint="eastAsia"/>
          <w:color w:val="auto"/>
          <w:szCs w:val="21"/>
          <w:highlight w:val="none"/>
        </w:rPr>
        <w:t>　</w:t>
      </w:r>
      <w:r>
        <w:rPr>
          <w:color w:val="auto"/>
          <w:szCs w:val="21"/>
          <w:highlight w:val="none"/>
        </w:rPr>
        <w:t>特殊性岩土的分布和工程地质特性；</w:t>
      </w:r>
    </w:p>
    <w:p>
      <w:pPr>
        <w:autoSpaceDE w:val="0"/>
        <w:spacing w:line="360" w:lineRule="auto"/>
        <w:ind w:firstLine="422" w:firstLineChars="200"/>
        <w:jc w:val="left"/>
        <w:rPr>
          <w:color w:val="auto"/>
          <w:szCs w:val="21"/>
          <w:highlight w:val="none"/>
        </w:rPr>
      </w:pPr>
      <w:r>
        <w:rPr>
          <w:rFonts w:hint="eastAsia"/>
          <w:b/>
          <w:bCs/>
          <w:color w:val="auto"/>
          <w:szCs w:val="21"/>
          <w:highlight w:val="none"/>
        </w:rPr>
        <w:t>4</w:t>
      </w:r>
      <w:r>
        <w:rPr>
          <w:rFonts w:hint="eastAsia"/>
          <w:color w:val="auto"/>
          <w:szCs w:val="21"/>
          <w:highlight w:val="none"/>
        </w:rPr>
        <w:t>　</w:t>
      </w:r>
      <w:r>
        <w:rPr>
          <w:color w:val="auto"/>
          <w:szCs w:val="21"/>
          <w:highlight w:val="none"/>
        </w:rPr>
        <w:t>判定场地土和地下水、地表水对建筑材料的腐蚀性；</w:t>
      </w:r>
    </w:p>
    <w:p>
      <w:pPr>
        <w:spacing w:line="360" w:lineRule="auto"/>
        <w:ind w:firstLine="422" w:firstLineChars="200"/>
        <w:rPr>
          <w:color w:val="auto"/>
          <w:szCs w:val="21"/>
          <w:highlight w:val="none"/>
        </w:rPr>
      </w:pPr>
      <w:r>
        <w:rPr>
          <w:rFonts w:hint="eastAsia"/>
          <w:b/>
          <w:bCs/>
          <w:color w:val="auto"/>
          <w:szCs w:val="21"/>
          <w:highlight w:val="none"/>
        </w:rPr>
        <w:t>5</w:t>
      </w:r>
      <w:r>
        <w:rPr>
          <w:rFonts w:hint="eastAsia"/>
          <w:color w:val="auto"/>
          <w:szCs w:val="21"/>
          <w:highlight w:val="none"/>
        </w:rPr>
        <w:t>　对</w:t>
      </w:r>
      <w:r>
        <w:rPr>
          <w:color w:val="auto"/>
          <w:szCs w:val="21"/>
          <w:highlight w:val="none"/>
        </w:rPr>
        <w:t>地埋式建构筑物</w:t>
      </w:r>
      <w:r>
        <w:rPr>
          <w:rFonts w:hint="eastAsia"/>
          <w:color w:val="auto"/>
          <w:szCs w:val="21"/>
          <w:highlight w:val="none"/>
        </w:rPr>
        <w:t>，查明</w:t>
      </w:r>
      <w:r>
        <w:rPr>
          <w:color w:val="auto"/>
          <w:szCs w:val="21"/>
          <w:highlight w:val="none"/>
        </w:rPr>
        <w:t>岩土层的渗透性</w:t>
      </w:r>
      <w:r>
        <w:rPr>
          <w:rFonts w:hint="eastAsia"/>
          <w:color w:val="auto"/>
          <w:szCs w:val="21"/>
          <w:highlight w:val="none"/>
        </w:rPr>
        <w:t>、</w:t>
      </w:r>
      <w:r>
        <w:rPr>
          <w:color w:val="auto"/>
          <w:szCs w:val="21"/>
          <w:highlight w:val="none"/>
        </w:rPr>
        <w:t>地下水位的变化范围</w:t>
      </w:r>
      <w:r>
        <w:rPr>
          <w:rFonts w:hint="eastAsia"/>
          <w:color w:val="auto"/>
          <w:szCs w:val="21"/>
          <w:highlight w:val="none"/>
        </w:rPr>
        <w:t>，以及场地内承压含水层的分布、渗透性及水位情况，必要时进行专门水文地质勘察；查明基坑开挖深度范围内的土岩界面或岩层结构面的产状和状态。</w:t>
      </w:r>
    </w:p>
    <w:p>
      <w:pPr>
        <w:spacing w:line="360" w:lineRule="auto"/>
        <w:rPr>
          <w:color w:val="auto"/>
          <w:highlight w:val="none"/>
        </w:rPr>
      </w:pPr>
      <w:r>
        <w:rPr>
          <w:b/>
          <w:bCs/>
          <w:color w:val="auto"/>
          <w:highlight w:val="none"/>
        </w:rPr>
        <w:t>8.4.2</w:t>
      </w:r>
      <w:r>
        <w:rPr>
          <w:rFonts w:hint="eastAsia"/>
          <w:color w:val="auto"/>
          <w:highlight w:val="none"/>
        </w:rPr>
        <w:t>　</w:t>
      </w:r>
      <w:r>
        <w:rPr>
          <w:color w:val="auto"/>
          <w:highlight w:val="none"/>
        </w:rPr>
        <w:t>详细勘察勘探点布置应符合下列规定：</w:t>
      </w:r>
    </w:p>
    <w:p>
      <w:pPr>
        <w:autoSpaceDE w:val="0"/>
        <w:spacing w:line="360" w:lineRule="auto"/>
        <w:ind w:firstLine="422" w:firstLineChars="200"/>
        <w:jc w:val="left"/>
        <w:rPr>
          <w:color w:val="auto"/>
          <w:kern w:val="0"/>
          <w:highlight w:val="none"/>
        </w:rPr>
      </w:pPr>
      <w:r>
        <w:rPr>
          <w:b/>
          <w:bCs/>
          <w:color w:val="auto"/>
          <w:highlight w:val="none"/>
        </w:rPr>
        <w:t>1</w:t>
      </w:r>
      <w:r>
        <w:rPr>
          <w:rFonts w:hint="eastAsia"/>
          <w:color w:val="auto"/>
          <w:highlight w:val="none"/>
        </w:rPr>
        <w:t>　</w:t>
      </w:r>
      <w:r>
        <w:rPr>
          <w:color w:val="auto"/>
          <w:highlight w:val="none"/>
        </w:rPr>
        <w:t>拟采用天然地基或地基处理方案的厂区水处理构筑物和厂区内的基坑</w:t>
      </w:r>
      <w:r>
        <w:rPr>
          <w:rFonts w:hint="eastAsia"/>
          <w:color w:val="auto"/>
          <w:highlight w:val="none"/>
        </w:rPr>
        <w:t>边界</w:t>
      </w:r>
      <w:r>
        <w:rPr>
          <w:color w:val="auto"/>
          <w:highlight w:val="none"/>
        </w:rPr>
        <w:t>勘探点</w:t>
      </w:r>
      <w:r>
        <w:rPr>
          <w:color w:val="auto"/>
          <w:kern w:val="0"/>
          <w:highlight w:val="none"/>
        </w:rPr>
        <w:t>宜根据</w:t>
      </w:r>
      <w:r>
        <w:rPr>
          <w:color w:val="auto"/>
          <w:highlight w:val="none"/>
        </w:rPr>
        <w:t>场地</w:t>
      </w:r>
      <w:r>
        <w:rPr>
          <w:rFonts w:hint="eastAsia"/>
          <w:color w:val="auto"/>
          <w:highlight w:val="none"/>
        </w:rPr>
        <w:t>和</w:t>
      </w:r>
      <w:r>
        <w:rPr>
          <w:color w:val="auto"/>
          <w:highlight w:val="none"/>
        </w:rPr>
        <w:t>岩土条件复杂程度</w:t>
      </w:r>
      <w:r>
        <w:rPr>
          <w:rFonts w:hint="eastAsia"/>
          <w:color w:val="auto"/>
          <w:highlight w:val="none"/>
        </w:rPr>
        <w:t>等级</w:t>
      </w:r>
      <w:r>
        <w:rPr>
          <w:color w:val="auto"/>
          <w:kern w:val="0"/>
          <w:highlight w:val="none"/>
        </w:rPr>
        <w:t>按表8.4.2控制</w:t>
      </w:r>
      <w:r>
        <w:rPr>
          <w:rFonts w:hint="eastAsia"/>
          <w:color w:val="auto"/>
          <w:kern w:val="0"/>
          <w:highlight w:val="none"/>
          <w:lang w:eastAsia="zh-CN"/>
        </w:rPr>
        <w:t>，</w:t>
      </w:r>
      <w:r>
        <w:rPr>
          <w:rFonts w:hint="eastAsia"/>
          <w:color w:val="auto"/>
          <w:kern w:val="0"/>
          <w:highlight w:val="none"/>
        </w:rPr>
        <w:t>基坑边线外可根据设计需要按</w:t>
      </w:r>
      <w:r>
        <w:rPr>
          <w:color w:val="auto"/>
          <w:kern w:val="0"/>
          <w:highlight w:val="none"/>
        </w:rPr>
        <w:t>表8.4.2</w:t>
      </w:r>
      <w:r>
        <w:rPr>
          <w:rFonts w:hint="eastAsia"/>
          <w:color w:val="auto"/>
          <w:kern w:val="0"/>
          <w:highlight w:val="none"/>
        </w:rPr>
        <w:t>布置勘探点</w:t>
      </w:r>
      <w:r>
        <w:rPr>
          <w:rFonts w:hint="eastAsia"/>
          <w:color w:val="auto"/>
          <w:szCs w:val="21"/>
          <w:highlight w:val="none"/>
          <w:lang w:eastAsia="zh-CN"/>
        </w:rPr>
        <w:t>；</w:t>
      </w:r>
    </w:p>
    <w:p>
      <w:pPr>
        <w:autoSpaceDE w:val="0"/>
        <w:autoSpaceDN w:val="0"/>
        <w:adjustRightInd w:val="0"/>
        <w:spacing w:line="360" w:lineRule="auto"/>
        <w:jc w:val="center"/>
        <w:rPr>
          <w:b/>
          <w:bCs/>
          <w:color w:val="auto"/>
          <w:kern w:val="0"/>
          <w:highlight w:val="none"/>
        </w:rPr>
      </w:pPr>
      <w:r>
        <w:rPr>
          <w:b/>
          <w:bCs/>
          <w:color w:val="auto"/>
          <w:kern w:val="0"/>
          <w:highlight w:val="none"/>
        </w:rPr>
        <w:t>表8.4.2</w:t>
      </w:r>
      <w:r>
        <w:rPr>
          <w:rFonts w:hint="eastAsia"/>
          <w:b/>
          <w:bCs/>
          <w:color w:val="auto"/>
          <w:kern w:val="0"/>
          <w:highlight w:val="none"/>
        </w:rPr>
        <w:t>　</w:t>
      </w:r>
      <w:r>
        <w:rPr>
          <w:b/>
          <w:bCs/>
          <w:color w:val="auto"/>
          <w:kern w:val="0"/>
          <w:highlight w:val="none"/>
        </w:rPr>
        <w:t>详细勘察勘探点间距（m）</w:t>
      </w:r>
    </w:p>
    <w:tbl>
      <w:tblPr>
        <w:tblStyle w:val="22"/>
        <w:tblW w:w="81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40"/>
        <w:gridCol w:w="2040"/>
        <w:gridCol w:w="2040"/>
        <w:gridCol w:w="20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040" w:type="dxa"/>
            <w:vMerge w:val="restart"/>
            <w:vAlign w:val="center"/>
          </w:tcPr>
          <w:p>
            <w:pPr>
              <w:spacing w:line="0" w:lineRule="atLeast"/>
              <w:jc w:val="center"/>
              <w:rPr>
                <w:color w:val="auto"/>
                <w:sz w:val="20"/>
                <w:szCs w:val="20"/>
                <w:highlight w:val="none"/>
              </w:rPr>
            </w:pPr>
            <w:r>
              <w:rPr>
                <w:color w:val="auto"/>
                <w:sz w:val="20"/>
                <w:szCs w:val="20"/>
                <w:highlight w:val="none"/>
              </w:rPr>
              <w:t>场地</w:t>
            </w:r>
            <w:r>
              <w:rPr>
                <w:rFonts w:hint="eastAsia"/>
                <w:color w:val="auto"/>
                <w:sz w:val="20"/>
                <w:szCs w:val="20"/>
                <w:highlight w:val="none"/>
              </w:rPr>
              <w:t>和岩土</w:t>
            </w:r>
          </w:p>
          <w:p>
            <w:pPr>
              <w:autoSpaceDE w:val="0"/>
              <w:autoSpaceDN w:val="0"/>
              <w:adjustRightInd w:val="0"/>
              <w:jc w:val="center"/>
              <w:rPr>
                <w:color w:val="auto"/>
                <w:kern w:val="0"/>
                <w:sz w:val="20"/>
                <w:szCs w:val="20"/>
                <w:highlight w:val="none"/>
              </w:rPr>
            </w:pPr>
            <w:r>
              <w:rPr>
                <w:rFonts w:hint="eastAsia"/>
                <w:color w:val="auto"/>
                <w:sz w:val="20"/>
                <w:szCs w:val="20"/>
                <w:highlight w:val="none"/>
              </w:rPr>
              <w:t>条件</w:t>
            </w:r>
            <w:r>
              <w:rPr>
                <w:color w:val="auto"/>
                <w:sz w:val="20"/>
                <w:szCs w:val="20"/>
                <w:highlight w:val="none"/>
              </w:rPr>
              <w:t>复杂程度等级</w:t>
            </w:r>
          </w:p>
        </w:tc>
        <w:tc>
          <w:tcPr>
            <w:tcW w:w="2040" w:type="dxa"/>
            <w:vMerge w:val="restart"/>
            <w:vAlign w:val="center"/>
          </w:tcPr>
          <w:p>
            <w:pPr>
              <w:autoSpaceDE w:val="0"/>
              <w:autoSpaceDN w:val="0"/>
              <w:adjustRightInd w:val="0"/>
              <w:jc w:val="center"/>
              <w:rPr>
                <w:color w:val="auto"/>
                <w:kern w:val="0"/>
                <w:sz w:val="20"/>
                <w:szCs w:val="20"/>
                <w:highlight w:val="none"/>
              </w:rPr>
            </w:pPr>
            <w:r>
              <w:rPr>
                <w:color w:val="auto"/>
                <w:kern w:val="0"/>
                <w:sz w:val="20"/>
                <w:szCs w:val="20"/>
                <w:highlight w:val="none"/>
              </w:rPr>
              <w:t>水处理构筑物</w:t>
            </w:r>
          </w:p>
        </w:tc>
        <w:tc>
          <w:tcPr>
            <w:tcW w:w="2040" w:type="dxa"/>
            <w:vMerge w:val="restart"/>
            <w:vAlign w:val="center"/>
          </w:tcPr>
          <w:p>
            <w:pPr>
              <w:autoSpaceDE w:val="0"/>
              <w:autoSpaceDN w:val="0"/>
              <w:adjustRightInd w:val="0"/>
              <w:ind w:right="-105" w:rightChars="-50"/>
              <w:jc w:val="center"/>
              <w:rPr>
                <w:color w:val="auto"/>
                <w:kern w:val="0"/>
                <w:sz w:val="20"/>
                <w:szCs w:val="20"/>
                <w:highlight w:val="none"/>
              </w:rPr>
            </w:pPr>
            <w:r>
              <w:rPr>
                <w:color w:val="auto"/>
                <w:kern w:val="0"/>
                <w:sz w:val="20"/>
                <w:szCs w:val="20"/>
                <w:highlight w:val="none"/>
              </w:rPr>
              <w:t>基坑</w:t>
            </w:r>
            <w:r>
              <w:rPr>
                <w:rFonts w:hint="eastAsia"/>
                <w:color w:val="auto"/>
                <w:kern w:val="0"/>
                <w:sz w:val="20"/>
                <w:szCs w:val="20"/>
                <w:highlight w:val="none"/>
              </w:rPr>
              <w:t>边界</w:t>
            </w:r>
          </w:p>
        </w:tc>
        <w:tc>
          <w:tcPr>
            <w:tcW w:w="2041" w:type="dxa"/>
            <w:vMerge w:val="restart"/>
            <w:vAlign w:val="center"/>
          </w:tcPr>
          <w:p>
            <w:pPr>
              <w:autoSpaceDE w:val="0"/>
              <w:autoSpaceDN w:val="0"/>
              <w:adjustRightInd w:val="0"/>
              <w:jc w:val="center"/>
              <w:rPr>
                <w:color w:val="auto"/>
                <w:kern w:val="0"/>
                <w:sz w:val="20"/>
                <w:szCs w:val="20"/>
                <w:highlight w:val="none"/>
              </w:rPr>
            </w:pPr>
            <w:r>
              <w:rPr>
                <w:rFonts w:hint="eastAsia"/>
                <w:color w:val="auto"/>
                <w:kern w:val="0"/>
                <w:sz w:val="20"/>
                <w:szCs w:val="20"/>
                <w:highlight w:val="none"/>
              </w:rPr>
              <w:t>基坑边线外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40" w:type="dxa"/>
            <w:vMerge w:val="continue"/>
            <w:vAlign w:val="center"/>
          </w:tcPr>
          <w:p>
            <w:pPr>
              <w:widowControl/>
              <w:jc w:val="left"/>
              <w:rPr>
                <w:color w:val="auto"/>
                <w:kern w:val="0"/>
                <w:sz w:val="20"/>
                <w:szCs w:val="20"/>
                <w:highlight w:val="none"/>
              </w:rPr>
            </w:pPr>
          </w:p>
        </w:tc>
        <w:tc>
          <w:tcPr>
            <w:tcW w:w="2040" w:type="dxa"/>
            <w:vMerge w:val="continue"/>
            <w:vAlign w:val="center"/>
          </w:tcPr>
          <w:p>
            <w:pPr>
              <w:widowControl/>
              <w:jc w:val="left"/>
              <w:rPr>
                <w:color w:val="auto"/>
                <w:kern w:val="0"/>
                <w:sz w:val="20"/>
                <w:szCs w:val="20"/>
                <w:highlight w:val="none"/>
              </w:rPr>
            </w:pPr>
          </w:p>
        </w:tc>
        <w:tc>
          <w:tcPr>
            <w:tcW w:w="2040" w:type="dxa"/>
            <w:vMerge w:val="continue"/>
            <w:vAlign w:val="center"/>
          </w:tcPr>
          <w:p>
            <w:pPr>
              <w:widowControl/>
              <w:jc w:val="left"/>
              <w:rPr>
                <w:color w:val="auto"/>
                <w:kern w:val="0"/>
                <w:sz w:val="20"/>
                <w:szCs w:val="20"/>
                <w:highlight w:val="none"/>
              </w:rPr>
            </w:pPr>
          </w:p>
        </w:tc>
        <w:tc>
          <w:tcPr>
            <w:tcW w:w="2041" w:type="dxa"/>
            <w:vMerge w:val="continue"/>
            <w:vAlign w:val="center"/>
          </w:tcPr>
          <w:p>
            <w:pPr>
              <w:autoSpaceDE w:val="0"/>
              <w:autoSpaceDN w:val="0"/>
              <w:adjustRightInd w:val="0"/>
              <w:spacing w:line="360" w:lineRule="auto"/>
              <w:jc w:val="center"/>
              <w:rPr>
                <w:color w:val="auto"/>
                <w:kern w:val="0"/>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一级</w:t>
            </w:r>
          </w:p>
        </w:tc>
        <w:tc>
          <w:tcPr>
            <w:tcW w:w="2040"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10~15</w:t>
            </w:r>
          </w:p>
        </w:tc>
        <w:tc>
          <w:tcPr>
            <w:tcW w:w="2040" w:type="dxa"/>
            <w:vAlign w:val="center"/>
          </w:tcPr>
          <w:p>
            <w:pPr>
              <w:autoSpaceDE w:val="0"/>
              <w:autoSpaceDN w:val="0"/>
              <w:adjustRightInd w:val="0"/>
              <w:spacing w:before="62" w:beforeLines="20" w:after="62" w:afterLines="20"/>
              <w:jc w:val="center"/>
              <w:rPr>
                <w:color w:val="auto"/>
                <w:kern w:val="0"/>
                <w:sz w:val="20"/>
                <w:szCs w:val="20"/>
                <w:highlight w:val="none"/>
              </w:rPr>
            </w:pPr>
            <w:r>
              <w:rPr>
                <w:rFonts w:hint="eastAsia"/>
                <w:color w:val="auto"/>
                <w:kern w:val="0"/>
                <w:sz w:val="20"/>
                <w:szCs w:val="20"/>
                <w:highlight w:val="none"/>
              </w:rPr>
              <w:t>10</w:t>
            </w:r>
            <w:r>
              <w:rPr>
                <w:color w:val="auto"/>
                <w:kern w:val="0"/>
                <w:sz w:val="20"/>
                <w:szCs w:val="20"/>
                <w:highlight w:val="none"/>
              </w:rPr>
              <w:t>~</w:t>
            </w:r>
            <w:r>
              <w:rPr>
                <w:rFonts w:hint="eastAsia"/>
                <w:color w:val="auto"/>
                <w:kern w:val="0"/>
                <w:sz w:val="20"/>
                <w:szCs w:val="20"/>
                <w:highlight w:val="none"/>
              </w:rPr>
              <w:t>15</w:t>
            </w:r>
          </w:p>
        </w:tc>
        <w:tc>
          <w:tcPr>
            <w:tcW w:w="2041" w:type="dxa"/>
            <w:vAlign w:val="center"/>
          </w:tcPr>
          <w:p>
            <w:pPr>
              <w:autoSpaceDE w:val="0"/>
              <w:autoSpaceDN w:val="0"/>
              <w:adjustRightInd w:val="0"/>
              <w:spacing w:before="62" w:beforeLines="20" w:after="62" w:afterLines="20"/>
              <w:jc w:val="center"/>
              <w:rPr>
                <w:color w:val="auto"/>
                <w:kern w:val="0"/>
                <w:sz w:val="20"/>
                <w:szCs w:val="20"/>
                <w:highlight w:val="none"/>
              </w:rPr>
            </w:pPr>
            <w:r>
              <w:rPr>
                <w:rFonts w:hint="eastAsia"/>
                <w:color w:val="auto"/>
                <w:kern w:val="0"/>
                <w:sz w:val="20"/>
                <w:szCs w:val="20"/>
                <w:highlight w:val="none"/>
              </w:rPr>
              <w:t>2</w:t>
            </w:r>
            <w:r>
              <w:rPr>
                <w:color w:val="auto"/>
                <w:kern w:val="0"/>
                <w:sz w:val="20"/>
                <w:szCs w:val="20"/>
                <w:highlight w:val="none"/>
              </w:rPr>
              <w:t>0~</w:t>
            </w:r>
            <w:r>
              <w:rPr>
                <w:rFonts w:hint="eastAsia"/>
                <w:color w:val="auto"/>
                <w:kern w:val="0"/>
                <w:sz w:val="20"/>
                <w:szCs w:val="20"/>
                <w:highlight w:val="none"/>
              </w:rPr>
              <w:t>3</w:t>
            </w:r>
            <w:r>
              <w:rPr>
                <w:color w:val="auto"/>
                <w:kern w:val="0"/>
                <w:sz w:val="20"/>
                <w:szCs w:val="20"/>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二级</w:t>
            </w:r>
          </w:p>
        </w:tc>
        <w:tc>
          <w:tcPr>
            <w:tcW w:w="2040"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15~30</w:t>
            </w:r>
          </w:p>
        </w:tc>
        <w:tc>
          <w:tcPr>
            <w:tcW w:w="2040" w:type="dxa"/>
            <w:vAlign w:val="center"/>
          </w:tcPr>
          <w:p>
            <w:pPr>
              <w:autoSpaceDE w:val="0"/>
              <w:autoSpaceDN w:val="0"/>
              <w:adjustRightInd w:val="0"/>
              <w:spacing w:before="62" w:beforeLines="20" w:after="62" w:afterLines="20"/>
              <w:jc w:val="center"/>
              <w:rPr>
                <w:color w:val="auto"/>
                <w:kern w:val="0"/>
                <w:sz w:val="20"/>
                <w:szCs w:val="20"/>
                <w:highlight w:val="none"/>
              </w:rPr>
            </w:pPr>
            <w:r>
              <w:rPr>
                <w:rFonts w:hint="eastAsia"/>
                <w:color w:val="auto"/>
                <w:kern w:val="0"/>
                <w:sz w:val="20"/>
                <w:szCs w:val="20"/>
                <w:highlight w:val="none"/>
              </w:rPr>
              <w:t>15</w:t>
            </w:r>
            <w:r>
              <w:rPr>
                <w:color w:val="auto"/>
                <w:kern w:val="0"/>
                <w:sz w:val="20"/>
                <w:szCs w:val="20"/>
                <w:highlight w:val="none"/>
              </w:rPr>
              <w:t>~</w:t>
            </w:r>
            <w:r>
              <w:rPr>
                <w:rFonts w:hint="eastAsia"/>
                <w:color w:val="auto"/>
                <w:kern w:val="0"/>
                <w:sz w:val="20"/>
                <w:szCs w:val="20"/>
                <w:highlight w:val="none"/>
              </w:rPr>
              <w:t>2</w:t>
            </w:r>
            <w:r>
              <w:rPr>
                <w:color w:val="auto"/>
                <w:kern w:val="0"/>
                <w:sz w:val="20"/>
                <w:szCs w:val="20"/>
                <w:highlight w:val="none"/>
              </w:rPr>
              <w:t>0</w:t>
            </w:r>
          </w:p>
        </w:tc>
        <w:tc>
          <w:tcPr>
            <w:tcW w:w="2041" w:type="dxa"/>
            <w:vAlign w:val="center"/>
          </w:tcPr>
          <w:p>
            <w:pPr>
              <w:autoSpaceDE w:val="0"/>
              <w:autoSpaceDN w:val="0"/>
              <w:adjustRightInd w:val="0"/>
              <w:spacing w:before="62" w:beforeLines="20" w:after="62" w:afterLines="20"/>
              <w:jc w:val="center"/>
              <w:rPr>
                <w:color w:val="auto"/>
                <w:kern w:val="0"/>
                <w:sz w:val="20"/>
                <w:szCs w:val="20"/>
                <w:highlight w:val="none"/>
              </w:rPr>
            </w:pPr>
            <w:r>
              <w:rPr>
                <w:rFonts w:hint="eastAsia"/>
                <w:color w:val="auto"/>
                <w:kern w:val="0"/>
                <w:sz w:val="20"/>
                <w:szCs w:val="20"/>
                <w:highlight w:val="none"/>
              </w:rPr>
              <w:t>3</w:t>
            </w:r>
            <w:r>
              <w:rPr>
                <w:color w:val="auto"/>
                <w:kern w:val="0"/>
                <w:sz w:val="20"/>
                <w:szCs w:val="20"/>
                <w:highlight w:val="none"/>
              </w:rPr>
              <w:t>0~</w:t>
            </w:r>
            <w:r>
              <w:rPr>
                <w:rFonts w:hint="eastAsia"/>
                <w:color w:val="auto"/>
                <w:kern w:val="0"/>
                <w:sz w:val="20"/>
                <w:szCs w:val="20"/>
                <w:highlight w:val="none"/>
              </w:rPr>
              <w:t>4</w:t>
            </w:r>
            <w:r>
              <w:rPr>
                <w:color w:val="auto"/>
                <w:kern w:val="0"/>
                <w:sz w:val="20"/>
                <w:szCs w:val="20"/>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三级</w:t>
            </w:r>
          </w:p>
        </w:tc>
        <w:tc>
          <w:tcPr>
            <w:tcW w:w="2040"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30~50</w:t>
            </w:r>
          </w:p>
        </w:tc>
        <w:tc>
          <w:tcPr>
            <w:tcW w:w="2040" w:type="dxa"/>
            <w:vAlign w:val="center"/>
          </w:tcPr>
          <w:p>
            <w:pPr>
              <w:autoSpaceDE w:val="0"/>
              <w:autoSpaceDN w:val="0"/>
              <w:adjustRightInd w:val="0"/>
              <w:spacing w:before="62" w:beforeLines="20" w:after="62" w:afterLines="20"/>
              <w:jc w:val="center"/>
              <w:rPr>
                <w:color w:val="auto"/>
                <w:kern w:val="0"/>
                <w:sz w:val="20"/>
                <w:szCs w:val="20"/>
                <w:highlight w:val="none"/>
              </w:rPr>
            </w:pPr>
            <w:r>
              <w:rPr>
                <w:rFonts w:hint="eastAsia"/>
                <w:color w:val="auto"/>
                <w:kern w:val="0"/>
                <w:sz w:val="20"/>
                <w:szCs w:val="20"/>
                <w:highlight w:val="none"/>
              </w:rPr>
              <w:t>2</w:t>
            </w:r>
            <w:r>
              <w:rPr>
                <w:color w:val="auto"/>
                <w:kern w:val="0"/>
                <w:sz w:val="20"/>
                <w:szCs w:val="20"/>
                <w:highlight w:val="none"/>
              </w:rPr>
              <w:t>0~</w:t>
            </w:r>
            <w:r>
              <w:rPr>
                <w:rFonts w:hint="eastAsia"/>
                <w:color w:val="auto"/>
                <w:kern w:val="0"/>
                <w:sz w:val="20"/>
                <w:szCs w:val="20"/>
                <w:highlight w:val="none"/>
              </w:rPr>
              <w:t>2</w:t>
            </w:r>
            <w:r>
              <w:rPr>
                <w:color w:val="auto"/>
                <w:kern w:val="0"/>
                <w:sz w:val="20"/>
                <w:szCs w:val="20"/>
                <w:highlight w:val="none"/>
              </w:rPr>
              <w:t>5</w:t>
            </w:r>
          </w:p>
        </w:tc>
        <w:tc>
          <w:tcPr>
            <w:tcW w:w="2041" w:type="dxa"/>
            <w:vAlign w:val="center"/>
          </w:tcPr>
          <w:p>
            <w:pPr>
              <w:autoSpaceDE w:val="0"/>
              <w:autoSpaceDN w:val="0"/>
              <w:adjustRightInd w:val="0"/>
              <w:spacing w:before="62" w:beforeLines="20" w:after="62" w:afterLines="20"/>
              <w:jc w:val="center"/>
              <w:rPr>
                <w:color w:val="auto"/>
                <w:kern w:val="0"/>
                <w:sz w:val="20"/>
                <w:szCs w:val="20"/>
                <w:highlight w:val="none"/>
              </w:rPr>
            </w:pPr>
            <w:r>
              <w:rPr>
                <w:rFonts w:hint="eastAsia"/>
                <w:color w:val="auto"/>
                <w:kern w:val="0"/>
                <w:sz w:val="20"/>
                <w:szCs w:val="20"/>
                <w:highlight w:val="none"/>
              </w:rPr>
              <w:t>4</w:t>
            </w:r>
            <w:r>
              <w:rPr>
                <w:color w:val="auto"/>
                <w:kern w:val="0"/>
                <w:sz w:val="20"/>
                <w:szCs w:val="20"/>
                <w:highlight w:val="none"/>
              </w:rPr>
              <w:t>0~</w:t>
            </w:r>
            <w:r>
              <w:rPr>
                <w:rFonts w:hint="eastAsia"/>
                <w:color w:val="auto"/>
                <w:kern w:val="0"/>
                <w:sz w:val="20"/>
                <w:szCs w:val="20"/>
                <w:highlight w:val="none"/>
              </w:rPr>
              <w:t>5</w:t>
            </w:r>
            <w:r>
              <w:rPr>
                <w:color w:val="auto"/>
                <w:kern w:val="0"/>
                <w:sz w:val="20"/>
                <w:szCs w:val="20"/>
                <w:highlight w:val="none"/>
              </w:rPr>
              <w:t>0</w:t>
            </w:r>
          </w:p>
        </w:tc>
      </w:tr>
    </w:tbl>
    <w:p>
      <w:pPr>
        <w:autoSpaceDE w:val="0"/>
        <w:spacing w:line="360" w:lineRule="auto"/>
        <w:ind w:firstLine="422" w:firstLineChars="200"/>
        <w:jc w:val="left"/>
        <w:rPr>
          <w:color w:val="auto"/>
          <w:highlight w:val="none"/>
        </w:rPr>
      </w:pPr>
      <w:r>
        <w:rPr>
          <w:rFonts w:hint="eastAsia"/>
          <w:b/>
          <w:bCs/>
          <w:color w:val="auto"/>
          <w:highlight w:val="none"/>
        </w:rPr>
        <w:t>2</w:t>
      </w:r>
      <w:r>
        <w:rPr>
          <w:rFonts w:hint="eastAsia"/>
          <w:color w:val="auto"/>
          <w:highlight w:val="none"/>
        </w:rPr>
        <w:t>　</w:t>
      </w:r>
      <w:r>
        <w:rPr>
          <w:color w:val="auto"/>
          <w:highlight w:val="none"/>
        </w:rPr>
        <w:t>拟采用桩基方案时，勘探点间距宜为10m～30m，当地层条件复杂、影响成桩或设计有特殊要求时，勘探点间距宜适当加密；勘探点</w:t>
      </w:r>
      <w:r>
        <w:rPr>
          <w:rFonts w:hint="eastAsia"/>
          <w:color w:val="auto"/>
          <w:highlight w:val="none"/>
        </w:rPr>
        <w:t>宜</w:t>
      </w:r>
      <w:r>
        <w:rPr>
          <w:color w:val="auto"/>
          <w:highlight w:val="none"/>
        </w:rPr>
        <w:t>布置在桩位处；</w:t>
      </w:r>
    </w:p>
    <w:p>
      <w:pPr>
        <w:autoSpaceDE w:val="0"/>
        <w:spacing w:line="360" w:lineRule="auto"/>
        <w:ind w:firstLine="422" w:firstLineChars="200"/>
        <w:jc w:val="left"/>
        <w:rPr>
          <w:color w:val="auto"/>
          <w:highlight w:val="none"/>
        </w:rPr>
      </w:pPr>
      <w:r>
        <w:rPr>
          <w:rFonts w:hint="eastAsia"/>
          <w:b/>
          <w:bCs/>
          <w:color w:val="auto"/>
          <w:highlight w:val="none"/>
        </w:rPr>
        <w:t>3</w:t>
      </w:r>
      <w:r>
        <w:rPr>
          <w:rFonts w:hint="eastAsia"/>
          <w:color w:val="auto"/>
          <w:highlight w:val="none"/>
        </w:rPr>
        <w:t>　单个</w:t>
      </w:r>
      <w:r>
        <w:rPr>
          <w:color w:val="auto"/>
          <w:highlight w:val="none"/>
        </w:rPr>
        <w:t>泵房</w:t>
      </w:r>
      <w:r>
        <w:rPr>
          <w:rFonts w:hint="eastAsia"/>
          <w:color w:val="auto"/>
          <w:highlight w:val="none"/>
        </w:rPr>
        <w:t>的</w:t>
      </w:r>
      <w:r>
        <w:rPr>
          <w:color w:val="auto"/>
          <w:highlight w:val="none"/>
        </w:rPr>
        <w:t>勘探点不宜少于2个；重大设备基础应单独布置勘探点，且勘探点不宜少于3个；取水头部</w:t>
      </w:r>
      <w:r>
        <w:rPr>
          <w:rFonts w:hint="eastAsia"/>
          <w:color w:val="auto"/>
          <w:highlight w:val="none"/>
        </w:rPr>
        <w:t>、</w:t>
      </w:r>
      <w:r>
        <w:rPr>
          <w:color w:val="auto"/>
          <w:highlight w:val="none"/>
        </w:rPr>
        <w:t>排放口应布置勘探点</w:t>
      </w:r>
      <w:r>
        <w:rPr>
          <w:rFonts w:hint="eastAsia"/>
          <w:color w:val="auto"/>
          <w:highlight w:val="none"/>
        </w:rPr>
        <w:t>。</w:t>
      </w:r>
    </w:p>
    <w:p>
      <w:pPr>
        <w:spacing w:line="360" w:lineRule="auto"/>
        <w:rPr>
          <w:color w:val="auto"/>
          <w:highlight w:val="none"/>
        </w:rPr>
      </w:pPr>
      <w:r>
        <w:rPr>
          <w:b/>
          <w:bCs/>
          <w:color w:val="auto"/>
          <w:highlight w:val="none"/>
        </w:rPr>
        <w:t>8.4.3</w:t>
      </w:r>
      <w:r>
        <w:rPr>
          <w:rFonts w:hint="eastAsia"/>
          <w:color w:val="auto"/>
          <w:highlight w:val="none"/>
        </w:rPr>
        <w:t>　详细勘察</w:t>
      </w:r>
      <w:r>
        <w:rPr>
          <w:color w:val="auto"/>
          <w:highlight w:val="none"/>
        </w:rPr>
        <w:t>勘探孔深度应根据下列情况确定：</w:t>
      </w:r>
    </w:p>
    <w:p>
      <w:pPr>
        <w:autoSpaceDE w:val="0"/>
        <w:spacing w:line="360" w:lineRule="auto"/>
        <w:ind w:firstLine="422" w:firstLineChars="200"/>
        <w:jc w:val="left"/>
        <w:rPr>
          <w:color w:val="auto"/>
          <w:highlight w:val="none"/>
        </w:rPr>
      </w:pPr>
      <w:r>
        <w:rPr>
          <w:b/>
          <w:bCs/>
          <w:color w:val="auto"/>
          <w:highlight w:val="none"/>
        </w:rPr>
        <w:t>1</w:t>
      </w:r>
      <w:r>
        <w:rPr>
          <w:rFonts w:hint="eastAsia"/>
          <w:color w:val="auto"/>
          <w:highlight w:val="none"/>
        </w:rPr>
        <w:t>　</w:t>
      </w:r>
      <w:r>
        <w:rPr>
          <w:color w:val="auto"/>
          <w:highlight w:val="none"/>
        </w:rPr>
        <w:t>厂区水处理构筑物</w:t>
      </w:r>
      <w:r>
        <w:rPr>
          <w:rFonts w:hint="eastAsia"/>
          <w:color w:val="auto"/>
          <w:highlight w:val="none"/>
        </w:rPr>
        <w:t>控制性</w:t>
      </w:r>
      <w:r>
        <w:rPr>
          <w:color w:val="auto"/>
          <w:highlight w:val="none"/>
        </w:rPr>
        <w:t>勘探孔深度应按其基础形式，并考虑</w:t>
      </w:r>
      <w:r>
        <w:rPr>
          <w:rFonts w:hint="eastAsia"/>
          <w:color w:val="auto"/>
          <w:highlight w:val="none"/>
        </w:rPr>
        <w:t>变形计算、</w:t>
      </w:r>
      <w:r>
        <w:rPr>
          <w:color w:val="auto"/>
          <w:highlight w:val="none"/>
        </w:rPr>
        <w:t>空载期的抗浮以及地基处理等要求综合确定</w:t>
      </w:r>
      <w:r>
        <w:rPr>
          <w:rFonts w:hint="eastAsia"/>
          <w:color w:val="auto"/>
          <w:highlight w:val="none"/>
        </w:rPr>
        <w:t>。</w:t>
      </w:r>
      <w:r>
        <w:rPr>
          <w:color w:val="auto"/>
          <w:highlight w:val="none"/>
        </w:rPr>
        <w:t>桩基</w:t>
      </w:r>
      <w:r>
        <w:rPr>
          <w:rFonts w:hint="eastAsia"/>
          <w:color w:val="auto"/>
          <w:highlight w:val="none"/>
        </w:rPr>
        <w:t>一般性</w:t>
      </w:r>
      <w:r>
        <w:rPr>
          <w:color w:val="auto"/>
          <w:highlight w:val="none"/>
        </w:rPr>
        <w:t>勘探孔深度应穿过溶洞、</w:t>
      </w:r>
      <w:r>
        <w:rPr>
          <w:rFonts w:hint="eastAsia"/>
          <w:color w:val="auto"/>
          <w:highlight w:val="none"/>
        </w:rPr>
        <w:t>土洞、</w:t>
      </w:r>
      <w:r>
        <w:rPr>
          <w:color w:val="auto"/>
          <w:highlight w:val="none"/>
        </w:rPr>
        <w:t>采空区、破碎带</w:t>
      </w:r>
      <w:r>
        <w:rPr>
          <w:rFonts w:hint="eastAsia"/>
          <w:color w:val="auto"/>
          <w:highlight w:val="none"/>
        </w:rPr>
        <w:t>、软弱夹层</w:t>
      </w:r>
      <w:r>
        <w:rPr>
          <w:color w:val="auto"/>
          <w:highlight w:val="none"/>
        </w:rPr>
        <w:t>，达到预计桩端以下稳定地层3~5倍桩径且不小于桩端以下5m；天然地基</w:t>
      </w:r>
      <w:r>
        <w:rPr>
          <w:rFonts w:hint="eastAsia"/>
          <w:color w:val="auto"/>
          <w:highlight w:val="none"/>
        </w:rPr>
        <w:t>一般性</w:t>
      </w:r>
      <w:r>
        <w:rPr>
          <w:color w:val="auto"/>
          <w:highlight w:val="none"/>
        </w:rPr>
        <w:t>勘探孔深度，</w:t>
      </w:r>
      <w:r>
        <w:rPr>
          <w:rFonts w:hint="eastAsia"/>
          <w:color w:val="auto"/>
          <w:highlight w:val="none"/>
        </w:rPr>
        <w:t>从基础底面起算，</w:t>
      </w:r>
      <w:r>
        <w:rPr>
          <w:color w:val="auto"/>
          <w:highlight w:val="none"/>
        </w:rPr>
        <w:t>条形基础不宜小于3倍基础宽度，独立基础不宜小于1.5倍基础宽度，</w:t>
      </w:r>
      <w:r>
        <w:rPr>
          <w:rFonts w:hint="eastAsia"/>
          <w:color w:val="auto"/>
          <w:highlight w:val="none"/>
        </w:rPr>
        <w:t>梁板或筏板基础不宜小于（0.5~</w:t>
      </w:r>
      <w:r>
        <w:rPr>
          <w:color w:val="auto"/>
          <w:highlight w:val="none"/>
        </w:rPr>
        <w:t>1.</w:t>
      </w:r>
      <w:r>
        <w:rPr>
          <w:rFonts w:hint="eastAsia"/>
          <w:color w:val="auto"/>
          <w:highlight w:val="none"/>
        </w:rPr>
        <w:t>0）</w:t>
      </w:r>
      <w:r>
        <w:rPr>
          <w:color w:val="auto"/>
          <w:highlight w:val="none"/>
        </w:rPr>
        <w:t>倍基础宽度</w:t>
      </w:r>
      <w:r>
        <w:rPr>
          <w:rFonts w:hint="eastAsia"/>
          <w:color w:val="auto"/>
          <w:highlight w:val="none"/>
        </w:rPr>
        <w:t>，</w:t>
      </w:r>
      <w:r>
        <w:rPr>
          <w:color w:val="auto"/>
          <w:highlight w:val="none"/>
        </w:rPr>
        <w:t>且</w:t>
      </w:r>
      <w:r>
        <w:rPr>
          <w:rFonts w:hint="eastAsia"/>
          <w:color w:val="auto"/>
          <w:highlight w:val="none"/>
        </w:rPr>
        <w:t>不同基础类型均</w:t>
      </w:r>
      <w:r>
        <w:rPr>
          <w:color w:val="auto"/>
          <w:highlight w:val="none"/>
        </w:rPr>
        <w:t>不应小于5m；</w:t>
      </w:r>
    </w:p>
    <w:p>
      <w:pPr>
        <w:autoSpaceDE w:val="0"/>
        <w:spacing w:line="360" w:lineRule="auto"/>
        <w:ind w:firstLine="422" w:firstLineChars="200"/>
        <w:jc w:val="left"/>
        <w:rPr>
          <w:color w:val="auto"/>
          <w:highlight w:val="none"/>
        </w:rPr>
      </w:pPr>
      <w:r>
        <w:rPr>
          <w:b/>
          <w:bCs/>
          <w:color w:val="auto"/>
          <w:highlight w:val="none"/>
        </w:rPr>
        <w:t>2</w:t>
      </w:r>
      <w:r>
        <w:rPr>
          <w:rFonts w:hint="eastAsia"/>
          <w:color w:val="auto"/>
          <w:highlight w:val="none"/>
        </w:rPr>
        <w:t>　</w:t>
      </w:r>
      <w:r>
        <w:rPr>
          <w:color w:val="auto"/>
          <w:highlight w:val="none"/>
        </w:rPr>
        <w:t>基坑周边勘探孔深度不宜小于基坑开挖深度的2~3倍；基坑面以下存在软弱土层或承压含水层时，勘探孔深度应穿过软弱土层或承压含水层；</w:t>
      </w:r>
    </w:p>
    <w:p>
      <w:pPr>
        <w:autoSpaceDE w:val="0"/>
        <w:spacing w:line="360" w:lineRule="auto"/>
        <w:ind w:firstLine="422" w:firstLineChars="200"/>
        <w:jc w:val="left"/>
        <w:rPr>
          <w:color w:val="auto"/>
          <w:highlight w:val="none"/>
        </w:rPr>
      </w:pPr>
      <w:r>
        <w:rPr>
          <w:rFonts w:hint="eastAsia"/>
          <w:b/>
          <w:bCs/>
          <w:color w:val="auto"/>
          <w:highlight w:val="none"/>
        </w:rPr>
        <w:t>3</w:t>
      </w:r>
      <w:r>
        <w:rPr>
          <w:rFonts w:hint="eastAsia"/>
          <w:color w:val="auto"/>
          <w:highlight w:val="none"/>
        </w:rPr>
        <w:t>　</w:t>
      </w:r>
      <w:r>
        <w:rPr>
          <w:color w:val="auto"/>
          <w:highlight w:val="none"/>
        </w:rPr>
        <w:t>开槽式泵房勘探孔深度不宜小于2.5倍基坑开挖深度</w:t>
      </w:r>
      <w:r>
        <w:rPr>
          <w:rFonts w:hint="eastAsia"/>
          <w:color w:val="auto"/>
          <w:highlight w:val="none"/>
        </w:rPr>
        <w:t>，对</w:t>
      </w:r>
      <w:r>
        <w:rPr>
          <w:color w:val="auto"/>
          <w:highlight w:val="none"/>
        </w:rPr>
        <w:t>岸边泵房勘探孔深度</w:t>
      </w:r>
      <w:r>
        <w:rPr>
          <w:rFonts w:hint="eastAsia"/>
          <w:color w:val="auto"/>
          <w:highlight w:val="none"/>
        </w:rPr>
        <w:t>尚</w:t>
      </w:r>
      <w:r>
        <w:rPr>
          <w:color w:val="auto"/>
          <w:highlight w:val="none"/>
        </w:rPr>
        <w:t>宜达到岸坡稳定验算深度以下3m</w:t>
      </w:r>
      <w:r>
        <w:rPr>
          <w:color w:val="auto"/>
          <w:szCs w:val="21"/>
          <w:highlight w:val="none"/>
          <w:shd w:val="clear" w:color="auto" w:fill="FFFFFF"/>
        </w:rPr>
        <w:t>～</w:t>
      </w:r>
      <w:r>
        <w:rPr>
          <w:color w:val="auto"/>
          <w:highlight w:val="none"/>
        </w:rPr>
        <w:t>5m；采用沉井基础时，勘探孔深度可取H+(0.5～1.0)b（H为沉井深度，b 为井宽或井径），</w:t>
      </w:r>
      <w:r>
        <w:rPr>
          <w:rFonts w:hint="eastAsia"/>
          <w:color w:val="auto"/>
          <w:highlight w:val="none"/>
        </w:rPr>
        <w:t>并</w:t>
      </w:r>
      <w:r>
        <w:rPr>
          <w:color w:val="auto"/>
          <w:highlight w:val="none"/>
        </w:rPr>
        <w:t>不应小于沉井刃脚以下5m；勘探孔深度还应满足不同基础类型及施工工法对孔深的要求</w:t>
      </w:r>
      <w:r>
        <w:rPr>
          <w:rFonts w:hint="eastAsia"/>
          <w:color w:val="auto"/>
          <w:highlight w:val="none"/>
        </w:rPr>
        <w:t>；</w:t>
      </w:r>
    </w:p>
    <w:p>
      <w:pPr>
        <w:autoSpaceDE w:val="0"/>
        <w:spacing w:line="360" w:lineRule="auto"/>
        <w:ind w:firstLine="422" w:firstLineChars="200"/>
        <w:jc w:val="left"/>
        <w:rPr>
          <w:color w:val="auto"/>
          <w:highlight w:val="none"/>
        </w:rPr>
      </w:pPr>
      <w:r>
        <w:rPr>
          <w:rFonts w:hint="eastAsia"/>
          <w:b/>
          <w:bCs/>
          <w:color w:val="auto"/>
          <w:highlight w:val="none"/>
        </w:rPr>
        <w:t>4</w:t>
      </w:r>
      <w:r>
        <w:rPr>
          <w:rFonts w:hint="eastAsia"/>
          <w:color w:val="auto"/>
          <w:highlight w:val="none"/>
        </w:rPr>
        <w:t>　</w:t>
      </w:r>
      <w:r>
        <w:rPr>
          <w:color w:val="auto"/>
          <w:highlight w:val="none"/>
        </w:rPr>
        <w:t>重大设备勘探孔深度不宜小于</w:t>
      </w:r>
      <w:r>
        <w:rPr>
          <w:rFonts w:hint="eastAsia"/>
          <w:color w:val="auto"/>
          <w:highlight w:val="none"/>
        </w:rPr>
        <w:t>基底以下</w:t>
      </w:r>
      <w:r>
        <w:rPr>
          <w:color w:val="auto"/>
          <w:highlight w:val="none"/>
        </w:rPr>
        <w:t>2</w:t>
      </w:r>
      <w:r>
        <w:rPr>
          <w:rFonts w:hint="eastAsia"/>
          <w:color w:val="auto"/>
          <w:highlight w:val="none"/>
        </w:rPr>
        <w:t>.5</w:t>
      </w:r>
      <w:r>
        <w:rPr>
          <w:color w:val="auto"/>
          <w:highlight w:val="none"/>
        </w:rPr>
        <w:t>倍基础宽度；</w:t>
      </w:r>
    </w:p>
    <w:p>
      <w:pPr>
        <w:autoSpaceDE w:val="0"/>
        <w:spacing w:line="360" w:lineRule="auto"/>
        <w:ind w:firstLine="422" w:firstLineChars="200"/>
        <w:jc w:val="left"/>
        <w:rPr>
          <w:color w:val="auto"/>
          <w:highlight w:val="none"/>
        </w:rPr>
      </w:pPr>
      <w:r>
        <w:rPr>
          <w:rFonts w:hint="eastAsia"/>
          <w:b/>
          <w:bCs/>
          <w:color w:val="auto"/>
          <w:highlight w:val="none"/>
        </w:rPr>
        <w:t>5</w:t>
      </w:r>
      <w:r>
        <w:rPr>
          <w:rFonts w:hint="eastAsia"/>
          <w:color w:val="auto"/>
          <w:highlight w:val="none"/>
        </w:rPr>
        <w:t>　</w:t>
      </w:r>
      <w:r>
        <w:rPr>
          <w:color w:val="auto"/>
          <w:highlight w:val="none"/>
        </w:rPr>
        <w:t>取水头部</w:t>
      </w:r>
      <w:r>
        <w:rPr>
          <w:rFonts w:hint="eastAsia"/>
          <w:color w:val="auto"/>
          <w:highlight w:val="none"/>
        </w:rPr>
        <w:t>或</w:t>
      </w:r>
      <w:r>
        <w:rPr>
          <w:color w:val="auto"/>
          <w:highlight w:val="none"/>
        </w:rPr>
        <w:t>排放口采用排架桩时，勘探孔深度不宜小于桩端以下3m；采用其他基础形式时，勘探孔深度不应小于基础底面以下5m；</w:t>
      </w:r>
    </w:p>
    <w:p>
      <w:pPr>
        <w:autoSpaceDE w:val="0"/>
        <w:spacing w:line="360" w:lineRule="auto"/>
        <w:ind w:firstLine="422" w:firstLineChars="200"/>
        <w:jc w:val="left"/>
        <w:rPr>
          <w:color w:val="auto"/>
          <w:highlight w:val="none"/>
        </w:rPr>
      </w:pPr>
      <w:r>
        <w:rPr>
          <w:rFonts w:hint="eastAsia"/>
          <w:b/>
          <w:bCs/>
          <w:color w:val="auto"/>
          <w:highlight w:val="none"/>
        </w:rPr>
        <w:t>6</w:t>
      </w:r>
      <w:r>
        <w:rPr>
          <w:rFonts w:hint="eastAsia"/>
          <w:color w:val="auto"/>
          <w:highlight w:val="none"/>
        </w:rPr>
        <w:t>　</w:t>
      </w:r>
      <w:r>
        <w:rPr>
          <w:color w:val="auto"/>
          <w:highlight w:val="none"/>
        </w:rPr>
        <w:t>在勘探深度范围内遇基岩时，</w:t>
      </w:r>
      <w:r>
        <w:rPr>
          <w:rFonts w:hint="eastAsia" w:ascii="宋体" w:hAnsi="宋体" w:eastAsia="宋体" w:cs="宋体"/>
          <w:color w:val="auto"/>
          <w:kern w:val="0"/>
          <w:sz w:val="21"/>
          <w:szCs w:val="21"/>
          <w:highlight w:val="none"/>
          <w:lang w:val="en-US" w:eastAsia="zh-CN" w:bidi="ar"/>
        </w:rPr>
        <w:t>除嵌岩桩基础以外的</w:t>
      </w:r>
      <w:r>
        <w:rPr>
          <w:color w:val="auto"/>
          <w:highlight w:val="none"/>
        </w:rPr>
        <w:t>勘探孔深度可适当减小。</w:t>
      </w:r>
    </w:p>
    <w:p>
      <w:pPr>
        <w:autoSpaceDE w:val="0"/>
        <w:spacing w:line="360" w:lineRule="auto"/>
        <w:jc w:val="left"/>
        <w:rPr>
          <w:color w:val="auto"/>
          <w:highlight w:val="none"/>
        </w:rPr>
      </w:pPr>
      <w:r>
        <w:rPr>
          <w:rFonts w:hint="eastAsia"/>
          <w:b/>
          <w:bCs/>
          <w:color w:val="auto"/>
          <w:highlight w:val="none"/>
        </w:rPr>
        <w:t>8</w:t>
      </w:r>
      <w:r>
        <w:rPr>
          <w:b/>
          <w:bCs/>
          <w:color w:val="auto"/>
          <w:highlight w:val="none"/>
        </w:rPr>
        <w:t>.</w:t>
      </w:r>
      <w:r>
        <w:rPr>
          <w:rFonts w:hint="eastAsia"/>
          <w:b/>
          <w:bCs/>
          <w:color w:val="auto"/>
          <w:highlight w:val="none"/>
        </w:rPr>
        <w:t>4.4</w:t>
      </w:r>
      <w:r>
        <w:rPr>
          <w:rFonts w:hint="eastAsia"/>
          <w:color w:val="auto"/>
          <w:highlight w:val="none"/>
        </w:rPr>
        <w:t>　取样和测试工作除</w:t>
      </w:r>
      <w:r>
        <w:rPr>
          <w:rFonts w:hint="eastAsia"/>
          <w:color w:val="auto"/>
          <w:highlight w:val="none"/>
          <w:lang w:val="en-US" w:eastAsia="zh-CN"/>
        </w:rPr>
        <w:t>应</w:t>
      </w:r>
      <w:r>
        <w:rPr>
          <w:rFonts w:hint="eastAsia"/>
          <w:color w:val="auto"/>
          <w:highlight w:val="none"/>
        </w:rPr>
        <w:t>符合</w:t>
      </w:r>
      <w:r>
        <w:rPr>
          <w:rFonts w:hint="eastAsia"/>
          <w:color w:val="auto"/>
          <w:highlight w:val="none"/>
          <w:lang w:val="en-US" w:eastAsia="zh-CN"/>
        </w:rPr>
        <w:t>3.0.9条的</w:t>
      </w:r>
      <w:r>
        <w:rPr>
          <w:rFonts w:hint="eastAsia"/>
          <w:color w:val="auto"/>
          <w:highlight w:val="none"/>
        </w:rPr>
        <w:t>规定外，尚</w:t>
      </w:r>
      <w:r>
        <w:rPr>
          <w:color w:val="auto"/>
          <w:highlight w:val="none"/>
        </w:rPr>
        <w:t>应</w:t>
      </w:r>
      <w:r>
        <w:rPr>
          <w:rFonts w:hint="eastAsia"/>
          <w:color w:val="auto"/>
          <w:highlight w:val="none"/>
        </w:rPr>
        <w:t>符合下列规定</w:t>
      </w:r>
      <w:r>
        <w:rPr>
          <w:color w:val="auto"/>
          <w:highlight w:val="none"/>
        </w:rPr>
        <w:t>：</w:t>
      </w:r>
    </w:p>
    <w:p>
      <w:pPr>
        <w:autoSpaceDE w:val="0"/>
        <w:spacing w:line="360" w:lineRule="auto"/>
        <w:ind w:firstLine="422" w:firstLineChars="200"/>
        <w:jc w:val="left"/>
        <w:rPr>
          <w:color w:val="auto"/>
          <w:highlight w:val="none"/>
        </w:rPr>
      </w:pPr>
      <w:r>
        <w:rPr>
          <w:rFonts w:hint="eastAsia"/>
          <w:b/>
          <w:bCs/>
          <w:color w:val="auto"/>
          <w:highlight w:val="none"/>
        </w:rPr>
        <w:t>1</w:t>
      </w:r>
      <w:r>
        <w:rPr>
          <w:rFonts w:hint="eastAsia"/>
          <w:color w:val="auto"/>
          <w:highlight w:val="none"/>
        </w:rPr>
        <w:t>　</w:t>
      </w:r>
      <w:r>
        <w:rPr>
          <w:color w:val="auto"/>
          <w:highlight w:val="none"/>
        </w:rPr>
        <w:t>水处理建（构）筑物</w:t>
      </w:r>
      <w:r>
        <w:rPr>
          <w:rFonts w:hint="eastAsia"/>
          <w:color w:val="auto"/>
          <w:highlight w:val="none"/>
        </w:rPr>
        <w:t>地基持力层及软弱下卧层宜加密采取土样和进行原位测试</w:t>
      </w:r>
      <w:r>
        <w:rPr>
          <w:color w:val="auto"/>
          <w:highlight w:val="none"/>
        </w:rPr>
        <w:t>；</w:t>
      </w:r>
    </w:p>
    <w:p>
      <w:pPr>
        <w:autoSpaceDE w:val="0"/>
        <w:spacing w:line="360" w:lineRule="auto"/>
        <w:ind w:firstLine="422" w:firstLineChars="200"/>
        <w:jc w:val="left"/>
        <w:rPr>
          <w:color w:val="auto"/>
          <w:highlight w:val="none"/>
        </w:rPr>
      </w:pPr>
      <w:r>
        <w:rPr>
          <w:rFonts w:hint="eastAsia"/>
          <w:b/>
          <w:bCs/>
          <w:color w:val="auto"/>
          <w:highlight w:val="none"/>
        </w:rPr>
        <w:t>2</w:t>
      </w:r>
      <w:r>
        <w:rPr>
          <w:rFonts w:hint="eastAsia"/>
          <w:color w:val="auto"/>
          <w:highlight w:val="none"/>
        </w:rPr>
        <w:t>　基坑范围，从设计场坪地面至基坑底板以下0.5倍开挖深度范围内宜加密采取土样和进行原位测试</w:t>
      </w:r>
      <w:r>
        <w:rPr>
          <w:color w:val="auto"/>
          <w:highlight w:val="none"/>
        </w:rPr>
        <w:t>；</w:t>
      </w:r>
    </w:p>
    <w:p>
      <w:pPr>
        <w:spacing w:line="360" w:lineRule="auto"/>
        <w:ind w:firstLine="422" w:firstLineChars="200"/>
        <w:rPr>
          <w:color w:val="auto"/>
          <w:szCs w:val="21"/>
          <w:highlight w:val="none"/>
        </w:rPr>
      </w:pPr>
      <w:r>
        <w:rPr>
          <w:rFonts w:hint="eastAsia"/>
          <w:b/>
          <w:bCs/>
          <w:color w:val="auto"/>
          <w:szCs w:val="21"/>
          <w:highlight w:val="none"/>
        </w:rPr>
        <w:t>3</w:t>
      </w:r>
      <w:r>
        <w:rPr>
          <w:rFonts w:hint="eastAsia"/>
          <w:color w:val="auto"/>
          <w:szCs w:val="21"/>
          <w:highlight w:val="none"/>
        </w:rPr>
        <w:t>　</w:t>
      </w:r>
      <w:r>
        <w:rPr>
          <w:rFonts w:hint="eastAsia"/>
          <w:color w:val="auto"/>
          <w:highlight w:val="none"/>
        </w:rPr>
        <w:t>基坑</w:t>
      </w:r>
      <w:r>
        <w:rPr>
          <w:color w:val="auto"/>
          <w:highlight w:val="none"/>
        </w:rPr>
        <w:t>范围</w:t>
      </w:r>
      <w:r>
        <w:rPr>
          <w:rFonts w:hint="eastAsia"/>
          <w:color w:val="auto"/>
          <w:highlight w:val="none"/>
        </w:rPr>
        <w:t>，应根据水文地质条件开展水文地质试验或室内渗透试验；室内渗透试验应在主要透水层采取不少于6组有效试样</w:t>
      </w:r>
      <w:r>
        <w:rPr>
          <w:rFonts w:hint="eastAsia"/>
          <w:color w:val="auto"/>
          <w:szCs w:val="21"/>
          <w:highlight w:val="none"/>
        </w:rPr>
        <w:t>。</w:t>
      </w:r>
    </w:p>
    <w:p>
      <w:pPr>
        <w:autoSpaceDE w:val="0"/>
        <w:autoSpaceDN w:val="0"/>
        <w:adjustRightInd w:val="0"/>
        <w:spacing w:line="360" w:lineRule="auto"/>
        <w:jc w:val="left"/>
        <w:rPr>
          <w:color w:val="auto"/>
          <w:kern w:val="0"/>
          <w:szCs w:val="21"/>
          <w:highlight w:val="none"/>
        </w:rPr>
      </w:pPr>
      <w:r>
        <w:rPr>
          <w:b/>
          <w:bCs/>
          <w:color w:val="auto"/>
          <w:highlight w:val="none"/>
        </w:rPr>
        <w:t>8.4.</w:t>
      </w:r>
      <w:r>
        <w:rPr>
          <w:rFonts w:hint="eastAsia"/>
          <w:b/>
          <w:bCs/>
          <w:color w:val="auto"/>
          <w:highlight w:val="none"/>
        </w:rPr>
        <w:t>5</w:t>
      </w:r>
      <w:r>
        <w:rPr>
          <w:rFonts w:hint="eastAsia"/>
          <w:color w:val="auto"/>
          <w:highlight w:val="none"/>
        </w:rPr>
        <w:t>　</w:t>
      </w:r>
      <w:r>
        <w:rPr>
          <w:color w:val="auto"/>
          <w:kern w:val="0"/>
          <w:highlight w:val="none"/>
        </w:rPr>
        <w:t>详细勘察报告</w:t>
      </w:r>
      <w:r>
        <w:rPr>
          <w:color w:val="auto"/>
          <w:highlight w:val="none"/>
        </w:rPr>
        <w:t>应重点分析评价下列内容：</w:t>
      </w:r>
    </w:p>
    <w:p>
      <w:pPr>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评价场地与地基的地震效应；</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2</w:t>
      </w:r>
      <w:r>
        <w:rPr>
          <w:rFonts w:hint="eastAsia"/>
          <w:color w:val="auto"/>
          <w:kern w:val="0"/>
          <w:highlight w:val="none"/>
        </w:rPr>
        <w:t>　</w:t>
      </w:r>
      <w:r>
        <w:rPr>
          <w:color w:val="auto"/>
          <w:kern w:val="0"/>
          <w:highlight w:val="none"/>
        </w:rPr>
        <w:t>分析评价地基持力层的工程特性，提出</w:t>
      </w:r>
      <w:r>
        <w:rPr>
          <w:rFonts w:hint="eastAsia"/>
          <w:color w:val="auto"/>
          <w:kern w:val="0"/>
          <w:highlight w:val="none"/>
        </w:rPr>
        <w:t>地基基础形式及</w:t>
      </w:r>
      <w:r>
        <w:rPr>
          <w:color w:val="auto"/>
          <w:kern w:val="0"/>
          <w:highlight w:val="none"/>
        </w:rPr>
        <w:t>地基处理方案建议；</w:t>
      </w:r>
      <w:r>
        <w:rPr>
          <w:rFonts w:hint="eastAsia"/>
          <w:color w:val="auto"/>
          <w:kern w:val="0"/>
          <w:highlight w:val="none"/>
        </w:rPr>
        <w:t>工程需要时，提供动力基础设计所需参数；</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3　</w:t>
      </w:r>
      <w:r>
        <w:rPr>
          <w:color w:val="auto"/>
          <w:kern w:val="0"/>
          <w:highlight w:val="none"/>
        </w:rPr>
        <w:t>分析评价</w:t>
      </w:r>
      <w:r>
        <w:rPr>
          <w:rFonts w:hint="eastAsia"/>
          <w:color w:val="auto"/>
          <w:kern w:val="0"/>
          <w:highlight w:val="none"/>
        </w:rPr>
        <w:t>场地及周边断层、</w:t>
      </w:r>
      <w:r>
        <w:rPr>
          <w:color w:val="auto"/>
          <w:kern w:val="0"/>
          <w:highlight w:val="none"/>
        </w:rPr>
        <w:t>溶土洞、采空区</w:t>
      </w:r>
      <w:r>
        <w:rPr>
          <w:rFonts w:hint="eastAsia"/>
          <w:color w:val="auto"/>
          <w:kern w:val="0"/>
          <w:highlight w:val="none"/>
        </w:rPr>
        <w:t>、滑坡</w:t>
      </w:r>
      <w:r>
        <w:rPr>
          <w:color w:val="auto"/>
          <w:kern w:val="0"/>
          <w:highlight w:val="none"/>
        </w:rPr>
        <w:t>等</w:t>
      </w:r>
      <w:r>
        <w:rPr>
          <w:rFonts w:hint="eastAsia"/>
          <w:color w:val="auto"/>
          <w:kern w:val="0"/>
          <w:highlight w:val="none"/>
        </w:rPr>
        <w:t>不良地质作用</w:t>
      </w:r>
      <w:r>
        <w:rPr>
          <w:color w:val="auto"/>
          <w:kern w:val="0"/>
          <w:highlight w:val="none"/>
        </w:rPr>
        <w:t>对</w:t>
      </w:r>
      <w:r>
        <w:rPr>
          <w:rFonts w:hint="eastAsia"/>
          <w:color w:val="auto"/>
          <w:kern w:val="0"/>
          <w:highlight w:val="none"/>
        </w:rPr>
        <w:t>工程</w:t>
      </w:r>
      <w:r>
        <w:rPr>
          <w:color w:val="auto"/>
          <w:kern w:val="0"/>
          <w:highlight w:val="none"/>
        </w:rPr>
        <w:t>的影响，提出</w:t>
      </w:r>
      <w:r>
        <w:rPr>
          <w:rFonts w:hint="eastAsia"/>
          <w:color w:val="auto"/>
          <w:kern w:val="0"/>
          <w:highlight w:val="none"/>
        </w:rPr>
        <w:t>相应防治措施</w:t>
      </w:r>
      <w:r>
        <w:rPr>
          <w:color w:val="auto"/>
          <w:kern w:val="0"/>
          <w:highlight w:val="none"/>
        </w:rPr>
        <w:t>建议；</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4</w:t>
      </w:r>
      <w:r>
        <w:rPr>
          <w:rFonts w:hint="eastAsia"/>
          <w:color w:val="auto"/>
          <w:kern w:val="0"/>
          <w:highlight w:val="none"/>
        </w:rPr>
        <w:t>　根据特殊性岩土的工程特性，结合地区经验提出相应</w:t>
      </w:r>
      <w:r>
        <w:rPr>
          <w:color w:val="auto"/>
          <w:szCs w:val="21"/>
          <w:highlight w:val="none"/>
        </w:rPr>
        <w:t>处理措施</w:t>
      </w:r>
      <w:r>
        <w:rPr>
          <w:rFonts w:hint="eastAsia"/>
          <w:color w:val="auto"/>
          <w:szCs w:val="21"/>
          <w:highlight w:val="none"/>
        </w:rPr>
        <w:t>建议；</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5</w:t>
      </w:r>
      <w:r>
        <w:rPr>
          <w:rFonts w:hint="eastAsia"/>
          <w:color w:val="auto"/>
          <w:kern w:val="0"/>
          <w:highlight w:val="none"/>
        </w:rPr>
        <w:t>　对基坑工程，</w:t>
      </w:r>
      <w:r>
        <w:rPr>
          <w:color w:val="auto"/>
          <w:kern w:val="0"/>
          <w:highlight w:val="none"/>
        </w:rPr>
        <w:t>分析评价基坑的稳定性，提</w:t>
      </w:r>
      <w:r>
        <w:rPr>
          <w:rFonts w:hint="eastAsia"/>
          <w:color w:val="auto"/>
          <w:kern w:val="0"/>
          <w:highlight w:val="none"/>
        </w:rPr>
        <w:t>供基坑边坡稳定性、基底隆起的计算参数及基坑</w:t>
      </w:r>
      <w:r>
        <w:rPr>
          <w:color w:val="auto"/>
          <w:kern w:val="0"/>
          <w:highlight w:val="none"/>
        </w:rPr>
        <w:t>支护</w:t>
      </w:r>
      <w:r>
        <w:rPr>
          <w:rFonts w:hint="eastAsia"/>
          <w:color w:val="auto"/>
          <w:kern w:val="0"/>
          <w:highlight w:val="none"/>
        </w:rPr>
        <w:t>设计参数，提出支护措施建议，并按附录G</w:t>
      </w:r>
      <w:r>
        <w:rPr>
          <w:rFonts w:hint="eastAsia"/>
          <w:color w:val="auto"/>
          <w:szCs w:val="21"/>
          <w:highlight w:val="none"/>
        </w:rPr>
        <w:t>进行</w:t>
      </w:r>
      <w:r>
        <w:rPr>
          <w:color w:val="auto"/>
          <w:szCs w:val="21"/>
          <w:highlight w:val="none"/>
        </w:rPr>
        <w:t>岩土层的土石工程分级；</w:t>
      </w:r>
      <w:r>
        <w:rPr>
          <w:rFonts w:hint="eastAsia"/>
          <w:color w:val="auto"/>
          <w:szCs w:val="21"/>
          <w:highlight w:val="none"/>
        </w:rPr>
        <w:t>当存在顺倾的土岩界面或结构面时，提供土岩界面或结构面的力学参数。</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6</w:t>
      </w:r>
      <w:r>
        <w:rPr>
          <w:rFonts w:hint="eastAsia"/>
          <w:color w:val="auto"/>
          <w:kern w:val="0"/>
          <w:highlight w:val="none"/>
        </w:rPr>
        <w:t>　</w:t>
      </w:r>
      <w:r>
        <w:rPr>
          <w:color w:val="auto"/>
          <w:kern w:val="0"/>
          <w:highlight w:val="none"/>
        </w:rPr>
        <w:t>分析评价</w:t>
      </w:r>
      <w:r>
        <w:rPr>
          <w:color w:val="auto"/>
          <w:highlight w:val="none"/>
        </w:rPr>
        <w:t>透水层的分布、渗透性，</w:t>
      </w:r>
      <w:r>
        <w:rPr>
          <w:color w:val="auto"/>
          <w:kern w:val="0"/>
          <w:highlight w:val="none"/>
        </w:rPr>
        <w:t>基坑产生流砂、管涌的可能性，提出</w:t>
      </w:r>
      <w:r>
        <w:rPr>
          <w:rFonts w:hint="eastAsia"/>
          <w:color w:val="auto"/>
          <w:kern w:val="0"/>
          <w:highlight w:val="none"/>
        </w:rPr>
        <w:t>地下水控制</w:t>
      </w:r>
      <w:r>
        <w:rPr>
          <w:color w:val="auto"/>
          <w:kern w:val="0"/>
          <w:highlight w:val="none"/>
        </w:rPr>
        <w:t>措施建议；</w:t>
      </w:r>
      <w:r>
        <w:rPr>
          <w:rFonts w:hint="eastAsia"/>
          <w:color w:val="auto"/>
          <w:kern w:val="0"/>
          <w:highlight w:val="none"/>
        </w:rPr>
        <w:t>水文地质条件复杂且对设计及施工有重大影响时，应提出专项水文地质勘察工作的建议；</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7</w:t>
      </w:r>
      <w:r>
        <w:rPr>
          <w:rFonts w:hint="eastAsia"/>
          <w:color w:val="auto"/>
          <w:kern w:val="0"/>
          <w:highlight w:val="none"/>
        </w:rPr>
        <w:t>　对地下建构筑物，</w:t>
      </w:r>
      <w:r>
        <w:rPr>
          <w:color w:val="auto"/>
          <w:kern w:val="0"/>
          <w:highlight w:val="none"/>
        </w:rPr>
        <w:t>分析地下水</w:t>
      </w:r>
      <w:r>
        <w:rPr>
          <w:rFonts w:hint="eastAsia"/>
          <w:color w:val="auto"/>
          <w:kern w:val="0"/>
          <w:highlight w:val="none"/>
        </w:rPr>
        <w:t>的埋藏条件、</w:t>
      </w:r>
      <w:r>
        <w:rPr>
          <w:color w:val="auto"/>
          <w:kern w:val="0"/>
          <w:highlight w:val="none"/>
        </w:rPr>
        <w:t>水位的变化</w:t>
      </w:r>
      <w:r>
        <w:rPr>
          <w:rFonts w:hint="eastAsia"/>
          <w:color w:val="auto"/>
          <w:kern w:val="0"/>
          <w:highlight w:val="none"/>
        </w:rPr>
        <w:t>幅度</w:t>
      </w:r>
      <w:r>
        <w:rPr>
          <w:color w:val="auto"/>
          <w:kern w:val="0"/>
          <w:highlight w:val="none"/>
        </w:rPr>
        <w:t>对地下结构抗浮的影响，提出抗浮设计建议；</w:t>
      </w:r>
    </w:p>
    <w:p>
      <w:pPr>
        <w:autoSpaceDE w:val="0"/>
        <w:spacing w:line="360" w:lineRule="auto"/>
        <w:ind w:firstLine="422" w:firstLineChars="200"/>
        <w:jc w:val="left"/>
        <w:rPr>
          <w:color w:val="auto"/>
          <w:szCs w:val="21"/>
          <w:highlight w:val="none"/>
        </w:rPr>
      </w:pPr>
      <w:r>
        <w:rPr>
          <w:rFonts w:hint="eastAsia"/>
          <w:b/>
          <w:bCs/>
          <w:color w:val="auto"/>
          <w:szCs w:val="21"/>
          <w:highlight w:val="none"/>
        </w:rPr>
        <w:t>8</w:t>
      </w:r>
      <w:r>
        <w:rPr>
          <w:rFonts w:hint="eastAsia"/>
          <w:color w:val="auto"/>
          <w:szCs w:val="21"/>
          <w:highlight w:val="none"/>
        </w:rPr>
        <w:t>　对水处理构筑物，需要时，应通过专项工程评价不均匀沉降，提出措施及建议；</w:t>
      </w:r>
    </w:p>
    <w:p>
      <w:pPr>
        <w:autoSpaceDE w:val="0"/>
        <w:spacing w:line="360" w:lineRule="auto"/>
        <w:ind w:firstLine="422" w:firstLineChars="200"/>
        <w:jc w:val="left"/>
        <w:rPr>
          <w:color w:val="auto"/>
          <w:szCs w:val="21"/>
          <w:highlight w:val="none"/>
        </w:rPr>
      </w:pPr>
      <w:r>
        <w:rPr>
          <w:rFonts w:hint="eastAsia"/>
          <w:b/>
          <w:bCs/>
          <w:color w:val="auto"/>
          <w:szCs w:val="21"/>
          <w:highlight w:val="none"/>
        </w:rPr>
        <w:t>9</w:t>
      </w:r>
      <w:r>
        <w:rPr>
          <w:rFonts w:hint="eastAsia"/>
          <w:color w:val="auto"/>
          <w:szCs w:val="21"/>
          <w:highlight w:val="none"/>
        </w:rPr>
        <w:t>　对取水头部（排放口），分析水流对河床的冲蚀条件，提出防冲刷措施建议；</w:t>
      </w:r>
    </w:p>
    <w:p>
      <w:pPr>
        <w:autoSpaceDE w:val="0"/>
        <w:spacing w:line="360" w:lineRule="auto"/>
        <w:ind w:firstLine="422" w:firstLineChars="200"/>
        <w:jc w:val="left"/>
        <w:rPr>
          <w:color w:val="auto"/>
          <w:szCs w:val="21"/>
          <w:highlight w:val="none"/>
        </w:rPr>
      </w:pPr>
      <w:r>
        <w:rPr>
          <w:rFonts w:hint="eastAsia"/>
          <w:b/>
          <w:bCs/>
          <w:color w:val="auto"/>
          <w:szCs w:val="21"/>
          <w:highlight w:val="none"/>
        </w:rPr>
        <w:t>10</w:t>
      </w:r>
      <w:r>
        <w:rPr>
          <w:rFonts w:hint="eastAsia"/>
          <w:color w:val="auto"/>
          <w:szCs w:val="21"/>
          <w:highlight w:val="none"/>
        </w:rPr>
        <w:t>　</w:t>
      </w:r>
      <w:r>
        <w:rPr>
          <w:color w:val="auto"/>
          <w:szCs w:val="21"/>
          <w:highlight w:val="none"/>
        </w:rPr>
        <w:t>工程地质、水文地质条件变化较大时，应进行地质分区并分别评价；</w:t>
      </w:r>
    </w:p>
    <w:p>
      <w:pPr>
        <w:autoSpaceDE w:val="0"/>
        <w:autoSpaceDN w:val="0"/>
        <w:adjustRightInd w:val="0"/>
        <w:spacing w:line="360" w:lineRule="auto"/>
        <w:ind w:firstLine="422" w:firstLineChars="200"/>
        <w:jc w:val="left"/>
        <w:rPr>
          <w:color w:val="auto"/>
          <w:highlight w:val="none"/>
        </w:rPr>
      </w:pPr>
      <w:r>
        <w:rPr>
          <w:rFonts w:hint="eastAsia"/>
          <w:b/>
          <w:bCs/>
          <w:color w:val="auto"/>
          <w:highlight w:val="none"/>
        </w:rPr>
        <w:t>11</w:t>
      </w:r>
      <w:r>
        <w:rPr>
          <w:rFonts w:hint="eastAsia"/>
          <w:color w:val="auto"/>
          <w:highlight w:val="none"/>
        </w:rPr>
        <w:t>　评价场地土和地表水、地下水对建筑材料的腐蚀性，提出防治措施建议；</w:t>
      </w:r>
    </w:p>
    <w:p>
      <w:pPr>
        <w:autoSpaceDE w:val="0"/>
        <w:spacing w:line="360" w:lineRule="auto"/>
        <w:ind w:firstLine="422" w:firstLineChars="200"/>
        <w:jc w:val="left"/>
        <w:rPr>
          <w:color w:val="auto"/>
          <w:kern w:val="0"/>
          <w:highlight w:val="none"/>
        </w:rPr>
      </w:pPr>
      <w:r>
        <w:rPr>
          <w:rFonts w:hint="eastAsia"/>
          <w:b/>
          <w:bCs/>
          <w:color w:val="auto"/>
          <w:kern w:val="0"/>
          <w:highlight w:val="none"/>
        </w:rPr>
        <w:t>12</w:t>
      </w:r>
      <w:r>
        <w:rPr>
          <w:rFonts w:hint="eastAsia"/>
          <w:color w:val="auto"/>
          <w:kern w:val="0"/>
          <w:highlight w:val="none"/>
        </w:rPr>
        <w:t>　</w:t>
      </w:r>
      <w:r>
        <w:rPr>
          <w:color w:val="auto"/>
          <w:kern w:val="0"/>
          <w:highlight w:val="none"/>
        </w:rPr>
        <w:t>分析评价地下建构筑物建设</w:t>
      </w:r>
      <w:r>
        <w:rPr>
          <w:rFonts w:hint="eastAsia"/>
          <w:color w:val="auto"/>
          <w:kern w:val="0"/>
          <w:highlight w:val="none"/>
        </w:rPr>
        <w:t>与</w:t>
      </w:r>
      <w:r>
        <w:rPr>
          <w:color w:val="auto"/>
          <w:kern w:val="0"/>
          <w:highlight w:val="none"/>
        </w:rPr>
        <w:t>周边地下设施及建构筑物</w:t>
      </w:r>
      <w:r>
        <w:rPr>
          <w:rFonts w:hint="eastAsia"/>
          <w:color w:val="auto"/>
          <w:kern w:val="0"/>
          <w:highlight w:val="none"/>
        </w:rPr>
        <w:t>之间</w:t>
      </w:r>
      <w:r>
        <w:rPr>
          <w:color w:val="auto"/>
          <w:kern w:val="0"/>
          <w:highlight w:val="none"/>
        </w:rPr>
        <w:t>的</w:t>
      </w:r>
      <w:r>
        <w:rPr>
          <w:rFonts w:hint="eastAsia"/>
          <w:color w:val="auto"/>
          <w:kern w:val="0"/>
          <w:highlight w:val="none"/>
        </w:rPr>
        <w:t>相互</w:t>
      </w:r>
      <w:r>
        <w:rPr>
          <w:color w:val="auto"/>
          <w:kern w:val="0"/>
          <w:highlight w:val="none"/>
        </w:rPr>
        <w:t>影响，提出处理</w:t>
      </w:r>
      <w:r>
        <w:rPr>
          <w:rFonts w:hint="eastAsia"/>
          <w:color w:val="auto"/>
          <w:kern w:val="0"/>
          <w:highlight w:val="none"/>
        </w:rPr>
        <w:t>措施</w:t>
      </w:r>
      <w:r>
        <w:rPr>
          <w:color w:val="auto"/>
          <w:kern w:val="0"/>
          <w:highlight w:val="none"/>
        </w:rPr>
        <w:t>建议。</w:t>
      </w:r>
    </w:p>
    <w:p>
      <w:pPr>
        <w:spacing w:line="360" w:lineRule="auto"/>
        <w:ind w:firstLine="422" w:firstLineChars="200"/>
        <w:rPr>
          <w:color w:val="auto"/>
          <w:highlight w:val="none"/>
        </w:rPr>
      </w:pPr>
      <w:r>
        <w:rPr>
          <w:rFonts w:hint="eastAsia"/>
          <w:b/>
          <w:bCs/>
          <w:color w:val="auto"/>
          <w:highlight w:val="none"/>
        </w:rPr>
        <w:t>13</w:t>
      </w:r>
      <w:r>
        <w:rPr>
          <w:rFonts w:hint="eastAsia"/>
          <w:color w:val="auto"/>
          <w:highlight w:val="none"/>
        </w:rPr>
        <w:t>　提出对岩土体、工程结构、周边环境设施的变形及地下水位变化等的检测、监测建议。</w:t>
      </w:r>
    </w:p>
    <w:p>
      <w:pPr>
        <w:spacing w:line="360" w:lineRule="auto"/>
        <w:ind w:firstLine="422" w:firstLineChars="200"/>
        <w:rPr>
          <w:color w:val="auto"/>
          <w:highlight w:val="none"/>
        </w:rPr>
      </w:pPr>
      <w:r>
        <w:rPr>
          <w:rFonts w:hint="eastAsia"/>
          <w:b/>
          <w:bCs/>
          <w:color w:val="auto"/>
          <w:highlight w:val="none"/>
        </w:rPr>
        <w:t>14</w:t>
      </w:r>
      <w:r>
        <w:rPr>
          <w:rFonts w:hint="eastAsia"/>
          <w:color w:val="auto"/>
          <w:highlight w:val="none"/>
        </w:rPr>
        <w:t>　分析工程建设</w:t>
      </w:r>
      <w:r>
        <w:rPr>
          <w:color w:val="auto"/>
          <w:highlight w:val="none"/>
        </w:rPr>
        <w:t>过程可能</w:t>
      </w:r>
      <w:r>
        <w:rPr>
          <w:rFonts w:hint="eastAsia"/>
          <w:color w:val="auto"/>
          <w:highlight w:val="none"/>
        </w:rPr>
        <w:t>引发或</w:t>
      </w:r>
      <w:r>
        <w:rPr>
          <w:color w:val="auto"/>
          <w:highlight w:val="none"/>
        </w:rPr>
        <w:t>遭遇的地质风险</w:t>
      </w:r>
      <w:r>
        <w:rPr>
          <w:rFonts w:hint="eastAsia"/>
          <w:color w:val="auto"/>
          <w:highlight w:val="none"/>
        </w:rPr>
        <w:t>，并提出</w:t>
      </w:r>
      <w:r>
        <w:rPr>
          <w:color w:val="auto"/>
          <w:highlight w:val="none"/>
        </w:rPr>
        <w:t>应对措施</w:t>
      </w:r>
      <w:r>
        <w:rPr>
          <w:rFonts w:hint="eastAsia"/>
          <w:color w:val="auto"/>
          <w:highlight w:val="none"/>
        </w:rPr>
        <w:t>建议。</w:t>
      </w:r>
    </w:p>
    <w:p>
      <w:pPr>
        <w:autoSpaceDE w:val="0"/>
        <w:spacing w:line="360" w:lineRule="auto"/>
        <w:ind w:firstLine="560" w:firstLineChars="200"/>
        <w:jc w:val="left"/>
        <w:rPr>
          <w:color w:val="auto"/>
          <w:sz w:val="28"/>
          <w:szCs w:val="28"/>
          <w:highlight w:val="none"/>
        </w:rPr>
      </w:pPr>
      <w:r>
        <w:rPr>
          <w:color w:val="auto"/>
          <w:sz w:val="28"/>
          <w:szCs w:val="28"/>
          <w:highlight w:val="none"/>
        </w:rPr>
        <w:br w:type="page"/>
      </w:r>
    </w:p>
    <w:p>
      <w:pPr>
        <w:rPr>
          <w:color w:val="auto"/>
          <w:sz w:val="10"/>
          <w:szCs w:val="10"/>
          <w:highlight w:val="none"/>
        </w:rPr>
      </w:pPr>
    </w:p>
    <w:p>
      <w:pPr>
        <w:pStyle w:val="2"/>
        <w:spacing w:before="480" w:after="480" w:line="240" w:lineRule="auto"/>
        <w:rPr>
          <w:color w:val="auto"/>
          <w:highlight w:val="none"/>
        </w:rPr>
      </w:pPr>
      <w:bookmarkStart w:id="139" w:name="_Toc14135"/>
      <w:bookmarkStart w:id="140" w:name="_Toc14551"/>
      <w:bookmarkStart w:id="141" w:name="_Toc19764"/>
      <w:bookmarkStart w:id="142" w:name="_9　城市室外管道工程"/>
      <w:r>
        <w:rPr>
          <w:rFonts w:hint="eastAsia"/>
          <w:color w:val="auto"/>
          <w:highlight w:val="none"/>
        </w:rPr>
        <w:t>9　城市室外管道工程</w:t>
      </w:r>
      <w:bookmarkEnd w:id="139"/>
      <w:bookmarkEnd w:id="140"/>
      <w:bookmarkEnd w:id="141"/>
    </w:p>
    <w:bookmarkEnd w:id="142"/>
    <w:p>
      <w:pPr>
        <w:pStyle w:val="3"/>
        <w:rPr>
          <w:rFonts w:ascii="Times New Roman" w:hAnsi="Times New Roman" w:eastAsia="宋体"/>
          <w:color w:val="auto"/>
          <w:highlight w:val="none"/>
        </w:rPr>
      </w:pPr>
      <w:bookmarkStart w:id="143" w:name="_Toc19420"/>
      <w:bookmarkStart w:id="144" w:name="_Toc4569"/>
      <w:bookmarkStart w:id="145" w:name="_Toc1234"/>
      <w:bookmarkStart w:id="146" w:name="_9.1　一般规定"/>
      <w:r>
        <w:rPr>
          <w:rFonts w:ascii="Times New Roman" w:hAnsi="Times New Roman" w:eastAsia="宋体"/>
          <w:color w:val="auto"/>
          <w:highlight w:val="none"/>
        </w:rPr>
        <w:t>9.1</w:t>
      </w:r>
      <w:r>
        <w:rPr>
          <w:rFonts w:hint="eastAsia" w:ascii="Times New Roman" w:hAnsi="Times New Roman" w:eastAsia="宋体"/>
          <w:color w:val="auto"/>
          <w:highlight w:val="none"/>
        </w:rPr>
        <w:t>　</w:t>
      </w:r>
      <w:r>
        <w:rPr>
          <w:rFonts w:ascii="Times New Roman" w:hAnsi="Times New Roman" w:eastAsia="宋体"/>
          <w:color w:val="auto"/>
          <w:highlight w:val="none"/>
        </w:rPr>
        <w:t>一般规定</w:t>
      </w:r>
      <w:bookmarkEnd w:id="143"/>
      <w:bookmarkEnd w:id="144"/>
      <w:bookmarkEnd w:id="145"/>
    </w:p>
    <w:bookmarkEnd w:id="146"/>
    <w:p>
      <w:pPr>
        <w:autoSpaceDE w:val="0"/>
        <w:spacing w:line="360" w:lineRule="auto"/>
        <w:jc w:val="left"/>
        <w:rPr>
          <w:color w:val="auto"/>
          <w:kern w:val="0"/>
          <w:highlight w:val="none"/>
        </w:rPr>
      </w:pPr>
      <w:r>
        <w:rPr>
          <w:b/>
          <w:bCs/>
          <w:color w:val="auto"/>
          <w:kern w:val="0"/>
          <w:highlight w:val="none"/>
        </w:rPr>
        <w:t>9.1.1</w:t>
      </w:r>
      <w:r>
        <w:rPr>
          <w:rFonts w:hint="eastAsia"/>
          <w:color w:val="auto"/>
          <w:kern w:val="0"/>
          <w:highlight w:val="none"/>
        </w:rPr>
        <w:t>　</w:t>
      </w:r>
      <w:r>
        <w:rPr>
          <w:color w:val="auto"/>
          <w:kern w:val="0"/>
          <w:highlight w:val="none"/>
        </w:rPr>
        <w:t>本章适用于埋设于地下的给水、排水、热力、燃气、电力、通讯等</w:t>
      </w:r>
      <w:r>
        <w:rPr>
          <w:rFonts w:hint="eastAsia"/>
          <w:color w:val="auto"/>
          <w:kern w:val="0"/>
          <w:highlight w:val="none"/>
        </w:rPr>
        <w:t>城市</w:t>
      </w:r>
      <w:r>
        <w:rPr>
          <w:color w:val="auto"/>
          <w:kern w:val="0"/>
          <w:highlight w:val="none"/>
        </w:rPr>
        <w:t>室外管</w:t>
      </w:r>
      <w:r>
        <w:rPr>
          <w:rFonts w:hint="eastAsia"/>
          <w:color w:val="auto"/>
          <w:kern w:val="0"/>
          <w:highlight w:val="none"/>
        </w:rPr>
        <w:t>道工程</w:t>
      </w:r>
      <w:r>
        <w:rPr>
          <w:color w:val="auto"/>
          <w:kern w:val="0"/>
          <w:highlight w:val="none"/>
        </w:rPr>
        <w:t>的岩土工程勘察。</w:t>
      </w:r>
    </w:p>
    <w:p>
      <w:pPr>
        <w:autoSpaceDE w:val="0"/>
        <w:spacing w:line="360" w:lineRule="auto"/>
        <w:jc w:val="left"/>
        <w:rPr>
          <w:color w:val="auto"/>
          <w:highlight w:val="none"/>
        </w:rPr>
      </w:pPr>
      <w:r>
        <w:rPr>
          <w:b/>
          <w:bCs/>
          <w:color w:val="auto"/>
          <w:kern w:val="0"/>
          <w:highlight w:val="none"/>
        </w:rPr>
        <w:t>9.1.2</w:t>
      </w:r>
      <w:r>
        <w:rPr>
          <w:rFonts w:hint="eastAsia"/>
          <w:color w:val="auto"/>
          <w:kern w:val="0"/>
          <w:highlight w:val="none"/>
        </w:rPr>
        <w:t>　</w:t>
      </w:r>
      <w:r>
        <w:rPr>
          <w:color w:val="auto"/>
          <w:highlight w:val="none"/>
        </w:rPr>
        <w:t>勘察前应根据不同阶段勘察的工作需要，取得下列图纸和资料：</w:t>
      </w:r>
    </w:p>
    <w:p>
      <w:pPr>
        <w:spacing w:line="360" w:lineRule="auto"/>
        <w:ind w:firstLine="422" w:firstLineChars="200"/>
        <w:rPr>
          <w:color w:val="auto"/>
          <w:highlight w:val="none"/>
        </w:rPr>
      </w:pPr>
      <w:r>
        <w:rPr>
          <w:rFonts w:hint="eastAsia"/>
          <w:b/>
          <w:bCs/>
          <w:color w:val="auto"/>
          <w:kern w:val="0"/>
          <w:highlight w:val="none"/>
        </w:rPr>
        <w:t>1</w:t>
      </w:r>
      <w:r>
        <w:rPr>
          <w:rFonts w:hint="eastAsia"/>
          <w:color w:val="auto"/>
          <w:kern w:val="0"/>
          <w:highlight w:val="none"/>
        </w:rPr>
        <w:t>　</w:t>
      </w:r>
      <w:r>
        <w:rPr>
          <w:color w:val="auto"/>
          <w:kern w:val="0"/>
          <w:highlight w:val="none"/>
        </w:rPr>
        <w:t>管道</w:t>
      </w:r>
      <w:r>
        <w:rPr>
          <w:color w:val="auto"/>
          <w:highlight w:val="none"/>
        </w:rPr>
        <w:t>设计</w:t>
      </w:r>
      <w:r>
        <w:rPr>
          <w:rFonts w:hint="eastAsia"/>
          <w:color w:val="auto"/>
          <w:highlight w:val="none"/>
        </w:rPr>
        <w:t>总</w:t>
      </w:r>
      <w:r>
        <w:rPr>
          <w:color w:val="auto"/>
          <w:highlight w:val="none"/>
        </w:rPr>
        <w:t>平面</w:t>
      </w:r>
      <w:r>
        <w:rPr>
          <w:color w:val="auto"/>
          <w:kern w:val="0"/>
          <w:highlight w:val="none"/>
        </w:rPr>
        <w:t>图</w:t>
      </w:r>
      <w:r>
        <w:rPr>
          <w:color w:val="auto"/>
          <w:highlight w:val="none"/>
        </w:rPr>
        <w:t>；</w:t>
      </w:r>
      <w:r>
        <w:rPr>
          <w:rFonts w:hint="eastAsia"/>
          <w:color w:val="auto"/>
          <w:kern w:val="0"/>
          <w:highlight w:val="none"/>
        </w:rPr>
        <w:t>明挖段的管坑支护设计平面图；非明挖段的井位设计平面图；</w:t>
      </w:r>
    </w:p>
    <w:p>
      <w:pPr>
        <w:spacing w:line="360" w:lineRule="auto"/>
        <w:ind w:firstLine="422" w:firstLineChars="200"/>
        <w:rPr>
          <w:color w:val="auto"/>
          <w:highlight w:val="none"/>
        </w:rPr>
      </w:pPr>
      <w:r>
        <w:rPr>
          <w:rFonts w:hint="eastAsia"/>
          <w:b/>
          <w:bCs/>
          <w:color w:val="auto"/>
          <w:kern w:val="0"/>
          <w:highlight w:val="none"/>
        </w:rPr>
        <w:t>2</w:t>
      </w:r>
      <w:r>
        <w:rPr>
          <w:rFonts w:hint="eastAsia"/>
          <w:color w:val="auto"/>
          <w:kern w:val="0"/>
          <w:highlight w:val="none"/>
        </w:rPr>
        <w:t>　</w:t>
      </w:r>
      <w:r>
        <w:rPr>
          <w:color w:val="auto"/>
          <w:kern w:val="0"/>
          <w:highlight w:val="none"/>
        </w:rPr>
        <w:t>管</w:t>
      </w:r>
      <w:r>
        <w:rPr>
          <w:rFonts w:hint="eastAsia"/>
          <w:color w:val="auto"/>
          <w:kern w:val="0"/>
          <w:highlight w:val="none"/>
        </w:rPr>
        <w:t>道纵断面设计图；</w:t>
      </w:r>
      <w:r>
        <w:rPr>
          <w:rFonts w:ascii="宋体" w:hAnsi="宋体" w:cs="宋体"/>
          <w:color w:val="auto"/>
          <w:highlight w:val="none"/>
        </w:rPr>
        <w:t>明挖段管坑设计剖面图</w:t>
      </w:r>
      <w:r>
        <w:rPr>
          <w:rFonts w:hint="eastAsia" w:ascii="宋体" w:hAnsi="宋体" w:cs="宋体"/>
          <w:color w:val="auto"/>
          <w:highlight w:val="none"/>
        </w:rPr>
        <w:t>；</w:t>
      </w:r>
    </w:p>
    <w:p>
      <w:pPr>
        <w:spacing w:line="360" w:lineRule="auto"/>
        <w:ind w:firstLine="422" w:firstLineChars="200"/>
        <w:rPr>
          <w:color w:val="auto"/>
          <w:highlight w:val="none"/>
        </w:rPr>
      </w:pPr>
      <w:r>
        <w:rPr>
          <w:rFonts w:hint="eastAsia"/>
          <w:b/>
          <w:bCs/>
          <w:color w:val="auto"/>
          <w:kern w:val="0"/>
          <w:highlight w:val="none"/>
        </w:rPr>
        <w:t>3</w:t>
      </w:r>
      <w:r>
        <w:rPr>
          <w:rFonts w:hint="eastAsia"/>
          <w:color w:val="auto"/>
          <w:kern w:val="0"/>
          <w:highlight w:val="none"/>
        </w:rPr>
        <w:t>　</w:t>
      </w:r>
      <w:r>
        <w:rPr>
          <w:color w:val="auto"/>
          <w:kern w:val="0"/>
          <w:highlight w:val="none"/>
        </w:rPr>
        <w:t>管道类型、</w:t>
      </w:r>
      <w:r>
        <w:rPr>
          <w:color w:val="auto"/>
          <w:highlight w:val="none"/>
        </w:rPr>
        <w:t>管线的起止位置（坐标、里程）、与其他管网连接关系、设计长度</w:t>
      </w:r>
      <w:r>
        <w:rPr>
          <w:rFonts w:hint="eastAsia"/>
          <w:color w:val="auto"/>
          <w:highlight w:val="none"/>
        </w:rPr>
        <w:t>、</w:t>
      </w:r>
      <w:r>
        <w:rPr>
          <w:color w:val="auto"/>
          <w:highlight w:val="none"/>
        </w:rPr>
        <w:t>管道材料、管道尺寸、埋设深度</w:t>
      </w:r>
      <w:r>
        <w:rPr>
          <w:rFonts w:hint="eastAsia"/>
          <w:color w:val="auto"/>
          <w:highlight w:val="none"/>
        </w:rPr>
        <w:t>、敷设</w:t>
      </w:r>
      <w:r>
        <w:rPr>
          <w:color w:val="auto"/>
          <w:highlight w:val="none"/>
        </w:rPr>
        <w:t>方式</w:t>
      </w:r>
      <w:r>
        <w:rPr>
          <w:rFonts w:hint="eastAsia"/>
          <w:color w:val="auto"/>
          <w:highlight w:val="none"/>
        </w:rPr>
        <w:t>或</w:t>
      </w:r>
      <w:r>
        <w:rPr>
          <w:color w:val="auto"/>
          <w:kern w:val="0"/>
          <w:highlight w:val="none"/>
        </w:rPr>
        <w:t>施工</w:t>
      </w:r>
      <w:r>
        <w:rPr>
          <w:rFonts w:hint="eastAsia"/>
          <w:color w:val="auto"/>
          <w:kern w:val="0"/>
          <w:highlight w:val="none"/>
        </w:rPr>
        <w:t>工法</w:t>
      </w:r>
      <w:r>
        <w:rPr>
          <w:rFonts w:hint="eastAsia"/>
          <w:color w:val="auto"/>
          <w:highlight w:val="none"/>
        </w:rPr>
        <w:t>，</w:t>
      </w:r>
      <w:r>
        <w:rPr>
          <w:color w:val="auto"/>
          <w:highlight w:val="none"/>
        </w:rPr>
        <w:t>以及管道与邻近轨道交通、道路、地表水体等的空间关系</w:t>
      </w:r>
      <w:r>
        <w:rPr>
          <w:color w:val="auto"/>
          <w:kern w:val="0"/>
          <w:highlight w:val="none"/>
        </w:rPr>
        <w:t>；</w:t>
      </w:r>
    </w:p>
    <w:p>
      <w:pPr>
        <w:spacing w:line="360" w:lineRule="auto"/>
        <w:ind w:firstLine="422" w:firstLineChars="200"/>
        <w:rPr>
          <w:color w:val="auto"/>
          <w:kern w:val="0"/>
          <w:highlight w:val="none"/>
        </w:rPr>
      </w:pPr>
      <w:r>
        <w:rPr>
          <w:rFonts w:hint="eastAsia"/>
          <w:b/>
          <w:bCs/>
          <w:color w:val="auto"/>
          <w:highlight w:val="none"/>
        </w:rPr>
        <w:t>4</w:t>
      </w:r>
      <w:r>
        <w:rPr>
          <w:rFonts w:hint="eastAsia"/>
          <w:color w:val="auto"/>
          <w:highlight w:val="none"/>
        </w:rPr>
        <w:t>　</w:t>
      </w:r>
      <w:r>
        <w:rPr>
          <w:rFonts w:hint="eastAsia"/>
          <w:color w:val="auto"/>
          <w:kern w:val="0"/>
          <w:highlight w:val="none"/>
        </w:rPr>
        <w:t>管道地基设计承载力和沉降变形控制要求；井位地基设计承载力要求；</w:t>
      </w:r>
    </w:p>
    <w:p>
      <w:pPr>
        <w:spacing w:line="360" w:lineRule="auto"/>
        <w:ind w:firstLine="422" w:firstLineChars="200"/>
        <w:rPr>
          <w:b/>
          <w:bCs/>
          <w:color w:val="auto"/>
          <w:kern w:val="0"/>
          <w:highlight w:val="none"/>
        </w:rPr>
      </w:pPr>
      <w:r>
        <w:rPr>
          <w:rFonts w:hint="eastAsia"/>
          <w:b/>
          <w:bCs/>
          <w:color w:val="auto"/>
          <w:kern w:val="0"/>
          <w:highlight w:val="none"/>
        </w:rPr>
        <w:t>5</w:t>
      </w:r>
      <w:r>
        <w:rPr>
          <w:rFonts w:hint="eastAsia"/>
          <w:color w:val="auto"/>
          <w:kern w:val="0"/>
          <w:highlight w:val="none"/>
        </w:rPr>
        <w:t>　</w:t>
      </w:r>
      <w:r>
        <w:rPr>
          <w:color w:val="auto"/>
          <w:highlight w:val="none"/>
        </w:rPr>
        <w:t>浅埋管道过水域</w:t>
      </w:r>
      <w:r>
        <w:rPr>
          <w:rFonts w:hint="eastAsia"/>
          <w:color w:val="auto"/>
          <w:highlight w:val="none"/>
        </w:rPr>
        <w:t>段</w:t>
      </w:r>
      <w:r>
        <w:rPr>
          <w:color w:val="auto"/>
          <w:highlight w:val="none"/>
        </w:rPr>
        <w:t>的水文资料</w:t>
      </w:r>
      <w:r>
        <w:rPr>
          <w:color w:val="auto"/>
          <w:szCs w:val="21"/>
          <w:highlight w:val="none"/>
        </w:rPr>
        <w:t>。</w:t>
      </w:r>
    </w:p>
    <w:p>
      <w:pPr>
        <w:autoSpaceDE w:val="0"/>
        <w:spacing w:line="360" w:lineRule="auto"/>
        <w:jc w:val="left"/>
        <w:rPr>
          <w:color w:val="auto"/>
          <w:highlight w:val="none"/>
        </w:rPr>
      </w:pPr>
      <w:r>
        <w:rPr>
          <w:b/>
          <w:bCs/>
          <w:color w:val="auto"/>
          <w:highlight w:val="none"/>
        </w:rPr>
        <w:t>9.1.</w:t>
      </w:r>
      <w:r>
        <w:rPr>
          <w:rFonts w:hint="eastAsia"/>
          <w:b/>
          <w:bCs/>
          <w:color w:val="auto"/>
          <w:highlight w:val="none"/>
        </w:rPr>
        <w:t>3</w:t>
      </w:r>
      <w:r>
        <w:rPr>
          <w:rFonts w:hint="eastAsia"/>
          <w:color w:val="auto"/>
          <w:highlight w:val="none"/>
        </w:rPr>
        <w:t>　</w:t>
      </w:r>
      <w:r>
        <w:rPr>
          <w:color w:val="auto"/>
          <w:highlight w:val="none"/>
        </w:rPr>
        <w:t>勘探点布置应符合下列规定：</w:t>
      </w:r>
    </w:p>
    <w:p>
      <w:pPr>
        <w:spacing w:line="360" w:lineRule="auto"/>
        <w:ind w:firstLine="422" w:firstLineChars="200"/>
        <w:jc w:val="left"/>
        <w:rPr>
          <w:color w:val="auto"/>
          <w:kern w:val="0"/>
          <w:highlight w:val="none"/>
        </w:rPr>
      </w:pPr>
      <w:r>
        <w:rPr>
          <w:b/>
          <w:bCs/>
          <w:color w:val="auto"/>
          <w:kern w:val="0"/>
          <w:highlight w:val="none"/>
        </w:rPr>
        <w:t>1</w:t>
      </w:r>
      <w:r>
        <w:rPr>
          <w:rFonts w:hint="eastAsia"/>
          <w:b/>
          <w:bCs/>
          <w:color w:val="auto"/>
          <w:kern w:val="0"/>
          <w:highlight w:val="none"/>
        </w:rPr>
        <w:t>　</w:t>
      </w:r>
      <w:r>
        <w:rPr>
          <w:color w:val="auto"/>
          <w:kern w:val="0"/>
          <w:highlight w:val="none"/>
        </w:rPr>
        <w:t>明挖法管道</w:t>
      </w:r>
      <w:r>
        <w:rPr>
          <w:rFonts w:hint="eastAsia"/>
          <w:color w:val="auto"/>
          <w:kern w:val="0"/>
          <w:highlight w:val="none"/>
        </w:rPr>
        <w:t>，管道基槽开挖宽度不大于10m时，</w:t>
      </w:r>
      <w:r>
        <w:rPr>
          <w:color w:val="auto"/>
          <w:kern w:val="0"/>
          <w:highlight w:val="none"/>
        </w:rPr>
        <w:t>宜</w:t>
      </w:r>
      <w:r>
        <w:rPr>
          <w:rFonts w:hint="eastAsia"/>
          <w:color w:val="auto"/>
          <w:kern w:val="0"/>
          <w:highlight w:val="none"/>
        </w:rPr>
        <w:t>沿管道中线</w:t>
      </w:r>
      <w:r>
        <w:rPr>
          <w:color w:val="auto"/>
          <w:kern w:val="0"/>
          <w:highlight w:val="none"/>
        </w:rPr>
        <w:t>布置</w:t>
      </w:r>
      <w:r>
        <w:rPr>
          <w:rFonts w:hint="eastAsia"/>
          <w:color w:val="auto"/>
          <w:kern w:val="0"/>
          <w:highlight w:val="none"/>
        </w:rPr>
        <w:t>勘探点，生成一条纵断面；管道基槽开挖宽度大于10m时，</w:t>
      </w:r>
      <w:r>
        <w:rPr>
          <w:rFonts w:hint="eastAsia"/>
          <w:color w:val="auto"/>
          <w:highlight w:val="none"/>
        </w:rPr>
        <w:t>宜</w:t>
      </w:r>
      <w:r>
        <w:rPr>
          <w:color w:val="auto"/>
          <w:highlight w:val="none"/>
        </w:rPr>
        <w:t>左右</w:t>
      </w:r>
      <w:r>
        <w:rPr>
          <w:rFonts w:hint="eastAsia"/>
          <w:color w:val="auto"/>
          <w:highlight w:val="none"/>
        </w:rPr>
        <w:t>交错布置</w:t>
      </w:r>
      <w:r>
        <w:rPr>
          <w:color w:val="auto"/>
          <w:highlight w:val="none"/>
        </w:rPr>
        <w:t>勘探</w:t>
      </w:r>
      <w:r>
        <w:rPr>
          <w:rFonts w:hint="eastAsia"/>
          <w:color w:val="auto"/>
          <w:highlight w:val="none"/>
        </w:rPr>
        <w:t>点</w:t>
      </w:r>
      <w:r>
        <w:rPr>
          <w:rFonts w:hint="eastAsia"/>
          <w:color w:val="auto"/>
          <w:kern w:val="0"/>
          <w:highlight w:val="none"/>
        </w:rPr>
        <w:t>，生成一条纵断面；</w:t>
      </w:r>
    </w:p>
    <w:p>
      <w:pPr>
        <w:spacing w:line="360" w:lineRule="auto"/>
        <w:ind w:firstLine="422" w:firstLineChars="200"/>
        <w:jc w:val="left"/>
        <w:rPr>
          <w:color w:val="auto"/>
          <w:kern w:val="0"/>
          <w:highlight w:val="none"/>
        </w:rPr>
      </w:pPr>
      <w:r>
        <w:rPr>
          <w:b/>
          <w:bCs/>
          <w:color w:val="auto"/>
          <w:kern w:val="0"/>
          <w:highlight w:val="none"/>
        </w:rPr>
        <w:t>2</w:t>
      </w:r>
      <w:r>
        <w:rPr>
          <w:rFonts w:hint="eastAsia"/>
          <w:b/>
          <w:bCs/>
          <w:color w:val="auto"/>
          <w:kern w:val="0"/>
          <w:highlight w:val="none"/>
        </w:rPr>
        <w:t>　</w:t>
      </w:r>
      <w:r>
        <w:rPr>
          <w:rFonts w:hint="eastAsia"/>
          <w:color w:val="auto"/>
          <w:kern w:val="0"/>
          <w:highlight w:val="none"/>
        </w:rPr>
        <w:t>非开挖法敷设的</w:t>
      </w:r>
      <w:r>
        <w:rPr>
          <w:color w:val="auto"/>
          <w:kern w:val="0"/>
          <w:highlight w:val="none"/>
        </w:rPr>
        <w:t>管道，勘探点应</w:t>
      </w:r>
      <w:r>
        <w:rPr>
          <w:rFonts w:hint="eastAsia"/>
          <w:color w:val="auto"/>
          <w:kern w:val="0"/>
          <w:highlight w:val="none"/>
        </w:rPr>
        <w:t>优先布置于井位；管道段勘探点宜</w:t>
      </w:r>
      <w:r>
        <w:rPr>
          <w:color w:val="auto"/>
          <w:kern w:val="0"/>
          <w:highlight w:val="none"/>
        </w:rPr>
        <w:t>沿管道外侧</w:t>
      </w:r>
      <w:r>
        <w:rPr>
          <w:rFonts w:hint="eastAsia"/>
          <w:color w:val="auto"/>
          <w:kern w:val="0"/>
          <w:highlight w:val="none"/>
        </w:rPr>
        <w:t>1m</w:t>
      </w:r>
      <w:r>
        <w:rPr>
          <w:color w:val="auto"/>
          <w:szCs w:val="21"/>
          <w:highlight w:val="none"/>
          <w:shd w:val="clear" w:color="auto" w:fill="FFFFFF"/>
        </w:rPr>
        <w:t>～</w:t>
      </w:r>
      <w:r>
        <w:rPr>
          <w:rFonts w:hint="eastAsia"/>
          <w:color w:val="auto"/>
          <w:kern w:val="0"/>
          <w:highlight w:val="none"/>
        </w:rPr>
        <w:t>2m左右交错布置，生成一条纵断面；</w:t>
      </w:r>
    </w:p>
    <w:p>
      <w:pPr>
        <w:spacing w:line="360" w:lineRule="auto"/>
        <w:ind w:firstLine="422" w:firstLineChars="200"/>
        <w:jc w:val="left"/>
        <w:rPr>
          <w:color w:val="auto"/>
          <w:kern w:val="0"/>
          <w:highlight w:val="none"/>
        </w:rPr>
      </w:pPr>
      <w:r>
        <w:rPr>
          <w:rFonts w:hint="eastAsia"/>
          <w:b/>
          <w:bCs/>
          <w:color w:val="auto"/>
          <w:kern w:val="0"/>
          <w:highlight w:val="none"/>
        </w:rPr>
        <w:t>3　</w:t>
      </w:r>
      <w:r>
        <w:rPr>
          <w:rFonts w:hint="eastAsia"/>
          <w:color w:val="auto"/>
          <w:kern w:val="0"/>
          <w:highlight w:val="none"/>
        </w:rPr>
        <w:t>当勘探孔需要移位钻探时，陆域孔不宜偏出管道外边线5m，水域孔不宜偏出管道外边线10m</w:t>
      </w:r>
      <w:r>
        <w:rPr>
          <w:color w:val="auto"/>
          <w:highlight w:val="none"/>
        </w:rPr>
        <w:t>。</w:t>
      </w:r>
    </w:p>
    <w:p>
      <w:pPr>
        <w:autoSpaceDE w:val="0"/>
        <w:spacing w:line="360" w:lineRule="auto"/>
        <w:jc w:val="left"/>
        <w:rPr>
          <w:color w:val="auto"/>
          <w:highlight w:val="none"/>
        </w:rPr>
      </w:pPr>
      <w:r>
        <w:rPr>
          <w:b/>
          <w:bCs/>
          <w:color w:val="auto"/>
          <w:highlight w:val="none"/>
        </w:rPr>
        <w:t>9.1.</w:t>
      </w:r>
      <w:r>
        <w:rPr>
          <w:rFonts w:hint="eastAsia"/>
          <w:b/>
          <w:bCs/>
          <w:color w:val="auto"/>
          <w:highlight w:val="none"/>
        </w:rPr>
        <w:t>4</w:t>
      </w:r>
      <w:r>
        <w:rPr>
          <w:rFonts w:hint="eastAsia"/>
          <w:color w:val="auto"/>
          <w:highlight w:val="none"/>
        </w:rPr>
        <w:t>　取样和测试工作除</w:t>
      </w:r>
      <w:r>
        <w:rPr>
          <w:rFonts w:hint="eastAsia"/>
          <w:color w:val="auto"/>
          <w:highlight w:val="none"/>
          <w:lang w:val="en-US" w:eastAsia="zh-CN"/>
        </w:rPr>
        <w:t>应</w:t>
      </w:r>
      <w:r>
        <w:rPr>
          <w:rFonts w:hint="eastAsia"/>
          <w:color w:val="auto"/>
          <w:highlight w:val="none"/>
        </w:rPr>
        <w:t>符合</w:t>
      </w:r>
      <w:r>
        <w:rPr>
          <w:rFonts w:hint="eastAsia"/>
          <w:color w:val="auto"/>
          <w:highlight w:val="none"/>
          <w:lang w:val="en-US" w:eastAsia="zh-CN"/>
        </w:rPr>
        <w:t>3.0.7、3.0.9条的</w:t>
      </w:r>
      <w:r>
        <w:rPr>
          <w:rFonts w:hint="eastAsia"/>
          <w:color w:val="auto"/>
          <w:highlight w:val="none"/>
        </w:rPr>
        <w:t>规定外，尚</w:t>
      </w:r>
      <w:r>
        <w:rPr>
          <w:color w:val="auto"/>
          <w:highlight w:val="none"/>
        </w:rPr>
        <w:t>应</w:t>
      </w:r>
      <w:r>
        <w:rPr>
          <w:rFonts w:hint="eastAsia"/>
          <w:color w:val="auto"/>
          <w:highlight w:val="none"/>
        </w:rPr>
        <w:t>符合下列规定</w:t>
      </w:r>
      <w:r>
        <w:rPr>
          <w:color w:val="auto"/>
          <w:highlight w:val="none"/>
        </w:rPr>
        <w:t>：</w:t>
      </w:r>
    </w:p>
    <w:p>
      <w:pPr>
        <w:spacing w:line="360" w:lineRule="auto"/>
        <w:ind w:firstLine="422" w:firstLineChars="200"/>
        <w:jc w:val="left"/>
        <w:rPr>
          <w:rFonts w:hint="eastAsia"/>
          <w:color w:val="auto"/>
          <w:highlight w:val="none"/>
          <w:lang w:eastAsia="zh-CN"/>
        </w:rPr>
      </w:pPr>
      <w:r>
        <w:rPr>
          <w:rFonts w:hint="eastAsia"/>
          <w:b/>
          <w:bCs/>
          <w:color w:val="auto"/>
          <w:highlight w:val="none"/>
        </w:rPr>
        <w:t>1</w:t>
      </w:r>
      <w:r>
        <w:rPr>
          <w:rFonts w:hint="eastAsia"/>
          <w:color w:val="auto"/>
          <w:highlight w:val="none"/>
        </w:rPr>
        <w:t>　</w:t>
      </w:r>
      <w:r>
        <w:rPr>
          <w:color w:val="auto"/>
          <w:highlight w:val="none"/>
        </w:rPr>
        <w:t>明挖法</w:t>
      </w:r>
      <w:r>
        <w:rPr>
          <w:rFonts w:hint="eastAsia"/>
          <w:color w:val="auto"/>
          <w:kern w:val="0"/>
          <w:highlight w:val="none"/>
        </w:rPr>
        <w:t>敷设</w:t>
      </w:r>
      <w:r>
        <w:rPr>
          <w:color w:val="auto"/>
          <w:highlight w:val="none"/>
        </w:rPr>
        <w:t>管道</w:t>
      </w:r>
      <w:r>
        <w:rPr>
          <w:rFonts w:hint="eastAsia"/>
          <w:color w:val="auto"/>
          <w:highlight w:val="none"/>
          <w:lang w:eastAsia="zh-CN"/>
        </w:rPr>
        <w:t>时</w:t>
      </w:r>
      <w:r>
        <w:rPr>
          <w:color w:val="auto"/>
          <w:highlight w:val="none"/>
        </w:rPr>
        <w:t>，设计场坪地面至管底以下0.5倍开挖深度范围内</w:t>
      </w:r>
      <w:r>
        <w:rPr>
          <w:rFonts w:hint="eastAsia"/>
          <w:color w:val="auto"/>
          <w:highlight w:val="none"/>
        </w:rPr>
        <w:t>宜加密采取土样和进行原位测试</w:t>
      </w:r>
      <w:r>
        <w:rPr>
          <w:rFonts w:hint="eastAsia"/>
          <w:color w:val="auto"/>
          <w:highlight w:val="none"/>
          <w:lang w:eastAsia="zh-CN"/>
        </w:rPr>
        <w:t>；</w:t>
      </w:r>
    </w:p>
    <w:p>
      <w:pPr>
        <w:spacing w:line="360" w:lineRule="auto"/>
        <w:ind w:firstLine="422" w:firstLineChars="200"/>
        <w:jc w:val="left"/>
        <w:rPr>
          <w:color w:val="auto"/>
          <w:highlight w:val="none"/>
        </w:rPr>
      </w:pPr>
      <w:r>
        <w:rPr>
          <w:rFonts w:hint="eastAsia"/>
          <w:b/>
          <w:bCs/>
          <w:color w:val="auto"/>
          <w:highlight w:val="none"/>
          <w:lang w:val="en-US" w:eastAsia="zh-CN"/>
        </w:rPr>
        <w:t>2</w:t>
      </w:r>
      <w:r>
        <w:rPr>
          <w:rFonts w:hint="eastAsia"/>
          <w:color w:val="auto"/>
          <w:highlight w:val="none"/>
        </w:rPr>
        <w:t>　</w:t>
      </w:r>
      <w:r>
        <w:rPr>
          <w:rFonts w:hint="eastAsia"/>
          <w:color w:val="auto"/>
          <w:kern w:val="0"/>
          <w:highlight w:val="none"/>
        </w:rPr>
        <w:t>非开挖法敷设</w:t>
      </w:r>
      <w:r>
        <w:rPr>
          <w:color w:val="auto"/>
          <w:highlight w:val="none"/>
        </w:rPr>
        <w:t>管道</w:t>
      </w:r>
      <w:r>
        <w:rPr>
          <w:rFonts w:hint="eastAsia"/>
          <w:color w:val="auto"/>
          <w:highlight w:val="none"/>
          <w:lang w:eastAsia="zh-CN"/>
        </w:rPr>
        <w:t>时</w:t>
      </w:r>
      <w:r>
        <w:rPr>
          <w:color w:val="auto"/>
          <w:highlight w:val="none"/>
        </w:rPr>
        <w:t>，地表至设计管底标高以下3.0m（软土地区5.0m）范围内</w:t>
      </w:r>
      <w:r>
        <w:rPr>
          <w:rFonts w:hint="eastAsia"/>
          <w:color w:val="auto"/>
          <w:highlight w:val="none"/>
        </w:rPr>
        <w:t>宜加密采取土样和进行原位测试</w:t>
      </w:r>
      <w:r>
        <w:rPr>
          <w:rFonts w:hint="eastAsia"/>
          <w:color w:val="auto"/>
          <w:szCs w:val="21"/>
          <w:highlight w:val="none"/>
          <w:lang w:eastAsia="zh-CN"/>
        </w:rPr>
        <w:t>；</w:t>
      </w:r>
    </w:p>
    <w:p>
      <w:pPr>
        <w:spacing w:line="360" w:lineRule="auto"/>
        <w:ind w:firstLine="422" w:firstLineChars="200"/>
        <w:rPr>
          <w:color w:val="auto"/>
          <w:highlight w:val="none"/>
        </w:rPr>
      </w:pPr>
      <w:r>
        <w:rPr>
          <w:rFonts w:hint="eastAsia"/>
          <w:b/>
          <w:bCs/>
          <w:color w:val="auto"/>
          <w:szCs w:val="21"/>
          <w:highlight w:val="none"/>
          <w:lang w:val="en-US" w:eastAsia="zh-CN"/>
        </w:rPr>
        <w:t>3</w:t>
      </w:r>
      <w:r>
        <w:rPr>
          <w:rFonts w:hint="eastAsia"/>
          <w:color w:val="auto"/>
          <w:kern w:val="0"/>
          <w:highlight w:val="none"/>
        </w:rPr>
        <w:t>　</w:t>
      </w:r>
      <w:r>
        <w:rPr>
          <w:color w:val="auto"/>
          <w:kern w:val="0"/>
          <w:highlight w:val="none"/>
        </w:rPr>
        <w:t>对钢、铸铁管道，应对管道埋设深度范围内各岩土层进行电阻率测试，</w:t>
      </w:r>
      <w:bookmarkStart w:id="147" w:name="OLE_LINK9"/>
      <w:bookmarkStart w:id="148" w:name="OLE_LINK8"/>
      <w:r>
        <w:rPr>
          <w:rFonts w:hint="eastAsia"/>
          <w:color w:val="auto"/>
          <w:highlight w:val="none"/>
        </w:rPr>
        <w:t>每个工程点</w:t>
      </w:r>
      <w:r>
        <w:rPr>
          <w:color w:val="auto"/>
          <w:highlight w:val="none"/>
        </w:rPr>
        <w:t>不宜少于2</w:t>
      </w:r>
      <w:r>
        <w:rPr>
          <w:rFonts w:hint="eastAsia"/>
          <w:color w:val="auto"/>
          <w:highlight w:val="none"/>
        </w:rPr>
        <w:t>个，长距离管道</w:t>
      </w:r>
      <w:bookmarkStart w:id="149" w:name="OLE_LINK7"/>
      <w:r>
        <w:rPr>
          <w:rFonts w:hint="eastAsia"/>
          <w:color w:val="auto"/>
          <w:highlight w:val="none"/>
        </w:rPr>
        <w:t>每公里</w:t>
      </w:r>
      <w:r>
        <w:rPr>
          <w:color w:val="auto"/>
          <w:highlight w:val="none"/>
        </w:rPr>
        <w:t>不宜少于</w:t>
      </w:r>
      <w:bookmarkEnd w:id="147"/>
      <w:bookmarkEnd w:id="149"/>
      <w:r>
        <w:rPr>
          <w:color w:val="auto"/>
          <w:highlight w:val="none"/>
        </w:rPr>
        <w:t>2</w:t>
      </w:r>
      <w:r>
        <w:rPr>
          <w:rFonts w:hint="eastAsia"/>
          <w:color w:val="auto"/>
          <w:highlight w:val="none"/>
        </w:rPr>
        <w:t>个</w:t>
      </w:r>
      <w:bookmarkEnd w:id="148"/>
      <w:r>
        <w:rPr>
          <w:rFonts w:hint="eastAsia"/>
          <w:color w:val="auto"/>
          <w:szCs w:val="21"/>
          <w:highlight w:val="none"/>
          <w:lang w:eastAsia="zh-CN"/>
        </w:rPr>
        <w:t>。</w:t>
      </w:r>
    </w:p>
    <w:p>
      <w:pPr>
        <w:pStyle w:val="3"/>
        <w:rPr>
          <w:rFonts w:ascii="Times New Roman" w:hAnsi="Times New Roman" w:eastAsia="宋体"/>
          <w:color w:val="auto"/>
          <w:highlight w:val="none"/>
        </w:rPr>
      </w:pPr>
      <w:bookmarkStart w:id="150" w:name="_Toc24286"/>
      <w:bookmarkStart w:id="151" w:name="_Toc12105"/>
      <w:bookmarkStart w:id="152" w:name="_Toc32028"/>
      <w:r>
        <w:rPr>
          <w:rFonts w:ascii="Times New Roman" w:hAnsi="Times New Roman" w:eastAsia="宋体"/>
          <w:color w:val="auto"/>
          <w:highlight w:val="none"/>
        </w:rPr>
        <w:t>9.2</w:t>
      </w:r>
      <w:r>
        <w:rPr>
          <w:rFonts w:hint="eastAsia" w:ascii="Times New Roman" w:hAnsi="Times New Roman" w:eastAsia="宋体"/>
          <w:color w:val="auto"/>
          <w:highlight w:val="none"/>
        </w:rPr>
        <w:t>　</w:t>
      </w:r>
      <w:r>
        <w:rPr>
          <w:rFonts w:ascii="Times New Roman" w:hAnsi="Times New Roman" w:eastAsia="宋体"/>
          <w:color w:val="auto"/>
          <w:highlight w:val="none"/>
        </w:rPr>
        <w:t>可行性研究勘察</w:t>
      </w:r>
      <w:bookmarkEnd w:id="150"/>
      <w:bookmarkEnd w:id="151"/>
      <w:bookmarkEnd w:id="152"/>
    </w:p>
    <w:p>
      <w:pPr>
        <w:spacing w:line="360" w:lineRule="auto"/>
        <w:rPr>
          <w:color w:val="auto"/>
          <w:highlight w:val="none"/>
        </w:rPr>
      </w:pPr>
      <w:r>
        <w:rPr>
          <w:b/>
          <w:bCs/>
          <w:color w:val="auto"/>
          <w:highlight w:val="none"/>
        </w:rPr>
        <w:t>9.2.1</w:t>
      </w:r>
      <w:r>
        <w:rPr>
          <w:rFonts w:hint="eastAsia"/>
          <w:color w:val="auto"/>
          <w:highlight w:val="none"/>
        </w:rPr>
        <w:t>　</w:t>
      </w:r>
      <w:r>
        <w:rPr>
          <w:color w:val="auto"/>
          <w:highlight w:val="none"/>
        </w:rPr>
        <w:t>可行性研究勘察以资料搜集、现场踏勘、</w:t>
      </w:r>
      <w:r>
        <w:rPr>
          <w:rFonts w:hint="eastAsia"/>
          <w:color w:val="auto"/>
          <w:highlight w:val="none"/>
        </w:rPr>
        <w:t>工程</w:t>
      </w:r>
      <w:r>
        <w:rPr>
          <w:color w:val="auto"/>
          <w:highlight w:val="none"/>
        </w:rPr>
        <w:t>地质</w:t>
      </w:r>
      <w:r>
        <w:rPr>
          <w:rFonts w:hint="eastAsia"/>
          <w:color w:val="auto"/>
          <w:highlight w:val="none"/>
        </w:rPr>
        <w:t>调查与测绘</w:t>
      </w:r>
      <w:r>
        <w:rPr>
          <w:color w:val="auto"/>
          <w:highlight w:val="none"/>
        </w:rPr>
        <w:t>为主，根据具体条件辅以必要的</w:t>
      </w:r>
      <w:r>
        <w:rPr>
          <w:rFonts w:hint="eastAsia"/>
          <w:color w:val="auto"/>
          <w:highlight w:val="none"/>
        </w:rPr>
        <w:t>勘探、测试及试验工作。</w:t>
      </w:r>
      <w:r>
        <w:rPr>
          <w:color w:val="auto"/>
          <w:highlight w:val="none"/>
        </w:rPr>
        <w:t>当长距离管道有两条或以上拟选线路时，宜开展</w:t>
      </w:r>
      <w:r>
        <w:rPr>
          <w:rFonts w:hint="eastAsia"/>
          <w:color w:val="auto"/>
          <w:highlight w:val="none"/>
        </w:rPr>
        <w:t>可行性比选</w:t>
      </w:r>
      <w:r>
        <w:rPr>
          <w:color w:val="auto"/>
          <w:highlight w:val="none"/>
        </w:rPr>
        <w:t>。</w:t>
      </w:r>
    </w:p>
    <w:p>
      <w:pPr>
        <w:spacing w:line="360" w:lineRule="auto"/>
        <w:rPr>
          <w:color w:val="auto"/>
          <w:highlight w:val="none"/>
        </w:rPr>
      </w:pPr>
      <w:r>
        <w:rPr>
          <w:rFonts w:hint="eastAsia"/>
          <w:b/>
          <w:bCs/>
          <w:color w:val="auto"/>
          <w:highlight w:val="none"/>
        </w:rPr>
        <w:t>9.2.2</w:t>
      </w:r>
      <w:r>
        <w:rPr>
          <w:rFonts w:hint="eastAsia"/>
          <w:color w:val="auto"/>
          <w:highlight w:val="none"/>
        </w:rPr>
        <w:t>　工程地质测绘比例尺宜为1:1000~1:2000</w:t>
      </w:r>
      <w:r>
        <w:rPr>
          <w:rFonts w:hint="eastAsia"/>
          <w:color w:val="auto"/>
          <w:kern w:val="0"/>
          <w:highlight w:val="none"/>
        </w:rPr>
        <w:t>，范围不宜小于管道两侧边线外50m~100m。</w:t>
      </w:r>
    </w:p>
    <w:p>
      <w:pPr>
        <w:spacing w:line="360" w:lineRule="auto"/>
        <w:rPr>
          <w:color w:val="auto"/>
          <w:kern w:val="0"/>
          <w:highlight w:val="none"/>
        </w:rPr>
      </w:pPr>
      <w:r>
        <w:rPr>
          <w:b/>
          <w:bCs/>
          <w:color w:val="auto"/>
          <w:highlight w:val="none"/>
        </w:rPr>
        <w:t>9.2.3</w:t>
      </w:r>
      <w:r>
        <w:rPr>
          <w:rFonts w:hint="eastAsia"/>
          <w:color w:val="auto"/>
          <w:highlight w:val="none"/>
        </w:rPr>
        <w:t>　</w:t>
      </w:r>
      <w:r>
        <w:rPr>
          <w:color w:val="auto"/>
          <w:kern w:val="0"/>
          <w:highlight w:val="none"/>
        </w:rPr>
        <w:t>可行性研究勘察应重点分析评价下列内容：</w:t>
      </w:r>
    </w:p>
    <w:p>
      <w:pPr>
        <w:spacing w:line="360" w:lineRule="auto"/>
        <w:ind w:firstLine="422" w:firstLineChars="200"/>
        <w:rPr>
          <w:color w:val="auto"/>
          <w:kern w:val="0"/>
          <w:highlight w:val="none"/>
        </w:rPr>
      </w:pPr>
      <w:r>
        <w:rPr>
          <w:b/>
          <w:bCs/>
          <w:color w:val="auto"/>
          <w:kern w:val="0"/>
          <w:highlight w:val="none"/>
        </w:rPr>
        <w:t>1</w:t>
      </w:r>
      <w:r>
        <w:rPr>
          <w:rFonts w:hint="eastAsia"/>
          <w:b/>
          <w:bCs/>
          <w:color w:val="auto"/>
          <w:kern w:val="0"/>
          <w:highlight w:val="none"/>
        </w:rPr>
        <w:t>　</w:t>
      </w:r>
      <w:r>
        <w:rPr>
          <w:color w:val="auto"/>
          <w:kern w:val="0"/>
          <w:highlight w:val="none"/>
        </w:rPr>
        <w:t>场地的稳定性和</w:t>
      </w:r>
      <w:r>
        <w:rPr>
          <w:rFonts w:hint="eastAsia"/>
          <w:color w:val="auto"/>
          <w:kern w:val="0"/>
          <w:highlight w:val="none"/>
        </w:rPr>
        <w:t>工程建设的</w:t>
      </w:r>
      <w:r>
        <w:rPr>
          <w:color w:val="auto"/>
          <w:kern w:val="0"/>
          <w:highlight w:val="none"/>
        </w:rPr>
        <w:t>适宜性；</w:t>
      </w:r>
    </w:p>
    <w:p>
      <w:pPr>
        <w:spacing w:line="360" w:lineRule="auto"/>
        <w:ind w:firstLine="422" w:firstLineChars="200"/>
        <w:rPr>
          <w:color w:val="auto"/>
          <w:kern w:val="0"/>
          <w:highlight w:val="none"/>
        </w:rPr>
      </w:pPr>
      <w:r>
        <w:rPr>
          <w:rFonts w:hint="eastAsia"/>
          <w:b/>
          <w:bCs/>
          <w:color w:val="auto"/>
          <w:kern w:val="0"/>
          <w:highlight w:val="none"/>
        </w:rPr>
        <w:t>2</w:t>
      </w:r>
      <w:r>
        <w:rPr>
          <w:rFonts w:hint="eastAsia"/>
          <w:color w:val="auto"/>
          <w:kern w:val="0"/>
          <w:highlight w:val="none"/>
        </w:rPr>
        <w:t>　了解区域的总体地面沉降背景，分析其对管网总体建设的影响；</w:t>
      </w:r>
    </w:p>
    <w:p>
      <w:pPr>
        <w:spacing w:line="360" w:lineRule="auto"/>
        <w:ind w:firstLine="422" w:firstLineChars="200"/>
        <w:rPr>
          <w:color w:val="auto"/>
          <w:kern w:val="0"/>
          <w:highlight w:val="none"/>
        </w:rPr>
      </w:pPr>
      <w:r>
        <w:rPr>
          <w:rFonts w:hint="eastAsia"/>
          <w:b/>
          <w:bCs/>
          <w:color w:val="auto"/>
          <w:kern w:val="0"/>
          <w:highlight w:val="none"/>
        </w:rPr>
        <w:t>3</w:t>
      </w:r>
      <w:r>
        <w:rPr>
          <w:rFonts w:hint="eastAsia"/>
          <w:color w:val="auto"/>
          <w:kern w:val="0"/>
          <w:highlight w:val="none"/>
        </w:rPr>
        <w:t>　了解管道</w:t>
      </w:r>
      <w:r>
        <w:rPr>
          <w:color w:val="auto"/>
          <w:kern w:val="0"/>
          <w:highlight w:val="none"/>
        </w:rPr>
        <w:t>沿线软土、</w:t>
      </w:r>
      <w:r>
        <w:rPr>
          <w:rFonts w:hint="eastAsia"/>
          <w:color w:val="auto"/>
          <w:kern w:val="0"/>
          <w:highlight w:val="none"/>
        </w:rPr>
        <w:t>液化</w:t>
      </w:r>
      <w:r>
        <w:rPr>
          <w:color w:val="auto"/>
          <w:kern w:val="0"/>
          <w:highlight w:val="none"/>
        </w:rPr>
        <w:t>砂层、岩溶</w:t>
      </w:r>
      <w:r>
        <w:rPr>
          <w:rFonts w:hint="eastAsia"/>
          <w:color w:val="auto"/>
          <w:kern w:val="0"/>
          <w:highlight w:val="none"/>
        </w:rPr>
        <w:t>、采空区等不良地质或特殊性岩土</w:t>
      </w:r>
      <w:r>
        <w:rPr>
          <w:color w:val="auto"/>
          <w:kern w:val="0"/>
          <w:highlight w:val="none"/>
        </w:rPr>
        <w:t>的分布情况</w:t>
      </w:r>
      <w:r>
        <w:rPr>
          <w:rFonts w:hint="eastAsia"/>
          <w:color w:val="auto"/>
          <w:kern w:val="0"/>
          <w:highlight w:val="none"/>
        </w:rPr>
        <w:t>，分析其</w:t>
      </w:r>
      <w:r>
        <w:rPr>
          <w:color w:val="auto"/>
          <w:kern w:val="0"/>
          <w:highlight w:val="none"/>
        </w:rPr>
        <w:t>对管道</w:t>
      </w:r>
      <w:r>
        <w:rPr>
          <w:rFonts w:hint="eastAsia"/>
          <w:color w:val="auto"/>
          <w:kern w:val="0"/>
          <w:highlight w:val="none"/>
        </w:rPr>
        <w:t>工程</w:t>
      </w:r>
      <w:r>
        <w:rPr>
          <w:color w:val="auto"/>
          <w:kern w:val="0"/>
          <w:highlight w:val="none"/>
        </w:rPr>
        <w:t>的不利影响。</w:t>
      </w:r>
    </w:p>
    <w:p>
      <w:pPr>
        <w:pStyle w:val="3"/>
        <w:rPr>
          <w:rFonts w:ascii="Times New Roman" w:hAnsi="Times New Roman" w:eastAsia="宋体"/>
          <w:color w:val="auto"/>
          <w:highlight w:val="none"/>
        </w:rPr>
      </w:pPr>
      <w:bookmarkStart w:id="153" w:name="_Toc5664"/>
      <w:bookmarkStart w:id="154" w:name="_Toc8109"/>
      <w:bookmarkStart w:id="155" w:name="_Toc32119"/>
      <w:bookmarkStart w:id="156" w:name="_9.3　初步勘察"/>
      <w:r>
        <w:rPr>
          <w:rFonts w:ascii="Times New Roman" w:hAnsi="Times New Roman" w:eastAsia="宋体"/>
          <w:color w:val="auto"/>
          <w:highlight w:val="none"/>
        </w:rPr>
        <w:t>9.3</w:t>
      </w:r>
      <w:r>
        <w:rPr>
          <w:rFonts w:hint="eastAsia" w:ascii="Times New Roman" w:hAnsi="Times New Roman" w:eastAsia="宋体"/>
          <w:color w:val="auto"/>
          <w:highlight w:val="none"/>
        </w:rPr>
        <w:t>　</w:t>
      </w:r>
      <w:r>
        <w:rPr>
          <w:rFonts w:ascii="Times New Roman" w:hAnsi="Times New Roman" w:eastAsia="宋体"/>
          <w:color w:val="auto"/>
          <w:highlight w:val="none"/>
        </w:rPr>
        <w:t>初步勘察</w:t>
      </w:r>
      <w:bookmarkEnd w:id="153"/>
      <w:bookmarkEnd w:id="154"/>
      <w:bookmarkEnd w:id="155"/>
    </w:p>
    <w:bookmarkEnd w:id="156"/>
    <w:p>
      <w:pPr>
        <w:autoSpaceDE w:val="0"/>
        <w:autoSpaceDN w:val="0"/>
        <w:adjustRightInd w:val="0"/>
        <w:spacing w:line="360" w:lineRule="auto"/>
        <w:jc w:val="left"/>
        <w:rPr>
          <w:color w:val="auto"/>
          <w:kern w:val="0"/>
          <w:szCs w:val="21"/>
          <w:highlight w:val="none"/>
        </w:rPr>
      </w:pPr>
      <w:r>
        <w:rPr>
          <w:b/>
          <w:bCs/>
          <w:color w:val="auto"/>
          <w:highlight w:val="none"/>
        </w:rPr>
        <w:t>9.3.1</w:t>
      </w:r>
      <w:r>
        <w:rPr>
          <w:rFonts w:hint="eastAsia"/>
          <w:color w:val="auto"/>
          <w:highlight w:val="none"/>
        </w:rPr>
        <w:t>　</w:t>
      </w:r>
      <w:r>
        <w:rPr>
          <w:color w:val="auto"/>
          <w:kern w:val="0"/>
          <w:highlight w:val="none"/>
        </w:rPr>
        <w:t>初步勘察</w:t>
      </w:r>
      <w:r>
        <w:rPr>
          <w:rFonts w:hint="eastAsia"/>
          <w:color w:val="auto"/>
          <w:kern w:val="0"/>
          <w:highlight w:val="none"/>
        </w:rPr>
        <w:t>应以钻探、坑探、槽探和井探为主，辅以必要的工程地质调查与测绘、物探等勘察方法，</w:t>
      </w:r>
      <w:r>
        <w:rPr>
          <w:color w:val="auto"/>
          <w:kern w:val="0"/>
          <w:highlight w:val="none"/>
        </w:rPr>
        <w:t>初步查明以下内容：</w:t>
      </w:r>
    </w:p>
    <w:p>
      <w:pPr>
        <w:autoSpaceDE w:val="0"/>
        <w:autoSpaceDN w:val="0"/>
        <w:adjustRightInd w:val="0"/>
        <w:spacing w:line="360" w:lineRule="auto"/>
        <w:ind w:firstLine="422" w:firstLineChars="200"/>
        <w:jc w:val="left"/>
        <w:rPr>
          <w:rFonts w:hint="default" w:eastAsia="宋体"/>
          <w:b w:val="0"/>
          <w:bCs w:val="0"/>
          <w:color w:val="auto"/>
          <w:kern w:val="0"/>
          <w:highlight w:val="none"/>
          <w:lang w:val="en-US" w:eastAsia="zh-CN"/>
        </w:rPr>
      </w:pPr>
      <w:r>
        <w:rPr>
          <w:rFonts w:hint="eastAsia"/>
          <w:b/>
          <w:bCs/>
          <w:color w:val="auto"/>
          <w:kern w:val="0"/>
          <w:highlight w:val="none"/>
          <w:lang w:val="en-US" w:eastAsia="zh-CN"/>
        </w:rPr>
        <w:t>1</w:t>
      </w:r>
      <w:r>
        <w:rPr>
          <w:rFonts w:hint="eastAsia"/>
          <w:color w:val="auto"/>
          <w:highlight w:val="none"/>
        </w:rPr>
        <w:t>　</w:t>
      </w:r>
      <w:r>
        <w:rPr>
          <w:rFonts w:hint="eastAsia"/>
          <w:b w:val="0"/>
          <w:bCs w:val="0"/>
          <w:color w:val="auto"/>
          <w:kern w:val="0"/>
          <w:highlight w:val="none"/>
          <w:lang w:val="en-US" w:eastAsia="zh-CN"/>
        </w:rPr>
        <w:t>场地的</w:t>
      </w:r>
      <w:r>
        <w:rPr>
          <w:color w:val="auto"/>
          <w:kern w:val="0"/>
          <w:highlight w:val="none"/>
        </w:rPr>
        <w:t>地貌类型、</w:t>
      </w:r>
      <w:r>
        <w:rPr>
          <w:rFonts w:hint="eastAsia"/>
          <w:color w:val="auto"/>
          <w:kern w:val="0"/>
          <w:highlight w:val="none"/>
        </w:rPr>
        <w:t>地形起伏变化情况</w:t>
      </w:r>
      <w:r>
        <w:rPr>
          <w:rFonts w:hint="eastAsia"/>
          <w:color w:val="auto"/>
          <w:highlight w:val="none"/>
          <w:lang w:val="en-US" w:eastAsia="zh-CN"/>
        </w:rPr>
        <w:t>、场地类别</w:t>
      </w:r>
      <w:r>
        <w:rPr>
          <w:color w:val="auto"/>
          <w:kern w:val="0"/>
          <w:highlight w:val="none"/>
        </w:rPr>
        <w:t>及</w:t>
      </w:r>
      <w:r>
        <w:rPr>
          <w:rFonts w:hint="eastAsia"/>
          <w:b w:val="0"/>
          <w:bCs w:val="0"/>
          <w:color w:val="auto"/>
          <w:kern w:val="0"/>
          <w:highlight w:val="none"/>
          <w:lang w:val="en-US" w:eastAsia="zh-CN"/>
        </w:rPr>
        <w:t>地震动参数；</w:t>
      </w:r>
    </w:p>
    <w:p>
      <w:pPr>
        <w:spacing w:line="360" w:lineRule="auto"/>
        <w:ind w:firstLine="422" w:firstLineChars="200"/>
        <w:rPr>
          <w:color w:val="auto"/>
          <w:highlight w:val="none"/>
        </w:rPr>
      </w:pPr>
      <w:r>
        <w:rPr>
          <w:rFonts w:hint="eastAsia"/>
          <w:b/>
          <w:bCs/>
          <w:color w:val="auto"/>
          <w:highlight w:val="none"/>
          <w:lang w:val="en-US" w:eastAsia="zh-CN"/>
        </w:rPr>
        <w:t>2</w:t>
      </w:r>
      <w:r>
        <w:rPr>
          <w:rFonts w:hint="eastAsia"/>
          <w:color w:val="auto"/>
          <w:highlight w:val="none"/>
        </w:rPr>
        <w:t>　沿线的地貌单元，</w:t>
      </w:r>
      <w:r>
        <w:rPr>
          <w:color w:val="auto"/>
          <w:highlight w:val="none"/>
        </w:rPr>
        <w:t>主要控制性地层的空间分布及岩土特性；</w:t>
      </w:r>
    </w:p>
    <w:p>
      <w:pPr>
        <w:spacing w:line="360" w:lineRule="auto"/>
        <w:ind w:firstLine="422" w:firstLineChars="200"/>
        <w:rPr>
          <w:color w:val="auto"/>
          <w:highlight w:val="none"/>
        </w:rPr>
      </w:pPr>
      <w:r>
        <w:rPr>
          <w:rFonts w:hint="eastAsia"/>
          <w:b/>
          <w:bCs/>
          <w:color w:val="auto"/>
          <w:highlight w:val="none"/>
          <w:lang w:val="en-US" w:eastAsia="zh-CN"/>
        </w:rPr>
        <w:t>3</w:t>
      </w:r>
      <w:r>
        <w:rPr>
          <w:rFonts w:hint="eastAsia"/>
          <w:color w:val="auto"/>
          <w:highlight w:val="none"/>
        </w:rPr>
        <w:t>　</w:t>
      </w:r>
      <w:r>
        <w:rPr>
          <w:color w:val="auto"/>
          <w:highlight w:val="none"/>
        </w:rPr>
        <w:t>场地及周边的不良地质作用分布、规模</w:t>
      </w:r>
      <w:r>
        <w:rPr>
          <w:rFonts w:hint="eastAsia"/>
          <w:color w:val="auto"/>
          <w:highlight w:val="none"/>
        </w:rPr>
        <w:t>、</w:t>
      </w:r>
      <w:r>
        <w:rPr>
          <w:color w:val="auto"/>
          <w:highlight w:val="none"/>
        </w:rPr>
        <w:t>类型</w:t>
      </w:r>
      <w:r>
        <w:rPr>
          <w:rFonts w:hint="eastAsia"/>
          <w:color w:val="auto"/>
          <w:highlight w:val="none"/>
        </w:rPr>
        <w:t>和发展趋势</w:t>
      </w:r>
      <w:r>
        <w:rPr>
          <w:color w:val="auto"/>
          <w:highlight w:val="none"/>
        </w:rPr>
        <w:t>；</w:t>
      </w:r>
    </w:p>
    <w:p>
      <w:pPr>
        <w:spacing w:line="360" w:lineRule="auto"/>
        <w:ind w:firstLine="422" w:firstLineChars="200"/>
        <w:rPr>
          <w:color w:val="auto"/>
          <w:highlight w:val="none"/>
        </w:rPr>
      </w:pPr>
      <w:r>
        <w:rPr>
          <w:rFonts w:hint="eastAsia"/>
          <w:b/>
          <w:bCs/>
          <w:color w:val="auto"/>
          <w:highlight w:val="none"/>
          <w:lang w:val="en-US" w:eastAsia="zh-CN"/>
        </w:rPr>
        <w:t>4</w:t>
      </w:r>
      <w:r>
        <w:rPr>
          <w:rFonts w:hint="eastAsia"/>
          <w:b/>
          <w:bCs/>
          <w:color w:val="auto"/>
          <w:highlight w:val="none"/>
        </w:rPr>
        <w:t>　</w:t>
      </w:r>
      <w:r>
        <w:rPr>
          <w:color w:val="auto"/>
          <w:highlight w:val="none"/>
        </w:rPr>
        <w:t>特殊性岩土的分布、成因和工程地质特性；</w:t>
      </w:r>
    </w:p>
    <w:p>
      <w:pPr>
        <w:spacing w:line="360" w:lineRule="auto"/>
        <w:ind w:firstLine="422" w:firstLineChars="200"/>
        <w:rPr>
          <w:color w:val="auto"/>
          <w:highlight w:val="none"/>
        </w:rPr>
      </w:pPr>
      <w:r>
        <w:rPr>
          <w:rFonts w:hint="eastAsia"/>
          <w:b/>
          <w:bCs/>
          <w:color w:val="auto"/>
          <w:kern w:val="0"/>
          <w:highlight w:val="none"/>
          <w:lang w:val="en-US" w:eastAsia="zh-CN"/>
        </w:rPr>
        <w:t>5</w:t>
      </w:r>
      <w:r>
        <w:rPr>
          <w:rFonts w:hint="eastAsia"/>
          <w:color w:val="auto"/>
          <w:kern w:val="0"/>
          <w:highlight w:val="none"/>
        </w:rPr>
        <w:t>　</w:t>
      </w:r>
      <w:r>
        <w:rPr>
          <w:color w:val="auto"/>
          <w:kern w:val="0"/>
          <w:highlight w:val="none"/>
        </w:rPr>
        <w:t>地下水的类型、分布、水质</w:t>
      </w:r>
      <w:r>
        <w:rPr>
          <w:rFonts w:hint="eastAsia"/>
          <w:color w:val="auto"/>
          <w:kern w:val="0"/>
          <w:highlight w:val="none"/>
        </w:rPr>
        <w:t>、埋深及变化幅度</w:t>
      </w:r>
      <w:r>
        <w:rPr>
          <w:color w:val="auto"/>
          <w:kern w:val="0"/>
          <w:highlight w:val="none"/>
        </w:rPr>
        <w:t>，</w:t>
      </w:r>
      <w:r>
        <w:rPr>
          <w:color w:val="auto"/>
          <w:highlight w:val="none"/>
        </w:rPr>
        <w:t>地表水和地下水的分布及连通性，透水层的渗透性；</w:t>
      </w:r>
    </w:p>
    <w:p>
      <w:pPr>
        <w:autoSpaceDE w:val="0"/>
        <w:autoSpaceDN w:val="0"/>
        <w:adjustRightInd w:val="0"/>
        <w:spacing w:line="360" w:lineRule="auto"/>
        <w:ind w:firstLine="422" w:firstLineChars="200"/>
        <w:jc w:val="left"/>
        <w:rPr>
          <w:color w:val="auto"/>
          <w:highlight w:val="none"/>
        </w:rPr>
      </w:pPr>
      <w:r>
        <w:rPr>
          <w:rFonts w:hint="eastAsia"/>
          <w:b/>
          <w:bCs/>
          <w:color w:val="auto"/>
          <w:highlight w:val="none"/>
          <w:lang w:val="en-US" w:eastAsia="zh-CN"/>
        </w:rPr>
        <w:t>6</w:t>
      </w:r>
      <w:r>
        <w:rPr>
          <w:rFonts w:hint="eastAsia"/>
          <w:color w:val="auto"/>
          <w:highlight w:val="none"/>
        </w:rPr>
        <w:t>　场地土和地表水、地下水对建筑材料的腐蚀性；</w:t>
      </w:r>
    </w:p>
    <w:p>
      <w:pPr>
        <w:autoSpaceDE w:val="0"/>
        <w:autoSpaceDN w:val="0"/>
        <w:adjustRightInd w:val="0"/>
        <w:spacing w:line="360" w:lineRule="auto"/>
        <w:ind w:firstLine="422" w:firstLineChars="200"/>
        <w:jc w:val="left"/>
        <w:rPr>
          <w:color w:val="auto"/>
          <w:kern w:val="0"/>
          <w:highlight w:val="none"/>
        </w:rPr>
      </w:pPr>
      <w:r>
        <w:rPr>
          <w:rFonts w:hint="eastAsia"/>
          <w:b/>
          <w:bCs/>
          <w:color w:val="auto"/>
          <w:highlight w:val="none"/>
          <w:lang w:val="en-US" w:eastAsia="zh-CN"/>
        </w:rPr>
        <w:t>7</w:t>
      </w:r>
      <w:r>
        <w:rPr>
          <w:rFonts w:hint="eastAsia"/>
          <w:color w:val="auto"/>
          <w:highlight w:val="none"/>
        </w:rPr>
        <w:t>　</w:t>
      </w:r>
      <w:r>
        <w:rPr>
          <w:color w:val="auto"/>
          <w:highlight w:val="none"/>
        </w:rPr>
        <w:t>采空区、煤层或其它可能产生有毒有害气体的地层的发育情况</w:t>
      </w:r>
      <w:r>
        <w:rPr>
          <w:color w:val="auto"/>
          <w:kern w:val="0"/>
          <w:highlight w:val="none"/>
        </w:rPr>
        <w:t>。</w:t>
      </w:r>
    </w:p>
    <w:p>
      <w:pPr>
        <w:autoSpaceDE w:val="0"/>
        <w:spacing w:line="360" w:lineRule="auto"/>
        <w:jc w:val="left"/>
        <w:rPr>
          <w:color w:val="auto"/>
          <w:kern w:val="0"/>
          <w:highlight w:val="none"/>
        </w:rPr>
      </w:pPr>
      <w:r>
        <w:rPr>
          <w:b/>
          <w:bCs/>
          <w:color w:val="auto"/>
          <w:kern w:val="0"/>
          <w:highlight w:val="none"/>
        </w:rPr>
        <w:t>9.3.2</w:t>
      </w:r>
      <w:r>
        <w:rPr>
          <w:rFonts w:hint="eastAsia"/>
          <w:color w:val="auto"/>
          <w:kern w:val="0"/>
          <w:highlight w:val="none"/>
        </w:rPr>
        <w:t>　</w:t>
      </w:r>
      <w:r>
        <w:rPr>
          <w:color w:val="auto"/>
          <w:kern w:val="0"/>
          <w:highlight w:val="none"/>
        </w:rPr>
        <w:t>初步勘察</w:t>
      </w:r>
      <w:r>
        <w:rPr>
          <w:rFonts w:hint="eastAsia"/>
          <w:color w:val="auto"/>
          <w:kern w:val="0"/>
          <w:highlight w:val="none"/>
        </w:rPr>
        <w:t>勘探点</w:t>
      </w:r>
      <w:r>
        <w:rPr>
          <w:color w:val="auto"/>
          <w:kern w:val="0"/>
          <w:highlight w:val="none"/>
        </w:rPr>
        <w:t>布置应</w:t>
      </w:r>
      <w:r>
        <w:rPr>
          <w:rFonts w:hint="eastAsia"/>
          <w:color w:val="auto"/>
          <w:kern w:val="0"/>
          <w:highlight w:val="none"/>
        </w:rPr>
        <w:t>符合下列规定</w:t>
      </w:r>
      <w:r>
        <w:rPr>
          <w:color w:val="auto"/>
          <w:kern w:val="0"/>
          <w:highlight w:val="none"/>
        </w:rPr>
        <w:t>：</w:t>
      </w:r>
    </w:p>
    <w:p>
      <w:pPr>
        <w:autoSpaceDE w:val="0"/>
        <w:spacing w:line="360" w:lineRule="auto"/>
        <w:ind w:firstLine="422" w:firstLineChars="200"/>
        <w:jc w:val="left"/>
        <w:rPr>
          <w:color w:val="auto"/>
          <w:kern w:val="0"/>
          <w:highlight w:val="none"/>
        </w:rPr>
      </w:pPr>
      <w:r>
        <w:rPr>
          <w:b/>
          <w:bCs/>
          <w:color w:val="auto"/>
          <w:kern w:val="0"/>
          <w:highlight w:val="none"/>
        </w:rPr>
        <w:t>1</w:t>
      </w:r>
      <w:r>
        <w:rPr>
          <w:rFonts w:hint="eastAsia"/>
          <w:b/>
          <w:bCs/>
          <w:color w:val="auto"/>
          <w:kern w:val="0"/>
          <w:highlight w:val="none"/>
        </w:rPr>
        <w:t>　</w:t>
      </w:r>
      <w:r>
        <w:rPr>
          <w:color w:val="auto"/>
          <w:kern w:val="0"/>
          <w:highlight w:val="none"/>
        </w:rPr>
        <w:t>勘探点</w:t>
      </w:r>
      <w:r>
        <w:rPr>
          <w:color w:val="auto"/>
          <w:highlight w:val="none"/>
        </w:rPr>
        <w:t>沿管</w:t>
      </w:r>
      <w:r>
        <w:rPr>
          <w:rFonts w:hint="eastAsia"/>
          <w:color w:val="auto"/>
          <w:highlight w:val="none"/>
        </w:rPr>
        <w:t>道</w:t>
      </w:r>
      <w:r>
        <w:rPr>
          <w:color w:val="auto"/>
          <w:highlight w:val="none"/>
        </w:rPr>
        <w:t>中线投影</w:t>
      </w:r>
      <w:r>
        <w:rPr>
          <w:color w:val="auto"/>
          <w:kern w:val="0"/>
          <w:highlight w:val="none"/>
        </w:rPr>
        <w:t>间距宜根据</w:t>
      </w:r>
      <w:r>
        <w:rPr>
          <w:color w:val="auto"/>
          <w:highlight w:val="none"/>
        </w:rPr>
        <w:t>场地</w:t>
      </w:r>
      <w:r>
        <w:rPr>
          <w:rFonts w:hint="eastAsia"/>
          <w:color w:val="auto"/>
          <w:highlight w:val="none"/>
        </w:rPr>
        <w:t>和</w:t>
      </w:r>
      <w:r>
        <w:rPr>
          <w:color w:val="auto"/>
          <w:highlight w:val="none"/>
        </w:rPr>
        <w:t>岩土条件复杂程度</w:t>
      </w:r>
      <w:r>
        <w:rPr>
          <w:rFonts w:hint="eastAsia"/>
          <w:color w:val="auto"/>
          <w:highlight w:val="none"/>
        </w:rPr>
        <w:t>等级</w:t>
      </w:r>
      <w:r>
        <w:rPr>
          <w:color w:val="auto"/>
          <w:kern w:val="0"/>
          <w:highlight w:val="none"/>
        </w:rPr>
        <w:t>按表9.3.2控制；</w:t>
      </w:r>
    </w:p>
    <w:p>
      <w:pPr>
        <w:autoSpaceDE w:val="0"/>
        <w:autoSpaceDN w:val="0"/>
        <w:adjustRightInd w:val="0"/>
        <w:spacing w:line="360" w:lineRule="auto"/>
        <w:jc w:val="center"/>
        <w:rPr>
          <w:b/>
          <w:bCs/>
          <w:color w:val="auto"/>
          <w:kern w:val="0"/>
          <w:highlight w:val="none"/>
        </w:rPr>
      </w:pPr>
      <w:r>
        <w:rPr>
          <w:b/>
          <w:bCs/>
          <w:color w:val="auto"/>
          <w:kern w:val="0"/>
          <w:highlight w:val="none"/>
        </w:rPr>
        <w:t>表9.3.2 初步勘察勘探点间距（m）</w:t>
      </w:r>
    </w:p>
    <w:tbl>
      <w:tblPr>
        <w:tblStyle w:val="22"/>
        <w:tblW w:w="82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01"/>
        <w:gridCol w:w="42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001" w:type="dxa"/>
            <w:vAlign w:val="center"/>
          </w:tcPr>
          <w:p>
            <w:pPr>
              <w:spacing w:line="0" w:lineRule="atLeast"/>
              <w:jc w:val="center"/>
              <w:rPr>
                <w:color w:val="auto"/>
                <w:kern w:val="0"/>
                <w:sz w:val="20"/>
                <w:szCs w:val="20"/>
                <w:highlight w:val="none"/>
              </w:rPr>
            </w:pPr>
            <w:r>
              <w:rPr>
                <w:color w:val="auto"/>
                <w:sz w:val="20"/>
                <w:szCs w:val="20"/>
                <w:highlight w:val="none"/>
              </w:rPr>
              <w:t>场地</w:t>
            </w:r>
            <w:r>
              <w:rPr>
                <w:rFonts w:hint="eastAsia"/>
                <w:color w:val="auto"/>
                <w:sz w:val="20"/>
                <w:szCs w:val="20"/>
                <w:highlight w:val="none"/>
              </w:rPr>
              <w:t>和岩土条件</w:t>
            </w:r>
            <w:r>
              <w:rPr>
                <w:color w:val="auto"/>
                <w:sz w:val="20"/>
                <w:szCs w:val="20"/>
                <w:highlight w:val="none"/>
              </w:rPr>
              <w:t>复杂程度等级</w:t>
            </w:r>
          </w:p>
        </w:tc>
        <w:tc>
          <w:tcPr>
            <w:tcW w:w="4264" w:type="dxa"/>
            <w:vAlign w:val="center"/>
          </w:tcPr>
          <w:p>
            <w:pPr>
              <w:autoSpaceDE w:val="0"/>
              <w:autoSpaceDN w:val="0"/>
              <w:adjustRightInd w:val="0"/>
              <w:spacing w:before="62" w:beforeLines="20" w:after="62" w:afterLines="20"/>
              <w:jc w:val="center"/>
              <w:rPr>
                <w:color w:val="auto"/>
                <w:kern w:val="0"/>
                <w:sz w:val="20"/>
                <w:szCs w:val="20"/>
                <w:highlight w:val="none"/>
              </w:rPr>
            </w:pPr>
            <w:r>
              <w:rPr>
                <w:rFonts w:hint="eastAsia"/>
                <w:color w:val="auto"/>
                <w:sz w:val="18"/>
                <w:szCs w:val="20"/>
                <w:highlight w:val="none"/>
              </w:rPr>
              <w:t>勘探点间距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01"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一级</w:t>
            </w:r>
          </w:p>
        </w:tc>
        <w:tc>
          <w:tcPr>
            <w:tcW w:w="4264" w:type="dxa"/>
            <w:vAlign w:val="center"/>
          </w:tcPr>
          <w:p>
            <w:pPr>
              <w:autoSpaceDE w:val="0"/>
              <w:autoSpaceDN w:val="0"/>
              <w:adjustRightInd w:val="0"/>
              <w:spacing w:before="62" w:beforeLines="20" w:after="62" w:afterLines="20"/>
              <w:jc w:val="center"/>
              <w:rPr>
                <w:color w:val="auto"/>
                <w:kern w:val="0"/>
                <w:sz w:val="20"/>
                <w:szCs w:val="20"/>
                <w:highlight w:val="none"/>
              </w:rPr>
            </w:pPr>
            <w:r>
              <w:rPr>
                <w:rFonts w:hint="eastAsia"/>
                <w:color w:val="auto"/>
                <w:kern w:val="0"/>
                <w:sz w:val="20"/>
                <w:szCs w:val="20"/>
                <w:highlight w:val="none"/>
              </w:rPr>
              <w:t>6</w:t>
            </w:r>
            <w:r>
              <w:rPr>
                <w:color w:val="auto"/>
                <w:kern w:val="0"/>
                <w:sz w:val="20"/>
                <w:szCs w:val="20"/>
                <w:highlight w:val="none"/>
              </w:rPr>
              <w:t>0~</w:t>
            </w:r>
            <w:r>
              <w:rPr>
                <w:rFonts w:hint="eastAsia"/>
                <w:color w:val="auto"/>
                <w:kern w:val="0"/>
                <w:sz w:val="20"/>
                <w:szCs w:val="20"/>
                <w:highlight w:val="none"/>
              </w:rPr>
              <w:t>10</w:t>
            </w:r>
            <w:r>
              <w:rPr>
                <w:color w:val="auto"/>
                <w:kern w:val="0"/>
                <w:sz w:val="20"/>
                <w:szCs w:val="20"/>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01"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二级</w:t>
            </w:r>
          </w:p>
        </w:tc>
        <w:tc>
          <w:tcPr>
            <w:tcW w:w="4264" w:type="dxa"/>
            <w:vAlign w:val="center"/>
          </w:tcPr>
          <w:p>
            <w:pPr>
              <w:autoSpaceDE w:val="0"/>
              <w:autoSpaceDN w:val="0"/>
              <w:adjustRightInd w:val="0"/>
              <w:spacing w:before="62" w:beforeLines="20" w:after="62" w:afterLines="20"/>
              <w:jc w:val="center"/>
              <w:rPr>
                <w:color w:val="auto"/>
                <w:kern w:val="0"/>
                <w:sz w:val="20"/>
                <w:szCs w:val="20"/>
                <w:highlight w:val="none"/>
              </w:rPr>
            </w:pPr>
            <w:r>
              <w:rPr>
                <w:rFonts w:hint="eastAsia"/>
                <w:color w:val="auto"/>
                <w:kern w:val="0"/>
                <w:sz w:val="20"/>
                <w:szCs w:val="20"/>
                <w:highlight w:val="none"/>
              </w:rPr>
              <w:t>10</w:t>
            </w:r>
            <w:r>
              <w:rPr>
                <w:color w:val="auto"/>
                <w:kern w:val="0"/>
                <w:sz w:val="20"/>
                <w:szCs w:val="20"/>
                <w:highlight w:val="none"/>
              </w:rPr>
              <w:t>0~</w:t>
            </w:r>
            <w:r>
              <w:rPr>
                <w:rFonts w:hint="eastAsia"/>
                <w:color w:val="auto"/>
                <w:kern w:val="0"/>
                <w:sz w:val="20"/>
                <w:szCs w:val="20"/>
                <w:highlight w:val="none"/>
              </w:rPr>
              <w:t>15</w:t>
            </w:r>
            <w:r>
              <w:rPr>
                <w:color w:val="auto"/>
                <w:kern w:val="0"/>
                <w:sz w:val="20"/>
                <w:szCs w:val="20"/>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01"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三级</w:t>
            </w:r>
          </w:p>
        </w:tc>
        <w:tc>
          <w:tcPr>
            <w:tcW w:w="4264" w:type="dxa"/>
            <w:vAlign w:val="center"/>
          </w:tcPr>
          <w:p>
            <w:pPr>
              <w:autoSpaceDE w:val="0"/>
              <w:autoSpaceDN w:val="0"/>
              <w:adjustRightInd w:val="0"/>
              <w:spacing w:before="62" w:beforeLines="20" w:after="62" w:afterLines="20"/>
              <w:jc w:val="center"/>
              <w:rPr>
                <w:color w:val="auto"/>
                <w:kern w:val="0"/>
                <w:sz w:val="20"/>
                <w:szCs w:val="20"/>
                <w:highlight w:val="none"/>
              </w:rPr>
            </w:pPr>
            <w:r>
              <w:rPr>
                <w:rFonts w:hint="eastAsia"/>
                <w:color w:val="auto"/>
                <w:kern w:val="0"/>
                <w:sz w:val="20"/>
                <w:szCs w:val="20"/>
                <w:highlight w:val="none"/>
              </w:rPr>
              <w:t>15</w:t>
            </w:r>
            <w:r>
              <w:rPr>
                <w:color w:val="auto"/>
                <w:kern w:val="0"/>
                <w:sz w:val="20"/>
                <w:szCs w:val="20"/>
                <w:highlight w:val="none"/>
              </w:rPr>
              <w:t>0~</w:t>
            </w:r>
            <w:r>
              <w:rPr>
                <w:rFonts w:hint="eastAsia"/>
                <w:color w:val="auto"/>
                <w:kern w:val="0"/>
                <w:sz w:val="20"/>
                <w:szCs w:val="20"/>
                <w:highlight w:val="none"/>
              </w:rPr>
              <w:t>3</w:t>
            </w:r>
            <w:r>
              <w:rPr>
                <w:color w:val="auto"/>
                <w:kern w:val="0"/>
                <w:sz w:val="20"/>
                <w:szCs w:val="20"/>
                <w:highlight w:val="none"/>
              </w:rPr>
              <w:t>00</w:t>
            </w:r>
          </w:p>
        </w:tc>
      </w:tr>
    </w:tbl>
    <w:p>
      <w:pPr>
        <w:autoSpaceDE w:val="0"/>
        <w:spacing w:line="360" w:lineRule="auto"/>
        <w:ind w:firstLine="422" w:firstLineChars="200"/>
        <w:jc w:val="left"/>
        <w:rPr>
          <w:color w:val="auto"/>
          <w:kern w:val="0"/>
          <w:szCs w:val="21"/>
          <w:highlight w:val="none"/>
        </w:rPr>
      </w:pPr>
      <w:r>
        <w:rPr>
          <w:b/>
          <w:bCs/>
          <w:color w:val="auto"/>
          <w:kern w:val="0"/>
          <w:highlight w:val="none"/>
        </w:rPr>
        <w:t>2</w:t>
      </w:r>
      <w:r>
        <w:rPr>
          <w:rFonts w:hint="eastAsia"/>
          <w:color w:val="auto"/>
          <w:kern w:val="0"/>
          <w:highlight w:val="none"/>
        </w:rPr>
        <w:t>　管道转折点、管道工法变化位置宜布置勘探点。</w:t>
      </w:r>
    </w:p>
    <w:p>
      <w:pPr>
        <w:autoSpaceDE w:val="0"/>
        <w:spacing w:line="360" w:lineRule="auto"/>
        <w:jc w:val="left"/>
        <w:rPr>
          <w:color w:val="auto"/>
          <w:kern w:val="0"/>
          <w:highlight w:val="none"/>
        </w:rPr>
      </w:pPr>
      <w:r>
        <w:rPr>
          <w:rFonts w:hint="eastAsia"/>
          <w:b/>
          <w:bCs/>
          <w:color w:val="auto"/>
          <w:kern w:val="0"/>
          <w:highlight w:val="none"/>
        </w:rPr>
        <w:t>9.3.3　</w:t>
      </w:r>
      <w:r>
        <w:rPr>
          <w:rFonts w:hint="eastAsia"/>
          <w:color w:val="auto"/>
          <w:kern w:val="0"/>
          <w:highlight w:val="none"/>
        </w:rPr>
        <w:t>初步勘察勘探孔深度不应小于管底设计高程以下10m；遇软土层、液化土层应适当加深；遇溶洞、土洞宜钻穿，进入稳定地层不小于3m。</w:t>
      </w:r>
    </w:p>
    <w:p>
      <w:pPr>
        <w:spacing w:line="360" w:lineRule="auto"/>
        <w:rPr>
          <w:color w:val="auto"/>
          <w:highlight w:val="none"/>
        </w:rPr>
      </w:pPr>
      <w:r>
        <w:rPr>
          <w:rFonts w:hint="eastAsia"/>
          <w:b/>
          <w:bCs/>
          <w:color w:val="auto"/>
          <w:highlight w:val="none"/>
        </w:rPr>
        <w:t>9</w:t>
      </w:r>
      <w:r>
        <w:rPr>
          <w:b/>
          <w:bCs/>
          <w:color w:val="auto"/>
          <w:highlight w:val="none"/>
        </w:rPr>
        <w:t>.3.</w:t>
      </w:r>
      <w:r>
        <w:rPr>
          <w:rFonts w:hint="eastAsia"/>
          <w:b/>
          <w:bCs/>
          <w:color w:val="auto"/>
          <w:highlight w:val="none"/>
        </w:rPr>
        <w:t>4</w:t>
      </w:r>
      <w:r>
        <w:rPr>
          <w:rFonts w:hint="eastAsia"/>
          <w:color w:val="auto"/>
          <w:highlight w:val="none"/>
        </w:rPr>
        <w:t>　初步勘察应分区段评价</w:t>
      </w:r>
      <w:r>
        <w:rPr>
          <w:color w:val="auto"/>
          <w:kern w:val="0"/>
          <w:highlight w:val="none"/>
        </w:rPr>
        <w:t>场地的稳定性和</w:t>
      </w:r>
      <w:r>
        <w:rPr>
          <w:rFonts w:hint="eastAsia"/>
          <w:color w:val="auto"/>
          <w:kern w:val="0"/>
          <w:highlight w:val="none"/>
        </w:rPr>
        <w:t>工程建设的</w:t>
      </w:r>
      <w:r>
        <w:rPr>
          <w:color w:val="auto"/>
          <w:kern w:val="0"/>
          <w:highlight w:val="none"/>
        </w:rPr>
        <w:t>适宜性</w:t>
      </w:r>
      <w:r>
        <w:rPr>
          <w:rFonts w:hint="eastAsia"/>
          <w:color w:val="auto"/>
          <w:highlight w:val="none"/>
        </w:rPr>
        <w:t>，并初步</w:t>
      </w:r>
      <w:r>
        <w:rPr>
          <w:color w:val="auto"/>
          <w:highlight w:val="none"/>
        </w:rPr>
        <w:t>分析评价下列内容：</w:t>
      </w:r>
    </w:p>
    <w:p>
      <w:pPr>
        <w:spacing w:line="360" w:lineRule="auto"/>
        <w:ind w:firstLine="422" w:firstLineChars="200"/>
        <w:rPr>
          <w:color w:val="auto"/>
          <w:highlight w:val="none"/>
        </w:rPr>
      </w:pPr>
      <w:r>
        <w:rPr>
          <w:b/>
          <w:bCs/>
          <w:color w:val="auto"/>
          <w:highlight w:val="none"/>
        </w:rPr>
        <w:t>1</w:t>
      </w:r>
      <w:r>
        <w:rPr>
          <w:rFonts w:hint="eastAsia"/>
          <w:color w:val="auto"/>
          <w:highlight w:val="none"/>
        </w:rPr>
        <w:t>　</w:t>
      </w:r>
      <w:r>
        <w:rPr>
          <w:rFonts w:hint="eastAsia"/>
          <w:color w:val="auto"/>
          <w:szCs w:val="21"/>
          <w:highlight w:val="none"/>
        </w:rPr>
        <w:t>评价</w:t>
      </w:r>
      <w:r>
        <w:rPr>
          <w:color w:val="auto"/>
          <w:highlight w:val="none"/>
        </w:rPr>
        <w:t>地基</w:t>
      </w:r>
      <w:r>
        <w:rPr>
          <w:rFonts w:hint="eastAsia"/>
          <w:color w:val="auto"/>
          <w:highlight w:val="none"/>
        </w:rPr>
        <w:t>的稳定性</w:t>
      </w:r>
      <w:r>
        <w:rPr>
          <w:color w:val="auto"/>
          <w:highlight w:val="none"/>
        </w:rPr>
        <w:t>和均匀性；</w:t>
      </w:r>
    </w:p>
    <w:p>
      <w:pPr>
        <w:spacing w:line="360" w:lineRule="auto"/>
        <w:ind w:firstLine="422" w:firstLineChars="200"/>
        <w:rPr>
          <w:color w:val="auto"/>
          <w:highlight w:val="none"/>
        </w:rPr>
      </w:pPr>
      <w:r>
        <w:rPr>
          <w:b/>
          <w:bCs/>
          <w:color w:val="auto"/>
          <w:highlight w:val="none"/>
        </w:rPr>
        <w:t>2</w:t>
      </w:r>
      <w:r>
        <w:rPr>
          <w:rFonts w:hint="eastAsia"/>
          <w:b/>
          <w:bCs/>
          <w:color w:val="auto"/>
          <w:highlight w:val="none"/>
        </w:rPr>
        <w:t>　</w:t>
      </w:r>
      <w:r>
        <w:rPr>
          <w:rFonts w:hint="eastAsia"/>
          <w:color w:val="auto"/>
          <w:szCs w:val="21"/>
          <w:highlight w:val="none"/>
        </w:rPr>
        <w:t>评价</w:t>
      </w:r>
      <w:r>
        <w:rPr>
          <w:rFonts w:hint="eastAsia"/>
          <w:color w:val="auto"/>
          <w:highlight w:val="none"/>
        </w:rPr>
        <w:t>场地与地基的地震效应；</w:t>
      </w:r>
    </w:p>
    <w:p>
      <w:pPr>
        <w:spacing w:line="360" w:lineRule="auto"/>
        <w:ind w:firstLine="422" w:firstLineChars="200"/>
        <w:rPr>
          <w:color w:val="auto"/>
          <w:highlight w:val="none"/>
        </w:rPr>
      </w:pPr>
      <w:r>
        <w:rPr>
          <w:rFonts w:hint="eastAsia"/>
          <w:b/>
          <w:bCs/>
          <w:color w:val="auto"/>
          <w:highlight w:val="none"/>
        </w:rPr>
        <w:t>3</w:t>
      </w:r>
      <w:r>
        <w:rPr>
          <w:rFonts w:hint="eastAsia"/>
          <w:color w:val="auto"/>
          <w:highlight w:val="none"/>
        </w:rPr>
        <w:t>　分析沿线不良地质作用及特殊性岩土对管道的影响，提出防治措施的初步建议；</w:t>
      </w:r>
    </w:p>
    <w:p>
      <w:pPr>
        <w:spacing w:line="360" w:lineRule="auto"/>
        <w:ind w:firstLine="422" w:firstLineChars="200"/>
        <w:rPr>
          <w:color w:val="auto"/>
          <w:highlight w:val="none"/>
        </w:rPr>
      </w:pPr>
      <w:r>
        <w:rPr>
          <w:rFonts w:hint="eastAsia"/>
          <w:b/>
          <w:bCs/>
          <w:color w:val="auto"/>
          <w:highlight w:val="none"/>
        </w:rPr>
        <w:t>4</w:t>
      </w:r>
      <w:r>
        <w:rPr>
          <w:rFonts w:hint="eastAsia"/>
          <w:color w:val="auto"/>
          <w:highlight w:val="none"/>
        </w:rPr>
        <w:t>　</w:t>
      </w:r>
      <w:r>
        <w:rPr>
          <w:rFonts w:hint="eastAsia"/>
          <w:color w:val="auto"/>
          <w:szCs w:val="21"/>
          <w:highlight w:val="none"/>
        </w:rPr>
        <w:t>评价</w:t>
      </w:r>
      <w:r>
        <w:rPr>
          <w:rFonts w:hint="eastAsia"/>
          <w:color w:val="auto"/>
          <w:highlight w:val="none"/>
        </w:rPr>
        <w:t>土和地下水对管材的腐蚀性；</w:t>
      </w:r>
    </w:p>
    <w:p>
      <w:pPr>
        <w:spacing w:line="360" w:lineRule="auto"/>
        <w:ind w:firstLine="422" w:firstLineChars="200"/>
        <w:rPr>
          <w:color w:val="auto"/>
          <w:highlight w:val="none"/>
        </w:rPr>
      </w:pPr>
      <w:r>
        <w:rPr>
          <w:rFonts w:hint="eastAsia"/>
          <w:b/>
          <w:bCs/>
          <w:color w:val="auto"/>
          <w:highlight w:val="none"/>
        </w:rPr>
        <w:t>5</w:t>
      </w:r>
      <w:r>
        <w:rPr>
          <w:rFonts w:hint="eastAsia"/>
          <w:color w:val="auto"/>
          <w:highlight w:val="none"/>
        </w:rPr>
        <w:t>　</w:t>
      </w:r>
      <w:r>
        <w:rPr>
          <w:rFonts w:hint="eastAsia"/>
          <w:color w:val="auto"/>
          <w:szCs w:val="21"/>
          <w:highlight w:val="none"/>
        </w:rPr>
        <w:t>评价</w:t>
      </w:r>
      <w:r>
        <w:rPr>
          <w:rFonts w:hint="eastAsia"/>
          <w:color w:val="auto"/>
          <w:highlight w:val="none"/>
        </w:rPr>
        <w:t>管道</w:t>
      </w:r>
      <w:r>
        <w:rPr>
          <w:rFonts w:hint="eastAsia"/>
          <w:color w:val="auto"/>
          <w:szCs w:val="21"/>
          <w:highlight w:val="none"/>
        </w:rPr>
        <w:t>敷设施工</w:t>
      </w:r>
      <w:r>
        <w:rPr>
          <w:color w:val="auto"/>
          <w:highlight w:val="none"/>
        </w:rPr>
        <w:t>可能遇到的</w:t>
      </w:r>
      <w:r>
        <w:rPr>
          <w:rFonts w:hint="eastAsia"/>
          <w:color w:val="auto"/>
          <w:highlight w:val="none"/>
        </w:rPr>
        <w:t>地质风险，提出处理和控制方案建议。</w:t>
      </w:r>
    </w:p>
    <w:p>
      <w:pPr>
        <w:pStyle w:val="3"/>
        <w:rPr>
          <w:rFonts w:ascii="Times New Roman" w:hAnsi="Times New Roman" w:eastAsia="宋体"/>
          <w:color w:val="auto"/>
          <w:highlight w:val="none"/>
        </w:rPr>
      </w:pPr>
      <w:bookmarkStart w:id="157" w:name="_Toc24661"/>
      <w:bookmarkStart w:id="158" w:name="_Toc30049"/>
      <w:bookmarkStart w:id="159" w:name="_Toc31613"/>
      <w:bookmarkStart w:id="160" w:name="_9.4　详细勘察"/>
      <w:r>
        <w:rPr>
          <w:rFonts w:ascii="Times New Roman" w:hAnsi="Times New Roman" w:eastAsia="宋体"/>
          <w:color w:val="auto"/>
          <w:highlight w:val="none"/>
        </w:rPr>
        <w:t>9.4</w:t>
      </w:r>
      <w:r>
        <w:rPr>
          <w:rFonts w:hint="eastAsia" w:ascii="Times New Roman" w:hAnsi="Times New Roman" w:eastAsia="宋体"/>
          <w:color w:val="auto"/>
          <w:highlight w:val="none"/>
        </w:rPr>
        <w:t>　</w:t>
      </w:r>
      <w:r>
        <w:rPr>
          <w:rFonts w:ascii="Times New Roman" w:hAnsi="Times New Roman" w:eastAsia="宋体"/>
          <w:color w:val="auto"/>
          <w:highlight w:val="none"/>
        </w:rPr>
        <w:t>详细勘察</w:t>
      </w:r>
      <w:bookmarkEnd w:id="157"/>
      <w:bookmarkEnd w:id="158"/>
      <w:bookmarkEnd w:id="159"/>
    </w:p>
    <w:bookmarkEnd w:id="160"/>
    <w:p>
      <w:pPr>
        <w:autoSpaceDE w:val="0"/>
        <w:spacing w:line="360" w:lineRule="auto"/>
        <w:jc w:val="left"/>
        <w:rPr>
          <w:color w:val="auto"/>
          <w:highlight w:val="none"/>
        </w:rPr>
      </w:pPr>
      <w:r>
        <w:rPr>
          <w:b/>
          <w:bCs/>
          <w:color w:val="auto"/>
          <w:highlight w:val="none"/>
        </w:rPr>
        <w:t>9.</w:t>
      </w:r>
      <w:r>
        <w:rPr>
          <w:rFonts w:hint="eastAsia"/>
          <w:b/>
          <w:bCs/>
          <w:color w:val="auto"/>
          <w:highlight w:val="none"/>
        </w:rPr>
        <w:t>4.</w:t>
      </w:r>
      <w:r>
        <w:rPr>
          <w:b/>
          <w:bCs/>
          <w:color w:val="auto"/>
          <w:highlight w:val="none"/>
        </w:rPr>
        <w:t>1</w:t>
      </w:r>
      <w:r>
        <w:rPr>
          <w:rFonts w:hint="eastAsia"/>
          <w:color w:val="auto"/>
          <w:highlight w:val="none"/>
        </w:rPr>
        <w:t>　详细</w:t>
      </w:r>
      <w:r>
        <w:rPr>
          <w:color w:val="auto"/>
          <w:highlight w:val="none"/>
        </w:rPr>
        <w:t>勘察应</w:t>
      </w:r>
      <w:r>
        <w:rPr>
          <w:rFonts w:hint="eastAsia"/>
          <w:color w:val="auto"/>
          <w:highlight w:val="none"/>
        </w:rPr>
        <w:t>重点查明</w:t>
      </w:r>
      <w:r>
        <w:rPr>
          <w:color w:val="auto"/>
          <w:highlight w:val="none"/>
        </w:rPr>
        <w:t>下列</w:t>
      </w:r>
      <w:r>
        <w:rPr>
          <w:rFonts w:hint="eastAsia"/>
          <w:color w:val="auto"/>
          <w:highlight w:val="none"/>
        </w:rPr>
        <w:t>内容</w:t>
      </w:r>
      <w:r>
        <w:rPr>
          <w:color w:val="auto"/>
          <w:highlight w:val="none"/>
        </w:rPr>
        <w:t>：</w:t>
      </w:r>
    </w:p>
    <w:p>
      <w:pPr>
        <w:autoSpaceDE w:val="0"/>
        <w:spacing w:line="360" w:lineRule="auto"/>
        <w:ind w:firstLine="422" w:firstLineChars="200"/>
        <w:jc w:val="left"/>
        <w:rPr>
          <w:color w:val="auto"/>
          <w:szCs w:val="21"/>
          <w:highlight w:val="none"/>
        </w:rPr>
      </w:pPr>
      <w:r>
        <w:rPr>
          <w:b/>
          <w:bCs/>
          <w:color w:val="auto"/>
          <w:szCs w:val="21"/>
          <w:highlight w:val="none"/>
        </w:rPr>
        <w:t>1</w:t>
      </w:r>
      <w:r>
        <w:rPr>
          <w:rFonts w:hint="eastAsia"/>
          <w:color w:val="auto"/>
          <w:szCs w:val="21"/>
          <w:highlight w:val="none"/>
        </w:rPr>
        <w:t>　地基持力</w:t>
      </w:r>
      <w:r>
        <w:rPr>
          <w:color w:val="auto"/>
          <w:szCs w:val="21"/>
          <w:highlight w:val="none"/>
        </w:rPr>
        <w:t>层的空间分布及岩土特性；</w:t>
      </w:r>
    </w:p>
    <w:p>
      <w:pPr>
        <w:autoSpaceDE w:val="0"/>
        <w:spacing w:line="360" w:lineRule="auto"/>
        <w:ind w:firstLine="422" w:firstLineChars="200"/>
        <w:jc w:val="left"/>
        <w:rPr>
          <w:color w:val="auto"/>
          <w:szCs w:val="21"/>
          <w:highlight w:val="none"/>
        </w:rPr>
      </w:pPr>
      <w:r>
        <w:rPr>
          <w:rFonts w:hint="eastAsia"/>
          <w:b/>
          <w:bCs/>
          <w:color w:val="auto"/>
          <w:szCs w:val="21"/>
          <w:highlight w:val="none"/>
        </w:rPr>
        <w:t>2</w:t>
      </w:r>
      <w:r>
        <w:rPr>
          <w:rFonts w:hint="eastAsia"/>
          <w:color w:val="auto"/>
          <w:szCs w:val="21"/>
          <w:highlight w:val="none"/>
        </w:rPr>
        <w:t>　</w:t>
      </w:r>
      <w:r>
        <w:rPr>
          <w:color w:val="auto"/>
          <w:szCs w:val="21"/>
          <w:highlight w:val="none"/>
        </w:rPr>
        <w:t>场地及周边对工程有影响的不良地质作用</w:t>
      </w:r>
      <w:r>
        <w:rPr>
          <w:rFonts w:hint="eastAsia"/>
          <w:color w:val="auto"/>
          <w:szCs w:val="21"/>
          <w:highlight w:val="none"/>
        </w:rPr>
        <w:t>的</w:t>
      </w:r>
      <w:r>
        <w:rPr>
          <w:color w:val="auto"/>
          <w:szCs w:val="21"/>
          <w:highlight w:val="none"/>
        </w:rPr>
        <w:t>分布、规模、类型</w:t>
      </w:r>
      <w:r>
        <w:rPr>
          <w:rFonts w:hint="eastAsia"/>
          <w:color w:val="auto"/>
          <w:szCs w:val="21"/>
          <w:highlight w:val="none"/>
        </w:rPr>
        <w:t>和</w:t>
      </w:r>
      <w:r>
        <w:rPr>
          <w:color w:val="auto"/>
          <w:szCs w:val="21"/>
          <w:highlight w:val="none"/>
        </w:rPr>
        <w:t>成因；</w:t>
      </w:r>
    </w:p>
    <w:p>
      <w:pPr>
        <w:autoSpaceDE w:val="0"/>
        <w:spacing w:line="360" w:lineRule="auto"/>
        <w:ind w:firstLine="422" w:firstLineChars="200"/>
        <w:jc w:val="left"/>
        <w:rPr>
          <w:color w:val="auto"/>
          <w:szCs w:val="21"/>
          <w:highlight w:val="none"/>
        </w:rPr>
      </w:pPr>
      <w:r>
        <w:rPr>
          <w:rFonts w:hint="eastAsia"/>
          <w:b/>
          <w:bCs/>
          <w:color w:val="auto"/>
          <w:szCs w:val="21"/>
          <w:highlight w:val="none"/>
        </w:rPr>
        <w:t>3</w:t>
      </w:r>
      <w:r>
        <w:rPr>
          <w:rFonts w:hint="eastAsia"/>
          <w:color w:val="auto"/>
          <w:szCs w:val="21"/>
          <w:highlight w:val="none"/>
        </w:rPr>
        <w:t>　</w:t>
      </w:r>
      <w:r>
        <w:rPr>
          <w:color w:val="auto"/>
          <w:szCs w:val="21"/>
          <w:highlight w:val="none"/>
        </w:rPr>
        <w:t>特殊性岩土的分布和工程地质特性；</w:t>
      </w:r>
    </w:p>
    <w:p>
      <w:pPr>
        <w:autoSpaceDE w:val="0"/>
        <w:spacing w:line="360" w:lineRule="auto"/>
        <w:ind w:firstLine="422" w:firstLineChars="200"/>
        <w:jc w:val="left"/>
        <w:rPr>
          <w:color w:val="auto"/>
          <w:szCs w:val="21"/>
          <w:highlight w:val="none"/>
        </w:rPr>
      </w:pPr>
      <w:r>
        <w:rPr>
          <w:rFonts w:hint="eastAsia"/>
          <w:b/>
          <w:bCs/>
          <w:color w:val="auto"/>
          <w:szCs w:val="21"/>
          <w:highlight w:val="none"/>
        </w:rPr>
        <w:t>4</w:t>
      </w:r>
      <w:r>
        <w:rPr>
          <w:rFonts w:hint="eastAsia"/>
          <w:color w:val="auto"/>
          <w:szCs w:val="21"/>
          <w:highlight w:val="none"/>
        </w:rPr>
        <w:t>　</w:t>
      </w:r>
      <w:r>
        <w:rPr>
          <w:color w:val="auto"/>
          <w:szCs w:val="21"/>
          <w:highlight w:val="none"/>
        </w:rPr>
        <w:t>场地土和地下水、地表水对建筑材料的腐蚀性；</w:t>
      </w:r>
    </w:p>
    <w:p>
      <w:pPr>
        <w:spacing w:line="360" w:lineRule="auto"/>
        <w:ind w:firstLine="422" w:firstLineChars="200"/>
        <w:rPr>
          <w:color w:val="auto"/>
          <w:szCs w:val="21"/>
          <w:highlight w:val="none"/>
        </w:rPr>
      </w:pPr>
      <w:r>
        <w:rPr>
          <w:rFonts w:hint="eastAsia"/>
          <w:b/>
          <w:bCs/>
          <w:color w:val="auto"/>
          <w:szCs w:val="21"/>
          <w:highlight w:val="none"/>
        </w:rPr>
        <w:t>5　</w:t>
      </w:r>
      <w:r>
        <w:rPr>
          <w:rFonts w:hint="eastAsia"/>
          <w:color w:val="auto"/>
          <w:highlight w:val="none"/>
        </w:rPr>
        <w:t>明挖管道基槽及</w:t>
      </w:r>
      <w:r>
        <w:rPr>
          <w:rFonts w:hint="eastAsia"/>
          <w:color w:val="auto"/>
          <w:szCs w:val="21"/>
          <w:highlight w:val="none"/>
        </w:rPr>
        <w:t>非开挖法敷设</w:t>
      </w:r>
      <w:r>
        <w:rPr>
          <w:color w:val="auto"/>
          <w:szCs w:val="21"/>
          <w:highlight w:val="none"/>
        </w:rPr>
        <w:t>管道</w:t>
      </w:r>
      <w:r>
        <w:rPr>
          <w:rFonts w:hint="eastAsia"/>
          <w:color w:val="auto"/>
          <w:szCs w:val="21"/>
          <w:highlight w:val="none"/>
        </w:rPr>
        <w:t>的</w:t>
      </w:r>
      <w:r>
        <w:rPr>
          <w:color w:val="auto"/>
          <w:szCs w:val="21"/>
          <w:highlight w:val="none"/>
        </w:rPr>
        <w:t>工作井、接收井基坑范围岩土层的渗透性</w:t>
      </w:r>
      <w:r>
        <w:rPr>
          <w:rFonts w:hint="eastAsia"/>
          <w:color w:val="auto"/>
          <w:szCs w:val="21"/>
          <w:highlight w:val="none"/>
        </w:rPr>
        <w:t>，</w:t>
      </w:r>
      <w:r>
        <w:rPr>
          <w:color w:val="auto"/>
          <w:szCs w:val="21"/>
          <w:highlight w:val="none"/>
        </w:rPr>
        <w:t>地下水位的变化范围；</w:t>
      </w:r>
      <w:r>
        <w:rPr>
          <w:color w:val="auto"/>
          <w:highlight w:val="none"/>
        </w:rPr>
        <w:t>水文地质条件复杂时，应进行专门</w:t>
      </w:r>
      <w:r>
        <w:rPr>
          <w:rFonts w:hint="eastAsia"/>
          <w:color w:val="auto"/>
          <w:highlight w:val="none"/>
        </w:rPr>
        <w:t>的</w:t>
      </w:r>
      <w:r>
        <w:rPr>
          <w:color w:val="auto"/>
          <w:highlight w:val="none"/>
        </w:rPr>
        <w:t>水文地质</w:t>
      </w:r>
      <w:r>
        <w:rPr>
          <w:rFonts w:hint="eastAsia"/>
          <w:color w:val="auto"/>
          <w:highlight w:val="none"/>
        </w:rPr>
        <w:t>勘察</w:t>
      </w:r>
      <w:r>
        <w:rPr>
          <w:rFonts w:hint="eastAsia"/>
          <w:color w:val="auto"/>
          <w:szCs w:val="21"/>
          <w:highlight w:val="none"/>
        </w:rPr>
        <w:t>；</w:t>
      </w:r>
    </w:p>
    <w:p>
      <w:pPr>
        <w:autoSpaceDE w:val="0"/>
        <w:spacing w:line="360" w:lineRule="auto"/>
        <w:ind w:firstLine="422" w:firstLineChars="200"/>
        <w:jc w:val="left"/>
        <w:rPr>
          <w:color w:val="auto"/>
          <w:highlight w:val="none"/>
        </w:rPr>
      </w:pPr>
      <w:r>
        <w:rPr>
          <w:rFonts w:hint="eastAsia"/>
          <w:b/>
          <w:bCs/>
          <w:color w:val="auto"/>
          <w:szCs w:val="21"/>
          <w:highlight w:val="none"/>
        </w:rPr>
        <w:t>6</w:t>
      </w:r>
      <w:r>
        <w:rPr>
          <w:rFonts w:hint="eastAsia"/>
          <w:color w:val="auto"/>
          <w:szCs w:val="21"/>
          <w:highlight w:val="none"/>
        </w:rPr>
        <w:t>　非开挖法敷设的</w:t>
      </w:r>
      <w:r>
        <w:rPr>
          <w:color w:val="auto"/>
          <w:szCs w:val="21"/>
          <w:highlight w:val="none"/>
        </w:rPr>
        <w:t>管道</w:t>
      </w:r>
      <w:r>
        <w:rPr>
          <w:rFonts w:hint="eastAsia"/>
          <w:color w:val="auto"/>
          <w:szCs w:val="21"/>
          <w:highlight w:val="none"/>
        </w:rPr>
        <w:t>段</w:t>
      </w:r>
      <w:r>
        <w:rPr>
          <w:color w:val="auto"/>
          <w:szCs w:val="21"/>
          <w:highlight w:val="none"/>
        </w:rPr>
        <w:t>砂层、</w:t>
      </w:r>
      <w:r>
        <w:rPr>
          <w:rFonts w:hint="eastAsia"/>
          <w:color w:val="auto"/>
          <w:szCs w:val="21"/>
          <w:highlight w:val="none"/>
        </w:rPr>
        <w:t>溶</w:t>
      </w:r>
      <w:r>
        <w:rPr>
          <w:color w:val="auto"/>
          <w:szCs w:val="21"/>
          <w:highlight w:val="none"/>
        </w:rPr>
        <w:t>洞、</w:t>
      </w:r>
      <w:r>
        <w:rPr>
          <w:rFonts w:hint="eastAsia"/>
          <w:color w:val="auto"/>
          <w:szCs w:val="21"/>
          <w:highlight w:val="none"/>
        </w:rPr>
        <w:t>土洞、脱空区、</w:t>
      </w:r>
      <w:r>
        <w:rPr>
          <w:color w:val="auto"/>
          <w:szCs w:val="21"/>
          <w:highlight w:val="none"/>
        </w:rPr>
        <w:t>硬质阻碍物的</w:t>
      </w:r>
      <w:r>
        <w:rPr>
          <w:rFonts w:hint="eastAsia"/>
          <w:color w:val="auto"/>
          <w:szCs w:val="21"/>
          <w:highlight w:val="none"/>
        </w:rPr>
        <w:t>空间分布。</w:t>
      </w:r>
      <w:r>
        <w:rPr>
          <w:color w:val="auto"/>
          <w:highlight w:val="none"/>
        </w:rPr>
        <w:t xml:space="preserve"> </w:t>
      </w:r>
    </w:p>
    <w:p>
      <w:pPr>
        <w:autoSpaceDE w:val="0"/>
        <w:spacing w:line="360" w:lineRule="auto"/>
        <w:jc w:val="left"/>
        <w:rPr>
          <w:color w:val="auto"/>
          <w:kern w:val="0"/>
          <w:highlight w:val="none"/>
        </w:rPr>
      </w:pPr>
      <w:r>
        <w:rPr>
          <w:b/>
          <w:bCs/>
          <w:color w:val="auto"/>
          <w:kern w:val="0"/>
          <w:highlight w:val="none"/>
        </w:rPr>
        <w:t>9.4.2</w:t>
      </w:r>
      <w:r>
        <w:rPr>
          <w:rFonts w:hint="eastAsia"/>
          <w:color w:val="auto"/>
          <w:kern w:val="0"/>
          <w:highlight w:val="none"/>
        </w:rPr>
        <w:t>　</w:t>
      </w:r>
      <w:r>
        <w:rPr>
          <w:color w:val="auto"/>
          <w:kern w:val="0"/>
          <w:highlight w:val="none"/>
        </w:rPr>
        <w:t>详细勘察勘探点布置应</w:t>
      </w:r>
      <w:r>
        <w:rPr>
          <w:rFonts w:hint="eastAsia"/>
          <w:color w:val="auto"/>
          <w:kern w:val="0"/>
          <w:highlight w:val="none"/>
        </w:rPr>
        <w:t>符合下列规定</w:t>
      </w:r>
      <w:r>
        <w:rPr>
          <w:color w:val="auto"/>
          <w:kern w:val="0"/>
          <w:highlight w:val="none"/>
        </w:rPr>
        <w:t>：</w:t>
      </w:r>
    </w:p>
    <w:p>
      <w:pPr>
        <w:spacing w:line="360" w:lineRule="auto"/>
        <w:ind w:firstLine="422" w:firstLineChars="200"/>
        <w:rPr>
          <w:rFonts w:hint="eastAsia" w:eastAsia="宋体"/>
          <w:color w:val="auto"/>
          <w:kern w:val="0"/>
          <w:highlight w:val="none"/>
          <w:lang w:eastAsia="zh-CN"/>
        </w:rPr>
      </w:pPr>
      <w:r>
        <w:rPr>
          <w:b/>
          <w:bCs/>
          <w:color w:val="auto"/>
          <w:kern w:val="0"/>
          <w:highlight w:val="none"/>
        </w:rPr>
        <w:t>1</w:t>
      </w:r>
      <w:r>
        <w:rPr>
          <w:rFonts w:hint="eastAsia"/>
          <w:b/>
          <w:bCs/>
          <w:color w:val="auto"/>
          <w:kern w:val="0"/>
          <w:highlight w:val="none"/>
        </w:rPr>
        <w:t>　</w:t>
      </w:r>
      <w:r>
        <w:rPr>
          <w:color w:val="auto"/>
          <w:kern w:val="0"/>
          <w:highlight w:val="none"/>
        </w:rPr>
        <w:t>勘探点</w:t>
      </w:r>
      <w:r>
        <w:rPr>
          <w:color w:val="auto"/>
          <w:highlight w:val="none"/>
        </w:rPr>
        <w:t>沿管</w:t>
      </w:r>
      <w:r>
        <w:rPr>
          <w:rFonts w:hint="eastAsia"/>
          <w:color w:val="auto"/>
          <w:highlight w:val="none"/>
        </w:rPr>
        <w:t>道</w:t>
      </w:r>
      <w:r>
        <w:rPr>
          <w:color w:val="auto"/>
          <w:highlight w:val="none"/>
        </w:rPr>
        <w:t>中线投影</w:t>
      </w:r>
      <w:r>
        <w:rPr>
          <w:color w:val="auto"/>
          <w:kern w:val="0"/>
          <w:highlight w:val="none"/>
        </w:rPr>
        <w:t>间距宜根据</w:t>
      </w:r>
      <w:r>
        <w:rPr>
          <w:rFonts w:hint="eastAsia"/>
          <w:color w:val="auto"/>
          <w:kern w:val="0"/>
          <w:highlight w:val="none"/>
        </w:rPr>
        <w:t>工程</w:t>
      </w:r>
      <w:r>
        <w:rPr>
          <w:color w:val="auto"/>
          <w:kern w:val="0"/>
          <w:highlight w:val="none"/>
        </w:rPr>
        <w:t>重要性</w:t>
      </w:r>
      <w:r>
        <w:rPr>
          <w:rFonts w:hint="eastAsia"/>
          <w:color w:val="auto"/>
          <w:kern w:val="0"/>
          <w:highlight w:val="none"/>
        </w:rPr>
        <w:t>等级、</w:t>
      </w:r>
      <w:r>
        <w:rPr>
          <w:color w:val="auto"/>
          <w:highlight w:val="none"/>
        </w:rPr>
        <w:t>场地</w:t>
      </w:r>
      <w:r>
        <w:rPr>
          <w:rFonts w:hint="eastAsia"/>
          <w:color w:val="auto"/>
          <w:highlight w:val="none"/>
        </w:rPr>
        <w:t>和</w:t>
      </w:r>
      <w:r>
        <w:rPr>
          <w:color w:val="auto"/>
          <w:highlight w:val="none"/>
        </w:rPr>
        <w:t>岩土条件复杂程度</w:t>
      </w:r>
      <w:r>
        <w:rPr>
          <w:rFonts w:hint="eastAsia"/>
          <w:color w:val="auto"/>
          <w:highlight w:val="none"/>
        </w:rPr>
        <w:t>等级</w:t>
      </w:r>
      <w:r>
        <w:rPr>
          <w:color w:val="auto"/>
          <w:kern w:val="0"/>
          <w:highlight w:val="none"/>
        </w:rPr>
        <w:t>按表9.4.2控制</w:t>
      </w:r>
      <w:r>
        <w:rPr>
          <w:rFonts w:hint="eastAsia"/>
          <w:color w:val="auto"/>
          <w:kern w:val="0"/>
          <w:highlight w:val="none"/>
          <w:lang w:eastAsia="zh-CN"/>
        </w:rPr>
        <w:t>，</w:t>
      </w:r>
      <w:r>
        <w:rPr>
          <w:rFonts w:hint="eastAsia"/>
          <w:color w:val="auto"/>
          <w:kern w:val="0"/>
          <w:highlight w:val="none"/>
        </w:rPr>
        <w:t>非开挖法敷设管道宜优先在井位处布置勘探点</w:t>
      </w:r>
      <w:r>
        <w:rPr>
          <w:rFonts w:hint="eastAsia"/>
          <w:color w:val="auto"/>
          <w:kern w:val="0"/>
          <w:highlight w:val="none"/>
          <w:lang w:eastAsia="zh-CN"/>
        </w:rPr>
        <w:t>；</w:t>
      </w:r>
    </w:p>
    <w:p>
      <w:pPr>
        <w:autoSpaceDE w:val="0"/>
        <w:autoSpaceDN w:val="0"/>
        <w:adjustRightInd w:val="0"/>
        <w:spacing w:line="360" w:lineRule="auto"/>
        <w:jc w:val="center"/>
        <w:rPr>
          <w:b/>
          <w:bCs/>
          <w:color w:val="auto"/>
          <w:kern w:val="0"/>
          <w:highlight w:val="none"/>
        </w:rPr>
      </w:pPr>
      <w:r>
        <w:rPr>
          <w:b/>
          <w:bCs/>
          <w:color w:val="auto"/>
          <w:kern w:val="0"/>
          <w:highlight w:val="none"/>
        </w:rPr>
        <w:t>表9.4.2</w:t>
      </w:r>
      <w:r>
        <w:rPr>
          <w:rFonts w:hint="eastAsia"/>
          <w:b/>
          <w:bCs/>
          <w:color w:val="auto"/>
          <w:kern w:val="0"/>
          <w:highlight w:val="none"/>
        </w:rPr>
        <w:t>　</w:t>
      </w:r>
      <w:r>
        <w:rPr>
          <w:b/>
          <w:bCs/>
          <w:color w:val="auto"/>
          <w:kern w:val="0"/>
          <w:highlight w:val="none"/>
        </w:rPr>
        <w:t>详细勘察勘探点间距（m）</w:t>
      </w:r>
    </w:p>
    <w:tbl>
      <w:tblPr>
        <w:tblStyle w:val="22"/>
        <w:tblW w:w="83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52"/>
        <w:gridCol w:w="1807"/>
        <w:gridCol w:w="1807"/>
        <w:gridCol w:w="18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952" w:type="dxa"/>
            <w:tcBorders>
              <w:top w:val="single" w:color="auto" w:sz="12" w:space="0"/>
              <w:bottom w:val="single" w:color="auto" w:sz="4" w:space="0"/>
              <w:tl2br w:val="single" w:color="auto" w:sz="4" w:space="0"/>
            </w:tcBorders>
            <w:vAlign w:val="center"/>
          </w:tcPr>
          <w:p>
            <w:pPr>
              <w:autoSpaceDE w:val="0"/>
              <w:autoSpaceDN w:val="0"/>
              <w:adjustRightInd w:val="0"/>
              <w:spacing w:after="93" w:afterLines="30"/>
              <w:jc w:val="right"/>
              <w:rPr>
                <w:color w:val="auto"/>
                <w:kern w:val="0"/>
                <w:sz w:val="20"/>
                <w:szCs w:val="20"/>
                <w:highlight w:val="none"/>
              </w:rPr>
            </w:pPr>
            <w:r>
              <w:rPr>
                <w:rFonts w:hint="eastAsia"/>
                <w:color w:val="auto"/>
                <w:kern w:val="0"/>
                <w:sz w:val="20"/>
                <w:szCs w:val="20"/>
                <w:highlight w:val="none"/>
              </w:rPr>
              <w:t>工程重要性等级</w:t>
            </w:r>
          </w:p>
          <w:p>
            <w:pPr>
              <w:spacing w:line="0" w:lineRule="atLeast"/>
              <w:jc w:val="left"/>
              <w:rPr>
                <w:color w:val="auto"/>
                <w:sz w:val="20"/>
                <w:szCs w:val="20"/>
                <w:highlight w:val="none"/>
              </w:rPr>
            </w:pPr>
            <w:r>
              <w:rPr>
                <w:color w:val="auto"/>
                <w:sz w:val="20"/>
                <w:szCs w:val="20"/>
                <w:highlight w:val="none"/>
              </w:rPr>
              <w:t>场地</w:t>
            </w:r>
            <w:r>
              <w:rPr>
                <w:rFonts w:hint="eastAsia"/>
                <w:color w:val="auto"/>
                <w:sz w:val="20"/>
                <w:szCs w:val="20"/>
                <w:highlight w:val="none"/>
              </w:rPr>
              <w:t>和岩土</w:t>
            </w:r>
          </w:p>
          <w:p>
            <w:pPr>
              <w:autoSpaceDE w:val="0"/>
              <w:autoSpaceDN w:val="0"/>
              <w:adjustRightInd w:val="0"/>
              <w:jc w:val="left"/>
              <w:rPr>
                <w:color w:val="auto"/>
                <w:kern w:val="0"/>
                <w:sz w:val="20"/>
                <w:szCs w:val="20"/>
                <w:highlight w:val="none"/>
              </w:rPr>
            </w:pPr>
            <w:r>
              <w:rPr>
                <w:rFonts w:hint="eastAsia"/>
                <w:color w:val="auto"/>
                <w:sz w:val="20"/>
                <w:szCs w:val="20"/>
                <w:highlight w:val="none"/>
              </w:rPr>
              <w:t>条件</w:t>
            </w:r>
            <w:r>
              <w:rPr>
                <w:color w:val="auto"/>
                <w:sz w:val="20"/>
                <w:szCs w:val="20"/>
                <w:highlight w:val="none"/>
              </w:rPr>
              <w:t>复杂程度等级</w:t>
            </w:r>
          </w:p>
        </w:tc>
        <w:tc>
          <w:tcPr>
            <w:tcW w:w="1807" w:type="dxa"/>
            <w:vAlign w:val="center"/>
          </w:tcPr>
          <w:p>
            <w:pPr>
              <w:autoSpaceDE w:val="0"/>
              <w:autoSpaceDN w:val="0"/>
              <w:adjustRightInd w:val="0"/>
              <w:spacing w:before="62" w:beforeLines="20" w:after="62" w:afterLines="20"/>
              <w:jc w:val="center"/>
              <w:rPr>
                <w:color w:val="auto"/>
                <w:kern w:val="0"/>
                <w:sz w:val="20"/>
                <w:szCs w:val="20"/>
                <w:highlight w:val="none"/>
              </w:rPr>
            </w:pPr>
            <w:r>
              <w:rPr>
                <w:rFonts w:hint="eastAsia"/>
                <w:color w:val="auto"/>
                <w:sz w:val="18"/>
                <w:szCs w:val="20"/>
                <w:highlight w:val="none"/>
              </w:rPr>
              <w:t>一</w:t>
            </w:r>
            <w:r>
              <w:rPr>
                <w:color w:val="auto"/>
                <w:sz w:val="18"/>
                <w:szCs w:val="20"/>
                <w:highlight w:val="none"/>
              </w:rPr>
              <w:t>级</w:t>
            </w:r>
          </w:p>
        </w:tc>
        <w:tc>
          <w:tcPr>
            <w:tcW w:w="1807" w:type="dxa"/>
            <w:vAlign w:val="center"/>
          </w:tcPr>
          <w:p>
            <w:pPr>
              <w:autoSpaceDE w:val="0"/>
              <w:autoSpaceDN w:val="0"/>
              <w:adjustRightInd w:val="0"/>
              <w:spacing w:before="62" w:beforeLines="20" w:after="62" w:afterLines="20"/>
              <w:jc w:val="center"/>
              <w:rPr>
                <w:color w:val="auto"/>
                <w:kern w:val="0"/>
                <w:sz w:val="20"/>
                <w:szCs w:val="20"/>
                <w:highlight w:val="none"/>
              </w:rPr>
            </w:pPr>
            <w:r>
              <w:rPr>
                <w:rFonts w:hint="eastAsia"/>
                <w:color w:val="auto"/>
                <w:sz w:val="18"/>
                <w:szCs w:val="20"/>
                <w:highlight w:val="none"/>
              </w:rPr>
              <w:t>二</w:t>
            </w:r>
            <w:r>
              <w:rPr>
                <w:color w:val="auto"/>
                <w:sz w:val="18"/>
                <w:szCs w:val="20"/>
                <w:highlight w:val="none"/>
              </w:rPr>
              <w:t>级</w:t>
            </w:r>
          </w:p>
        </w:tc>
        <w:tc>
          <w:tcPr>
            <w:tcW w:w="1807" w:type="dxa"/>
            <w:vAlign w:val="center"/>
          </w:tcPr>
          <w:p>
            <w:pPr>
              <w:autoSpaceDE w:val="0"/>
              <w:autoSpaceDN w:val="0"/>
              <w:adjustRightInd w:val="0"/>
              <w:spacing w:before="62" w:beforeLines="20" w:after="62" w:afterLines="20"/>
              <w:jc w:val="center"/>
              <w:rPr>
                <w:color w:val="auto"/>
                <w:kern w:val="0"/>
                <w:sz w:val="20"/>
                <w:szCs w:val="20"/>
                <w:highlight w:val="none"/>
              </w:rPr>
            </w:pPr>
            <w:r>
              <w:rPr>
                <w:rFonts w:hint="eastAsia"/>
                <w:color w:val="auto"/>
                <w:sz w:val="18"/>
                <w:szCs w:val="20"/>
                <w:highlight w:val="none"/>
              </w:rPr>
              <w:t>三</w:t>
            </w:r>
            <w:r>
              <w:rPr>
                <w:color w:val="auto"/>
                <w:sz w:val="18"/>
                <w:szCs w:val="20"/>
                <w:highlight w:val="none"/>
              </w:rPr>
              <w:t>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52" w:type="dxa"/>
            <w:tcBorders>
              <w:top w:val="single" w:color="auto" w:sz="4" w:space="0"/>
            </w:tcBorders>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一级</w:t>
            </w:r>
          </w:p>
        </w:tc>
        <w:tc>
          <w:tcPr>
            <w:tcW w:w="1807"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20~30</w:t>
            </w:r>
          </w:p>
        </w:tc>
        <w:tc>
          <w:tcPr>
            <w:tcW w:w="1807"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30~50</w:t>
            </w:r>
          </w:p>
        </w:tc>
        <w:tc>
          <w:tcPr>
            <w:tcW w:w="1807"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50~100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52"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二级</w:t>
            </w:r>
          </w:p>
        </w:tc>
        <w:tc>
          <w:tcPr>
            <w:tcW w:w="1807"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30~50</w:t>
            </w:r>
          </w:p>
        </w:tc>
        <w:tc>
          <w:tcPr>
            <w:tcW w:w="1807"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50~100</w:t>
            </w:r>
          </w:p>
        </w:tc>
        <w:tc>
          <w:tcPr>
            <w:tcW w:w="1807"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100~150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52"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三级</w:t>
            </w:r>
          </w:p>
        </w:tc>
        <w:tc>
          <w:tcPr>
            <w:tcW w:w="1807"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50~100</w:t>
            </w:r>
          </w:p>
        </w:tc>
        <w:tc>
          <w:tcPr>
            <w:tcW w:w="1807"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100~150</w:t>
            </w:r>
          </w:p>
        </w:tc>
        <w:tc>
          <w:tcPr>
            <w:tcW w:w="1807"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150~200</w:t>
            </w:r>
          </w:p>
        </w:tc>
      </w:tr>
    </w:tbl>
    <w:p>
      <w:pPr>
        <w:spacing w:line="360" w:lineRule="auto"/>
        <w:ind w:firstLine="422" w:firstLineChars="200"/>
        <w:rPr>
          <w:color w:val="auto"/>
          <w:kern w:val="0"/>
          <w:highlight w:val="none"/>
        </w:rPr>
      </w:pPr>
      <w:r>
        <w:rPr>
          <w:b/>
          <w:bCs/>
          <w:color w:val="auto"/>
          <w:kern w:val="0"/>
          <w:highlight w:val="none"/>
        </w:rPr>
        <w:t>2</w:t>
      </w:r>
      <w:r>
        <w:rPr>
          <w:rFonts w:hint="eastAsia"/>
          <w:b/>
          <w:bCs/>
          <w:color w:val="auto"/>
          <w:kern w:val="0"/>
          <w:highlight w:val="none"/>
        </w:rPr>
        <w:t>　</w:t>
      </w:r>
      <w:r>
        <w:rPr>
          <w:color w:val="auto"/>
          <w:kern w:val="0"/>
          <w:highlight w:val="none"/>
        </w:rPr>
        <w:t>管道</w:t>
      </w:r>
      <w:r>
        <w:rPr>
          <w:color w:val="auto"/>
          <w:szCs w:val="21"/>
          <w:highlight w:val="none"/>
        </w:rPr>
        <w:t>穿越</w:t>
      </w:r>
      <w:r>
        <w:rPr>
          <w:color w:val="auto"/>
          <w:kern w:val="0"/>
          <w:highlight w:val="none"/>
        </w:rPr>
        <w:t>河道时，河床及两岸均应布置勘探点；穿越铁路、公路时，应在铁路、公路两侧布置勘探点；</w:t>
      </w:r>
    </w:p>
    <w:p>
      <w:pPr>
        <w:spacing w:line="360" w:lineRule="auto"/>
        <w:ind w:firstLine="422" w:firstLineChars="200"/>
        <w:rPr>
          <w:color w:val="auto"/>
          <w:kern w:val="0"/>
          <w:highlight w:val="none"/>
        </w:rPr>
      </w:pPr>
      <w:r>
        <w:rPr>
          <w:b/>
          <w:bCs/>
          <w:color w:val="auto"/>
          <w:kern w:val="0"/>
          <w:highlight w:val="none"/>
        </w:rPr>
        <w:t>3</w:t>
      </w:r>
      <w:r>
        <w:rPr>
          <w:rFonts w:hint="eastAsia"/>
          <w:b/>
          <w:bCs/>
          <w:color w:val="auto"/>
          <w:kern w:val="0"/>
          <w:highlight w:val="none"/>
        </w:rPr>
        <w:t>　</w:t>
      </w:r>
      <w:r>
        <w:rPr>
          <w:color w:val="auto"/>
          <w:kern w:val="0"/>
          <w:highlight w:val="none"/>
        </w:rPr>
        <w:t>管道走向</w:t>
      </w:r>
      <w:r>
        <w:rPr>
          <w:color w:val="auto"/>
          <w:szCs w:val="21"/>
          <w:highlight w:val="none"/>
        </w:rPr>
        <w:t>转角处</w:t>
      </w:r>
      <w:r>
        <w:rPr>
          <w:color w:val="auto"/>
          <w:kern w:val="0"/>
          <w:highlight w:val="none"/>
        </w:rPr>
        <w:t>宜布置勘探点；</w:t>
      </w:r>
    </w:p>
    <w:p>
      <w:pPr>
        <w:spacing w:line="360" w:lineRule="auto"/>
        <w:ind w:firstLine="422" w:firstLineChars="200"/>
        <w:rPr>
          <w:color w:val="auto"/>
          <w:kern w:val="0"/>
          <w:highlight w:val="none"/>
        </w:rPr>
      </w:pPr>
      <w:r>
        <w:rPr>
          <w:b/>
          <w:bCs/>
          <w:color w:val="auto"/>
          <w:kern w:val="0"/>
          <w:highlight w:val="none"/>
        </w:rPr>
        <w:t>4</w:t>
      </w:r>
      <w:r>
        <w:rPr>
          <w:rFonts w:hint="eastAsia"/>
          <w:color w:val="auto"/>
          <w:kern w:val="0"/>
          <w:highlight w:val="none"/>
        </w:rPr>
        <w:t>　</w:t>
      </w:r>
      <w:r>
        <w:rPr>
          <w:color w:val="auto"/>
          <w:kern w:val="0"/>
          <w:highlight w:val="none"/>
        </w:rPr>
        <w:t>井径</w:t>
      </w:r>
      <w:r>
        <w:rPr>
          <w:rFonts w:hint="eastAsia"/>
          <w:color w:val="auto"/>
          <w:kern w:val="0"/>
          <w:highlight w:val="none"/>
        </w:rPr>
        <w:t>或边长</w:t>
      </w:r>
      <w:r>
        <w:rPr>
          <w:rFonts w:hint="eastAsia" w:ascii="宋体" w:hAnsi="宋体" w:cs="宋体"/>
          <w:color w:val="auto"/>
          <w:kern w:val="0"/>
          <w:highlight w:val="none"/>
        </w:rPr>
        <w:t>不小于</w:t>
      </w:r>
      <w:r>
        <w:rPr>
          <w:color w:val="auto"/>
          <w:kern w:val="0"/>
          <w:highlight w:val="none"/>
        </w:rPr>
        <w:t>10m的工作井和接收井，矩形井勘探点宜布置在井的角点，圆形井勘探点沿周边均匀布置；如井径</w:t>
      </w:r>
      <w:r>
        <w:rPr>
          <w:rFonts w:hint="eastAsia"/>
          <w:color w:val="auto"/>
          <w:kern w:val="0"/>
          <w:highlight w:val="none"/>
        </w:rPr>
        <w:t>或边长小于</w:t>
      </w:r>
      <w:r>
        <w:rPr>
          <w:color w:val="auto"/>
          <w:kern w:val="0"/>
          <w:highlight w:val="none"/>
        </w:rPr>
        <w:t>10m，勘探点</w:t>
      </w:r>
      <w:r>
        <w:rPr>
          <w:rFonts w:hint="eastAsia"/>
          <w:color w:val="auto"/>
          <w:kern w:val="0"/>
          <w:highlight w:val="none"/>
          <w:lang w:val="en-US" w:eastAsia="zh-CN"/>
        </w:rPr>
        <w:t>可</w:t>
      </w:r>
      <w:r>
        <w:rPr>
          <w:color w:val="auto"/>
          <w:kern w:val="0"/>
          <w:highlight w:val="none"/>
        </w:rPr>
        <w:t>布置在井位中心。</w:t>
      </w:r>
    </w:p>
    <w:p>
      <w:pPr>
        <w:spacing w:line="360" w:lineRule="auto"/>
        <w:ind w:firstLine="422" w:firstLineChars="200"/>
        <w:rPr>
          <w:color w:val="auto"/>
          <w:kern w:val="0"/>
          <w:highlight w:val="none"/>
        </w:rPr>
      </w:pPr>
      <w:r>
        <w:rPr>
          <w:b/>
          <w:bCs/>
          <w:color w:val="auto"/>
          <w:kern w:val="0"/>
          <w:highlight w:val="none"/>
        </w:rPr>
        <w:t>5</w:t>
      </w:r>
      <w:r>
        <w:rPr>
          <w:rFonts w:hint="eastAsia"/>
          <w:b/>
          <w:bCs/>
          <w:color w:val="auto"/>
          <w:kern w:val="0"/>
          <w:highlight w:val="none"/>
        </w:rPr>
        <w:t>　</w:t>
      </w:r>
      <w:r>
        <w:rPr>
          <w:color w:val="auto"/>
          <w:kern w:val="0"/>
          <w:highlight w:val="none"/>
        </w:rPr>
        <w:t>管道穿越暗埋的河、塘、沟浜地段和可能产生流砂和地震液化地段，勘探点应适当加密。</w:t>
      </w:r>
    </w:p>
    <w:p>
      <w:pPr>
        <w:autoSpaceDE w:val="0"/>
        <w:spacing w:line="360" w:lineRule="auto"/>
        <w:jc w:val="left"/>
        <w:rPr>
          <w:color w:val="auto"/>
          <w:kern w:val="0"/>
          <w:highlight w:val="none"/>
        </w:rPr>
      </w:pPr>
      <w:r>
        <w:rPr>
          <w:b/>
          <w:bCs/>
          <w:color w:val="auto"/>
          <w:kern w:val="0"/>
          <w:highlight w:val="none"/>
        </w:rPr>
        <w:t>9.4.3</w:t>
      </w:r>
      <w:r>
        <w:rPr>
          <w:rFonts w:hint="eastAsia"/>
          <w:b/>
          <w:bCs/>
          <w:color w:val="auto"/>
          <w:kern w:val="0"/>
          <w:highlight w:val="none"/>
        </w:rPr>
        <w:t>　</w:t>
      </w:r>
      <w:r>
        <w:rPr>
          <w:color w:val="auto"/>
          <w:highlight w:val="none"/>
        </w:rPr>
        <w:t>勘探</w:t>
      </w:r>
      <w:r>
        <w:rPr>
          <w:color w:val="auto"/>
          <w:kern w:val="0"/>
          <w:highlight w:val="none"/>
        </w:rPr>
        <w:t>孔深度应</w:t>
      </w:r>
      <w:r>
        <w:rPr>
          <w:rFonts w:hint="eastAsia"/>
          <w:color w:val="auto"/>
          <w:kern w:val="0"/>
          <w:highlight w:val="none"/>
        </w:rPr>
        <w:t>符合下列规定</w:t>
      </w:r>
      <w:r>
        <w:rPr>
          <w:color w:val="auto"/>
          <w:kern w:val="0"/>
          <w:highlight w:val="none"/>
        </w:rPr>
        <w:t>：</w:t>
      </w:r>
    </w:p>
    <w:p>
      <w:pPr>
        <w:spacing w:line="360" w:lineRule="auto"/>
        <w:ind w:firstLine="422" w:firstLineChars="200"/>
        <w:rPr>
          <w:color w:val="auto"/>
          <w:kern w:val="0"/>
          <w:highlight w:val="none"/>
        </w:rPr>
      </w:pPr>
      <w:r>
        <w:rPr>
          <w:b/>
          <w:bCs/>
          <w:color w:val="auto"/>
          <w:kern w:val="0"/>
          <w:highlight w:val="none"/>
        </w:rPr>
        <w:t>1</w:t>
      </w:r>
      <w:r>
        <w:rPr>
          <w:rFonts w:hint="eastAsia"/>
          <w:b/>
          <w:bCs/>
          <w:color w:val="auto"/>
          <w:kern w:val="0"/>
          <w:highlight w:val="none"/>
        </w:rPr>
        <w:t>　</w:t>
      </w:r>
      <w:r>
        <w:rPr>
          <w:color w:val="auto"/>
          <w:kern w:val="0"/>
          <w:highlight w:val="none"/>
        </w:rPr>
        <w:t>明挖法管道及井位勘探孔深度应满足基坑支护、</w:t>
      </w:r>
      <w:r>
        <w:rPr>
          <w:rFonts w:hint="eastAsia"/>
          <w:color w:val="auto"/>
          <w:kern w:val="0"/>
          <w:highlight w:val="none"/>
        </w:rPr>
        <w:t>地下水控制</w:t>
      </w:r>
      <w:r>
        <w:rPr>
          <w:color w:val="auto"/>
          <w:kern w:val="0"/>
          <w:highlight w:val="none"/>
        </w:rPr>
        <w:t>设计要求，</w:t>
      </w:r>
      <w:r>
        <w:rPr>
          <w:rFonts w:hint="eastAsia"/>
          <w:color w:val="auto"/>
          <w:kern w:val="0"/>
          <w:highlight w:val="none"/>
        </w:rPr>
        <w:t>且应</w:t>
      </w:r>
      <w:r>
        <w:rPr>
          <w:color w:val="auto"/>
          <w:kern w:val="0"/>
          <w:highlight w:val="none"/>
        </w:rPr>
        <w:t>不小于2倍基坑开挖深度</w:t>
      </w:r>
      <w:r>
        <w:rPr>
          <w:rFonts w:hint="eastAsia"/>
          <w:color w:val="auto"/>
          <w:kern w:val="0"/>
          <w:highlight w:val="none"/>
        </w:rPr>
        <w:t>和</w:t>
      </w:r>
      <w:r>
        <w:rPr>
          <w:color w:val="auto"/>
          <w:kern w:val="0"/>
          <w:highlight w:val="none"/>
        </w:rPr>
        <w:t>不小于管底以下5m；</w:t>
      </w:r>
    </w:p>
    <w:p>
      <w:pPr>
        <w:spacing w:line="360" w:lineRule="auto"/>
        <w:ind w:firstLine="422" w:firstLineChars="200"/>
        <w:rPr>
          <w:color w:val="auto"/>
          <w:kern w:val="0"/>
          <w:highlight w:val="none"/>
        </w:rPr>
      </w:pPr>
      <w:r>
        <w:rPr>
          <w:b/>
          <w:bCs/>
          <w:color w:val="auto"/>
          <w:kern w:val="0"/>
          <w:highlight w:val="none"/>
        </w:rPr>
        <w:t>2</w:t>
      </w:r>
      <w:r>
        <w:rPr>
          <w:rFonts w:hint="eastAsia"/>
          <w:b/>
          <w:bCs/>
          <w:color w:val="auto"/>
          <w:kern w:val="0"/>
          <w:highlight w:val="none"/>
        </w:rPr>
        <w:t>　</w:t>
      </w:r>
      <w:r>
        <w:rPr>
          <w:rFonts w:hint="eastAsia"/>
          <w:color w:val="auto"/>
          <w:szCs w:val="21"/>
          <w:highlight w:val="none"/>
        </w:rPr>
        <w:t>非开挖法敷设</w:t>
      </w:r>
      <w:r>
        <w:rPr>
          <w:rFonts w:hint="eastAsia"/>
          <w:color w:val="auto"/>
          <w:kern w:val="0"/>
          <w:highlight w:val="none"/>
        </w:rPr>
        <w:t>的</w:t>
      </w:r>
      <w:r>
        <w:rPr>
          <w:color w:val="auto"/>
          <w:kern w:val="0"/>
          <w:highlight w:val="none"/>
        </w:rPr>
        <w:t>管道</w:t>
      </w:r>
      <w:r>
        <w:rPr>
          <w:rFonts w:hint="eastAsia"/>
          <w:color w:val="auto"/>
          <w:kern w:val="0"/>
          <w:highlight w:val="none"/>
        </w:rPr>
        <w:t>，</w:t>
      </w:r>
      <w:r>
        <w:rPr>
          <w:color w:val="auto"/>
          <w:kern w:val="0"/>
          <w:highlight w:val="none"/>
        </w:rPr>
        <w:t>勘探孔深度应达到管底以下5m～10m；</w:t>
      </w:r>
    </w:p>
    <w:p>
      <w:pPr>
        <w:spacing w:line="360" w:lineRule="auto"/>
        <w:ind w:firstLine="422" w:firstLineChars="200"/>
        <w:rPr>
          <w:color w:val="auto"/>
          <w:kern w:val="0"/>
          <w:highlight w:val="none"/>
        </w:rPr>
      </w:pPr>
      <w:r>
        <w:rPr>
          <w:b/>
          <w:bCs/>
          <w:color w:val="auto"/>
          <w:kern w:val="0"/>
          <w:highlight w:val="none"/>
        </w:rPr>
        <w:t>3</w:t>
      </w:r>
      <w:r>
        <w:rPr>
          <w:rFonts w:hint="eastAsia"/>
          <w:b/>
          <w:bCs/>
          <w:color w:val="auto"/>
          <w:kern w:val="0"/>
          <w:highlight w:val="none"/>
        </w:rPr>
        <w:t>　</w:t>
      </w:r>
      <w:r>
        <w:rPr>
          <w:color w:val="auto"/>
          <w:kern w:val="0"/>
          <w:highlight w:val="none"/>
        </w:rPr>
        <w:t>当基底下</w:t>
      </w:r>
      <w:r>
        <w:rPr>
          <w:color w:val="auto"/>
          <w:szCs w:val="21"/>
          <w:highlight w:val="none"/>
        </w:rPr>
        <w:t>存在</w:t>
      </w:r>
      <w:r>
        <w:rPr>
          <w:color w:val="auto"/>
          <w:kern w:val="0"/>
          <w:highlight w:val="none"/>
        </w:rPr>
        <w:t>软弱土层、厚层填土、</w:t>
      </w:r>
      <w:r>
        <w:rPr>
          <w:rFonts w:hint="eastAsia"/>
          <w:color w:val="auto"/>
          <w:kern w:val="0"/>
          <w:highlight w:val="none"/>
        </w:rPr>
        <w:t>可液化</w:t>
      </w:r>
      <w:r>
        <w:rPr>
          <w:color w:val="auto"/>
          <w:kern w:val="0"/>
          <w:highlight w:val="none"/>
        </w:rPr>
        <w:t>砂层、承压含水层、溶土洞时，勘探孔应适当加深，必要时予以钻穿；</w:t>
      </w:r>
    </w:p>
    <w:p>
      <w:pPr>
        <w:spacing w:line="360" w:lineRule="auto"/>
        <w:ind w:firstLine="422" w:firstLineChars="200"/>
        <w:rPr>
          <w:color w:val="auto"/>
          <w:kern w:val="0"/>
          <w:highlight w:val="none"/>
        </w:rPr>
      </w:pPr>
      <w:r>
        <w:rPr>
          <w:b/>
          <w:bCs/>
          <w:color w:val="auto"/>
          <w:kern w:val="0"/>
          <w:highlight w:val="none"/>
        </w:rPr>
        <w:t>4</w:t>
      </w:r>
      <w:r>
        <w:rPr>
          <w:rFonts w:hint="eastAsia"/>
          <w:color w:val="auto"/>
          <w:kern w:val="0"/>
          <w:highlight w:val="none"/>
        </w:rPr>
        <w:t>　</w:t>
      </w:r>
      <w:r>
        <w:rPr>
          <w:color w:val="auto"/>
          <w:kern w:val="0"/>
          <w:highlight w:val="none"/>
        </w:rPr>
        <w:t>当基底以下钻遇坚硬黏性土、碎石土和岩层时，可适当减少勘探深度。</w:t>
      </w:r>
    </w:p>
    <w:p>
      <w:pPr>
        <w:autoSpaceDE w:val="0"/>
        <w:autoSpaceDN w:val="0"/>
        <w:adjustRightInd w:val="0"/>
        <w:spacing w:line="360" w:lineRule="auto"/>
        <w:jc w:val="left"/>
        <w:rPr>
          <w:color w:val="auto"/>
          <w:kern w:val="0"/>
          <w:szCs w:val="21"/>
          <w:highlight w:val="none"/>
        </w:rPr>
      </w:pPr>
      <w:r>
        <w:rPr>
          <w:rFonts w:hint="eastAsia"/>
          <w:b/>
          <w:bCs/>
          <w:color w:val="auto"/>
          <w:highlight w:val="none"/>
        </w:rPr>
        <w:t>9.4.4</w:t>
      </w:r>
      <w:r>
        <w:rPr>
          <w:rFonts w:hint="eastAsia"/>
          <w:color w:val="auto"/>
          <w:highlight w:val="none"/>
        </w:rPr>
        <w:t>　</w:t>
      </w:r>
      <w:r>
        <w:rPr>
          <w:color w:val="auto"/>
          <w:kern w:val="0"/>
          <w:highlight w:val="none"/>
        </w:rPr>
        <w:t>详细勘察应</w:t>
      </w:r>
      <w:r>
        <w:rPr>
          <w:color w:val="auto"/>
          <w:highlight w:val="none"/>
        </w:rPr>
        <w:t>重点分析评价下列内容：</w:t>
      </w:r>
    </w:p>
    <w:p>
      <w:pPr>
        <w:spacing w:line="360" w:lineRule="auto"/>
        <w:ind w:firstLine="422" w:firstLineChars="200"/>
        <w:rPr>
          <w:color w:val="auto"/>
          <w:highlight w:val="none"/>
        </w:rPr>
      </w:pPr>
      <w:r>
        <w:rPr>
          <w:rFonts w:hint="eastAsia"/>
          <w:b/>
          <w:bCs/>
          <w:color w:val="auto"/>
          <w:highlight w:val="none"/>
        </w:rPr>
        <w:t>1　</w:t>
      </w:r>
      <w:r>
        <w:rPr>
          <w:rFonts w:hint="eastAsia"/>
          <w:color w:val="auto"/>
          <w:highlight w:val="none"/>
        </w:rPr>
        <w:t>评价场地与地基的地震效应；</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2　</w:t>
      </w:r>
      <w:r>
        <w:rPr>
          <w:color w:val="auto"/>
          <w:kern w:val="0"/>
          <w:highlight w:val="none"/>
        </w:rPr>
        <w:t>分析评价地基持力层的工程特性，提出地基处理方案建议；</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3</w:t>
      </w:r>
      <w:r>
        <w:rPr>
          <w:rFonts w:hint="eastAsia"/>
          <w:color w:val="auto"/>
          <w:kern w:val="0"/>
          <w:highlight w:val="none"/>
        </w:rPr>
        <w:t>　</w:t>
      </w:r>
      <w:r>
        <w:rPr>
          <w:color w:val="auto"/>
          <w:kern w:val="0"/>
          <w:highlight w:val="none"/>
        </w:rPr>
        <w:t>分析评价</w:t>
      </w:r>
      <w:r>
        <w:rPr>
          <w:rFonts w:hint="eastAsia"/>
          <w:color w:val="auto"/>
          <w:kern w:val="0"/>
          <w:highlight w:val="none"/>
        </w:rPr>
        <w:t>断层、</w:t>
      </w:r>
      <w:r>
        <w:rPr>
          <w:color w:val="auto"/>
          <w:kern w:val="0"/>
          <w:highlight w:val="none"/>
        </w:rPr>
        <w:t>溶土洞、采空区</w:t>
      </w:r>
      <w:r>
        <w:rPr>
          <w:rFonts w:hint="eastAsia"/>
          <w:color w:val="auto"/>
          <w:kern w:val="0"/>
          <w:highlight w:val="none"/>
        </w:rPr>
        <w:t>、滑坡</w:t>
      </w:r>
      <w:r>
        <w:rPr>
          <w:color w:val="auto"/>
          <w:kern w:val="0"/>
          <w:highlight w:val="none"/>
        </w:rPr>
        <w:t>等</w:t>
      </w:r>
      <w:r>
        <w:rPr>
          <w:rFonts w:hint="eastAsia"/>
          <w:color w:val="auto"/>
          <w:kern w:val="0"/>
          <w:highlight w:val="none"/>
        </w:rPr>
        <w:t>不良地质作用</w:t>
      </w:r>
      <w:r>
        <w:rPr>
          <w:color w:val="auto"/>
          <w:kern w:val="0"/>
          <w:highlight w:val="none"/>
        </w:rPr>
        <w:t>对</w:t>
      </w:r>
      <w:r>
        <w:rPr>
          <w:rFonts w:hint="eastAsia"/>
          <w:color w:val="auto"/>
          <w:kern w:val="0"/>
          <w:highlight w:val="none"/>
        </w:rPr>
        <w:t>管道</w:t>
      </w:r>
      <w:r>
        <w:rPr>
          <w:color w:val="auto"/>
          <w:kern w:val="0"/>
          <w:highlight w:val="none"/>
        </w:rPr>
        <w:t>的影响，提出处理</w:t>
      </w:r>
      <w:r>
        <w:rPr>
          <w:rFonts w:hint="eastAsia"/>
          <w:color w:val="auto"/>
          <w:kern w:val="0"/>
          <w:highlight w:val="none"/>
        </w:rPr>
        <w:t>措施</w:t>
      </w:r>
      <w:r>
        <w:rPr>
          <w:color w:val="auto"/>
          <w:kern w:val="0"/>
          <w:highlight w:val="none"/>
        </w:rPr>
        <w:t>建议；</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4</w:t>
      </w:r>
      <w:r>
        <w:rPr>
          <w:rFonts w:hint="eastAsia"/>
          <w:color w:val="auto"/>
          <w:kern w:val="0"/>
          <w:highlight w:val="none"/>
        </w:rPr>
        <w:t>　对明挖法管道：</w:t>
      </w:r>
    </w:p>
    <w:p>
      <w:pPr>
        <w:numPr>
          <w:ilvl w:val="0"/>
          <w:numId w:val="6"/>
        </w:numPr>
        <w:autoSpaceDE w:val="0"/>
        <w:autoSpaceDN w:val="0"/>
        <w:adjustRightInd w:val="0"/>
        <w:spacing w:line="360" w:lineRule="auto"/>
        <w:ind w:firstLine="630" w:firstLineChars="300"/>
        <w:jc w:val="left"/>
        <w:rPr>
          <w:color w:val="auto"/>
          <w:kern w:val="0"/>
          <w:highlight w:val="none"/>
        </w:rPr>
      </w:pPr>
      <w:r>
        <w:rPr>
          <w:color w:val="auto"/>
          <w:kern w:val="0"/>
          <w:highlight w:val="none"/>
        </w:rPr>
        <w:t>分析评价基坑的稳定性，提</w:t>
      </w:r>
      <w:r>
        <w:rPr>
          <w:rFonts w:hint="eastAsia"/>
          <w:color w:val="auto"/>
          <w:kern w:val="0"/>
          <w:highlight w:val="none"/>
        </w:rPr>
        <w:t>供基坑边坡稳定性、基底隆起的计算参数及基坑</w:t>
      </w:r>
      <w:r>
        <w:rPr>
          <w:color w:val="auto"/>
          <w:kern w:val="0"/>
          <w:highlight w:val="none"/>
        </w:rPr>
        <w:t>支护</w:t>
      </w:r>
      <w:r>
        <w:rPr>
          <w:rFonts w:hint="eastAsia"/>
          <w:color w:val="auto"/>
          <w:kern w:val="0"/>
          <w:highlight w:val="none"/>
        </w:rPr>
        <w:t>设计参数，并</w:t>
      </w:r>
      <w:r>
        <w:rPr>
          <w:color w:val="auto"/>
          <w:kern w:val="0"/>
          <w:highlight w:val="none"/>
        </w:rPr>
        <w:t>参照</w:t>
      </w:r>
      <w:r>
        <w:rPr>
          <w:rFonts w:hint="eastAsia"/>
          <w:color w:val="auto"/>
          <w:kern w:val="0"/>
          <w:highlight w:val="none"/>
        </w:rPr>
        <w:t>附录G</w:t>
      </w:r>
      <w:r>
        <w:rPr>
          <w:color w:val="auto"/>
          <w:szCs w:val="21"/>
          <w:highlight w:val="none"/>
        </w:rPr>
        <w:t>给出岩土层的土</w:t>
      </w:r>
      <w:r>
        <w:rPr>
          <w:rFonts w:hint="eastAsia"/>
          <w:color w:val="auto"/>
          <w:szCs w:val="21"/>
          <w:highlight w:val="none"/>
        </w:rPr>
        <w:t>、</w:t>
      </w:r>
      <w:r>
        <w:rPr>
          <w:color w:val="auto"/>
          <w:szCs w:val="21"/>
          <w:highlight w:val="none"/>
        </w:rPr>
        <w:t>石工程分级</w:t>
      </w:r>
      <w:r>
        <w:rPr>
          <w:color w:val="auto"/>
          <w:kern w:val="0"/>
          <w:highlight w:val="none"/>
        </w:rPr>
        <w:t>；</w:t>
      </w:r>
    </w:p>
    <w:p>
      <w:pPr>
        <w:numPr>
          <w:ilvl w:val="0"/>
          <w:numId w:val="6"/>
        </w:numPr>
        <w:autoSpaceDE w:val="0"/>
        <w:autoSpaceDN w:val="0"/>
        <w:adjustRightInd w:val="0"/>
        <w:spacing w:line="360" w:lineRule="auto"/>
        <w:ind w:firstLine="630" w:firstLineChars="300"/>
        <w:jc w:val="left"/>
        <w:rPr>
          <w:color w:val="auto"/>
          <w:kern w:val="0"/>
          <w:highlight w:val="none"/>
        </w:rPr>
      </w:pPr>
      <w:r>
        <w:rPr>
          <w:color w:val="auto"/>
          <w:kern w:val="0"/>
          <w:highlight w:val="none"/>
        </w:rPr>
        <w:t>分析评价</w:t>
      </w:r>
      <w:r>
        <w:rPr>
          <w:color w:val="auto"/>
          <w:highlight w:val="none"/>
        </w:rPr>
        <w:t>透水层的分布、渗透性，</w:t>
      </w:r>
      <w:r>
        <w:rPr>
          <w:color w:val="auto"/>
          <w:kern w:val="0"/>
          <w:highlight w:val="none"/>
        </w:rPr>
        <w:t>基坑产生流砂、管涌的可能性，</w:t>
      </w:r>
      <w:r>
        <w:rPr>
          <w:rFonts w:hint="eastAsia"/>
          <w:color w:val="auto"/>
          <w:kern w:val="0"/>
          <w:highlight w:val="none"/>
        </w:rPr>
        <w:t>提供地下水控制所需参数及</w:t>
      </w:r>
      <w:r>
        <w:rPr>
          <w:color w:val="auto"/>
          <w:kern w:val="0"/>
          <w:highlight w:val="none"/>
        </w:rPr>
        <w:t>防治措施建议；</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5</w:t>
      </w:r>
      <w:r>
        <w:rPr>
          <w:rFonts w:hint="eastAsia"/>
          <w:color w:val="auto"/>
          <w:kern w:val="0"/>
          <w:highlight w:val="none"/>
        </w:rPr>
        <w:t>　对</w:t>
      </w:r>
      <w:r>
        <w:rPr>
          <w:rFonts w:hint="eastAsia"/>
          <w:color w:val="auto"/>
          <w:szCs w:val="21"/>
          <w:highlight w:val="none"/>
        </w:rPr>
        <w:t>非开挖法敷设</w:t>
      </w:r>
      <w:r>
        <w:rPr>
          <w:rFonts w:hint="eastAsia"/>
          <w:color w:val="auto"/>
          <w:kern w:val="0"/>
          <w:highlight w:val="none"/>
        </w:rPr>
        <w:t>的管道：</w:t>
      </w:r>
    </w:p>
    <w:p>
      <w:pPr>
        <w:numPr>
          <w:ilvl w:val="0"/>
          <w:numId w:val="7"/>
        </w:numPr>
        <w:autoSpaceDE w:val="0"/>
        <w:autoSpaceDN w:val="0"/>
        <w:adjustRightInd w:val="0"/>
        <w:spacing w:line="360" w:lineRule="auto"/>
        <w:ind w:firstLine="630" w:firstLineChars="300"/>
        <w:jc w:val="left"/>
        <w:rPr>
          <w:color w:val="auto"/>
          <w:kern w:val="0"/>
          <w:highlight w:val="none"/>
        </w:rPr>
      </w:pPr>
      <w:r>
        <w:rPr>
          <w:rFonts w:hint="eastAsia"/>
          <w:color w:val="auto"/>
          <w:kern w:val="0"/>
          <w:highlight w:val="none"/>
        </w:rPr>
        <w:t>提供相应工法设计、施工所需参数；</w:t>
      </w:r>
    </w:p>
    <w:p>
      <w:pPr>
        <w:numPr>
          <w:ilvl w:val="0"/>
          <w:numId w:val="7"/>
        </w:numPr>
        <w:autoSpaceDE w:val="0"/>
        <w:autoSpaceDN w:val="0"/>
        <w:adjustRightInd w:val="0"/>
        <w:spacing w:line="360" w:lineRule="auto"/>
        <w:ind w:firstLine="630" w:firstLineChars="300"/>
        <w:jc w:val="left"/>
        <w:rPr>
          <w:color w:val="auto"/>
          <w:kern w:val="0"/>
          <w:highlight w:val="none"/>
        </w:rPr>
      </w:pPr>
      <w:r>
        <w:rPr>
          <w:rFonts w:hint="eastAsia"/>
          <w:color w:val="auto"/>
          <w:kern w:val="0"/>
          <w:highlight w:val="none"/>
        </w:rPr>
        <w:t>分析软土、松散砂层等不稳定地层对管道顶进的影响，提出施工工艺或预加固处理建议；</w:t>
      </w:r>
    </w:p>
    <w:p>
      <w:pPr>
        <w:numPr>
          <w:ilvl w:val="0"/>
          <w:numId w:val="7"/>
        </w:numPr>
        <w:autoSpaceDE w:val="0"/>
        <w:autoSpaceDN w:val="0"/>
        <w:adjustRightInd w:val="0"/>
        <w:spacing w:line="360" w:lineRule="auto"/>
        <w:ind w:firstLine="630" w:firstLineChars="300"/>
        <w:jc w:val="left"/>
        <w:rPr>
          <w:color w:val="auto"/>
          <w:kern w:val="0"/>
          <w:highlight w:val="none"/>
        </w:rPr>
      </w:pPr>
      <w:r>
        <w:rPr>
          <w:rFonts w:hint="eastAsia"/>
          <w:color w:val="auto"/>
          <w:kern w:val="0"/>
          <w:highlight w:val="none"/>
        </w:rPr>
        <w:t>管道穿越堤岸时，分析破堤对堤岸稳定性的影响和堤岸变形对管道的影响，提出工法、破堤措施及堤岸保护的相关建议；</w:t>
      </w:r>
    </w:p>
    <w:p>
      <w:pPr>
        <w:numPr>
          <w:ilvl w:val="0"/>
          <w:numId w:val="7"/>
        </w:numPr>
        <w:autoSpaceDE w:val="0"/>
        <w:autoSpaceDN w:val="0"/>
        <w:adjustRightInd w:val="0"/>
        <w:spacing w:line="360" w:lineRule="auto"/>
        <w:ind w:firstLine="630" w:firstLineChars="300"/>
        <w:jc w:val="left"/>
        <w:rPr>
          <w:color w:val="auto"/>
          <w:kern w:val="0"/>
          <w:highlight w:val="none"/>
        </w:rPr>
      </w:pPr>
      <w:r>
        <w:rPr>
          <w:rFonts w:hint="eastAsia"/>
          <w:color w:val="auto"/>
          <w:kern w:val="0"/>
          <w:highlight w:val="none"/>
        </w:rPr>
        <w:t>分析沿线</w:t>
      </w:r>
      <w:r>
        <w:rPr>
          <w:color w:val="auto"/>
          <w:szCs w:val="21"/>
          <w:highlight w:val="none"/>
        </w:rPr>
        <w:t>硬质阻碍物</w:t>
      </w:r>
      <w:r>
        <w:rPr>
          <w:rFonts w:hint="eastAsia"/>
          <w:color w:val="auto"/>
          <w:szCs w:val="21"/>
          <w:highlight w:val="none"/>
        </w:rPr>
        <w:t>对管道穿越施工的影响，提出工法或清障措施建议；</w:t>
      </w:r>
    </w:p>
    <w:p>
      <w:pPr>
        <w:spacing w:line="360" w:lineRule="auto"/>
        <w:ind w:firstLine="422" w:firstLineChars="200"/>
        <w:rPr>
          <w:color w:val="auto"/>
          <w:highlight w:val="none"/>
        </w:rPr>
      </w:pPr>
      <w:r>
        <w:rPr>
          <w:rFonts w:hint="eastAsia"/>
          <w:b/>
          <w:bCs/>
          <w:color w:val="auto"/>
          <w:highlight w:val="none"/>
        </w:rPr>
        <w:t>6</w:t>
      </w:r>
      <w:r>
        <w:rPr>
          <w:rFonts w:hint="eastAsia"/>
          <w:color w:val="auto"/>
          <w:highlight w:val="none"/>
        </w:rPr>
        <w:t>　评价土和地下水对管材的腐蚀性；采用钢、铸铁管道时，应评价土对地下钢结构的腐蚀性；</w:t>
      </w:r>
    </w:p>
    <w:p>
      <w:pPr>
        <w:spacing w:line="360" w:lineRule="auto"/>
        <w:ind w:firstLine="422" w:firstLineChars="200"/>
        <w:rPr>
          <w:color w:val="auto"/>
          <w:kern w:val="0"/>
          <w:highlight w:val="none"/>
        </w:rPr>
      </w:pPr>
      <w:r>
        <w:rPr>
          <w:rFonts w:hint="eastAsia"/>
          <w:b/>
          <w:bCs/>
          <w:color w:val="auto"/>
          <w:kern w:val="0"/>
          <w:highlight w:val="none"/>
        </w:rPr>
        <w:t>7</w:t>
      </w:r>
      <w:r>
        <w:rPr>
          <w:rFonts w:hint="eastAsia"/>
          <w:color w:val="auto"/>
          <w:kern w:val="0"/>
          <w:highlight w:val="none"/>
        </w:rPr>
        <w:t>　</w:t>
      </w:r>
      <w:r>
        <w:rPr>
          <w:color w:val="auto"/>
          <w:kern w:val="0"/>
          <w:highlight w:val="none"/>
        </w:rPr>
        <w:t>分析</w:t>
      </w:r>
      <w:r>
        <w:rPr>
          <w:rFonts w:hint="eastAsia"/>
          <w:color w:val="auto"/>
          <w:highlight w:val="none"/>
        </w:rPr>
        <w:t>评价</w:t>
      </w:r>
      <w:r>
        <w:rPr>
          <w:color w:val="auto"/>
          <w:kern w:val="0"/>
          <w:highlight w:val="none"/>
        </w:rPr>
        <w:t>地下水水位变化规律及其对</w:t>
      </w:r>
      <w:r>
        <w:rPr>
          <w:rFonts w:hint="eastAsia"/>
          <w:color w:val="auto"/>
          <w:kern w:val="0"/>
          <w:highlight w:val="none"/>
        </w:rPr>
        <w:t>管道</w:t>
      </w:r>
      <w:r>
        <w:rPr>
          <w:color w:val="auto"/>
          <w:kern w:val="0"/>
          <w:highlight w:val="none"/>
        </w:rPr>
        <w:t>抗浮的影响，提出抗浮设计建议；</w:t>
      </w:r>
    </w:p>
    <w:p>
      <w:pPr>
        <w:autoSpaceDE w:val="0"/>
        <w:autoSpaceDN w:val="0"/>
        <w:adjustRightInd w:val="0"/>
        <w:spacing w:line="360" w:lineRule="auto"/>
        <w:ind w:firstLine="422" w:firstLineChars="200"/>
        <w:jc w:val="left"/>
        <w:rPr>
          <w:color w:val="auto"/>
          <w:szCs w:val="21"/>
          <w:highlight w:val="none"/>
        </w:rPr>
      </w:pPr>
      <w:r>
        <w:rPr>
          <w:rFonts w:hint="eastAsia"/>
          <w:b/>
          <w:bCs/>
          <w:color w:val="auto"/>
          <w:kern w:val="0"/>
          <w:highlight w:val="none"/>
        </w:rPr>
        <w:t>8</w:t>
      </w:r>
      <w:r>
        <w:rPr>
          <w:rFonts w:hint="eastAsia"/>
          <w:color w:val="auto"/>
          <w:kern w:val="0"/>
          <w:highlight w:val="none"/>
        </w:rPr>
        <w:t>　</w:t>
      </w:r>
      <w:r>
        <w:rPr>
          <w:color w:val="auto"/>
          <w:kern w:val="0"/>
          <w:highlight w:val="none"/>
        </w:rPr>
        <w:t>分析评价</w:t>
      </w:r>
      <w:r>
        <w:rPr>
          <w:rFonts w:hint="eastAsia"/>
          <w:color w:val="auto"/>
          <w:kern w:val="0"/>
          <w:highlight w:val="none"/>
        </w:rPr>
        <w:t>建设期间</w:t>
      </w:r>
      <w:r>
        <w:rPr>
          <w:color w:val="auto"/>
          <w:szCs w:val="21"/>
          <w:highlight w:val="none"/>
        </w:rPr>
        <w:t>拟</w:t>
      </w:r>
      <w:r>
        <w:rPr>
          <w:rFonts w:hint="eastAsia"/>
          <w:color w:val="auto"/>
          <w:szCs w:val="21"/>
          <w:highlight w:val="none"/>
        </w:rPr>
        <w:t>建</w:t>
      </w:r>
      <w:r>
        <w:rPr>
          <w:color w:val="auto"/>
          <w:szCs w:val="21"/>
          <w:highlight w:val="none"/>
        </w:rPr>
        <w:t>工程与周边地下设施</w:t>
      </w:r>
      <w:r>
        <w:rPr>
          <w:rFonts w:hint="eastAsia"/>
          <w:color w:val="auto"/>
          <w:szCs w:val="21"/>
          <w:highlight w:val="none"/>
        </w:rPr>
        <w:t>及周边环境</w:t>
      </w:r>
      <w:r>
        <w:rPr>
          <w:color w:val="auto"/>
          <w:szCs w:val="21"/>
          <w:highlight w:val="none"/>
        </w:rPr>
        <w:t>之间的相互影响</w:t>
      </w:r>
      <w:r>
        <w:rPr>
          <w:color w:val="auto"/>
          <w:kern w:val="0"/>
          <w:highlight w:val="none"/>
        </w:rPr>
        <w:t>，提出处理</w:t>
      </w:r>
      <w:r>
        <w:rPr>
          <w:rFonts w:hint="eastAsia"/>
          <w:color w:val="auto"/>
          <w:kern w:val="0"/>
          <w:highlight w:val="none"/>
        </w:rPr>
        <w:t>措施</w:t>
      </w:r>
      <w:r>
        <w:rPr>
          <w:color w:val="auto"/>
          <w:kern w:val="0"/>
          <w:highlight w:val="none"/>
        </w:rPr>
        <w:t>建议</w:t>
      </w:r>
      <w:r>
        <w:rPr>
          <w:rFonts w:hint="eastAsia"/>
          <w:color w:val="auto"/>
          <w:kern w:val="0"/>
          <w:highlight w:val="none"/>
        </w:rPr>
        <w:t>。</w:t>
      </w:r>
    </w:p>
    <w:p>
      <w:pPr>
        <w:spacing w:line="360" w:lineRule="auto"/>
        <w:ind w:firstLine="422" w:firstLineChars="200"/>
        <w:rPr>
          <w:color w:val="auto"/>
          <w:highlight w:val="none"/>
        </w:rPr>
      </w:pPr>
      <w:r>
        <w:rPr>
          <w:rFonts w:hint="eastAsia"/>
          <w:b/>
          <w:bCs/>
          <w:color w:val="auto"/>
          <w:highlight w:val="none"/>
        </w:rPr>
        <w:t>9</w:t>
      </w:r>
      <w:r>
        <w:rPr>
          <w:rFonts w:hint="eastAsia"/>
          <w:color w:val="auto"/>
          <w:highlight w:val="none"/>
        </w:rPr>
        <w:t>　提出对岩土体、工程结构、周边环境设施的变形及地下水位变化等的检测、监测建议。</w:t>
      </w:r>
    </w:p>
    <w:p>
      <w:pPr>
        <w:spacing w:line="360" w:lineRule="auto"/>
        <w:ind w:firstLine="422" w:firstLineChars="200"/>
        <w:rPr>
          <w:color w:val="auto"/>
          <w:highlight w:val="none"/>
        </w:rPr>
      </w:pPr>
      <w:r>
        <w:rPr>
          <w:rFonts w:hint="eastAsia"/>
          <w:b/>
          <w:bCs/>
          <w:color w:val="auto"/>
          <w:highlight w:val="none"/>
        </w:rPr>
        <w:t>10</w:t>
      </w:r>
      <w:r>
        <w:rPr>
          <w:rFonts w:hint="eastAsia"/>
          <w:color w:val="auto"/>
          <w:highlight w:val="none"/>
        </w:rPr>
        <w:t>　分析工程建设</w:t>
      </w:r>
      <w:r>
        <w:rPr>
          <w:color w:val="auto"/>
          <w:highlight w:val="none"/>
        </w:rPr>
        <w:t>过程可能</w:t>
      </w:r>
      <w:r>
        <w:rPr>
          <w:rFonts w:hint="eastAsia"/>
          <w:color w:val="auto"/>
          <w:highlight w:val="none"/>
        </w:rPr>
        <w:t>引发或</w:t>
      </w:r>
      <w:r>
        <w:rPr>
          <w:color w:val="auto"/>
          <w:highlight w:val="none"/>
        </w:rPr>
        <w:t>遭遇的地质风险</w:t>
      </w:r>
      <w:r>
        <w:rPr>
          <w:rFonts w:hint="eastAsia"/>
          <w:color w:val="auto"/>
          <w:highlight w:val="none"/>
        </w:rPr>
        <w:t>，并提出</w:t>
      </w:r>
      <w:r>
        <w:rPr>
          <w:color w:val="auto"/>
          <w:highlight w:val="none"/>
        </w:rPr>
        <w:t>应对措施</w:t>
      </w:r>
      <w:r>
        <w:rPr>
          <w:rFonts w:hint="eastAsia"/>
          <w:color w:val="auto"/>
          <w:highlight w:val="none"/>
        </w:rPr>
        <w:t>建议。</w:t>
      </w:r>
    </w:p>
    <w:p>
      <w:pPr>
        <w:widowControl/>
        <w:jc w:val="left"/>
        <w:rPr>
          <w:color w:val="auto"/>
          <w:sz w:val="28"/>
          <w:szCs w:val="28"/>
          <w:highlight w:val="none"/>
        </w:rPr>
      </w:pPr>
      <w:r>
        <w:rPr>
          <w:color w:val="auto"/>
          <w:sz w:val="28"/>
          <w:szCs w:val="28"/>
          <w:highlight w:val="none"/>
        </w:rPr>
        <w:br w:type="page"/>
      </w:r>
    </w:p>
    <w:p>
      <w:pPr>
        <w:rPr>
          <w:color w:val="auto"/>
          <w:sz w:val="10"/>
          <w:szCs w:val="10"/>
          <w:highlight w:val="none"/>
        </w:rPr>
      </w:pPr>
    </w:p>
    <w:p>
      <w:pPr>
        <w:pStyle w:val="2"/>
        <w:spacing w:before="480" w:after="480" w:line="240" w:lineRule="auto"/>
        <w:rPr>
          <w:color w:val="auto"/>
          <w:highlight w:val="none"/>
        </w:rPr>
      </w:pPr>
      <w:bookmarkStart w:id="161" w:name="_Toc15548"/>
      <w:bookmarkStart w:id="162" w:name="_Toc4591"/>
      <w:bookmarkStart w:id="163" w:name="_Toc12608"/>
      <w:bookmarkStart w:id="164" w:name="_10　城市综合管廊工程"/>
      <w:r>
        <w:rPr>
          <w:color w:val="auto"/>
          <w:highlight w:val="none"/>
        </w:rPr>
        <w:t>10</w:t>
      </w:r>
      <w:r>
        <w:rPr>
          <w:rFonts w:hint="eastAsia"/>
          <w:color w:val="auto"/>
          <w:highlight w:val="none"/>
        </w:rPr>
        <w:t>　城市</w:t>
      </w:r>
      <w:r>
        <w:rPr>
          <w:color w:val="auto"/>
          <w:highlight w:val="none"/>
        </w:rPr>
        <w:t>综合管廊工程</w:t>
      </w:r>
      <w:bookmarkEnd w:id="161"/>
      <w:bookmarkEnd w:id="162"/>
      <w:bookmarkEnd w:id="163"/>
    </w:p>
    <w:bookmarkEnd w:id="164"/>
    <w:p>
      <w:pPr>
        <w:pStyle w:val="3"/>
        <w:rPr>
          <w:rFonts w:ascii="Times New Roman" w:hAnsi="Times New Roman" w:eastAsia="宋体"/>
          <w:color w:val="auto"/>
          <w:highlight w:val="none"/>
        </w:rPr>
      </w:pPr>
      <w:bookmarkStart w:id="165" w:name="_Toc19701"/>
      <w:bookmarkStart w:id="166" w:name="_Toc829"/>
      <w:bookmarkStart w:id="167" w:name="_Toc19254"/>
      <w:bookmarkStart w:id="168" w:name="_Toc27854"/>
      <w:bookmarkStart w:id="169" w:name="_10.1　一般规定"/>
      <w:r>
        <w:rPr>
          <w:rFonts w:ascii="Times New Roman" w:hAnsi="Times New Roman" w:eastAsia="宋体"/>
          <w:color w:val="auto"/>
          <w:highlight w:val="none"/>
        </w:rPr>
        <w:t>10.1</w:t>
      </w:r>
      <w:r>
        <w:rPr>
          <w:rFonts w:hint="eastAsia" w:ascii="Times New Roman" w:hAnsi="Times New Roman" w:eastAsia="宋体"/>
          <w:color w:val="auto"/>
          <w:highlight w:val="none"/>
        </w:rPr>
        <w:t>　</w:t>
      </w:r>
      <w:r>
        <w:rPr>
          <w:rFonts w:ascii="Times New Roman" w:hAnsi="Times New Roman" w:eastAsia="宋体"/>
          <w:color w:val="auto"/>
          <w:highlight w:val="none"/>
        </w:rPr>
        <w:t>一般规定</w:t>
      </w:r>
      <w:bookmarkEnd w:id="165"/>
      <w:bookmarkEnd w:id="166"/>
      <w:bookmarkEnd w:id="167"/>
      <w:bookmarkEnd w:id="168"/>
    </w:p>
    <w:bookmarkEnd w:id="169"/>
    <w:p>
      <w:pPr>
        <w:autoSpaceDE w:val="0"/>
        <w:spacing w:line="360" w:lineRule="auto"/>
        <w:jc w:val="left"/>
        <w:rPr>
          <w:color w:val="auto"/>
          <w:kern w:val="0"/>
          <w:highlight w:val="none"/>
        </w:rPr>
      </w:pPr>
      <w:r>
        <w:rPr>
          <w:b/>
          <w:bCs/>
          <w:color w:val="auto"/>
          <w:kern w:val="0"/>
          <w:highlight w:val="none"/>
        </w:rPr>
        <w:t>10.1.1</w:t>
      </w:r>
      <w:r>
        <w:rPr>
          <w:rFonts w:hint="eastAsia"/>
          <w:color w:val="auto"/>
          <w:kern w:val="0"/>
          <w:highlight w:val="none"/>
        </w:rPr>
        <w:t>　</w:t>
      </w:r>
      <w:r>
        <w:rPr>
          <w:color w:val="auto"/>
          <w:kern w:val="0"/>
          <w:highlight w:val="none"/>
        </w:rPr>
        <w:t>本章适用于埋设于地下的干线综合管廊</w:t>
      </w:r>
      <w:r>
        <w:rPr>
          <w:rFonts w:hint="eastAsia"/>
          <w:color w:val="auto"/>
          <w:kern w:val="0"/>
          <w:highlight w:val="none"/>
        </w:rPr>
        <w:t>和</w:t>
      </w:r>
      <w:r>
        <w:rPr>
          <w:color w:val="auto"/>
          <w:kern w:val="0"/>
          <w:highlight w:val="none"/>
        </w:rPr>
        <w:t>支线综合管廊工程的岩土工程勘察。缆线管廊</w:t>
      </w:r>
      <w:r>
        <w:rPr>
          <w:rFonts w:hint="eastAsia"/>
          <w:color w:val="auto"/>
          <w:kern w:val="0"/>
          <w:highlight w:val="none"/>
        </w:rPr>
        <w:t>工程</w:t>
      </w:r>
      <w:r>
        <w:rPr>
          <w:rFonts w:hint="eastAsia"/>
          <w:color w:val="auto"/>
          <w:highlight w:val="none"/>
        </w:rPr>
        <w:t>的勘察按本规范第9章的有关规定执行；</w:t>
      </w:r>
      <w:r>
        <w:rPr>
          <w:color w:val="auto"/>
          <w:highlight w:val="none"/>
        </w:rPr>
        <w:t>控制中心等附属建筑物的</w:t>
      </w:r>
      <w:r>
        <w:rPr>
          <w:rFonts w:hint="eastAsia"/>
          <w:color w:val="auto"/>
          <w:highlight w:val="none"/>
        </w:rPr>
        <w:t>勘察</w:t>
      </w:r>
      <w:r>
        <w:rPr>
          <w:color w:val="auto"/>
          <w:highlight w:val="none"/>
        </w:rPr>
        <w:t>应符合现行标准《岩土工程勘察规范》GB 50021的</w:t>
      </w:r>
      <w:r>
        <w:rPr>
          <w:rFonts w:hint="eastAsia"/>
          <w:color w:val="auto"/>
          <w:highlight w:val="none"/>
        </w:rPr>
        <w:t>相关</w:t>
      </w:r>
      <w:r>
        <w:rPr>
          <w:color w:val="auto"/>
          <w:highlight w:val="none"/>
        </w:rPr>
        <w:t>规定。</w:t>
      </w:r>
    </w:p>
    <w:p>
      <w:pPr>
        <w:autoSpaceDE w:val="0"/>
        <w:spacing w:line="360" w:lineRule="auto"/>
        <w:jc w:val="left"/>
        <w:rPr>
          <w:color w:val="auto"/>
          <w:kern w:val="0"/>
          <w:highlight w:val="none"/>
        </w:rPr>
      </w:pPr>
      <w:r>
        <w:rPr>
          <w:b/>
          <w:bCs/>
          <w:color w:val="auto"/>
          <w:kern w:val="0"/>
          <w:highlight w:val="none"/>
        </w:rPr>
        <w:t>10.1.2</w:t>
      </w:r>
      <w:r>
        <w:rPr>
          <w:rFonts w:hint="eastAsia"/>
          <w:color w:val="auto"/>
          <w:kern w:val="0"/>
          <w:highlight w:val="none"/>
        </w:rPr>
        <w:t>　</w:t>
      </w:r>
      <w:r>
        <w:rPr>
          <w:color w:val="auto"/>
          <w:kern w:val="0"/>
          <w:highlight w:val="none"/>
        </w:rPr>
        <w:t>勘察前应根据不同勘察工作阶段的要求取得相关的技术资料：</w:t>
      </w:r>
    </w:p>
    <w:p>
      <w:pPr>
        <w:autoSpaceDE w:val="0"/>
        <w:spacing w:line="360" w:lineRule="auto"/>
        <w:ind w:firstLine="422" w:firstLineChars="200"/>
        <w:jc w:val="left"/>
        <w:rPr>
          <w:color w:val="auto"/>
          <w:kern w:val="0"/>
          <w:highlight w:val="none"/>
        </w:rPr>
      </w:pPr>
      <w:r>
        <w:rPr>
          <w:b/>
          <w:bCs/>
          <w:color w:val="auto"/>
          <w:kern w:val="0"/>
          <w:highlight w:val="none"/>
        </w:rPr>
        <w:t>1</w:t>
      </w:r>
      <w:r>
        <w:rPr>
          <w:rFonts w:hint="eastAsia"/>
          <w:color w:val="auto"/>
          <w:highlight w:val="none"/>
        </w:rPr>
        <w:t>　</w:t>
      </w:r>
      <w:r>
        <w:rPr>
          <w:color w:val="auto"/>
          <w:kern w:val="0"/>
          <w:highlight w:val="none"/>
        </w:rPr>
        <w:t>综合管廊总平面布置图、</w:t>
      </w:r>
      <w:r>
        <w:rPr>
          <w:rFonts w:hint="eastAsia"/>
          <w:color w:val="auto"/>
          <w:kern w:val="0"/>
          <w:highlight w:val="none"/>
        </w:rPr>
        <w:t>横剖面</w:t>
      </w:r>
      <w:r>
        <w:rPr>
          <w:color w:val="auto"/>
          <w:kern w:val="0"/>
          <w:highlight w:val="none"/>
        </w:rPr>
        <w:t>图及纵</w:t>
      </w:r>
      <w:r>
        <w:rPr>
          <w:rFonts w:hint="eastAsia"/>
          <w:color w:val="auto"/>
          <w:kern w:val="0"/>
          <w:highlight w:val="none"/>
        </w:rPr>
        <w:t>剖面</w:t>
      </w:r>
      <w:r>
        <w:rPr>
          <w:color w:val="auto"/>
          <w:kern w:val="0"/>
          <w:highlight w:val="none"/>
        </w:rPr>
        <w:t>图；</w:t>
      </w:r>
    </w:p>
    <w:p>
      <w:pPr>
        <w:autoSpaceDE w:val="0"/>
        <w:spacing w:line="360" w:lineRule="auto"/>
        <w:ind w:firstLine="422" w:firstLineChars="200"/>
        <w:jc w:val="left"/>
        <w:rPr>
          <w:color w:val="auto"/>
          <w:kern w:val="0"/>
          <w:highlight w:val="none"/>
        </w:rPr>
      </w:pPr>
      <w:r>
        <w:rPr>
          <w:b/>
          <w:bCs/>
          <w:color w:val="auto"/>
          <w:kern w:val="0"/>
          <w:highlight w:val="none"/>
        </w:rPr>
        <w:t>2</w:t>
      </w:r>
      <w:r>
        <w:rPr>
          <w:rFonts w:hint="eastAsia"/>
          <w:color w:val="auto"/>
          <w:highlight w:val="none"/>
        </w:rPr>
        <w:t>　</w:t>
      </w:r>
      <w:r>
        <w:rPr>
          <w:color w:val="auto"/>
          <w:kern w:val="0"/>
          <w:highlight w:val="none"/>
        </w:rPr>
        <w:t>综合管廊拟埋置深度、荷载、采用的基础形式及地基允许变形值；</w:t>
      </w:r>
    </w:p>
    <w:p>
      <w:pPr>
        <w:autoSpaceDE w:val="0"/>
        <w:spacing w:line="360" w:lineRule="auto"/>
        <w:ind w:firstLine="422" w:firstLineChars="200"/>
        <w:jc w:val="left"/>
        <w:rPr>
          <w:color w:val="auto"/>
          <w:kern w:val="0"/>
          <w:highlight w:val="none"/>
        </w:rPr>
      </w:pPr>
      <w:r>
        <w:rPr>
          <w:b/>
          <w:bCs/>
          <w:color w:val="auto"/>
          <w:kern w:val="0"/>
          <w:highlight w:val="none"/>
        </w:rPr>
        <w:t>3</w:t>
      </w:r>
      <w:r>
        <w:rPr>
          <w:rFonts w:hint="eastAsia"/>
          <w:color w:val="auto"/>
          <w:highlight w:val="none"/>
        </w:rPr>
        <w:t>　</w:t>
      </w:r>
      <w:r>
        <w:rPr>
          <w:color w:val="auto"/>
          <w:kern w:val="0"/>
          <w:highlight w:val="none"/>
        </w:rPr>
        <w:t>综合管廊材料类别及可能采取的施工方法。</w:t>
      </w:r>
    </w:p>
    <w:p>
      <w:pPr>
        <w:autoSpaceDE w:val="0"/>
        <w:spacing w:line="360" w:lineRule="auto"/>
        <w:jc w:val="left"/>
        <w:rPr>
          <w:color w:val="auto"/>
          <w:kern w:val="0"/>
          <w:highlight w:val="none"/>
        </w:rPr>
      </w:pPr>
      <w:r>
        <w:rPr>
          <w:b/>
          <w:bCs/>
          <w:color w:val="auto"/>
          <w:highlight w:val="none"/>
        </w:rPr>
        <w:t>10.1.</w:t>
      </w:r>
      <w:r>
        <w:rPr>
          <w:rFonts w:hint="eastAsia"/>
          <w:b/>
          <w:bCs/>
          <w:color w:val="auto"/>
          <w:highlight w:val="none"/>
        </w:rPr>
        <w:t>3</w:t>
      </w:r>
      <w:r>
        <w:rPr>
          <w:rFonts w:hint="eastAsia"/>
          <w:color w:val="auto"/>
          <w:highlight w:val="none"/>
        </w:rPr>
        <w:t>　</w:t>
      </w:r>
      <w:r>
        <w:rPr>
          <w:color w:val="auto"/>
          <w:highlight w:val="none"/>
        </w:rPr>
        <w:t>勘探点布置应</w:t>
      </w:r>
      <w:r>
        <w:rPr>
          <w:bCs/>
          <w:color w:val="auto"/>
          <w:kern w:val="0"/>
          <w:highlight w:val="none"/>
        </w:rPr>
        <w:t>根据</w:t>
      </w:r>
      <w:r>
        <w:rPr>
          <w:color w:val="auto"/>
          <w:highlight w:val="none"/>
        </w:rPr>
        <w:t>场地</w:t>
      </w:r>
      <w:r>
        <w:rPr>
          <w:rFonts w:hint="eastAsia"/>
          <w:color w:val="auto"/>
          <w:highlight w:val="none"/>
        </w:rPr>
        <w:t>和</w:t>
      </w:r>
      <w:r>
        <w:rPr>
          <w:color w:val="auto"/>
          <w:highlight w:val="none"/>
        </w:rPr>
        <w:t>岩土条件复杂程度</w:t>
      </w:r>
      <w:r>
        <w:rPr>
          <w:bCs/>
          <w:color w:val="auto"/>
          <w:kern w:val="0"/>
          <w:highlight w:val="none"/>
        </w:rPr>
        <w:t>、</w:t>
      </w:r>
      <w:r>
        <w:rPr>
          <w:rFonts w:hint="eastAsia"/>
          <w:bCs/>
          <w:color w:val="auto"/>
          <w:kern w:val="0"/>
          <w:highlight w:val="none"/>
        </w:rPr>
        <w:t>断面尺</w:t>
      </w:r>
      <w:r>
        <w:rPr>
          <w:bCs/>
          <w:color w:val="auto"/>
          <w:kern w:val="0"/>
          <w:highlight w:val="none"/>
        </w:rPr>
        <w:t>寸、设计要求等综合确定</w:t>
      </w:r>
      <w:r>
        <w:rPr>
          <w:rFonts w:hint="eastAsia"/>
          <w:bCs/>
          <w:color w:val="auto"/>
          <w:kern w:val="0"/>
          <w:highlight w:val="none"/>
        </w:rPr>
        <w:t>，并符合下列规定：</w:t>
      </w:r>
    </w:p>
    <w:p>
      <w:pPr>
        <w:autoSpaceDE w:val="0"/>
        <w:spacing w:line="360" w:lineRule="auto"/>
        <w:ind w:firstLine="422" w:firstLineChars="200"/>
        <w:jc w:val="left"/>
        <w:rPr>
          <w:color w:val="auto"/>
          <w:highlight w:val="none"/>
        </w:rPr>
      </w:pPr>
      <w:r>
        <w:rPr>
          <w:b/>
          <w:bCs/>
          <w:color w:val="auto"/>
          <w:highlight w:val="none"/>
        </w:rPr>
        <w:t>1</w:t>
      </w:r>
      <w:r>
        <w:rPr>
          <w:rFonts w:hint="eastAsia"/>
          <w:color w:val="auto"/>
          <w:highlight w:val="none"/>
        </w:rPr>
        <w:t>　</w:t>
      </w:r>
      <w:r>
        <w:rPr>
          <w:color w:val="auto"/>
          <w:highlight w:val="none"/>
        </w:rPr>
        <w:t>明挖法管廊勘探点宜沿</w:t>
      </w:r>
      <w:r>
        <w:rPr>
          <w:rFonts w:hint="eastAsia"/>
          <w:color w:val="auto"/>
          <w:highlight w:val="none"/>
        </w:rPr>
        <w:t>基槽支护结构线左右交错布置，生成一条纵断面；</w:t>
      </w:r>
    </w:p>
    <w:p>
      <w:pPr>
        <w:autoSpaceDE w:val="0"/>
        <w:spacing w:line="360" w:lineRule="auto"/>
        <w:ind w:firstLine="422" w:firstLineChars="200"/>
        <w:jc w:val="left"/>
        <w:rPr>
          <w:color w:val="auto"/>
          <w:highlight w:val="none"/>
        </w:rPr>
      </w:pPr>
      <w:r>
        <w:rPr>
          <w:rFonts w:hint="eastAsia"/>
          <w:b/>
          <w:bCs/>
          <w:color w:val="auto"/>
          <w:highlight w:val="none"/>
        </w:rPr>
        <w:t>2</w:t>
      </w:r>
      <w:r>
        <w:rPr>
          <w:rFonts w:hint="eastAsia"/>
          <w:color w:val="auto"/>
          <w:highlight w:val="none"/>
        </w:rPr>
        <w:t>　</w:t>
      </w:r>
      <w:r>
        <w:rPr>
          <w:color w:val="auto"/>
          <w:highlight w:val="none"/>
        </w:rPr>
        <w:t>暗挖法管廊</w:t>
      </w:r>
      <w:r>
        <w:rPr>
          <w:rFonts w:hint="eastAsia"/>
          <w:color w:val="auto"/>
          <w:highlight w:val="none"/>
        </w:rPr>
        <w:t>，陆域段</w:t>
      </w:r>
      <w:r>
        <w:rPr>
          <w:color w:val="auto"/>
          <w:highlight w:val="none"/>
        </w:rPr>
        <w:t>勘探点宜沿结构轮廓线外侧</w:t>
      </w:r>
      <w:r>
        <w:rPr>
          <w:rFonts w:hint="eastAsia"/>
          <w:color w:val="auto"/>
          <w:highlight w:val="none"/>
        </w:rPr>
        <w:t>3m~5m左右交错布置，水域段</w:t>
      </w:r>
      <w:r>
        <w:rPr>
          <w:color w:val="auto"/>
          <w:highlight w:val="none"/>
        </w:rPr>
        <w:t>勘探点宜沿结构轮廓线外侧</w:t>
      </w:r>
      <w:r>
        <w:rPr>
          <w:rFonts w:hint="eastAsia"/>
          <w:color w:val="auto"/>
          <w:highlight w:val="none"/>
        </w:rPr>
        <w:t>5m~8m左右交错布置，生成一条纵断面；</w:t>
      </w:r>
    </w:p>
    <w:p>
      <w:pPr>
        <w:autoSpaceDE w:val="0"/>
        <w:spacing w:line="360" w:lineRule="auto"/>
        <w:ind w:firstLine="422" w:firstLineChars="200"/>
        <w:jc w:val="left"/>
        <w:rPr>
          <w:color w:val="auto"/>
          <w:highlight w:val="none"/>
        </w:rPr>
      </w:pPr>
      <w:r>
        <w:rPr>
          <w:rFonts w:hint="eastAsia"/>
          <w:b/>
          <w:bCs/>
          <w:color w:val="auto"/>
          <w:highlight w:val="none"/>
        </w:rPr>
        <w:t>3　</w:t>
      </w:r>
      <w:r>
        <w:rPr>
          <w:rFonts w:hint="eastAsia"/>
          <w:color w:val="auto"/>
          <w:highlight w:val="none"/>
        </w:rPr>
        <w:t>明挖法管廊基槽支护边线或暗挖法管廊结构轮廓线宽度不小于10m，且岩土条件复杂时，详细勘察阶段勘探点可</w:t>
      </w:r>
      <w:r>
        <w:rPr>
          <w:color w:val="auto"/>
          <w:highlight w:val="none"/>
        </w:rPr>
        <w:t>沿综合管廊外侧</w:t>
      </w:r>
      <w:r>
        <w:rPr>
          <w:rFonts w:hint="eastAsia"/>
          <w:color w:val="auto"/>
          <w:highlight w:val="none"/>
        </w:rPr>
        <w:t>并排</w:t>
      </w:r>
      <w:r>
        <w:rPr>
          <w:color w:val="auto"/>
          <w:highlight w:val="none"/>
        </w:rPr>
        <w:t>布置</w:t>
      </w:r>
      <w:r>
        <w:rPr>
          <w:rFonts w:hint="eastAsia"/>
          <w:color w:val="auto"/>
          <w:highlight w:val="none"/>
        </w:rPr>
        <w:t>，分别生成一条纵断面，并根据需要生成横断面。</w:t>
      </w:r>
    </w:p>
    <w:p>
      <w:pPr>
        <w:spacing w:line="360" w:lineRule="auto"/>
        <w:ind w:firstLine="422" w:firstLineChars="200"/>
        <w:jc w:val="left"/>
        <w:rPr>
          <w:color w:val="auto"/>
          <w:kern w:val="0"/>
          <w:highlight w:val="none"/>
        </w:rPr>
      </w:pPr>
      <w:r>
        <w:rPr>
          <w:rFonts w:hint="eastAsia"/>
          <w:b/>
          <w:bCs/>
          <w:color w:val="auto"/>
          <w:kern w:val="0"/>
          <w:highlight w:val="none"/>
        </w:rPr>
        <w:t>4</w:t>
      </w:r>
      <w:r>
        <w:rPr>
          <w:rFonts w:hint="eastAsia"/>
          <w:color w:val="auto"/>
          <w:kern w:val="0"/>
          <w:highlight w:val="none"/>
        </w:rPr>
        <w:t>　陆域孔不宜偏出管廊</w:t>
      </w:r>
      <w:r>
        <w:rPr>
          <w:color w:val="auto"/>
          <w:highlight w:val="none"/>
        </w:rPr>
        <w:t>结构轮廓线</w:t>
      </w:r>
      <w:r>
        <w:rPr>
          <w:rFonts w:hint="eastAsia"/>
          <w:color w:val="auto"/>
          <w:kern w:val="0"/>
          <w:highlight w:val="none"/>
        </w:rPr>
        <w:t>5m，水域孔不宜偏出管廊</w:t>
      </w:r>
      <w:r>
        <w:rPr>
          <w:color w:val="auto"/>
          <w:highlight w:val="none"/>
        </w:rPr>
        <w:t>结构轮廓线</w:t>
      </w:r>
      <w:r>
        <w:rPr>
          <w:rFonts w:hint="eastAsia"/>
          <w:color w:val="auto"/>
          <w:kern w:val="0"/>
          <w:highlight w:val="none"/>
        </w:rPr>
        <w:t>10m</w:t>
      </w:r>
      <w:r>
        <w:rPr>
          <w:color w:val="auto"/>
          <w:highlight w:val="none"/>
        </w:rPr>
        <w:t>。</w:t>
      </w:r>
    </w:p>
    <w:p>
      <w:pPr>
        <w:autoSpaceDE w:val="0"/>
        <w:autoSpaceDN w:val="0"/>
        <w:adjustRightInd w:val="0"/>
        <w:spacing w:line="360" w:lineRule="auto"/>
        <w:jc w:val="left"/>
        <w:rPr>
          <w:color w:val="auto"/>
          <w:kern w:val="0"/>
          <w:highlight w:val="none"/>
        </w:rPr>
      </w:pPr>
      <w:bookmarkStart w:id="170" w:name="_Toc25075"/>
      <w:r>
        <w:rPr>
          <w:rFonts w:hint="eastAsia"/>
          <w:b/>
          <w:bCs/>
          <w:color w:val="auto"/>
          <w:highlight w:val="none"/>
        </w:rPr>
        <w:t>10</w:t>
      </w:r>
      <w:r>
        <w:rPr>
          <w:b/>
          <w:bCs/>
          <w:color w:val="auto"/>
          <w:highlight w:val="none"/>
        </w:rPr>
        <w:t>.</w:t>
      </w:r>
      <w:r>
        <w:rPr>
          <w:rFonts w:hint="eastAsia"/>
          <w:b/>
          <w:bCs/>
          <w:color w:val="auto"/>
          <w:highlight w:val="none"/>
        </w:rPr>
        <w:t>1.4</w:t>
      </w:r>
      <w:r>
        <w:rPr>
          <w:rFonts w:hint="eastAsia"/>
          <w:color w:val="auto"/>
          <w:highlight w:val="none"/>
        </w:rPr>
        <w:t>　管廊存在</w:t>
      </w:r>
      <w:r>
        <w:rPr>
          <w:color w:val="auto"/>
          <w:highlight w:val="none"/>
        </w:rPr>
        <w:t>穿越</w:t>
      </w:r>
      <w:r>
        <w:rPr>
          <w:rFonts w:hint="eastAsia"/>
          <w:color w:val="auto"/>
          <w:highlight w:val="none"/>
        </w:rPr>
        <w:t>中微风化岩体、孤石、大范围抛石的</w:t>
      </w:r>
      <w:r>
        <w:rPr>
          <w:rFonts w:hint="eastAsia"/>
          <w:color w:val="auto"/>
          <w:kern w:val="0"/>
          <w:highlight w:val="none"/>
        </w:rPr>
        <w:t>可能</w:t>
      </w:r>
      <w:r>
        <w:rPr>
          <w:rFonts w:hint="eastAsia"/>
          <w:color w:val="auto"/>
          <w:highlight w:val="none"/>
        </w:rPr>
        <w:t>时</w:t>
      </w:r>
      <w:r>
        <w:rPr>
          <w:color w:val="auto"/>
          <w:kern w:val="0"/>
          <w:highlight w:val="none"/>
        </w:rPr>
        <w:t>，</w:t>
      </w:r>
      <w:r>
        <w:rPr>
          <w:rFonts w:hint="eastAsia"/>
          <w:color w:val="auto"/>
          <w:highlight w:val="none"/>
        </w:rPr>
        <w:t>暗挖法管廊宜沿管廊轴线布置物探测线，并</w:t>
      </w:r>
      <w:r>
        <w:rPr>
          <w:color w:val="auto"/>
          <w:highlight w:val="none"/>
        </w:rPr>
        <w:t>参照附录</w:t>
      </w:r>
      <w:r>
        <w:rPr>
          <w:rFonts w:hint="eastAsia"/>
          <w:color w:val="auto"/>
          <w:highlight w:val="none"/>
        </w:rPr>
        <w:t>C选择物探方法</w:t>
      </w:r>
      <w:r>
        <w:rPr>
          <w:color w:val="auto"/>
          <w:kern w:val="0"/>
          <w:highlight w:val="none"/>
        </w:rPr>
        <w:t>开展物探工作</w:t>
      </w:r>
      <w:r>
        <w:rPr>
          <w:rFonts w:hint="eastAsia"/>
          <w:color w:val="auto"/>
          <w:kern w:val="0"/>
          <w:highlight w:val="none"/>
        </w:rPr>
        <w:t>。</w:t>
      </w:r>
    </w:p>
    <w:p>
      <w:pPr>
        <w:pStyle w:val="3"/>
        <w:rPr>
          <w:rFonts w:ascii="Times New Roman" w:hAnsi="Times New Roman" w:eastAsia="宋体"/>
          <w:color w:val="auto"/>
          <w:highlight w:val="none"/>
        </w:rPr>
      </w:pPr>
      <w:bookmarkStart w:id="171" w:name="_Toc30804"/>
      <w:bookmarkStart w:id="172" w:name="_Toc14434"/>
      <w:bookmarkStart w:id="173" w:name="_Toc7894"/>
      <w:r>
        <w:rPr>
          <w:rFonts w:ascii="Times New Roman" w:hAnsi="Times New Roman" w:eastAsia="宋体"/>
          <w:color w:val="auto"/>
          <w:highlight w:val="none"/>
        </w:rPr>
        <w:t>10.2</w:t>
      </w:r>
      <w:r>
        <w:rPr>
          <w:rFonts w:hint="eastAsia" w:ascii="Times New Roman" w:hAnsi="Times New Roman" w:eastAsia="宋体"/>
          <w:color w:val="auto"/>
          <w:highlight w:val="none"/>
        </w:rPr>
        <w:t>　</w:t>
      </w:r>
      <w:r>
        <w:rPr>
          <w:rFonts w:ascii="Times New Roman" w:hAnsi="Times New Roman" w:eastAsia="宋体"/>
          <w:color w:val="auto"/>
          <w:highlight w:val="none"/>
        </w:rPr>
        <w:t>可行性研究勘察</w:t>
      </w:r>
      <w:bookmarkEnd w:id="170"/>
      <w:bookmarkEnd w:id="171"/>
      <w:bookmarkEnd w:id="172"/>
      <w:bookmarkEnd w:id="173"/>
    </w:p>
    <w:p>
      <w:pPr>
        <w:spacing w:line="360" w:lineRule="auto"/>
        <w:rPr>
          <w:color w:val="auto"/>
          <w:highlight w:val="none"/>
        </w:rPr>
      </w:pPr>
      <w:r>
        <w:rPr>
          <w:b/>
          <w:bCs/>
          <w:color w:val="auto"/>
          <w:highlight w:val="none"/>
        </w:rPr>
        <w:t>10.2.1</w:t>
      </w:r>
      <w:r>
        <w:rPr>
          <w:rFonts w:hint="eastAsia"/>
          <w:b/>
          <w:bCs/>
          <w:color w:val="auto"/>
          <w:highlight w:val="none"/>
        </w:rPr>
        <w:t>　</w:t>
      </w:r>
      <w:r>
        <w:rPr>
          <w:color w:val="auto"/>
          <w:highlight w:val="none"/>
        </w:rPr>
        <w:t>可行性研究</w:t>
      </w:r>
      <w:r>
        <w:rPr>
          <w:rFonts w:hint="eastAsia"/>
          <w:color w:val="auto"/>
          <w:highlight w:val="none"/>
        </w:rPr>
        <w:t>勘察</w:t>
      </w:r>
      <w:r>
        <w:rPr>
          <w:color w:val="auto"/>
          <w:highlight w:val="none"/>
        </w:rPr>
        <w:t>应以搜集资料、现场踏勘、</w:t>
      </w:r>
      <w:r>
        <w:rPr>
          <w:rFonts w:hint="eastAsia"/>
          <w:color w:val="auto"/>
          <w:highlight w:val="none"/>
        </w:rPr>
        <w:t>工程地质</w:t>
      </w:r>
      <w:r>
        <w:rPr>
          <w:color w:val="auto"/>
          <w:highlight w:val="none"/>
        </w:rPr>
        <w:t>调查</w:t>
      </w:r>
      <w:r>
        <w:rPr>
          <w:rFonts w:hint="eastAsia"/>
          <w:color w:val="auto"/>
          <w:highlight w:val="none"/>
        </w:rPr>
        <w:t>和测绘</w:t>
      </w:r>
      <w:r>
        <w:rPr>
          <w:color w:val="auto"/>
          <w:highlight w:val="none"/>
        </w:rPr>
        <w:t>为主，辅以必要的</w:t>
      </w:r>
      <w:r>
        <w:rPr>
          <w:rFonts w:hint="eastAsia"/>
          <w:color w:val="auto"/>
          <w:highlight w:val="none"/>
        </w:rPr>
        <w:t>勘探、测试及试验工作</w:t>
      </w:r>
      <w:r>
        <w:rPr>
          <w:color w:val="auto"/>
          <w:highlight w:val="none"/>
        </w:rPr>
        <w:t>。</w:t>
      </w:r>
    </w:p>
    <w:p>
      <w:pPr>
        <w:spacing w:line="360" w:lineRule="auto"/>
        <w:rPr>
          <w:color w:val="auto"/>
          <w:highlight w:val="none"/>
        </w:rPr>
      </w:pPr>
      <w:r>
        <w:rPr>
          <w:b/>
          <w:bCs/>
          <w:color w:val="auto"/>
          <w:highlight w:val="none"/>
        </w:rPr>
        <w:t>10.2.2</w:t>
      </w:r>
      <w:r>
        <w:rPr>
          <w:rFonts w:hint="eastAsia"/>
          <w:b/>
          <w:bCs/>
          <w:color w:val="auto"/>
          <w:highlight w:val="none"/>
        </w:rPr>
        <w:t>　</w:t>
      </w:r>
      <w:r>
        <w:rPr>
          <w:color w:val="auto"/>
          <w:highlight w:val="none"/>
        </w:rPr>
        <w:t>可行性研究勘察资料收集包括下列内容：</w:t>
      </w:r>
    </w:p>
    <w:p>
      <w:pPr>
        <w:spacing w:line="360" w:lineRule="auto"/>
        <w:ind w:firstLine="422" w:firstLineChars="200"/>
        <w:rPr>
          <w:color w:val="auto"/>
          <w:kern w:val="0"/>
          <w:highlight w:val="none"/>
        </w:rPr>
      </w:pPr>
      <w:r>
        <w:rPr>
          <w:b/>
          <w:bCs/>
          <w:color w:val="auto"/>
          <w:kern w:val="0"/>
          <w:highlight w:val="none"/>
        </w:rPr>
        <w:t>1</w:t>
      </w:r>
      <w:r>
        <w:rPr>
          <w:rFonts w:hint="eastAsia"/>
          <w:b/>
          <w:bCs/>
          <w:color w:val="auto"/>
          <w:kern w:val="0"/>
          <w:highlight w:val="none"/>
        </w:rPr>
        <w:t>　</w:t>
      </w:r>
      <w:r>
        <w:rPr>
          <w:color w:val="auto"/>
          <w:kern w:val="0"/>
          <w:highlight w:val="none"/>
        </w:rPr>
        <w:t>工程所在地的气象、水文以及工程相关的水利、防洪设施等资料。</w:t>
      </w:r>
    </w:p>
    <w:p>
      <w:pPr>
        <w:spacing w:line="360" w:lineRule="auto"/>
        <w:ind w:firstLine="422" w:firstLineChars="200"/>
        <w:rPr>
          <w:color w:val="auto"/>
          <w:kern w:val="0"/>
          <w:highlight w:val="none"/>
        </w:rPr>
      </w:pPr>
      <w:r>
        <w:rPr>
          <w:b/>
          <w:bCs/>
          <w:color w:val="auto"/>
          <w:kern w:val="0"/>
          <w:highlight w:val="none"/>
        </w:rPr>
        <w:t>2</w:t>
      </w:r>
      <w:r>
        <w:rPr>
          <w:rFonts w:hint="eastAsia"/>
          <w:b/>
          <w:bCs/>
          <w:color w:val="auto"/>
          <w:kern w:val="0"/>
          <w:highlight w:val="none"/>
        </w:rPr>
        <w:t>　</w:t>
      </w:r>
      <w:r>
        <w:rPr>
          <w:color w:val="auto"/>
          <w:kern w:val="0"/>
          <w:highlight w:val="none"/>
        </w:rPr>
        <w:t>区域地质、构造、地震及液化等资料。</w:t>
      </w:r>
    </w:p>
    <w:p>
      <w:pPr>
        <w:spacing w:line="360" w:lineRule="auto"/>
        <w:ind w:firstLine="422" w:firstLineChars="200"/>
        <w:rPr>
          <w:color w:val="auto"/>
          <w:kern w:val="0"/>
          <w:highlight w:val="none"/>
        </w:rPr>
      </w:pPr>
      <w:r>
        <w:rPr>
          <w:b/>
          <w:bCs/>
          <w:color w:val="auto"/>
          <w:kern w:val="0"/>
          <w:highlight w:val="none"/>
        </w:rPr>
        <w:t>3</w:t>
      </w:r>
      <w:r>
        <w:rPr>
          <w:rFonts w:hint="eastAsia"/>
          <w:b/>
          <w:bCs/>
          <w:color w:val="auto"/>
          <w:kern w:val="0"/>
          <w:highlight w:val="none"/>
        </w:rPr>
        <w:t>　</w:t>
      </w:r>
      <w:r>
        <w:rPr>
          <w:color w:val="auto"/>
          <w:kern w:val="0"/>
          <w:highlight w:val="none"/>
        </w:rPr>
        <w:t>沿线地形地貌、地层岩性、地下水、特殊性岩土、不良地质作用和地质灾害等资料。</w:t>
      </w:r>
    </w:p>
    <w:p>
      <w:pPr>
        <w:spacing w:line="360" w:lineRule="auto"/>
        <w:ind w:firstLine="422" w:firstLineChars="200"/>
        <w:rPr>
          <w:color w:val="auto"/>
          <w:kern w:val="0"/>
          <w:highlight w:val="none"/>
        </w:rPr>
      </w:pPr>
      <w:r>
        <w:rPr>
          <w:b/>
          <w:bCs/>
          <w:color w:val="auto"/>
          <w:kern w:val="0"/>
          <w:highlight w:val="none"/>
        </w:rPr>
        <w:t>4</w:t>
      </w:r>
      <w:r>
        <w:rPr>
          <w:rFonts w:hint="eastAsia"/>
          <w:color w:val="auto"/>
          <w:kern w:val="0"/>
          <w:highlight w:val="none"/>
        </w:rPr>
        <w:t>　</w:t>
      </w:r>
      <w:r>
        <w:rPr>
          <w:color w:val="auto"/>
          <w:kern w:val="0"/>
          <w:highlight w:val="none"/>
        </w:rPr>
        <w:t>影响管廊线路方案的重要建（构）筑物、桥涵、隧道、轨道交通设施等工程周边环境的设计与施工资料。</w:t>
      </w:r>
    </w:p>
    <w:p>
      <w:pPr>
        <w:spacing w:line="360" w:lineRule="auto"/>
        <w:rPr>
          <w:color w:val="auto"/>
          <w:kern w:val="0"/>
          <w:highlight w:val="none"/>
        </w:rPr>
      </w:pPr>
      <w:r>
        <w:rPr>
          <w:b/>
          <w:bCs/>
          <w:color w:val="auto"/>
          <w:highlight w:val="none"/>
        </w:rPr>
        <w:t>10.2.3</w:t>
      </w:r>
      <w:r>
        <w:rPr>
          <w:rFonts w:hint="eastAsia"/>
          <w:b/>
          <w:bCs/>
          <w:color w:val="auto"/>
          <w:highlight w:val="none"/>
        </w:rPr>
        <w:t>　</w:t>
      </w:r>
      <w:r>
        <w:rPr>
          <w:color w:val="auto"/>
          <w:highlight w:val="none"/>
        </w:rPr>
        <w:t>可行性研究勘察</w:t>
      </w:r>
      <w:r>
        <w:rPr>
          <w:rFonts w:hint="eastAsia"/>
          <w:color w:val="auto"/>
          <w:kern w:val="0"/>
          <w:highlight w:val="none"/>
        </w:rPr>
        <w:t>宜</w:t>
      </w:r>
      <w:r>
        <w:rPr>
          <w:color w:val="auto"/>
          <w:kern w:val="0"/>
          <w:highlight w:val="none"/>
        </w:rPr>
        <w:t>在充分</w:t>
      </w:r>
      <w:r>
        <w:rPr>
          <w:color w:val="auto"/>
          <w:highlight w:val="none"/>
        </w:rPr>
        <w:t>搜集</w:t>
      </w:r>
      <w:r>
        <w:rPr>
          <w:color w:val="auto"/>
          <w:kern w:val="0"/>
          <w:highlight w:val="none"/>
        </w:rPr>
        <w:t>和分析已有资料的基础上，通过踏勘、</w:t>
      </w:r>
      <w:r>
        <w:rPr>
          <w:rFonts w:hint="eastAsia"/>
          <w:color w:val="auto"/>
          <w:highlight w:val="none"/>
        </w:rPr>
        <w:t>工程地质</w:t>
      </w:r>
      <w:r>
        <w:rPr>
          <w:color w:val="auto"/>
          <w:highlight w:val="none"/>
        </w:rPr>
        <w:t>调查</w:t>
      </w:r>
      <w:r>
        <w:rPr>
          <w:rFonts w:hint="eastAsia"/>
          <w:color w:val="auto"/>
          <w:highlight w:val="none"/>
        </w:rPr>
        <w:t>和测绘</w:t>
      </w:r>
      <w:r>
        <w:rPr>
          <w:color w:val="auto"/>
          <w:kern w:val="0"/>
          <w:highlight w:val="none"/>
        </w:rPr>
        <w:t>调查进一步了解场地的地层岩性、构造、特殊性岩土、不良地质作用和地下水等工程地质条件。</w:t>
      </w:r>
    </w:p>
    <w:p>
      <w:pPr>
        <w:spacing w:line="360" w:lineRule="auto"/>
        <w:rPr>
          <w:color w:val="auto"/>
          <w:kern w:val="0"/>
          <w:highlight w:val="none"/>
        </w:rPr>
      </w:pPr>
      <w:r>
        <w:rPr>
          <w:b/>
          <w:bCs/>
          <w:color w:val="auto"/>
          <w:highlight w:val="none"/>
        </w:rPr>
        <w:t>10.2.4</w:t>
      </w:r>
      <w:r>
        <w:rPr>
          <w:rFonts w:hint="eastAsia"/>
          <w:b/>
          <w:bCs/>
          <w:color w:val="auto"/>
          <w:highlight w:val="none"/>
        </w:rPr>
        <w:t>　</w:t>
      </w:r>
      <w:r>
        <w:rPr>
          <w:color w:val="auto"/>
          <w:kern w:val="0"/>
          <w:highlight w:val="none"/>
        </w:rPr>
        <w:t>当拟建场地工程地质条件复杂，已有资料不能满足要求时，应根据具体情况进行工程地质测绘和必要的勘探工作。</w:t>
      </w:r>
    </w:p>
    <w:p>
      <w:pPr>
        <w:spacing w:line="360" w:lineRule="auto"/>
        <w:ind w:firstLine="422" w:firstLineChars="200"/>
        <w:rPr>
          <w:color w:val="auto"/>
          <w:kern w:val="0"/>
          <w:highlight w:val="none"/>
        </w:rPr>
      </w:pPr>
      <w:r>
        <w:rPr>
          <w:b/>
          <w:bCs/>
          <w:color w:val="auto"/>
          <w:kern w:val="0"/>
          <w:highlight w:val="none"/>
        </w:rPr>
        <w:t>1</w:t>
      </w:r>
      <w:r>
        <w:rPr>
          <w:rFonts w:hint="eastAsia"/>
          <w:b/>
          <w:bCs/>
          <w:color w:val="auto"/>
          <w:kern w:val="0"/>
          <w:highlight w:val="none"/>
        </w:rPr>
        <w:t>　</w:t>
      </w:r>
      <w:r>
        <w:rPr>
          <w:color w:val="auto"/>
          <w:kern w:val="0"/>
          <w:highlight w:val="none"/>
        </w:rPr>
        <w:t>工程地质测绘比例尺宜为1:2000～1:5000，测绘范围宜为管廊两侧各200</w:t>
      </w:r>
      <w:r>
        <w:rPr>
          <w:rFonts w:hint="eastAsia"/>
          <w:color w:val="auto"/>
          <w:kern w:val="0"/>
          <w:highlight w:val="none"/>
        </w:rPr>
        <w:t>m</w:t>
      </w:r>
      <w:r>
        <w:rPr>
          <w:color w:val="auto"/>
          <w:kern w:val="0"/>
          <w:highlight w:val="none"/>
        </w:rPr>
        <w:t>～300m。</w:t>
      </w:r>
    </w:p>
    <w:p>
      <w:pPr>
        <w:spacing w:line="360" w:lineRule="auto"/>
        <w:ind w:firstLine="422" w:firstLineChars="200"/>
        <w:rPr>
          <w:color w:val="auto"/>
          <w:kern w:val="0"/>
          <w:highlight w:val="none"/>
        </w:rPr>
      </w:pPr>
      <w:r>
        <w:rPr>
          <w:b/>
          <w:bCs/>
          <w:color w:val="auto"/>
          <w:kern w:val="0"/>
          <w:highlight w:val="none"/>
        </w:rPr>
        <w:t>2</w:t>
      </w:r>
      <w:r>
        <w:rPr>
          <w:rFonts w:hint="eastAsia"/>
          <w:b/>
          <w:bCs/>
          <w:color w:val="auto"/>
          <w:kern w:val="0"/>
          <w:highlight w:val="none"/>
        </w:rPr>
        <w:t>　</w:t>
      </w:r>
      <w:r>
        <w:rPr>
          <w:color w:val="auto"/>
          <w:kern w:val="0"/>
          <w:highlight w:val="none"/>
        </w:rPr>
        <w:t>勘探孔间距为500</w:t>
      </w:r>
      <w:r>
        <w:rPr>
          <w:rFonts w:hint="eastAsia"/>
          <w:color w:val="auto"/>
          <w:kern w:val="0"/>
          <w:highlight w:val="none"/>
        </w:rPr>
        <w:t>m</w:t>
      </w:r>
      <w:r>
        <w:rPr>
          <w:color w:val="auto"/>
          <w:kern w:val="0"/>
          <w:highlight w:val="none"/>
        </w:rPr>
        <w:t>～1000m。在松散地层中，勘探孔深度应进入综合管廊底标高下15m。在预定深度内遇中等风化或微风化岩时，</w:t>
      </w:r>
      <w:r>
        <w:rPr>
          <w:rFonts w:hint="eastAsia"/>
          <w:color w:val="auto"/>
          <w:kern w:val="0"/>
          <w:highlight w:val="none"/>
        </w:rPr>
        <w:t>勘探孔</w:t>
      </w:r>
      <w:r>
        <w:rPr>
          <w:color w:val="auto"/>
          <w:kern w:val="0"/>
          <w:highlight w:val="none"/>
        </w:rPr>
        <w:t>深度</w:t>
      </w:r>
      <w:r>
        <w:rPr>
          <w:rFonts w:hint="eastAsia"/>
          <w:color w:val="auto"/>
          <w:kern w:val="0"/>
          <w:highlight w:val="none"/>
        </w:rPr>
        <w:t>可适当减小，并</w:t>
      </w:r>
      <w:r>
        <w:rPr>
          <w:color w:val="auto"/>
          <w:kern w:val="0"/>
          <w:highlight w:val="none"/>
        </w:rPr>
        <w:t>应</w:t>
      </w:r>
      <w:r>
        <w:rPr>
          <w:rFonts w:hint="eastAsia"/>
          <w:color w:val="auto"/>
          <w:kern w:val="0"/>
          <w:highlight w:val="none"/>
        </w:rPr>
        <w:t>进入</w:t>
      </w:r>
      <w:r>
        <w:rPr>
          <w:color w:val="auto"/>
          <w:kern w:val="0"/>
          <w:highlight w:val="none"/>
        </w:rPr>
        <w:t>中等风化或微风化岩5～8m；遇到溶洞、土洞、暗河以及软弱土层等，应穿透并根据需要加深。</w:t>
      </w:r>
    </w:p>
    <w:p>
      <w:pPr>
        <w:spacing w:line="360" w:lineRule="auto"/>
        <w:rPr>
          <w:color w:val="auto"/>
          <w:kern w:val="0"/>
          <w:highlight w:val="none"/>
        </w:rPr>
      </w:pPr>
      <w:r>
        <w:rPr>
          <w:b/>
          <w:bCs/>
          <w:color w:val="auto"/>
          <w:highlight w:val="none"/>
        </w:rPr>
        <w:t>10.2.5</w:t>
      </w:r>
      <w:r>
        <w:rPr>
          <w:rFonts w:hint="eastAsia"/>
          <w:color w:val="auto"/>
          <w:highlight w:val="none"/>
        </w:rPr>
        <w:t>　</w:t>
      </w:r>
      <w:r>
        <w:rPr>
          <w:color w:val="auto"/>
          <w:kern w:val="0"/>
          <w:highlight w:val="none"/>
        </w:rPr>
        <w:t>综合管廊工程可行性研究勘察应重点分析评价下列内容：</w:t>
      </w:r>
    </w:p>
    <w:p>
      <w:pPr>
        <w:spacing w:line="360" w:lineRule="auto"/>
        <w:ind w:firstLine="422" w:firstLineChars="200"/>
        <w:rPr>
          <w:color w:val="auto"/>
          <w:highlight w:val="none"/>
        </w:rPr>
      </w:pPr>
      <w:bookmarkStart w:id="174" w:name="_Toc2766"/>
      <w:r>
        <w:rPr>
          <w:b/>
          <w:bCs/>
          <w:color w:val="auto"/>
          <w:highlight w:val="none"/>
        </w:rPr>
        <w:t>1</w:t>
      </w:r>
      <w:r>
        <w:rPr>
          <w:rFonts w:hint="eastAsia"/>
          <w:color w:val="auto"/>
          <w:highlight w:val="none"/>
        </w:rPr>
        <w:t>　</w:t>
      </w:r>
      <w:r>
        <w:rPr>
          <w:color w:val="auto"/>
          <w:highlight w:val="none"/>
        </w:rPr>
        <w:t>场地的稳定性及</w:t>
      </w:r>
      <w:r>
        <w:rPr>
          <w:rFonts w:hint="eastAsia"/>
          <w:color w:val="auto"/>
          <w:highlight w:val="none"/>
        </w:rPr>
        <w:t>工程建设的</w:t>
      </w:r>
      <w:r>
        <w:rPr>
          <w:color w:val="auto"/>
          <w:highlight w:val="none"/>
        </w:rPr>
        <w:t>适宜性；</w:t>
      </w:r>
    </w:p>
    <w:p>
      <w:pPr>
        <w:spacing w:line="360" w:lineRule="auto"/>
        <w:ind w:firstLine="422" w:firstLineChars="200"/>
        <w:rPr>
          <w:color w:val="auto"/>
          <w:highlight w:val="none"/>
        </w:rPr>
      </w:pPr>
      <w:r>
        <w:rPr>
          <w:b/>
          <w:bCs/>
          <w:color w:val="auto"/>
          <w:highlight w:val="none"/>
        </w:rPr>
        <w:t>2</w:t>
      </w:r>
      <w:r>
        <w:rPr>
          <w:rFonts w:hint="eastAsia"/>
          <w:color w:val="auto"/>
          <w:highlight w:val="none"/>
        </w:rPr>
        <w:t>　</w:t>
      </w:r>
      <w:r>
        <w:rPr>
          <w:color w:val="auto"/>
          <w:highlight w:val="none"/>
        </w:rPr>
        <w:t>不良地质作用</w:t>
      </w:r>
      <w:r>
        <w:rPr>
          <w:rFonts w:hint="eastAsia"/>
          <w:color w:val="auto"/>
          <w:highlight w:val="none"/>
        </w:rPr>
        <w:t>分</w:t>
      </w:r>
      <w:r>
        <w:rPr>
          <w:color w:val="auto"/>
          <w:highlight w:val="none"/>
        </w:rPr>
        <w:t>布范围和对工程建设的影响；</w:t>
      </w:r>
    </w:p>
    <w:p>
      <w:pPr>
        <w:spacing w:line="360" w:lineRule="auto"/>
        <w:ind w:firstLine="422" w:firstLineChars="200"/>
        <w:rPr>
          <w:color w:val="auto"/>
          <w:highlight w:val="none"/>
        </w:rPr>
      </w:pPr>
      <w:r>
        <w:rPr>
          <w:b/>
          <w:bCs/>
          <w:color w:val="auto"/>
          <w:highlight w:val="none"/>
        </w:rPr>
        <w:t>3</w:t>
      </w:r>
      <w:r>
        <w:rPr>
          <w:rFonts w:hint="eastAsia"/>
          <w:b/>
          <w:bCs/>
          <w:color w:val="auto"/>
          <w:highlight w:val="none"/>
        </w:rPr>
        <w:t>　</w:t>
      </w:r>
      <w:r>
        <w:rPr>
          <w:color w:val="auto"/>
          <w:highlight w:val="none"/>
        </w:rPr>
        <w:t>特殊性岩土</w:t>
      </w:r>
      <w:r>
        <w:rPr>
          <w:rFonts w:hint="eastAsia"/>
          <w:color w:val="auto"/>
          <w:highlight w:val="none"/>
        </w:rPr>
        <w:t>的</w:t>
      </w:r>
      <w:r>
        <w:rPr>
          <w:color w:val="auto"/>
          <w:highlight w:val="none"/>
        </w:rPr>
        <w:t>工程特性和可能造成的不利影响；</w:t>
      </w:r>
    </w:p>
    <w:p>
      <w:pPr>
        <w:spacing w:line="360" w:lineRule="auto"/>
        <w:ind w:firstLine="422" w:firstLineChars="200"/>
        <w:rPr>
          <w:color w:val="auto"/>
          <w:highlight w:val="none"/>
        </w:rPr>
      </w:pPr>
      <w:r>
        <w:rPr>
          <w:b/>
          <w:bCs/>
          <w:color w:val="auto"/>
          <w:highlight w:val="none"/>
        </w:rPr>
        <w:t>4</w:t>
      </w:r>
      <w:r>
        <w:rPr>
          <w:rFonts w:hint="eastAsia"/>
          <w:b/>
          <w:bCs/>
          <w:color w:val="auto"/>
          <w:highlight w:val="none"/>
        </w:rPr>
        <w:t>　</w:t>
      </w:r>
      <w:r>
        <w:rPr>
          <w:color w:val="auto"/>
          <w:highlight w:val="none"/>
        </w:rPr>
        <w:t>拟建管廊周边环境与综合管廊的相互影响，提出规避、保护的初步建议</w:t>
      </w:r>
      <w:r>
        <w:rPr>
          <w:rFonts w:hint="eastAsia"/>
          <w:color w:val="auto"/>
          <w:highlight w:val="none"/>
        </w:rPr>
        <w:t>；</w:t>
      </w:r>
    </w:p>
    <w:p>
      <w:pPr>
        <w:spacing w:line="360" w:lineRule="auto"/>
        <w:ind w:firstLine="422" w:firstLineChars="200"/>
        <w:rPr>
          <w:color w:val="auto"/>
          <w:highlight w:val="none"/>
        </w:rPr>
      </w:pPr>
      <w:r>
        <w:rPr>
          <w:rFonts w:hint="eastAsia"/>
          <w:b/>
          <w:bCs/>
          <w:color w:val="auto"/>
          <w:highlight w:val="none"/>
        </w:rPr>
        <w:t>5</w:t>
      </w:r>
      <w:r>
        <w:rPr>
          <w:rFonts w:hint="eastAsia"/>
          <w:color w:val="auto"/>
          <w:highlight w:val="none"/>
        </w:rPr>
        <w:t>　</w:t>
      </w:r>
      <w:r>
        <w:rPr>
          <w:color w:val="auto"/>
          <w:highlight w:val="none"/>
        </w:rPr>
        <w:t>对于存在两个或两个以上拟选场地时，提出线路比选方案的建议。</w:t>
      </w:r>
    </w:p>
    <w:p>
      <w:pPr>
        <w:pStyle w:val="3"/>
        <w:rPr>
          <w:rFonts w:ascii="Times New Roman" w:hAnsi="Times New Roman" w:eastAsia="宋体"/>
          <w:color w:val="auto"/>
          <w:highlight w:val="none"/>
        </w:rPr>
      </w:pPr>
      <w:bookmarkStart w:id="175" w:name="_Toc5316"/>
      <w:bookmarkStart w:id="176" w:name="_Toc5428"/>
      <w:bookmarkStart w:id="177" w:name="_Toc32605"/>
      <w:bookmarkStart w:id="178" w:name="_10.3　初步勘察"/>
      <w:r>
        <w:rPr>
          <w:rFonts w:ascii="Times New Roman" w:hAnsi="Times New Roman" w:eastAsia="宋体"/>
          <w:color w:val="auto"/>
          <w:highlight w:val="none"/>
        </w:rPr>
        <w:t>10.3</w:t>
      </w:r>
      <w:r>
        <w:rPr>
          <w:rFonts w:hint="eastAsia" w:ascii="Times New Roman" w:hAnsi="Times New Roman" w:eastAsia="宋体"/>
          <w:color w:val="auto"/>
          <w:highlight w:val="none"/>
        </w:rPr>
        <w:t>　</w:t>
      </w:r>
      <w:r>
        <w:rPr>
          <w:rFonts w:ascii="Times New Roman" w:hAnsi="Times New Roman" w:eastAsia="宋体"/>
          <w:color w:val="auto"/>
          <w:highlight w:val="none"/>
        </w:rPr>
        <w:t>初步勘察</w:t>
      </w:r>
      <w:bookmarkEnd w:id="174"/>
      <w:bookmarkEnd w:id="175"/>
      <w:bookmarkEnd w:id="176"/>
      <w:bookmarkEnd w:id="177"/>
    </w:p>
    <w:bookmarkEnd w:id="178"/>
    <w:p>
      <w:pPr>
        <w:spacing w:line="360" w:lineRule="auto"/>
        <w:rPr>
          <w:color w:val="auto"/>
          <w:highlight w:val="none"/>
        </w:rPr>
      </w:pPr>
      <w:r>
        <w:rPr>
          <w:b/>
          <w:bCs/>
          <w:color w:val="auto"/>
          <w:highlight w:val="none"/>
        </w:rPr>
        <w:t>10.3.1</w:t>
      </w:r>
      <w:r>
        <w:rPr>
          <w:rFonts w:hint="eastAsia"/>
          <w:color w:val="auto"/>
          <w:highlight w:val="none"/>
        </w:rPr>
        <w:t>　</w:t>
      </w:r>
      <w:r>
        <w:rPr>
          <w:color w:val="auto"/>
          <w:highlight w:val="none"/>
        </w:rPr>
        <w:t>初步勘察应以</w:t>
      </w:r>
      <w:r>
        <w:rPr>
          <w:rFonts w:hint="eastAsia"/>
          <w:color w:val="auto"/>
          <w:highlight w:val="none"/>
        </w:rPr>
        <w:t>钻探和</w:t>
      </w:r>
      <w:r>
        <w:rPr>
          <w:color w:val="auto"/>
          <w:highlight w:val="none"/>
        </w:rPr>
        <w:t>测试工作为主，辅以必要的工程地质</w:t>
      </w:r>
      <w:r>
        <w:rPr>
          <w:rFonts w:hint="eastAsia"/>
          <w:color w:val="auto"/>
          <w:highlight w:val="none"/>
        </w:rPr>
        <w:t>调查与测绘</w:t>
      </w:r>
      <w:r>
        <w:rPr>
          <w:color w:val="auto"/>
          <w:highlight w:val="none"/>
        </w:rPr>
        <w:t>、物探等勘察方法，初步查明综合管廊沿线场地工程地质条件、水文地质条件。</w:t>
      </w:r>
    </w:p>
    <w:p>
      <w:pPr>
        <w:spacing w:line="360" w:lineRule="auto"/>
        <w:rPr>
          <w:color w:val="auto"/>
          <w:highlight w:val="none"/>
        </w:rPr>
      </w:pPr>
      <w:r>
        <w:rPr>
          <w:b/>
          <w:bCs/>
          <w:color w:val="auto"/>
          <w:kern w:val="0"/>
          <w:highlight w:val="none"/>
        </w:rPr>
        <w:t>10.3.</w:t>
      </w:r>
      <w:r>
        <w:rPr>
          <w:rFonts w:hint="eastAsia"/>
          <w:b/>
          <w:bCs/>
          <w:color w:val="auto"/>
          <w:kern w:val="0"/>
          <w:highlight w:val="none"/>
        </w:rPr>
        <w:t>2　</w:t>
      </w:r>
      <w:r>
        <w:rPr>
          <w:rFonts w:hint="eastAsia"/>
          <w:color w:val="auto"/>
          <w:highlight w:val="none"/>
        </w:rPr>
        <w:t>初步勘察应初步查明</w:t>
      </w:r>
      <w:r>
        <w:rPr>
          <w:color w:val="auto"/>
          <w:highlight w:val="none"/>
        </w:rPr>
        <w:t>下列内容：</w:t>
      </w:r>
    </w:p>
    <w:p>
      <w:pPr>
        <w:autoSpaceDE w:val="0"/>
        <w:autoSpaceDN w:val="0"/>
        <w:adjustRightInd w:val="0"/>
        <w:spacing w:line="360" w:lineRule="auto"/>
        <w:ind w:firstLine="422" w:firstLineChars="200"/>
        <w:jc w:val="left"/>
        <w:rPr>
          <w:rFonts w:hint="default" w:eastAsia="宋体"/>
          <w:b w:val="0"/>
          <w:bCs w:val="0"/>
          <w:color w:val="auto"/>
          <w:kern w:val="0"/>
          <w:highlight w:val="none"/>
          <w:lang w:val="en-US" w:eastAsia="zh-CN"/>
        </w:rPr>
      </w:pPr>
      <w:r>
        <w:rPr>
          <w:rFonts w:hint="eastAsia"/>
          <w:b/>
          <w:bCs/>
          <w:color w:val="auto"/>
          <w:kern w:val="0"/>
          <w:highlight w:val="none"/>
          <w:lang w:val="en-US" w:eastAsia="zh-CN"/>
        </w:rPr>
        <w:t>1</w:t>
      </w:r>
      <w:r>
        <w:rPr>
          <w:rFonts w:hint="eastAsia"/>
          <w:b w:val="0"/>
          <w:bCs w:val="0"/>
          <w:color w:val="auto"/>
          <w:kern w:val="0"/>
          <w:highlight w:val="none"/>
          <w:lang w:val="en-US" w:eastAsia="zh-CN"/>
        </w:rPr>
        <w:t xml:space="preserve">   场地的</w:t>
      </w:r>
      <w:r>
        <w:rPr>
          <w:color w:val="auto"/>
          <w:kern w:val="0"/>
          <w:highlight w:val="none"/>
        </w:rPr>
        <w:t>地貌类型、</w:t>
      </w:r>
      <w:r>
        <w:rPr>
          <w:rFonts w:hint="eastAsia"/>
          <w:color w:val="auto"/>
          <w:kern w:val="0"/>
          <w:highlight w:val="none"/>
        </w:rPr>
        <w:t>地形起伏变化情况</w:t>
      </w:r>
      <w:r>
        <w:rPr>
          <w:rFonts w:hint="eastAsia"/>
          <w:color w:val="auto"/>
          <w:highlight w:val="none"/>
          <w:lang w:val="en-US" w:eastAsia="zh-CN"/>
        </w:rPr>
        <w:t>、场地类别</w:t>
      </w:r>
      <w:r>
        <w:rPr>
          <w:color w:val="auto"/>
          <w:kern w:val="0"/>
          <w:highlight w:val="none"/>
        </w:rPr>
        <w:t>及</w:t>
      </w:r>
      <w:r>
        <w:rPr>
          <w:rFonts w:hint="eastAsia"/>
          <w:b w:val="0"/>
          <w:bCs w:val="0"/>
          <w:color w:val="auto"/>
          <w:kern w:val="0"/>
          <w:highlight w:val="none"/>
          <w:lang w:val="en-US" w:eastAsia="zh-CN"/>
        </w:rPr>
        <w:t>地震动参数；</w:t>
      </w:r>
    </w:p>
    <w:p>
      <w:pPr>
        <w:autoSpaceDE w:val="0"/>
        <w:spacing w:line="360" w:lineRule="auto"/>
        <w:ind w:firstLine="422" w:firstLineChars="200"/>
        <w:jc w:val="left"/>
        <w:rPr>
          <w:color w:val="auto"/>
          <w:highlight w:val="none"/>
        </w:rPr>
      </w:pPr>
      <w:r>
        <w:rPr>
          <w:b/>
          <w:bCs/>
          <w:color w:val="auto"/>
          <w:highlight w:val="none"/>
        </w:rPr>
        <w:t>1</w:t>
      </w:r>
      <w:r>
        <w:rPr>
          <w:rFonts w:hint="eastAsia"/>
          <w:b/>
          <w:bCs/>
          <w:color w:val="auto"/>
          <w:highlight w:val="none"/>
        </w:rPr>
        <w:t>　</w:t>
      </w:r>
      <w:r>
        <w:rPr>
          <w:color w:val="auto"/>
          <w:highlight w:val="none"/>
        </w:rPr>
        <w:t>沿线地质构造、地层岩性及水文地质条件；</w:t>
      </w:r>
    </w:p>
    <w:p>
      <w:pPr>
        <w:autoSpaceDE w:val="0"/>
        <w:spacing w:line="360" w:lineRule="auto"/>
        <w:ind w:firstLine="422" w:firstLineChars="200"/>
        <w:jc w:val="left"/>
        <w:rPr>
          <w:color w:val="auto"/>
          <w:highlight w:val="none"/>
        </w:rPr>
      </w:pPr>
      <w:r>
        <w:rPr>
          <w:b/>
          <w:bCs/>
          <w:color w:val="auto"/>
          <w:highlight w:val="none"/>
        </w:rPr>
        <w:t>2</w:t>
      </w:r>
      <w:r>
        <w:rPr>
          <w:rFonts w:hint="eastAsia"/>
          <w:b/>
          <w:bCs/>
          <w:color w:val="auto"/>
          <w:highlight w:val="none"/>
        </w:rPr>
        <w:t>　</w:t>
      </w:r>
      <w:r>
        <w:rPr>
          <w:color w:val="auto"/>
          <w:highlight w:val="none"/>
        </w:rPr>
        <w:t>沿线不良地质作用、特殊性岩土的类型、分布、工程特性、发展趋势；</w:t>
      </w:r>
    </w:p>
    <w:p>
      <w:pPr>
        <w:autoSpaceDE w:val="0"/>
        <w:spacing w:line="360" w:lineRule="auto"/>
        <w:ind w:firstLine="422" w:firstLineChars="200"/>
        <w:jc w:val="left"/>
        <w:rPr>
          <w:color w:val="auto"/>
          <w:highlight w:val="none"/>
        </w:rPr>
      </w:pPr>
      <w:r>
        <w:rPr>
          <w:rFonts w:hint="eastAsia"/>
          <w:b/>
          <w:bCs/>
          <w:color w:val="auto"/>
          <w:highlight w:val="none"/>
        </w:rPr>
        <w:t>3　</w:t>
      </w:r>
      <w:r>
        <w:rPr>
          <w:color w:val="auto"/>
          <w:highlight w:val="none"/>
        </w:rPr>
        <w:t>沿线地表水、地下水条件；</w:t>
      </w:r>
    </w:p>
    <w:p>
      <w:pPr>
        <w:autoSpaceDE w:val="0"/>
        <w:spacing w:line="360" w:lineRule="auto"/>
        <w:ind w:firstLine="422" w:firstLineChars="200"/>
        <w:jc w:val="left"/>
        <w:rPr>
          <w:color w:val="auto"/>
          <w:highlight w:val="none"/>
        </w:rPr>
      </w:pPr>
      <w:r>
        <w:rPr>
          <w:rFonts w:hint="eastAsia"/>
          <w:b/>
          <w:bCs/>
          <w:color w:val="auto"/>
          <w:highlight w:val="none"/>
        </w:rPr>
        <w:t>4　</w:t>
      </w:r>
      <w:r>
        <w:rPr>
          <w:rFonts w:hint="eastAsia"/>
          <w:color w:val="auto"/>
          <w:highlight w:val="none"/>
        </w:rPr>
        <w:t>场地</w:t>
      </w:r>
      <w:r>
        <w:rPr>
          <w:color w:val="auto"/>
          <w:highlight w:val="none"/>
        </w:rPr>
        <w:t>水、土对建筑材料的腐蚀性。</w:t>
      </w:r>
    </w:p>
    <w:p>
      <w:pPr>
        <w:spacing w:line="360" w:lineRule="auto"/>
        <w:rPr>
          <w:color w:val="auto"/>
          <w:highlight w:val="none"/>
        </w:rPr>
      </w:pPr>
      <w:r>
        <w:rPr>
          <w:b/>
          <w:bCs/>
          <w:color w:val="auto"/>
          <w:kern w:val="0"/>
          <w:highlight w:val="none"/>
        </w:rPr>
        <w:t>10.3.</w:t>
      </w:r>
      <w:r>
        <w:rPr>
          <w:rFonts w:hint="eastAsia"/>
          <w:b/>
          <w:bCs/>
          <w:color w:val="auto"/>
          <w:kern w:val="0"/>
          <w:highlight w:val="none"/>
        </w:rPr>
        <w:t>3　</w:t>
      </w:r>
      <w:r>
        <w:rPr>
          <w:color w:val="auto"/>
          <w:highlight w:val="none"/>
        </w:rPr>
        <w:t>初步勘察勘探点沿管廊中线投影间距宜符合表 10.3.</w:t>
      </w:r>
      <w:r>
        <w:rPr>
          <w:rFonts w:hint="eastAsia"/>
          <w:color w:val="auto"/>
          <w:highlight w:val="none"/>
        </w:rPr>
        <w:t>3</w:t>
      </w:r>
      <w:r>
        <w:rPr>
          <w:color w:val="auto"/>
          <w:highlight w:val="none"/>
        </w:rPr>
        <w:t xml:space="preserve"> 的规定</w:t>
      </w:r>
      <w:r>
        <w:rPr>
          <w:rFonts w:hint="eastAsia"/>
          <w:color w:val="auto"/>
          <w:highlight w:val="none"/>
        </w:rPr>
        <w:t>；</w:t>
      </w:r>
      <w:r>
        <w:rPr>
          <w:color w:val="auto"/>
          <w:highlight w:val="none"/>
        </w:rPr>
        <w:t>管廊节点</w:t>
      </w:r>
      <w:r>
        <w:rPr>
          <w:rFonts w:hint="eastAsia"/>
          <w:color w:val="auto"/>
          <w:highlight w:val="none"/>
        </w:rPr>
        <w:t>及井位</w:t>
      </w:r>
      <w:r>
        <w:rPr>
          <w:color w:val="auto"/>
          <w:highlight w:val="none"/>
        </w:rPr>
        <w:t>宜布置勘探点。</w:t>
      </w:r>
    </w:p>
    <w:p>
      <w:pPr>
        <w:autoSpaceDE w:val="0"/>
        <w:spacing w:line="360" w:lineRule="auto"/>
        <w:jc w:val="center"/>
        <w:rPr>
          <w:b/>
          <w:bCs/>
          <w:color w:val="auto"/>
          <w:highlight w:val="none"/>
        </w:rPr>
      </w:pPr>
      <w:r>
        <w:rPr>
          <w:b/>
          <w:bCs/>
          <w:color w:val="auto"/>
          <w:highlight w:val="none"/>
        </w:rPr>
        <w:t>表10.3.</w:t>
      </w:r>
      <w:r>
        <w:rPr>
          <w:rFonts w:hint="eastAsia"/>
          <w:b/>
          <w:bCs/>
          <w:color w:val="auto"/>
          <w:highlight w:val="none"/>
        </w:rPr>
        <w:t>3　</w:t>
      </w:r>
      <w:r>
        <w:rPr>
          <w:b/>
          <w:bCs/>
          <w:color w:val="auto"/>
          <w:highlight w:val="none"/>
        </w:rPr>
        <w:t>勘探点间距（m）</w:t>
      </w:r>
    </w:p>
    <w:tbl>
      <w:tblPr>
        <w:tblStyle w:val="23"/>
        <w:tblW w:w="82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65"/>
        <w:gridCol w:w="42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3965" w:type="dxa"/>
            <w:vAlign w:val="center"/>
          </w:tcPr>
          <w:p>
            <w:pPr>
              <w:spacing w:line="0" w:lineRule="atLeast"/>
              <w:jc w:val="center"/>
              <w:rPr>
                <w:color w:val="auto"/>
                <w:kern w:val="0"/>
                <w:sz w:val="20"/>
                <w:szCs w:val="20"/>
                <w:highlight w:val="none"/>
              </w:rPr>
            </w:pPr>
            <w:r>
              <w:rPr>
                <w:color w:val="auto"/>
                <w:sz w:val="20"/>
                <w:szCs w:val="20"/>
                <w:highlight w:val="none"/>
              </w:rPr>
              <w:t>场地</w:t>
            </w:r>
            <w:r>
              <w:rPr>
                <w:rFonts w:hint="eastAsia"/>
                <w:color w:val="auto"/>
                <w:sz w:val="20"/>
                <w:szCs w:val="20"/>
                <w:highlight w:val="none"/>
              </w:rPr>
              <w:t>和岩土条件</w:t>
            </w:r>
            <w:r>
              <w:rPr>
                <w:color w:val="auto"/>
                <w:sz w:val="20"/>
                <w:szCs w:val="20"/>
                <w:highlight w:val="none"/>
              </w:rPr>
              <w:t>复杂程度等级</w:t>
            </w:r>
          </w:p>
        </w:tc>
        <w:tc>
          <w:tcPr>
            <w:tcW w:w="4272"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勘探点间距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3965" w:type="dxa"/>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一级</w:t>
            </w:r>
          </w:p>
        </w:tc>
        <w:tc>
          <w:tcPr>
            <w:tcW w:w="4272" w:type="dxa"/>
          </w:tcPr>
          <w:p>
            <w:pPr>
              <w:autoSpaceDE w:val="0"/>
              <w:autoSpaceDN w:val="0"/>
              <w:adjustRightInd w:val="0"/>
              <w:spacing w:before="62" w:beforeLines="20" w:after="62" w:afterLines="20"/>
              <w:jc w:val="center"/>
              <w:rPr>
                <w:color w:val="auto"/>
                <w:kern w:val="0"/>
                <w:sz w:val="20"/>
                <w:szCs w:val="20"/>
                <w:highlight w:val="none"/>
              </w:rPr>
            </w:pPr>
            <w:r>
              <w:rPr>
                <w:rFonts w:hint="eastAsia"/>
                <w:color w:val="auto"/>
                <w:kern w:val="0"/>
                <w:sz w:val="20"/>
                <w:szCs w:val="20"/>
                <w:highlight w:val="none"/>
              </w:rPr>
              <w:t>5</w:t>
            </w:r>
            <w:r>
              <w:rPr>
                <w:color w:val="auto"/>
                <w:kern w:val="0"/>
                <w:sz w:val="20"/>
                <w:szCs w:val="20"/>
                <w:highlight w:val="none"/>
              </w:rPr>
              <w:t>0~</w:t>
            </w:r>
            <w:r>
              <w:rPr>
                <w:rFonts w:hint="eastAsia"/>
                <w:color w:val="auto"/>
                <w:kern w:val="0"/>
                <w:sz w:val="20"/>
                <w:szCs w:val="20"/>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3965" w:type="dxa"/>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二级</w:t>
            </w:r>
          </w:p>
        </w:tc>
        <w:tc>
          <w:tcPr>
            <w:tcW w:w="4272" w:type="dxa"/>
          </w:tcPr>
          <w:p>
            <w:pPr>
              <w:autoSpaceDE w:val="0"/>
              <w:autoSpaceDN w:val="0"/>
              <w:adjustRightInd w:val="0"/>
              <w:spacing w:before="62" w:beforeLines="20" w:after="62" w:afterLines="20"/>
              <w:jc w:val="center"/>
              <w:rPr>
                <w:color w:val="auto"/>
                <w:kern w:val="0"/>
                <w:sz w:val="20"/>
                <w:szCs w:val="20"/>
                <w:highlight w:val="none"/>
              </w:rPr>
            </w:pPr>
            <w:r>
              <w:rPr>
                <w:rFonts w:hint="eastAsia"/>
                <w:color w:val="auto"/>
                <w:kern w:val="0"/>
                <w:sz w:val="20"/>
                <w:szCs w:val="20"/>
                <w:highlight w:val="none"/>
              </w:rPr>
              <w:t>80</w:t>
            </w:r>
            <w:r>
              <w:rPr>
                <w:color w:val="auto"/>
                <w:kern w:val="0"/>
                <w:sz w:val="20"/>
                <w:szCs w:val="20"/>
                <w:highlight w:val="none"/>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3965" w:type="dxa"/>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三级</w:t>
            </w:r>
          </w:p>
        </w:tc>
        <w:tc>
          <w:tcPr>
            <w:tcW w:w="4272" w:type="dxa"/>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1</w:t>
            </w:r>
            <w:r>
              <w:rPr>
                <w:rFonts w:hint="eastAsia"/>
                <w:color w:val="auto"/>
                <w:kern w:val="0"/>
                <w:sz w:val="20"/>
                <w:szCs w:val="20"/>
                <w:highlight w:val="none"/>
              </w:rPr>
              <w:t>0</w:t>
            </w:r>
            <w:r>
              <w:rPr>
                <w:color w:val="auto"/>
                <w:kern w:val="0"/>
                <w:sz w:val="20"/>
                <w:szCs w:val="20"/>
                <w:highlight w:val="none"/>
              </w:rPr>
              <w:t>0~</w:t>
            </w:r>
            <w:r>
              <w:rPr>
                <w:rFonts w:hint="eastAsia"/>
                <w:color w:val="auto"/>
                <w:kern w:val="0"/>
                <w:sz w:val="20"/>
                <w:szCs w:val="20"/>
                <w:highlight w:val="none"/>
              </w:rPr>
              <w:t>2</w:t>
            </w:r>
            <w:r>
              <w:rPr>
                <w:color w:val="auto"/>
                <w:kern w:val="0"/>
                <w:sz w:val="20"/>
                <w:szCs w:val="20"/>
                <w:highlight w:val="none"/>
              </w:rPr>
              <w:t>00</w:t>
            </w:r>
          </w:p>
        </w:tc>
      </w:tr>
    </w:tbl>
    <w:p>
      <w:pPr>
        <w:spacing w:line="360" w:lineRule="auto"/>
        <w:rPr>
          <w:color w:val="auto"/>
          <w:highlight w:val="none"/>
        </w:rPr>
      </w:pPr>
      <w:r>
        <w:rPr>
          <w:b/>
          <w:bCs/>
          <w:color w:val="auto"/>
          <w:highlight w:val="none"/>
        </w:rPr>
        <w:t>10.3.</w:t>
      </w:r>
      <w:r>
        <w:rPr>
          <w:rFonts w:hint="eastAsia"/>
          <w:b/>
          <w:bCs/>
          <w:color w:val="auto"/>
          <w:highlight w:val="none"/>
        </w:rPr>
        <w:t>4　</w:t>
      </w:r>
      <w:r>
        <w:rPr>
          <w:rFonts w:hint="eastAsia"/>
          <w:color w:val="auto"/>
          <w:highlight w:val="none"/>
        </w:rPr>
        <w:t>勘探孔深度</w:t>
      </w:r>
      <w:r>
        <w:rPr>
          <w:color w:val="auto"/>
          <w:highlight w:val="none"/>
        </w:rPr>
        <w:t>应满足综合管廊基础设计、地下水控制、基坑支护设计及施工要求，并符合下列规定：</w:t>
      </w:r>
    </w:p>
    <w:p>
      <w:pPr>
        <w:autoSpaceDE w:val="0"/>
        <w:spacing w:line="360" w:lineRule="auto"/>
        <w:ind w:firstLine="422" w:firstLineChars="200"/>
        <w:jc w:val="left"/>
        <w:rPr>
          <w:color w:val="auto"/>
          <w:highlight w:val="none"/>
        </w:rPr>
      </w:pPr>
      <w:r>
        <w:rPr>
          <w:b/>
          <w:bCs/>
          <w:color w:val="auto"/>
          <w:highlight w:val="none"/>
        </w:rPr>
        <w:t>1</w:t>
      </w:r>
      <w:r>
        <w:rPr>
          <w:rFonts w:hint="eastAsia"/>
          <w:b/>
          <w:bCs/>
          <w:color w:val="auto"/>
          <w:highlight w:val="none"/>
        </w:rPr>
        <w:t>　</w:t>
      </w:r>
      <w:r>
        <w:rPr>
          <w:color w:val="auto"/>
          <w:highlight w:val="none"/>
        </w:rPr>
        <w:t>明挖法</w:t>
      </w:r>
      <w:r>
        <w:rPr>
          <w:rFonts w:hint="eastAsia"/>
          <w:color w:val="auto"/>
          <w:highlight w:val="none"/>
        </w:rPr>
        <w:t>勘探孔深度</w:t>
      </w:r>
      <w:r>
        <w:rPr>
          <w:color w:val="auto"/>
          <w:highlight w:val="none"/>
        </w:rPr>
        <w:t>不宜小于3倍基坑开挖深度且进入结构底板以下不小于15m；暗挖法</w:t>
      </w:r>
      <w:r>
        <w:rPr>
          <w:rFonts w:hint="eastAsia"/>
          <w:color w:val="auto"/>
          <w:highlight w:val="none"/>
        </w:rPr>
        <w:t>勘探孔深度</w:t>
      </w:r>
      <w:r>
        <w:rPr>
          <w:color w:val="auto"/>
          <w:highlight w:val="none"/>
        </w:rPr>
        <w:t>不宜小于管廊结构底板以下3.0倍管廊直径（宽度）。</w:t>
      </w:r>
    </w:p>
    <w:p>
      <w:pPr>
        <w:autoSpaceDE w:val="0"/>
        <w:spacing w:line="360" w:lineRule="auto"/>
        <w:ind w:firstLine="422" w:firstLineChars="200"/>
        <w:jc w:val="left"/>
        <w:rPr>
          <w:color w:val="auto"/>
          <w:szCs w:val="21"/>
          <w:highlight w:val="none"/>
        </w:rPr>
      </w:pPr>
      <w:r>
        <w:rPr>
          <w:b/>
          <w:bCs/>
          <w:color w:val="auto"/>
          <w:szCs w:val="21"/>
          <w:highlight w:val="none"/>
        </w:rPr>
        <w:t>2</w:t>
      </w:r>
      <w:r>
        <w:rPr>
          <w:rFonts w:hint="eastAsia"/>
          <w:b/>
          <w:bCs/>
          <w:color w:val="auto"/>
          <w:szCs w:val="21"/>
          <w:highlight w:val="none"/>
        </w:rPr>
        <w:t>　</w:t>
      </w:r>
      <w:r>
        <w:rPr>
          <w:color w:val="auto"/>
          <w:szCs w:val="21"/>
          <w:highlight w:val="none"/>
        </w:rPr>
        <w:t>在结构埋深范围内遇下列地层时</w:t>
      </w:r>
      <w:r>
        <w:rPr>
          <w:rFonts w:hint="eastAsia"/>
          <w:color w:val="auto"/>
          <w:szCs w:val="21"/>
          <w:highlight w:val="none"/>
        </w:rPr>
        <w:t>，</w:t>
      </w:r>
      <w:r>
        <w:rPr>
          <w:color w:val="auto"/>
          <w:szCs w:val="21"/>
          <w:highlight w:val="none"/>
        </w:rPr>
        <w:t>可适当减少勘探孔深度</w:t>
      </w:r>
      <w:r>
        <w:rPr>
          <w:rFonts w:hint="eastAsia"/>
          <w:color w:val="auto"/>
          <w:szCs w:val="21"/>
          <w:highlight w:val="none"/>
        </w:rPr>
        <w:t>：</w:t>
      </w:r>
    </w:p>
    <w:p>
      <w:pPr>
        <w:autoSpaceDE w:val="0"/>
        <w:spacing w:line="360" w:lineRule="auto"/>
        <w:ind w:firstLine="632" w:firstLineChars="300"/>
        <w:jc w:val="left"/>
        <w:rPr>
          <w:color w:val="auto"/>
          <w:kern w:val="0"/>
          <w:szCs w:val="21"/>
          <w:highlight w:val="none"/>
        </w:rPr>
      </w:pPr>
      <w:r>
        <w:rPr>
          <w:rFonts w:hint="eastAsia"/>
          <w:b/>
          <w:bCs/>
          <w:color w:val="auto"/>
          <w:szCs w:val="21"/>
          <w:highlight w:val="none"/>
        </w:rPr>
        <w:t>1）</w:t>
      </w:r>
      <w:r>
        <w:rPr>
          <w:rFonts w:hint="eastAsia"/>
          <w:color w:val="auto"/>
          <w:szCs w:val="21"/>
          <w:highlight w:val="none"/>
        </w:rPr>
        <w:t>遇</w:t>
      </w:r>
      <w:r>
        <w:rPr>
          <w:rFonts w:hint="eastAsia"/>
          <w:color w:val="auto"/>
          <w:kern w:val="0"/>
          <w:szCs w:val="21"/>
          <w:highlight w:val="none"/>
        </w:rPr>
        <w:t>碎石土、</w:t>
      </w:r>
      <w:r>
        <w:rPr>
          <w:color w:val="auto"/>
          <w:kern w:val="0"/>
          <w:szCs w:val="21"/>
          <w:highlight w:val="none"/>
        </w:rPr>
        <w:t>全</w:t>
      </w:r>
      <w:r>
        <w:rPr>
          <w:rFonts w:hint="eastAsia"/>
          <w:color w:val="auto"/>
          <w:kern w:val="0"/>
          <w:szCs w:val="21"/>
          <w:highlight w:val="none"/>
        </w:rPr>
        <w:t>风化岩</w:t>
      </w:r>
      <w:r>
        <w:rPr>
          <w:color w:val="auto"/>
          <w:kern w:val="0"/>
          <w:szCs w:val="21"/>
          <w:highlight w:val="none"/>
        </w:rPr>
        <w:t>、强风化岩或极软岩时</w:t>
      </w:r>
      <w:r>
        <w:rPr>
          <w:rFonts w:hint="eastAsia"/>
          <w:color w:val="auto"/>
          <w:kern w:val="0"/>
          <w:szCs w:val="21"/>
          <w:highlight w:val="none"/>
        </w:rPr>
        <w:t>，</w:t>
      </w:r>
      <w:r>
        <w:rPr>
          <w:color w:val="auto"/>
          <w:kern w:val="0"/>
          <w:szCs w:val="21"/>
          <w:highlight w:val="none"/>
        </w:rPr>
        <w:t>宜进入结构底板以下</w:t>
      </w:r>
      <w:r>
        <w:rPr>
          <w:rFonts w:hint="eastAsia"/>
          <w:color w:val="auto"/>
          <w:kern w:val="0"/>
          <w:szCs w:val="21"/>
          <w:highlight w:val="none"/>
        </w:rPr>
        <w:t>不小于15m；</w:t>
      </w:r>
    </w:p>
    <w:p>
      <w:pPr>
        <w:autoSpaceDE w:val="0"/>
        <w:spacing w:line="360" w:lineRule="auto"/>
        <w:ind w:firstLine="632" w:firstLineChars="300"/>
        <w:jc w:val="left"/>
        <w:rPr>
          <w:color w:val="auto"/>
          <w:szCs w:val="21"/>
          <w:highlight w:val="none"/>
        </w:rPr>
      </w:pPr>
      <w:r>
        <w:rPr>
          <w:rFonts w:hint="eastAsia"/>
          <w:b/>
          <w:bCs/>
          <w:color w:val="auto"/>
          <w:kern w:val="0"/>
          <w:szCs w:val="21"/>
          <w:highlight w:val="none"/>
        </w:rPr>
        <w:t>2）</w:t>
      </w:r>
      <w:r>
        <w:rPr>
          <w:rFonts w:hint="eastAsia"/>
          <w:color w:val="auto"/>
          <w:kern w:val="0"/>
          <w:szCs w:val="21"/>
          <w:highlight w:val="none"/>
        </w:rPr>
        <w:t>遇</w:t>
      </w:r>
      <w:r>
        <w:rPr>
          <w:color w:val="auto"/>
          <w:szCs w:val="21"/>
          <w:highlight w:val="none"/>
        </w:rPr>
        <w:t>中等风化</w:t>
      </w:r>
      <w:r>
        <w:rPr>
          <w:rFonts w:hint="eastAsia"/>
          <w:color w:val="auto"/>
          <w:szCs w:val="21"/>
          <w:highlight w:val="none"/>
        </w:rPr>
        <w:t>岩</w:t>
      </w:r>
      <w:r>
        <w:rPr>
          <w:color w:val="auto"/>
          <w:szCs w:val="21"/>
          <w:highlight w:val="none"/>
        </w:rPr>
        <w:t>或微风化岩时，宜进入综合管廊结构底板以下5</w:t>
      </w:r>
      <w:r>
        <w:rPr>
          <w:rFonts w:hint="eastAsia"/>
          <w:color w:val="auto"/>
          <w:szCs w:val="21"/>
          <w:highlight w:val="none"/>
        </w:rPr>
        <w:t>m</w:t>
      </w:r>
      <w:r>
        <w:rPr>
          <w:color w:val="auto"/>
          <w:szCs w:val="21"/>
          <w:highlight w:val="none"/>
          <w:shd w:val="clear" w:color="auto" w:fill="FFFFFF"/>
        </w:rPr>
        <w:t>～</w:t>
      </w:r>
      <w:r>
        <w:rPr>
          <w:color w:val="auto"/>
          <w:szCs w:val="21"/>
          <w:highlight w:val="none"/>
        </w:rPr>
        <w:t>8m</w:t>
      </w:r>
      <w:r>
        <w:rPr>
          <w:rFonts w:hint="eastAsia"/>
          <w:color w:val="auto"/>
          <w:szCs w:val="21"/>
          <w:highlight w:val="none"/>
        </w:rPr>
        <w:t>；</w:t>
      </w:r>
    </w:p>
    <w:p>
      <w:pPr>
        <w:autoSpaceDE w:val="0"/>
        <w:spacing w:line="360" w:lineRule="auto"/>
        <w:ind w:firstLine="422" w:firstLineChars="200"/>
        <w:jc w:val="left"/>
        <w:rPr>
          <w:color w:val="auto"/>
          <w:highlight w:val="none"/>
        </w:rPr>
      </w:pPr>
      <w:r>
        <w:rPr>
          <w:b/>
          <w:bCs/>
          <w:color w:val="auto"/>
          <w:highlight w:val="none"/>
        </w:rPr>
        <w:t>3</w:t>
      </w:r>
      <w:r>
        <w:rPr>
          <w:rFonts w:hint="eastAsia"/>
          <w:b/>
          <w:bCs/>
          <w:color w:val="auto"/>
          <w:szCs w:val="21"/>
          <w:highlight w:val="none"/>
        </w:rPr>
        <w:t>　</w:t>
      </w:r>
      <w:r>
        <w:rPr>
          <w:color w:val="auto"/>
          <w:highlight w:val="none"/>
        </w:rPr>
        <w:t>在预定深度内遇到溶洞、土洞、暗河以及软弱土层等，应穿透</w:t>
      </w:r>
      <w:r>
        <w:rPr>
          <w:rFonts w:hint="eastAsia"/>
          <w:color w:val="auto"/>
          <w:highlight w:val="none"/>
        </w:rPr>
        <w:t>或</w:t>
      </w:r>
      <w:r>
        <w:rPr>
          <w:color w:val="auto"/>
          <w:highlight w:val="none"/>
        </w:rPr>
        <w:t>根据需要加深</w:t>
      </w:r>
      <w:r>
        <w:rPr>
          <w:rFonts w:hint="eastAsia"/>
          <w:color w:val="auto"/>
          <w:highlight w:val="none"/>
        </w:rPr>
        <w:t>；</w:t>
      </w:r>
    </w:p>
    <w:p>
      <w:pPr>
        <w:autoSpaceDE w:val="0"/>
        <w:spacing w:line="360" w:lineRule="auto"/>
        <w:ind w:firstLine="420"/>
        <w:jc w:val="left"/>
        <w:rPr>
          <w:color w:val="auto"/>
          <w:highlight w:val="none"/>
        </w:rPr>
      </w:pPr>
      <w:r>
        <w:rPr>
          <w:b/>
          <w:bCs/>
          <w:color w:val="auto"/>
          <w:highlight w:val="none"/>
        </w:rPr>
        <w:t>4</w:t>
      </w:r>
      <w:r>
        <w:rPr>
          <w:rFonts w:hint="eastAsia"/>
          <w:b/>
          <w:bCs/>
          <w:color w:val="auto"/>
          <w:szCs w:val="21"/>
          <w:highlight w:val="none"/>
        </w:rPr>
        <w:t>　</w:t>
      </w:r>
      <w:r>
        <w:rPr>
          <w:color w:val="auto"/>
          <w:highlight w:val="none"/>
        </w:rPr>
        <w:t>当采用抗拔桩、承重柱基础时，</w:t>
      </w:r>
      <w:r>
        <w:rPr>
          <w:rFonts w:hint="eastAsia"/>
          <w:color w:val="auto"/>
          <w:highlight w:val="none"/>
        </w:rPr>
        <w:t>勘探孔深度</w:t>
      </w:r>
      <w:r>
        <w:rPr>
          <w:color w:val="auto"/>
          <w:highlight w:val="none"/>
        </w:rPr>
        <w:t>应满足</w:t>
      </w:r>
      <w:r>
        <w:rPr>
          <w:rFonts w:hint="eastAsia"/>
          <w:color w:val="auto"/>
          <w:highlight w:val="none"/>
        </w:rPr>
        <w:t>抗拔桩、承重柱基础的</w:t>
      </w:r>
      <w:r>
        <w:rPr>
          <w:color w:val="auto"/>
          <w:highlight w:val="none"/>
        </w:rPr>
        <w:t>设计</w:t>
      </w:r>
      <w:r>
        <w:rPr>
          <w:rFonts w:hint="eastAsia"/>
          <w:color w:val="auto"/>
          <w:highlight w:val="none"/>
        </w:rPr>
        <w:t>计算</w:t>
      </w:r>
      <w:r>
        <w:rPr>
          <w:color w:val="auto"/>
          <w:highlight w:val="none"/>
        </w:rPr>
        <w:t>要求。</w:t>
      </w:r>
    </w:p>
    <w:p>
      <w:pPr>
        <w:spacing w:line="360" w:lineRule="auto"/>
        <w:rPr>
          <w:color w:val="auto"/>
          <w:highlight w:val="none"/>
        </w:rPr>
      </w:pPr>
      <w:r>
        <w:rPr>
          <w:b/>
          <w:bCs/>
          <w:color w:val="auto"/>
          <w:kern w:val="0"/>
          <w:highlight w:val="none"/>
        </w:rPr>
        <w:t>10.3.</w:t>
      </w:r>
      <w:r>
        <w:rPr>
          <w:rFonts w:hint="eastAsia"/>
          <w:b/>
          <w:bCs/>
          <w:color w:val="auto"/>
          <w:kern w:val="0"/>
          <w:highlight w:val="none"/>
        </w:rPr>
        <w:t>5</w:t>
      </w:r>
      <w:r>
        <w:rPr>
          <w:rFonts w:hint="eastAsia"/>
          <w:color w:val="auto"/>
          <w:kern w:val="0"/>
          <w:highlight w:val="none"/>
        </w:rPr>
        <w:t>　</w:t>
      </w:r>
      <w:r>
        <w:rPr>
          <w:rFonts w:hint="eastAsia"/>
          <w:color w:val="auto"/>
          <w:highlight w:val="none"/>
        </w:rPr>
        <w:t>初步勘察应</w:t>
      </w:r>
      <w:r>
        <w:rPr>
          <w:color w:val="auto"/>
          <w:highlight w:val="none"/>
        </w:rPr>
        <w:t>分区段</w:t>
      </w:r>
      <w:r>
        <w:rPr>
          <w:rFonts w:hint="eastAsia"/>
          <w:color w:val="auto"/>
          <w:highlight w:val="none"/>
        </w:rPr>
        <w:t>评价</w:t>
      </w:r>
      <w:r>
        <w:rPr>
          <w:color w:val="auto"/>
          <w:kern w:val="0"/>
          <w:highlight w:val="none"/>
        </w:rPr>
        <w:t>场地的稳定性和</w:t>
      </w:r>
      <w:r>
        <w:rPr>
          <w:rFonts w:hint="eastAsia"/>
          <w:color w:val="auto"/>
          <w:kern w:val="0"/>
          <w:highlight w:val="none"/>
        </w:rPr>
        <w:t>工程建设的</w:t>
      </w:r>
      <w:r>
        <w:rPr>
          <w:color w:val="auto"/>
          <w:kern w:val="0"/>
          <w:highlight w:val="none"/>
        </w:rPr>
        <w:t>适宜性</w:t>
      </w:r>
      <w:r>
        <w:rPr>
          <w:rFonts w:hint="eastAsia"/>
          <w:color w:val="auto"/>
          <w:highlight w:val="none"/>
        </w:rPr>
        <w:t>，并初步</w:t>
      </w:r>
      <w:r>
        <w:rPr>
          <w:color w:val="auto"/>
          <w:highlight w:val="none"/>
        </w:rPr>
        <w:t>分析评价下列内容：</w:t>
      </w:r>
    </w:p>
    <w:p>
      <w:pPr>
        <w:spacing w:line="360" w:lineRule="auto"/>
        <w:ind w:firstLine="422" w:firstLineChars="200"/>
        <w:rPr>
          <w:color w:val="auto"/>
          <w:highlight w:val="none"/>
        </w:rPr>
      </w:pPr>
      <w:r>
        <w:rPr>
          <w:b/>
          <w:bCs/>
          <w:color w:val="auto"/>
          <w:highlight w:val="none"/>
        </w:rPr>
        <w:t>1</w:t>
      </w:r>
      <w:r>
        <w:rPr>
          <w:rFonts w:hint="eastAsia"/>
          <w:color w:val="auto"/>
          <w:highlight w:val="none"/>
        </w:rPr>
        <w:t>　</w:t>
      </w:r>
      <w:r>
        <w:rPr>
          <w:rFonts w:hint="eastAsia"/>
          <w:color w:val="auto"/>
          <w:szCs w:val="21"/>
          <w:highlight w:val="none"/>
        </w:rPr>
        <w:t>评价</w:t>
      </w:r>
      <w:r>
        <w:rPr>
          <w:color w:val="auto"/>
          <w:highlight w:val="none"/>
        </w:rPr>
        <w:t>地基</w:t>
      </w:r>
      <w:r>
        <w:rPr>
          <w:rFonts w:hint="eastAsia"/>
          <w:color w:val="auto"/>
          <w:highlight w:val="none"/>
        </w:rPr>
        <w:t>的稳定性</w:t>
      </w:r>
      <w:r>
        <w:rPr>
          <w:color w:val="auto"/>
          <w:highlight w:val="none"/>
        </w:rPr>
        <w:t>和均匀性；</w:t>
      </w:r>
    </w:p>
    <w:p>
      <w:pPr>
        <w:autoSpaceDE w:val="0"/>
        <w:spacing w:line="360" w:lineRule="auto"/>
        <w:ind w:firstLine="422" w:firstLineChars="200"/>
        <w:jc w:val="left"/>
        <w:rPr>
          <w:color w:val="auto"/>
          <w:highlight w:val="none"/>
        </w:rPr>
      </w:pPr>
      <w:r>
        <w:rPr>
          <w:rFonts w:hint="eastAsia"/>
          <w:b/>
          <w:bCs/>
          <w:color w:val="auto"/>
          <w:highlight w:val="none"/>
        </w:rPr>
        <w:t>2</w:t>
      </w:r>
      <w:r>
        <w:rPr>
          <w:rFonts w:hint="eastAsia"/>
          <w:color w:val="auto"/>
          <w:highlight w:val="none"/>
        </w:rPr>
        <w:t>　</w:t>
      </w:r>
      <w:r>
        <w:rPr>
          <w:rFonts w:hint="eastAsia"/>
          <w:color w:val="auto"/>
          <w:szCs w:val="21"/>
          <w:highlight w:val="none"/>
        </w:rPr>
        <w:t>评价</w:t>
      </w:r>
      <w:r>
        <w:rPr>
          <w:color w:val="auto"/>
          <w:highlight w:val="none"/>
        </w:rPr>
        <w:t>场地和地基的地震效应</w:t>
      </w:r>
      <w:r>
        <w:rPr>
          <w:rFonts w:hint="eastAsia"/>
          <w:color w:val="auto"/>
          <w:highlight w:val="none"/>
        </w:rPr>
        <w:t>；</w:t>
      </w:r>
    </w:p>
    <w:p>
      <w:pPr>
        <w:autoSpaceDE w:val="0"/>
        <w:spacing w:line="360" w:lineRule="auto"/>
        <w:ind w:firstLine="422" w:firstLineChars="200"/>
        <w:jc w:val="left"/>
        <w:rPr>
          <w:color w:val="auto"/>
          <w:highlight w:val="none"/>
        </w:rPr>
      </w:pPr>
      <w:r>
        <w:rPr>
          <w:rFonts w:hint="eastAsia"/>
          <w:b/>
          <w:bCs/>
          <w:color w:val="auto"/>
          <w:highlight w:val="none"/>
        </w:rPr>
        <w:t>3</w:t>
      </w:r>
      <w:r>
        <w:rPr>
          <w:rFonts w:hint="eastAsia"/>
          <w:color w:val="auto"/>
          <w:highlight w:val="none"/>
        </w:rPr>
        <w:t>　</w:t>
      </w:r>
      <w:r>
        <w:rPr>
          <w:color w:val="auto"/>
          <w:highlight w:val="none"/>
        </w:rPr>
        <w:t>沿线不良地质作用、特殊性岩土对管廊工程可能造成的不利影响，提出防治措施的初步建议；</w:t>
      </w:r>
    </w:p>
    <w:p>
      <w:pPr>
        <w:autoSpaceDE w:val="0"/>
        <w:spacing w:line="360" w:lineRule="auto"/>
        <w:ind w:firstLine="422" w:firstLineChars="200"/>
        <w:jc w:val="left"/>
        <w:rPr>
          <w:color w:val="auto"/>
          <w:highlight w:val="none"/>
        </w:rPr>
      </w:pPr>
      <w:r>
        <w:rPr>
          <w:rFonts w:hint="eastAsia"/>
          <w:b/>
          <w:bCs/>
          <w:color w:val="auto"/>
          <w:highlight w:val="none"/>
        </w:rPr>
        <w:t>4</w:t>
      </w:r>
      <w:r>
        <w:rPr>
          <w:rFonts w:hint="eastAsia"/>
          <w:color w:val="auto"/>
          <w:highlight w:val="none"/>
        </w:rPr>
        <w:t>　</w:t>
      </w:r>
      <w:r>
        <w:rPr>
          <w:color w:val="auto"/>
          <w:highlight w:val="none"/>
        </w:rPr>
        <w:t>初步确定沿线岩土</w:t>
      </w:r>
      <w:r>
        <w:rPr>
          <w:rFonts w:hint="eastAsia"/>
          <w:color w:val="auto"/>
          <w:highlight w:val="none"/>
        </w:rPr>
        <w:t>的土、石</w:t>
      </w:r>
      <w:r>
        <w:rPr>
          <w:color w:val="auto"/>
          <w:highlight w:val="none"/>
        </w:rPr>
        <w:t>工程分级</w:t>
      </w:r>
      <w:r>
        <w:rPr>
          <w:rFonts w:hint="eastAsia"/>
          <w:color w:val="auto"/>
          <w:highlight w:val="none"/>
        </w:rPr>
        <w:t>及暗挖法管廊的围岩分级</w:t>
      </w:r>
      <w:r>
        <w:rPr>
          <w:color w:val="auto"/>
          <w:highlight w:val="none"/>
        </w:rPr>
        <w:t>；提供初步设计所需的岩土层物理力学参数；</w:t>
      </w:r>
    </w:p>
    <w:p>
      <w:pPr>
        <w:autoSpaceDE w:val="0"/>
        <w:spacing w:line="360" w:lineRule="auto"/>
        <w:ind w:firstLine="422" w:firstLineChars="200"/>
        <w:jc w:val="left"/>
        <w:rPr>
          <w:color w:val="auto"/>
          <w:highlight w:val="none"/>
        </w:rPr>
      </w:pPr>
      <w:r>
        <w:rPr>
          <w:rFonts w:hint="eastAsia"/>
          <w:b/>
          <w:bCs/>
          <w:color w:val="auto"/>
          <w:highlight w:val="none"/>
        </w:rPr>
        <w:t>5</w:t>
      </w:r>
      <w:r>
        <w:rPr>
          <w:rFonts w:hint="eastAsia"/>
          <w:color w:val="auto"/>
          <w:highlight w:val="none"/>
        </w:rPr>
        <w:t>　</w:t>
      </w:r>
      <w:r>
        <w:rPr>
          <w:rFonts w:hint="eastAsia"/>
          <w:color w:val="auto"/>
          <w:szCs w:val="21"/>
          <w:highlight w:val="none"/>
        </w:rPr>
        <w:t>评价</w:t>
      </w:r>
      <w:r>
        <w:rPr>
          <w:color w:val="auto"/>
          <w:highlight w:val="none"/>
        </w:rPr>
        <w:t>地表水、地下水条件对管廊施工的影响</w:t>
      </w:r>
      <w:r>
        <w:rPr>
          <w:rFonts w:hint="eastAsia"/>
          <w:color w:val="auto"/>
          <w:highlight w:val="none"/>
        </w:rPr>
        <w:t>。</w:t>
      </w:r>
    </w:p>
    <w:p>
      <w:pPr>
        <w:pStyle w:val="3"/>
        <w:rPr>
          <w:rFonts w:ascii="Times New Roman" w:hAnsi="Times New Roman" w:eastAsia="宋体"/>
          <w:color w:val="auto"/>
          <w:highlight w:val="none"/>
        </w:rPr>
      </w:pPr>
      <w:bookmarkStart w:id="179" w:name="_Toc21163"/>
      <w:bookmarkStart w:id="180" w:name="_Toc20363"/>
      <w:bookmarkStart w:id="181" w:name="_Toc3015"/>
      <w:bookmarkStart w:id="182" w:name="_Toc32764"/>
      <w:bookmarkStart w:id="183" w:name="_10.4　详细勘察"/>
      <w:r>
        <w:rPr>
          <w:rFonts w:ascii="Times New Roman" w:hAnsi="Times New Roman" w:eastAsia="宋体"/>
          <w:color w:val="auto"/>
          <w:highlight w:val="none"/>
        </w:rPr>
        <w:t>10.4</w:t>
      </w:r>
      <w:r>
        <w:rPr>
          <w:rFonts w:hint="eastAsia" w:ascii="Times New Roman" w:hAnsi="Times New Roman" w:eastAsia="宋体"/>
          <w:color w:val="auto"/>
          <w:highlight w:val="none"/>
        </w:rPr>
        <w:t>　</w:t>
      </w:r>
      <w:r>
        <w:rPr>
          <w:rFonts w:ascii="Times New Roman" w:hAnsi="Times New Roman" w:eastAsia="宋体"/>
          <w:color w:val="auto"/>
          <w:highlight w:val="none"/>
        </w:rPr>
        <w:t>详细勘察</w:t>
      </w:r>
      <w:bookmarkEnd w:id="179"/>
      <w:bookmarkEnd w:id="180"/>
      <w:bookmarkEnd w:id="181"/>
      <w:bookmarkEnd w:id="182"/>
    </w:p>
    <w:bookmarkEnd w:id="183"/>
    <w:p>
      <w:pPr>
        <w:spacing w:line="360" w:lineRule="auto"/>
        <w:rPr>
          <w:color w:val="auto"/>
          <w:highlight w:val="none"/>
        </w:rPr>
      </w:pPr>
      <w:r>
        <w:rPr>
          <w:b/>
          <w:bCs/>
          <w:color w:val="auto"/>
          <w:highlight w:val="none"/>
        </w:rPr>
        <w:t>10.4.</w:t>
      </w:r>
      <w:r>
        <w:rPr>
          <w:rFonts w:hint="eastAsia"/>
          <w:b/>
          <w:bCs/>
          <w:color w:val="auto"/>
          <w:highlight w:val="none"/>
        </w:rPr>
        <w:t>1</w:t>
      </w:r>
      <w:r>
        <w:rPr>
          <w:rFonts w:hint="eastAsia"/>
          <w:color w:val="auto"/>
          <w:highlight w:val="none"/>
        </w:rPr>
        <w:t>　</w:t>
      </w:r>
      <w:r>
        <w:rPr>
          <w:color w:val="auto"/>
          <w:highlight w:val="none"/>
        </w:rPr>
        <w:t>详细勘察应重点查明下列内容：</w:t>
      </w:r>
    </w:p>
    <w:p>
      <w:pPr>
        <w:autoSpaceDE w:val="0"/>
        <w:spacing w:line="360" w:lineRule="auto"/>
        <w:ind w:firstLine="422" w:firstLineChars="200"/>
        <w:jc w:val="left"/>
        <w:rPr>
          <w:color w:val="auto"/>
          <w:highlight w:val="none"/>
        </w:rPr>
      </w:pPr>
      <w:r>
        <w:rPr>
          <w:b/>
          <w:bCs/>
          <w:color w:val="auto"/>
          <w:highlight w:val="none"/>
        </w:rPr>
        <w:t>1</w:t>
      </w:r>
      <w:r>
        <w:rPr>
          <w:rFonts w:hint="eastAsia"/>
          <w:b/>
          <w:bCs/>
          <w:color w:val="auto"/>
          <w:highlight w:val="none"/>
        </w:rPr>
        <w:t>　</w:t>
      </w:r>
      <w:r>
        <w:rPr>
          <w:color w:val="auto"/>
          <w:highlight w:val="none"/>
        </w:rPr>
        <w:t>沿线地质、构造、地貌、地层、水文地质条件；</w:t>
      </w:r>
    </w:p>
    <w:p>
      <w:pPr>
        <w:autoSpaceDE w:val="0"/>
        <w:spacing w:line="360" w:lineRule="auto"/>
        <w:ind w:firstLine="422" w:firstLineChars="200"/>
        <w:jc w:val="left"/>
        <w:rPr>
          <w:color w:val="auto"/>
          <w:highlight w:val="none"/>
        </w:rPr>
      </w:pPr>
      <w:r>
        <w:rPr>
          <w:b/>
          <w:bCs/>
          <w:color w:val="auto"/>
          <w:highlight w:val="none"/>
        </w:rPr>
        <w:t>2</w:t>
      </w:r>
      <w:r>
        <w:rPr>
          <w:rFonts w:hint="eastAsia"/>
          <w:b/>
          <w:bCs/>
          <w:color w:val="auto"/>
          <w:highlight w:val="none"/>
        </w:rPr>
        <w:t>　</w:t>
      </w:r>
      <w:r>
        <w:rPr>
          <w:color w:val="auto"/>
          <w:highlight w:val="none"/>
        </w:rPr>
        <w:t>拟建场地的不良地质作用、特殊性岩土、地下有害气体的分布情况；</w:t>
      </w:r>
    </w:p>
    <w:p>
      <w:pPr>
        <w:autoSpaceDE w:val="0"/>
        <w:spacing w:line="360" w:lineRule="auto"/>
        <w:ind w:firstLine="422" w:firstLineChars="200"/>
        <w:jc w:val="left"/>
        <w:rPr>
          <w:color w:val="auto"/>
          <w:szCs w:val="21"/>
          <w:highlight w:val="none"/>
        </w:rPr>
      </w:pPr>
      <w:r>
        <w:rPr>
          <w:rFonts w:hint="eastAsia"/>
          <w:b/>
          <w:bCs/>
          <w:color w:val="auto"/>
          <w:szCs w:val="21"/>
          <w:highlight w:val="none"/>
        </w:rPr>
        <w:t>3　</w:t>
      </w:r>
      <w:r>
        <w:rPr>
          <w:color w:val="auto"/>
          <w:szCs w:val="21"/>
          <w:highlight w:val="none"/>
        </w:rPr>
        <w:t>场地土和地下水、地表水对建筑材料的腐蚀性；</w:t>
      </w:r>
    </w:p>
    <w:p>
      <w:pPr>
        <w:autoSpaceDE w:val="0"/>
        <w:spacing w:line="360" w:lineRule="auto"/>
        <w:ind w:firstLine="422" w:firstLineChars="200"/>
        <w:jc w:val="left"/>
        <w:rPr>
          <w:color w:val="auto"/>
          <w:highlight w:val="none"/>
        </w:rPr>
      </w:pPr>
      <w:r>
        <w:rPr>
          <w:rFonts w:hint="eastAsia"/>
          <w:b/>
          <w:bCs/>
          <w:color w:val="auto"/>
          <w:szCs w:val="21"/>
          <w:highlight w:val="none"/>
        </w:rPr>
        <w:t>4　</w:t>
      </w:r>
      <w:r>
        <w:rPr>
          <w:rFonts w:hint="eastAsia"/>
          <w:color w:val="auto"/>
          <w:highlight w:val="none"/>
        </w:rPr>
        <w:t>明挖段坑槽及</w:t>
      </w:r>
      <w:r>
        <w:rPr>
          <w:rFonts w:hint="eastAsia"/>
          <w:color w:val="auto"/>
          <w:szCs w:val="21"/>
          <w:highlight w:val="none"/>
        </w:rPr>
        <w:t>非开挖法段的</w:t>
      </w:r>
      <w:r>
        <w:rPr>
          <w:color w:val="auto"/>
          <w:szCs w:val="21"/>
          <w:highlight w:val="none"/>
        </w:rPr>
        <w:t>工作井、接收井基坑范围岩土层的渗透性</w:t>
      </w:r>
      <w:r>
        <w:rPr>
          <w:rFonts w:hint="eastAsia"/>
          <w:color w:val="auto"/>
          <w:szCs w:val="21"/>
          <w:highlight w:val="none"/>
        </w:rPr>
        <w:t>，</w:t>
      </w:r>
      <w:r>
        <w:rPr>
          <w:color w:val="auto"/>
          <w:szCs w:val="21"/>
          <w:highlight w:val="none"/>
        </w:rPr>
        <w:t>地下水位的变化范围；</w:t>
      </w:r>
      <w:r>
        <w:rPr>
          <w:color w:val="auto"/>
          <w:highlight w:val="none"/>
        </w:rPr>
        <w:t>水文地质条件复杂时，应进行专门</w:t>
      </w:r>
      <w:r>
        <w:rPr>
          <w:rFonts w:hint="eastAsia"/>
          <w:color w:val="auto"/>
          <w:highlight w:val="none"/>
        </w:rPr>
        <w:t>的</w:t>
      </w:r>
      <w:r>
        <w:rPr>
          <w:color w:val="auto"/>
          <w:highlight w:val="none"/>
        </w:rPr>
        <w:t>水文地质</w:t>
      </w:r>
      <w:r>
        <w:rPr>
          <w:rFonts w:hint="eastAsia"/>
          <w:color w:val="auto"/>
          <w:highlight w:val="none"/>
        </w:rPr>
        <w:t>勘察</w:t>
      </w:r>
      <w:r>
        <w:rPr>
          <w:color w:val="auto"/>
          <w:highlight w:val="none"/>
        </w:rPr>
        <w:t>。</w:t>
      </w:r>
    </w:p>
    <w:p>
      <w:pPr>
        <w:spacing w:line="360" w:lineRule="auto"/>
        <w:rPr>
          <w:color w:val="auto"/>
          <w:kern w:val="0"/>
          <w:highlight w:val="none"/>
        </w:rPr>
      </w:pPr>
      <w:r>
        <w:rPr>
          <w:b/>
          <w:bCs/>
          <w:color w:val="auto"/>
          <w:kern w:val="0"/>
          <w:highlight w:val="none"/>
        </w:rPr>
        <w:t>10.4.2</w:t>
      </w:r>
      <w:r>
        <w:rPr>
          <w:rFonts w:hint="eastAsia"/>
          <w:b/>
          <w:bCs/>
          <w:color w:val="auto"/>
          <w:kern w:val="0"/>
          <w:highlight w:val="none"/>
        </w:rPr>
        <w:t>　</w:t>
      </w:r>
      <w:r>
        <w:rPr>
          <w:color w:val="auto"/>
          <w:kern w:val="0"/>
          <w:highlight w:val="none"/>
        </w:rPr>
        <w:t>详细勘察</w:t>
      </w:r>
      <w:r>
        <w:rPr>
          <w:color w:val="auto"/>
          <w:highlight w:val="none"/>
        </w:rPr>
        <w:t>勘探</w:t>
      </w:r>
      <w:r>
        <w:rPr>
          <w:color w:val="auto"/>
          <w:kern w:val="0"/>
          <w:highlight w:val="none"/>
        </w:rPr>
        <w:t>点布置应</w:t>
      </w:r>
      <w:r>
        <w:rPr>
          <w:rFonts w:hint="eastAsia"/>
          <w:color w:val="auto"/>
          <w:kern w:val="0"/>
          <w:highlight w:val="none"/>
        </w:rPr>
        <w:t>符合下列规定</w:t>
      </w:r>
      <w:r>
        <w:rPr>
          <w:color w:val="auto"/>
          <w:kern w:val="0"/>
          <w:highlight w:val="none"/>
        </w:rPr>
        <w:t>：</w:t>
      </w:r>
    </w:p>
    <w:p>
      <w:pPr>
        <w:autoSpaceDE w:val="0"/>
        <w:spacing w:line="360" w:lineRule="auto"/>
        <w:ind w:firstLine="422" w:firstLineChars="200"/>
        <w:jc w:val="left"/>
        <w:rPr>
          <w:color w:val="auto"/>
          <w:highlight w:val="none"/>
        </w:rPr>
      </w:pPr>
      <w:r>
        <w:rPr>
          <w:rFonts w:hint="eastAsia"/>
          <w:b/>
          <w:bCs/>
          <w:color w:val="auto"/>
          <w:highlight w:val="none"/>
        </w:rPr>
        <w:t>1</w:t>
      </w:r>
      <w:r>
        <w:rPr>
          <w:rFonts w:hint="eastAsia"/>
          <w:color w:val="auto"/>
          <w:highlight w:val="none"/>
        </w:rPr>
        <w:t>　</w:t>
      </w:r>
      <w:r>
        <w:rPr>
          <w:color w:val="auto"/>
          <w:highlight w:val="none"/>
        </w:rPr>
        <w:t>勘探点沿管廊中线投影间距宜符合表 10.4.2 的规定；管廊工作井、施工工法变换处</w:t>
      </w:r>
      <w:r>
        <w:rPr>
          <w:rFonts w:hint="eastAsia"/>
          <w:color w:val="auto"/>
          <w:highlight w:val="none"/>
        </w:rPr>
        <w:t>、</w:t>
      </w:r>
      <w:r>
        <w:rPr>
          <w:color w:val="auto"/>
          <w:highlight w:val="none"/>
        </w:rPr>
        <w:t>走向转角处、节点处或暗挖施工的工作井处宜布置勘探点；</w:t>
      </w:r>
    </w:p>
    <w:p>
      <w:pPr>
        <w:autoSpaceDE w:val="0"/>
        <w:spacing w:line="360" w:lineRule="auto"/>
        <w:ind w:firstLine="3162" w:firstLineChars="1500"/>
        <w:jc w:val="left"/>
        <w:rPr>
          <w:b/>
          <w:bCs/>
          <w:color w:val="auto"/>
          <w:highlight w:val="none"/>
        </w:rPr>
      </w:pPr>
      <w:r>
        <w:rPr>
          <w:b/>
          <w:bCs/>
          <w:color w:val="auto"/>
          <w:highlight w:val="none"/>
        </w:rPr>
        <w:t>表10.4.2 勘探点间距（m）</w:t>
      </w:r>
    </w:p>
    <w:tbl>
      <w:tblPr>
        <w:tblStyle w:val="23"/>
        <w:tblW w:w="82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61"/>
        <w:gridCol w:w="2561"/>
        <w:gridCol w:w="25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61" w:type="dxa"/>
            <w:tcBorders>
              <w:top w:val="single" w:color="auto" w:sz="12" w:space="0"/>
              <w:bottom w:val="single" w:color="auto" w:sz="4" w:space="0"/>
              <w:tl2br w:val="single" w:color="auto" w:sz="4" w:space="0"/>
            </w:tcBorders>
            <w:vAlign w:val="center"/>
          </w:tcPr>
          <w:p>
            <w:pPr>
              <w:autoSpaceDE w:val="0"/>
              <w:autoSpaceDN w:val="0"/>
              <w:adjustRightInd w:val="0"/>
              <w:spacing w:before="62" w:beforeLines="20" w:after="62" w:afterLines="20"/>
              <w:jc w:val="right"/>
              <w:rPr>
                <w:color w:val="auto"/>
                <w:kern w:val="0"/>
                <w:sz w:val="20"/>
                <w:szCs w:val="20"/>
                <w:highlight w:val="none"/>
              </w:rPr>
            </w:pPr>
            <w:r>
              <w:rPr>
                <w:rFonts w:hint="eastAsia"/>
                <w:color w:val="auto"/>
                <w:kern w:val="0"/>
                <w:sz w:val="20"/>
                <w:szCs w:val="20"/>
                <w:highlight w:val="none"/>
              </w:rPr>
              <w:t>施工工法</w:t>
            </w:r>
          </w:p>
          <w:p>
            <w:pPr>
              <w:spacing w:line="0" w:lineRule="atLeast"/>
              <w:jc w:val="left"/>
              <w:rPr>
                <w:color w:val="auto"/>
                <w:sz w:val="20"/>
                <w:szCs w:val="20"/>
                <w:highlight w:val="none"/>
              </w:rPr>
            </w:pPr>
            <w:r>
              <w:rPr>
                <w:color w:val="auto"/>
                <w:sz w:val="20"/>
                <w:szCs w:val="20"/>
                <w:highlight w:val="none"/>
              </w:rPr>
              <w:t>场地</w:t>
            </w:r>
            <w:r>
              <w:rPr>
                <w:rFonts w:hint="eastAsia"/>
                <w:color w:val="auto"/>
                <w:sz w:val="20"/>
                <w:szCs w:val="20"/>
                <w:highlight w:val="none"/>
              </w:rPr>
              <w:t>和岩土</w:t>
            </w:r>
          </w:p>
          <w:p>
            <w:pPr>
              <w:autoSpaceDE w:val="0"/>
              <w:autoSpaceDN w:val="0"/>
              <w:adjustRightInd w:val="0"/>
              <w:spacing w:line="0" w:lineRule="atLeast"/>
              <w:rPr>
                <w:color w:val="auto"/>
                <w:kern w:val="0"/>
                <w:sz w:val="20"/>
                <w:szCs w:val="20"/>
                <w:highlight w:val="none"/>
              </w:rPr>
            </w:pPr>
            <w:r>
              <w:rPr>
                <w:rFonts w:hint="eastAsia"/>
                <w:color w:val="auto"/>
                <w:sz w:val="20"/>
                <w:szCs w:val="20"/>
                <w:highlight w:val="none"/>
              </w:rPr>
              <w:t>条件</w:t>
            </w:r>
            <w:r>
              <w:rPr>
                <w:color w:val="auto"/>
                <w:sz w:val="20"/>
                <w:szCs w:val="20"/>
                <w:highlight w:val="none"/>
              </w:rPr>
              <w:t>复杂程度等级</w:t>
            </w:r>
          </w:p>
        </w:tc>
        <w:tc>
          <w:tcPr>
            <w:tcW w:w="2561"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明挖法</w:t>
            </w:r>
          </w:p>
        </w:tc>
        <w:tc>
          <w:tcPr>
            <w:tcW w:w="2562" w:type="dxa"/>
            <w:vAlign w:val="center"/>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暗挖法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161" w:type="dxa"/>
            <w:tcBorders>
              <w:top w:val="single" w:color="auto" w:sz="4" w:space="0"/>
            </w:tcBorders>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一级</w:t>
            </w:r>
          </w:p>
        </w:tc>
        <w:tc>
          <w:tcPr>
            <w:tcW w:w="2561" w:type="dxa"/>
          </w:tcPr>
          <w:p>
            <w:pPr>
              <w:autoSpaceDE w:val="0"/>
              <w:autoSpaceDN w:val="0"/>
              <w:adjustRightInd w:val="0"/>
              <w:spacing w:before="62" w:beforeLines="20" w:after="62" w:afterLines="20"/>
              <w:jc w:val="center"/>
              <w:rPr>
                <w:color w:val="auto"/>
                <w:kern w:val="0"/>
                <w:sz w:val="20"/>
                <w:szCs w:val="20"/>
                <w:highlight w:val="none"/>
              </w:rPr>
            </w:pPr>
            <w:r>
              <w:rPr>
                <w:rFonts w:hint="eastAsia"/>
                <w:color w:val="auto"/>
                <w:kern w:val="0"/>
                <w:sz w:val="20"/>
                <w:szCs w:val="20"/>
                <w:highlight w:val="none"/>
              </w:rPr>
              <w:t>2</w:t>
            </w:r>
            <w:r>
              <w:rPr>
                <w:color w:val="auto"/>
                <w:kern w:val="0"/>
                <w:sz w:val="20"/>
                <w:szCs w:val="20"/>
                <w:highlight w:val="none"/>
              </w:rPr>
              <w:t>0~</w:t>
            </w:r>
            <w:r>
              <w:rPr>
                <w:rFonts w:hint="eastAsia"/>
                <w:color w:val="auto"/>
                <w:kern w:val="0"/>
                <w:sz w:val="20"/>
                <w:szCs w:val="20"/>
                <w:highlight w:val="none"/>
              </w:rPr>
              <w:t>3</w:t>
            </w:r>
            <w:r>
              <w:rPr>
                <w:color w:val="auto"/>
                <w:kern w:val="0"/>
                <w:sz w:val="20"/>
                <w:szCs w:val="20"/>
                <w:highlight w:val="none"/>
              </w:rPr>
              <w:t>0</w:t>
            </w:r>
          </w:p>
        </w:tc>
        <w:tc>
          <w:tcPr>
            <w:tcW w:w="2562" w:type="dxa"/>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10~30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161" w:type="dxa"/>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二级</w:t>
            </w:r>
          </w:p>
        </w:tc>
        <w:tc>
          <w:tcPr>
            <w:tcW w:w="2561" w:type="dxa"/>
          </w:tcPr>
          <w:p>
            <w:pPr>
              <w:autoSpaceDE w:val="0"/>
              <w:autoSpaceDN w:val="0"/>
              <w:adjustRightInd w:val="0"/>
              <w:spacing w:before="62" w:beforeLines="20" w:after="62" w:afterLines="20"/>
              <w:jc w:val="center"/>
              <w:rPr>
                <w:color w:val="auto"/>
                <w:kern w:val="0"/>
                <w:sz w:val="20"/>
                <w:szCs w:val="20"/>
                <w:highlight w:val="none"/>
              </w:rPr>
            </w:pPr>
            <w:r>
              <w:rPr>
                <w:rFonts w:hint="eastAsia"/>
                <w:color w:val="auto"/>
                <w:kern w:val="0"/>
                <w:sz w:val="20"/>
                <w:szCs w:val="20"/>
                <w:highlight w:val="none"/>
              </w:rPr>
              <w:t>3</w:t>
            </w:r>
            <w:r>
              <w:rPr>
                <w:color w:val="auto"/>
                <w:kern w:val="0"/>
                <w:sz w:val="20"/>
                <w:szCs w:val="20"/>
                <w:highlight w:val="none"/>
              </w:rPr>
              <w:t>0~</w:t>
            </w:r>
            <w:r>
              <w:rPr>
                <w:rFonts w:hint="eastAsia"/>
                <w:color w:val="auto"/>
                <w:kern w:val="0"/>
                <w:sz w:val="20"/>
                <w:szCs w:val="20"/>
                <w:highlight w:val="none"/>
              </w:rPr>
              <w:t>5</w:t>
            </w:r>
            <w:r>
              <w:rPr>
                <w:color w:val="auto"/>
                <w:kern w:val="0"/>
                <w:sz w:val="20"/>
                <w:szCs w:val="20"/>
                <w:highlight w:val="none"/>
              </w:rPr>
              <w:t>0</w:t>
            </w:r>
          </w:p>
        </w:tc>
        <w:tc>
          <w:tcPr>
            <w:tcW w:w="2562" w:type="dxa"/>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30~50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161" w:type="dxa"/>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三级</w:t>
            </w:r>
          </w:p>
        </w:tc>
        <w:tc>
          <w:tcPr>
            <w:tcW w:w="2561" w:type="dxa"/>
          </w:tcPr>
          <w:p>
            <w:pPr>
              <w:autoSpaceDE w:val="0"/>
              <w:autoSpaceDN w:val="0"/>
              <w:adjustRightInd w:val="0"/>
              <w:spacing w:before="62" w:beforeLines="20" w:after="62" w:afterLines="20"/>
              <w:jc w:val="center"/>
              <w:rPr>
                <w:color w:val="auto"/>
                <w:kern w:val="0"/>
                <w:sz w:val="20"/>
                <w:szCs w:val="20"/>
                <w:highlight w:val="none"/>
              </w:rPr>
            </w:pPr>
            <w:r>
              <w:rPr>
                <w:rFonts w:hint="eastAsia"/>
                <w:color w:val="auto"/>
                <w:kern w:val="0"/>
                <w:sz w:val="20"/>
                <w:szCs w:val="20"/>
                <w:highlight w:val="none"/>
              </w:rPr>
              <w:t>5</w:t>
            </w:r>
            <w:r>
              <w:rPr>
                <w:color w:val="auto"/>
                <w:kern w:val="0"/>
                <w:sz w:val="20"/>
                <w:szCs w:val="20"/>
                <w:highlight w:val="none"/>
              </w:rPr>
              <w:t>0~</w:t>
            </w:r>
            <w:r>
              <w:rPr>
                <w:rFonts w:hint="eastAsia"/>
                <w:color w:val="auto"/>
                <w:kern w:val="0"/>
                <w:sz w:val="20"/>
                <w:szCs w:val="20"/>
                <w:highlight w:val="none"/>
              </w:rPr>
              <w:t>10</w:t>
            </w:r>
            <w:r>
              <w:rPr>
                <w:color w:val="auto"/>
                <w:kern w:val="0"/>
                <w:sz w:val="20"/>
                <w:szCs w:val="20"/>
                <w:highlight w:val="none"/>
              </w:rPr>
              <w:t>0</w:t>
            </w:r>
          </w:p>
        </w:tc>
        <w:tc>
          <w:tcPr>
            <w:tcW w:w="2562" w:type="dxa"/>
          </w:tcPr>
          <w:p>
            <w:pPr>
              <w:autoSpaceDE w:val="0"/>
              <w:autoSpaceDN w:val="0"/>
              <w:adjustRightInd w:val="0"/>
              <w:spacing w:before="62" w:beforeLines="20" w:after="62" w:afterLines="20"/>
              <w:jc w:val="center"/>
              <w:rPr>
                <w:color w:val="auto"/>
                <w:kern w:val="0"/>
                <w:sz w:val="20"/>
                <w:szCs w:val="20"/>
                <w:highlight w:val="none"/>
              </w:rPr>
            </w:pPr>
            <w:r>
              <w:rPr>
                <w:color w:val="auto"/>
                <w:kern w:val="0"/>
                <w:sz w:val="20"/>
                <w:szCs w:val="20"/>
                <w:highlight w:val="none"/>
              </w:rPr>
              <w:t>50~60</w:t>
            </w:r>
          </w:p>
        </w:tc>
      </w:tr>
    </w:tbl>
    <w:p>
      <w:pPr>
        <w:autoSpaceDE w:val="0"/>
        <w:spacing w:line="360" w:lineRule="auto"/>
        <w:ind w:firstLine="422" w:firstLineChars="200"/>
        <w:jc w:val="left"/>
        <w:rPr>
          <w:color w:val="auto"/>
          <w:highlight w:val="none"/>
        </w:rPr>
      </w:pPr>
      <w:r>
        <w:rPr>
          <w:rFonts w:hint="eastAsia"/>
          <w:b/>
          <w:bCs/>
          <w:color w:val="auto"/>
          <w:highlight w:val="none"/>
        </w:rPr>
        <w:t>2　</w:t>
      </w:r>
      <w:r>
        <w:rPr>
          <w:color w:val="auto"/>
          <w:highlight w:val="none"/>
        </w:rPr>
        <w:t>综合管廊穿越江、河涌时，河床及两岸宜布置勘探点；穿越铁路、道路时，铁路和道路两侧应布置勘探点；</w:t>
      </w:r>
    </w:p>
    <w:p>
      <w:pPr>
        <w:autoSpaceDE w:val="0"/>
        <w:spacing w:line="360" w:lineRule="auto"/>
        <w:ind w:firstLine="422" w:firstLineChars="200"/>
        <w:jc w:val="left"/>
        <w:rPr>
          <w:color w:val="auto"/>
          <w:highlight w:val="none"/>
        </w:rPr>
      </w:pPr>
      <w:r>
        <w:rPr>
          <w:rFonts w:hint="eastAsia"/>
          <w:b/>
          <w:bCs/>
          <w:color w:val="auto"/>
          <w:highlight w:val="none"/>
        </w:rPr>
        <w:t>3</w:t>
      </w:r>
      <w:r>
        <w:rPr>
          <w:rFonts w:hint="eastAsia"/>
          <w:color w:val="auto"/>
          <w:highlight w:val="none"/>
        </w:rPr>
        <w:t>　</w:t>
      </w:r>
      <w:r>
        <w:rPr>
          <w:color w:val="auto"/>
          <w:highlight w:val="none"/>
        </w:rPr>
        <w:t>出现下列情况或地层变化大，地质条件复杂时，宜适当加密勘探点：</w:t>
      </w:r>
    </w:p>
    <w:p>
      <w:pPr>
        <w:autoSpaceDE w:val="0"/>
        <w:spacing w:line="360" w:lineRule="auto"/>
        <w:ind w:left="210" w:leftChars="100" w:firstLine="422" w:firstLineChars="200"/>
        <w:jc w:val="left"/>
        <w:rPr>
          <w:color w:val="auto"/>
          <w:highlight w:val="none"/>
        </w:rPr>
      </w:pPr>
      <w:r>
        <w:rPr>
          <w:b/>
          <w:bCs/>
          <w:color w:val="auto"/>
          <w:highlight w:val="none"/>
        </w:rPr>
        <w:t>1）</w:t>
      </w:r>
      <w:r>
        <w:rPr>
          <w:color w:val="auto"/>
          <w:highlight w:val="none"/>
        </w:rPr>
        <w:t>在不同地貌单元的交界部位、微地貌及地层变化较大的地段；</w:t>
      </w:r>
    </w:p>
    <w:p>
      <w:pPr>
        <w:autoSpaceDE w:val="0"/>
        <w:spacing w:line="360" w:lineRule="auto"/>
        <w:ind w:left="210" w:leftChars="100" w:firstLine="422" w:firstLineChars="200"/>
        <w:jc w:val="left"/>
        <w:rPr>
          <w:color w:val="auto"/>
          <w:highlight w:val="none"/>
        </w:rPr>
      </w:pPr>
      <w:r>
        <w:rPr>
          <w:b/>
          <w:bCs/>
          <w:color w:val="auto"/>
          <w:highlight w:val="none"/>
        </w:rPr>
        <w:t>2）</w:t>
      </w:r>
      <w:r>
        <w:rPr>
          <w:color w:val="auto"/>
          <w:highlight w:val="none"/>
        </w:rPr>
        <w:t>综合管廊拟采用桩基础或进行地基处理，且持力层起伏较大、地层分布复杂时；</w:t>
      </w:r>
    </w:p>
    <w:p>
      <w:pPr>
        <w:autoSpaceDE w:val="0"/>
        <w:spacing w:line="360" w:lineRule="auto"/>
        <w:ind w:left="946" w:leftChars="300" w:hanging="316" w:hangingChars="150"/>
        <w:jc w:val="left"/>
        <w:rPr>
          <w:color w:val="auto"/>
          <w:highlight w:val="none"/>
        </w:rPr>
      </w:pPr>
      <w:r>
        <w:rPr>
          <w:b/>
          <w:bCs/>
          <w:color w:val="auto"/>
          <w:highlight w:val="none"/>
        </w:rPr>
        <w:t>3）</w:t>
      </w:r>
      <w:r>
        <w:rPr>
          <w:color w:val="auto"/>
          <w:highlight w:val="none"/>
        </w:rPr>
        <w:t>综合管廊穿越暗埋的河、湖、沟、坑地段和可能产生流砂（土）管涌及地震液化的松软土层地段；</w:t>
      </w:r>
    </w:p>
    <w:p>
      <w:pPr>
        <w:autoSpaceDE w:val="0"/>
        <w:spacing w:line="360" w:lineRule="auto"/>
        <w:ind w:firstLine="632" w:firstLineChars="300"/>
        <w:jc w:val="left"/>
        <w:rPr>
          <w:color w:val="auto"/>
          <w:highlight w:val="none"/>
        </w:rPr>
      </w:pPr>
      <w:r>
        <w:rPr>
          <w:b/>
          <w:bCs/>
          <w:color w:val="auto"/>
          <w:highlight w:val="none"/>
        </w:rPr>
        <w:t>4）</w:t>
      </w:r>
      <w:r>
        <w:rPr>
          <w:color w:val="auto"/>
          <w:highlight w:val="none"/>
        </w:rPr>
        <w:t>综合管廊通过人工填土及软土等特殊性岩土分布地段，或不良地质作用发育地段时。</w:t>
      </w:r>
    </w:p>
    <w:p>
      <w:pPr>
        <w:autoSpaceDE w:val="0"/>
        <w:spacing w:line="360" w:lineRule="auto"/>
        <w:ind w:firstLine="422" w:firstLineChars="200"/>
        <w:jc w:val="left"/>
        <w:rPr>
          <w:color w:val="auto"/>
          <w:highlight w:val="none"/>
        </w:rPr>
      </w:pPr>
      <w:r>
        <w:rPr>
          <w:b/>
          <w:bCs/>
          <w:color w:val="auto"/>
          <w:highlight w:val="none"/>
        </w:rPr>
        <w:t>4</w:t>
      </w:r>
      <w:r>
        <w:rPr>
          <w:rFonts w:hint="eastAsia"/>
          <w:color w:val="auto"/>
          <w:highlight w:val="none"/>
        </w:rPr>
        <w:t>　</w:t>
      </w:r>
      <w:r>
        <w:rPr>
          <w:color w:val="auto"/>
          <w:highlight w:val="none"/>
        </w:rPr>
        <w:t>工作井及地质条件复杂的地段应布置</w:t>
      </w:r>
      <w:r>
        <w:rPr>
          <w:rFonts w:hint="eastAsia"/>
          <w:color w:val="auto"/>
          <w:highlight w:val="none"/>
        </w:rPr>
        <w:t>横勘探线</w:t>
      </w:r>
      <w:r>
        <w:rPr>
          <w:color w:val="auto"/>
          <w:highlight w:val="none"/>
        </w:rPr>
        <w:t>，</w:t>
      </w:r>
      <w:r>
        <w:rPr>
          <w:rFonts w:hint="eastAsia"/>
          <w:color w:val="auto"/>
          <w:highlight w:val="none"/>
        </w:rPr>
        <w:t>横勘探线</w:t>
      </w:r>
      <w:r>
        <w:rPr>
          <w:color w:val="auto"/>
          <w:highlight w:val="none"/>
        </w:rPr>
        <w:t>孔数不少于2个。</w:t>
      </w:r>
    </w:p>
    <w:p>
      <w:pPr>
        <w:spacing w:line="360" w:lineRule="auto"/>
        <w:rPr>
          <w:color w:val="auto"/>
          <w:kern w:val="0"/>
          <w:highlight w:val="none"/>
        </w:rPr>
      </w:pPr>
      <w:r>
        <w:rPr>
          <w:b/>
          <w:bCs/>
          <w:color w:val="auto"/>
          <w:kern w:val="0"/>
          <w:highlight w:val="none"/>
        </w:rPr>
        <w:t>10.4.3</w:t>
      </w:r>
      <w:r>
        <w:rPr>
          <w:rFonts w:hint="eastAsia"/>
          <w:b/>
          <w:bCs/>
          <w:color w:val="auto"/>
          <w:highlight w:val="none"/>
        </w:rPr>
        <w:t>　</w:t>
      </w:r>
      <w:r>
        <w:rPr>
          <w:color w:val="auto"/>
          <w:kern w:val="0"/>
          <w:highlight w:val="none"/>
        </w:rPr>
        <w:t>详细</w:t>
      </w:r>
      <w:r>
        <w:rPr>
          <w:rFonts w:hint="eastAsia"/>
          <w:color w:val="auto"/>
          <w:kern w:val="0"/>
          <w:highlight w:val="none"/>
        </w:rPr>
        <w:t>勘察</w:t>
      </w:r>
      <w:r>
        <w:rPr>
          <w:color w:val="auto"/>
          <w:highlight w:val="none"/>
        </w:rPr>
        <w:t>勘探</w:t>
      </w:r>
      <w:r>
        <w:rPr>
          <w:color w:val="auto"/>
          <w:kern w:val="0"/>
          <w:highlight w:val="none"/>
        </w:rPr>
        <w:t>孔深度应满足综合管廊基础设计、地下水控制、基坑支护设计、沉降计算、抗浮设计及施工要求，并符合下列规定：</w:t>
      </w:r>
    </w:p>
    <w:p>
      <w:pPr>
        <w:autoSpaceDE w:val="0"/>
        <w:spacing w:line="360" w:lineRule="auto"/>
        <w:ind w:firstLine="422" w:firstLineChars="200"/>
        <w:jc w:val="left"/>
        <w:rPr>
          <w:color w:val="auto"/>
          <w:kern w:val="0"/>
          <w:highlight w:val="none"/>
        </w:rPr>
      </w:pPr>
      <w:r>
        <w:rPr>
          <w:b/>
          <w:bCs/>
          <w:color w:val="auto"/>
          <w:kern w:val="0"/>
          <w:highlight w:val="none"/>
        </w:rPr>
        <w:t>1</w:t>
      </w:r>
      <w:r>
        <w:rPr>
          <w:b/>
          <w:bCs/>
          <w:color w:val="auto"/>
          <w:highlight w:val="none"/>
        </w:rPr>
        <w:t>　</w:t>
      </w:r>
      <w:r>
        <w:rPr>
          <w:color w:val="auto"/>
          <w:kern w:val="0"/>
          <w:highlight w:val="none"/>
        </w:rPr>
        <w:t>明挖法施工的勘察应符合下列规定：</w:t>
      </w:r>
    </w:p>
    <w:p>
      <w:pPr>
        <w:autoSpaceDE w:val="0"/>
        <w:spacing w:line="360" w:lineRule="auto"/>
        <w:ind w:left="946" w:leftChars="300" w:hanging="316" w:hangingChars="150"/>
        <w:jc w:val="left"/>
        <w:rPr>
          <w:color w:val="auto"/>
          <w:kern w:val="0"/>
          <w:highlight w:val="none"/>
        </w:rPr>
      </w:pPr>
      <w:r>
        <w:rPr>
          <w:b/>
          <w:bCs/>
          <w:color w:val="auto"/>
          <w:kern w:val="0"/>
          <w:highlight w:val="none"/>
        </w:rPr>
        <w:t>1）</w:t>
      </w:r>
      <w:r>
        <w:rPr>
          <w:color w:val="auto"/>
          <w:kern w:val="0"/>
          <w:highlight w:val="none"/>
        </w:rPr>
        <w:t>勘探孔深度</w:t>
      </w:r>
      <w:r>
        <w:rPr>
          <w:rFonts w:hint="eastAsia"/>
          <w:color w:val="auto"/>
          <w:kern w:val="0"/>
          <w:highlight w:val="none"/>
        </w:rPr>
        <w:t>不宜小于</w:t>
      </w:r>
      <w:r>
        <w:rPr>
          <w:color w:val="auto"/>
          <w:kern w:val="0"/>
          <w:highlight w:val="none"/>
        </w:rPr>
        <w:t>基坑开挖深度的3.0倍，当基底下</w:t>
      </w:r>
      <w:r>
        <w:rPr>
          <w:rFonts w:hint="eastAsia"/>
          <w:color w:val="auto"/>
          <w:kern w:val="0"/>
          <w:highlight w:val="none"/>
        </w:rPr>
        <w:t>遇</w:t>
      </w:r>
      <w:r>
        <w:rPr>
          <w:color w:val="auto"/>
          <w:kern w:val="0"/>
          <w:highlight w:val="none"/>
        </w:rPr>
        <w:t>松软土层、厚层填土和可液化土层</w:t>
      </w:r>
      <w:r>
        <w:rPr>
          <w:rFonts w:hint="eastAsia"/>
          <w:color w:val="auto"/>
          <w:kern w:val="0"/>
          <w:highlight w:val="none"/>
        </w:rPr>
        <w:t>时宜</w:t>
      </w:r>
      <w:r>
        <w:rPr>
          <w:color w:val="auto"/>
          <w:kern w:val="0"/>
          <w:highlight w:val="none"/>
        </w:rPr>
        <w:t>适当加深；</w:t>
      </w:r>
    </w:p>
    <w:p>
      <w:pPr>
        <w:autoSpaceDE w:val="0"/>
        <w:spacing w:line="360" w:lineRule="auto"/>
        <w:ind w:left="946" w:leftChars="300" w:hanging="316" w:hangingChars="150"/>
        <w:jc w:val="left"/>
        <w:rPr>
          <w:color w:val="auto"/>
          <w:kern w:val="0"/>
          <w:highlight w:val="none"/>
        </w:rPr>
      </w:pPr>
      <w:r>
        <w:rPr>
          <w:rFonts w:hint="eastAsia"/>
          <w:b/>
          <w:bCs/>
          <w:color w:val="auto"/>
          <w:kern w:val="0"/>
          <w:highlight w:val="none"/>
        </w:rPr>
        <w:t>2</w:t>
      </w:r>
      <w:r>
        <w:rPr>
          <w:b/>
          <w:bCs/>
          <w:color w:val="auto"/>
          <w:kern w:val="0"/>
          <w:highlight w:val="none"/>
        </w:rPr>
        <w:t>）</w:t>
      </w:r>
      <w:r>
        <w:rPr>
          <w:color w:val="auto"/>
          <w:kern w:val="0"/>
          <w:highlight w:val="none"/>
        </w:rPr>
        <w:t>控制性勘探孔应穿透主要含水层进入隔水层一定深度。</w:t>
      </w:r>
    </w:p>
    <w:p>
      <w:pPr>
        <w:autoSpaceDE w:val="0"/>
        <w:spacing w:line="360" w:lineRule="auto"/>
        <w:ind w:firstLine="422" w:firstLineChars="200"/>
        <w:jc w:val="left"/>
        <w:rPr>
          <w:color w:val="auto"/>
          <w:kern w:val="0"/>
          <w:highlight w:val="none"/>
        </w:rPr>
      </w:pPr>
      <w:r>
        <w:rPr>
          <w:b/>
          <w:bCs/>
          <w:color w:val="auto"/>
          <w:kern w:val="0"/>
          <w:highlight w:val="none"/>
        </w:rPr>
        <w:t>2</w:t>
      </w:r>
      <w:r>
        <w:rPr>
          <w:rFonts w:hint="eastAsia"/>
          <w:color w:val="auto"/>
          <w:kern w:val="0"/>
          <w:highlight w:val="none"/>
        </w:rPr>
        <w:t>　暗挖</w:t>
      </w:r>
      <w:r>
        <w:rPr>
          <w:color w:val="auto"/>
          <w:kern w:val="0"/>
          <w:highlight w:val="none"/>
        </w:rPr>
        <w:t>法施工的勘察应符合下列规定：</w:t>
      </w:r>
    </w:p>
    <w:p>
      <w:pPr>
        <w:autoSpaceDE w:val="0"/>
        <w:spacing w:line="360" w:lineRule="auto"/>
        <w:ind w:left="946" w:leftChars="300" w:hanging="316" w:hangingChars="150"/>
        <w:jc w:val="left"/>
        <w:rPr>
          <w:color w:val="auto"/>
          <w:kern w:val="0"/>
          <w:highlight w:val="none"/>
        </w:rPr>
      </w:pPr>
      <w:r>
        <w:rPr>
          <w:b/>
          <w:bCs/>
          <w:color w:val="auto"/>
          <w:kern w:val="0"/>
          <w:highlight w:val="none"/>
        </w:rPr>
        <w:t>1）</w:t>
      </w:r>
      <w:r>
        <w:rPr>
          <w:color w:val="auto"/>
          <w:kern w:val="0"/>
          <w:highlight w:val="none"/>
        </w:rPr>
        <w:t>勘探孔宜进入综合管廊底以下</w:t>
      </w:r>
      <w:r>
        <w:rPr>
          <w:rFonts w:hint="eastAsia"/>
          <w:color w:val="auto"/>
          <w:kern w:val="0"/>
          <w:highlight w:val="none"/>
        </w:rPr>
        <w:t>不小于</w:t>
      </w:r>
      <w:r>
        <w:rPr>
          <w:color w:val="auto"/>
          <w:kern w:val="0"/>
          <w:highlight w:val="none"/>
        </w:rPr>
        <w:t xml:space="preserve"> 3.0 倍管廊直径（宽度）深度</w:t>
      </w:r>
      <w:r>
        <w:rPr>
          <w:rFonts w:hint="eastAsia"/>
          <w:color w:val="auto"/>
          <w:kern w:val="0"/>
          <w:highlight w:val="none"/>
        </w:rPr>
        <w:t>，</w:t>
      </w:r>
      <w:r>
        <w:rPr>
          <w:color w:val="auto"/>
          <w:kern w:val="0"/>
          <w:highlight w:val="none"/>
        </w:rPr>
        <w:t>并满足变形及抗浮设计要求。</w:t>
      </w:r>
    </w:p>
    <w:p>
      <w:pPr>
        <w:autoSpaceDE w:val="0"/>
        <w:spacing w:line="360" w:lineRule="auto"/>
        <w:ind w:left="946" w:leftChars="300" w:hanging="316" w:hangingChars="150"/>
        <w:jc w:val="left"/>
        <w:rPr>
          <w:color w:val="auto"/>
          <w:kern w:val="0"/>
          <w:highlight w:val="none"/>
        </w:rPr>
      </w:pPr>
      <w:r>
        <w:rPr>
          <w:b/>
          <w:bCs/>
          <w:color w:val="auto"/>
          <w:kern w:val="0"/>
          <w:highlight w:val="none"/>
        </w:rPr>
        <w:t>2）</w:t>
      </w:r>
      <w:r>
        <w:rPr>
          <w:color w:val="auto"/>
          <w:kern w:val="0"/>
          <w:highlight w:val="none"/>
        </w:rPr>
        <w:t>当基底下</w:t>
      </w:r>
      <w:r>
        <w:rPr>
          <w:rFonts w:hint="eastAsia"/>
          <w:color w:val="auto"/>
          <w:kern w:val="0"/>
          <w:highlight w:val="none"/>
        </w:rPr>
        <w:t>遇</w:t>
      </w:r>
      <w:r>
        <w:rPr>
          <w:color w:val="auto"/>
          <w:kern w:val="0"/>
          <w:highlight w:val="none"/>
        </w:rPr>
        <w:t>松软土层、厚层填土和可液化土层时，勘探孔深度应适当加深；</w:t>
      </w:r>
      <w:r>
        <w:rPr>
          <w:rFonts w:hint="eastAsia"/>
          <w:color w:val="auto"/>
          <w:kern w:val="0"/>
          <w:highlight w:val="none"/>
        </w:rPr>
        <w:t>当</w:t>
      </w:r>
      <w:r>
        <w:rPr>
          <w:color w:val="auto"/>
          <w:kern w:val="0"/>
          <w:highlight w:val="none"/>
        </w:rPr>
        <w:t>预定深度内遇溶洞、土洞、暗河等，应穿透并根据需要加深。</w:t>
      </w:r>
    </w:p>
    <w:p>
      <w:pPr>
        <w:autoSpaceDE w:val="0"/>
        <w:spacing w:line="360" w:lineRule="auto"/>
        <w:ind w:firstLine="422" w:firstLineChars="200"/>
        <w:jc w:val="left"/>
        <w:rPr>
          <w:color w:val="auto"/>
          <w:highlight w:val="none"/>
        </w:rPr>
      </w:pPr>
      <w:r>
        <w:rPr>
          <w:b/>
          <w:bCs/>
          <w:color w:val="auto"/>
          <w:kern w:val="0"/>
          <w:highlight w:val="none"/>
        </w:rPr>
        <w:t>3</w:t>
      </w:r>
      <w:r>
        <w:rPr>
          <w:rFonts w:hint="eastAsia"/>
          <w:b/>
          <w:bCs/>
          <w:color w:val="auto"/>
          <w:kern w:val="0"/>
          <w:highlight w:val="none"/>
        </w:rPr>
        <w:t>　</w:t>
      </w:r>
      <w:r>
        <w:rPr>
          <w:color w:val="auto"/>
          <w:highlight w:val="none"/>
        </w:rPr>
        <w:t>在结构埋深范围内遇下列地层时</w:t>
      </w:r>
      <w:r>
        <w:rPr>
          <w:rFonts w:hint="eastAsia"/>
          <w:color w:val="auto"/>
          <w:highlight w:val="none"/>
        </w:rPr>
        <w:t>，</w:t>
      </w:r>
      <w:r>
        <w:rPr>
          <w:color w:val="auto"/>
          <w:highlight w:val="none"/>
        </w:rPr>
        <w:t>可适当减少勘探孔深度</w:t>
      </w:r>
      <w:r>
        <w:rPr>
          <w:rFonts w:hint="eastAsia"/>
          <w:color w:val="auto"/>
          <w:highlight w:val="none"/>
        </w:rPr>
        <w:t>：</w:t>
      </w:r>
    </w:p>
    <w:p>
      <w:pPr>
        <w:autoSpaceDE w:val="0"/>
        <w:spacing w:line="360" w:lineRule="auto"/>
        <w:ind w:firstLine="632" w:firstLineChars="300"/>
        <w:jc w:val="left"/>
        <w:rPr>
          <w:color w:val="auto"/>
          <w:kern w:val="0"/>
          <w:szCs w:val="21"/>
          <w:highlight w:val="none"/>
        </w:rPr>
      </w:pPr>
      <w:r>
        <w:rPr>
          <w:rFonts w:hint="eastAsia"/>
          <w:b/>
          <w:bCs/>
          <w:color w:val="auto"/>
          <w:szCs w:val="21"/>
          <w:highlight w:val="none"/>
        </w:rPr>
        <w:t>1）</w:t>
      </w:r>
      <w:r>
        <w:rPr>
          <w:rFonts w:hint="eastAsia"/>
          <w:color w:val="auto"/>
          <w:szCs w:val="21"/>
          <w:highlight w:val="none"/>
        </w:rPr>
        <w:t>遇</w:t>
      </w:r>
      <w:r>
        <w:rPr>
          <w:rFonts w:hint="eastAsia"/>
          <w:color w:val="auto"/>
          <w:kern w:val="0"/>
          <w:szCs w:val="21"/>
          <w:highlight w:val="none"/>
        </w:rPr>
        <w:t>碎石土、</w:t>
      </w:r>
      <w:r>
        <w:rPr>
          <w:color w:val="auto"/>
          <w:kern w:val="0"/>
          <w:szCs w:val="21"/>
          <w:highlight w:val="none"/>
        </w:rPr>
        <w:t>全</w:t>
      </w:r>
      <w:r>
        <w:rPr>
          <w:rFonts w:hint="eastAsia"/>
          <w:color w:val="auto"/>
          <w:kern w:val="0"/>
          <w:szCs w:val="21"/>
          <w:highlight w:val="none"/>
        </w:rPr>
        <w:t>风化岩</w:t>
      </w:r>
      <w:r>
        <w:rPr>
          <w:color w:val="auto"/>
          <w:kern w:val="0"/>
          <w:szCs w:val="21"/>
          <w:highlight w:val="none"/>
        </w:rPr>
        <w:t>、强风化岩或极软岩时</w:t>
      </w:r>
      <w:r>
        <w:rPr>
          <w:rFonts w:hint="eastAsia"/>
          <w:color w:val="auto"/>
          <w:kern w:val="0"/>
          <w:szCs w:val="21"/>
          <w:highlight w:val="none"/>
        </w:rPr>
        <w:t>，宜</w:t>
      </w:r>
      <w:r>
        <w:rPr>
          <w:color w:val="auto"/>
          <w:kern w:val="0"/>
          <w:szCs w:val="21"/>
          <w:highlight w:val="none"/>
        </w:rPr>
        <w:t>进入结构底板以下</w:t>
      </w:r>
      <w:r>
        <w:rPr>
          <w:rFonts w:hint="eastAsia"/>
          <w:color w:val="auto"/>
          <w:kern w:val="0"/>
          <w:szCs w:val="21"/>
          <w:highlight w:val="none"/>
        </w:rPr>
        <w:t>不小于15m；</w:t>
      </w:r>
    </w:p>
    <w:p>
      <w:pPr>
        <w:autoSpaceDE w:val="0"/>
        <w:spacing w:line="360" w:lineRule="auto"/>
        <w:ind w:firstLine="632" w:firstLineChars="300"/>
        <w:jc w:val="left"/>
        <w:rPr>
          <w:color w:val="auto"/>
          <w:szCs w:val="21"/>
          <w:highlight w:val="none"/>
        </w:rPr>
      </w:pPr>
      <w:r>
        <w:rPr>
          <w:rFonts w:hint="eastAsia"/>
          <w:b/>
          <w:bCs/>
          <w:color w:val="auto"/>
          <w:kern w:val="0"/>
          <w:szCs w:val="21"/>
          <w:highlight w:val="none"/>
        </w:rPr>
        <w:t>2）</w:t>
      </w:r>
      <w:r>
        <w:rPr>
          <w:rFonts w:hint="eastAsia"/>
          <w:color w:val="auto"/>
          <w:kern w:val="0"/>
          <w:szCs w:val="21"/>
          <w:highlight w:val="none"/>
        </w:rPr>
        <w:t>遇</w:t>
      </w:r>
      <w:r>
        <w:rPr>
          <w:color w:val="auto"/>
          <w:szCs w:val="21"/>
          <w:highlight w:val="none"/>
        </w:rPr>
        <w:t>中等风化</w:t>
      </w:r>
      <w:r>
        <w:rPr>
          <w:rFonts w:hint="eastAsia"/>
          <w:color w:val="auto"/>
          <w:szCs w:val="21"/>
          <w:highlight w:val="none"/>
        </w:rPr>
        <w:t>岩</w:t>
      </w:r>
      <w:r>
        <w:rPr>
          <w:color w:val="auto"/>
          <w:szCs w:val="21"/>
          <w:highlight w:val="none"/>
        </w:rPr>
        <w:t>或微风化岩时，</w:t>
      </w:r>
      <w:r>
        <w:rPr>
          <w:rFonts w:hint="eastAsia"/>
          <w:color w:val="auto"/>
          <w:szCs w:val="21"/>
          <w:highlight w:val="none"/>
        </w:rPr>
        <w:t>宜</w:t>
      </w:r>
      <w:r>
        <w:rPr>
          <w:color w:val="auto"/>
          <w:szCs w:val="21"/>
          <w:highlight w:val="none"/>
        </w:rPr>
        <w:t>进入综合管廊结构底板以下</w:t>
      </w:r>
      <w:r>
        <w:rPr>
          <w:rFonts w:hint="eastAsia"/>
          <w:color w:val="auto"/>
          <w:kern w:val="0"/>
          <w:szCs w:val="21"/>
          <w:highlight w:val="none"/>
        </w:rPr>
        <w:t>不小于</w:t>
      </w:r>
      <w:r>
        <w:rPr>
          <w:color w:val="auto"/>
          <w:szCs w:val="21"/>
          <w:highlight w:val="none"/>
        </w:rPr>
        <w:t>5m</w:t>
      </w:r>
      <w:r>
        <w:rPr>
          <w:rFonts w:hint="eastAsia"/>
          <w:color w:val="auto"/>
          <w:szCs w:val="21"/>
          <w:highlight w:val="none"/>
        </w:rPr>
        <w:t>。</w:t>
      </w:r>
    </w:p>
    <w:p>
      <w:pPr>
        <w:spacing w:line="360" w:lineRule="auto"/>
        <w:rPr>
          <w:color w:val="auto"/>
          <w:highlight w:val="none"/>
        </w:rPr>
      </w:pPr>
      <w:r>
        <w:rPr>
          <w:b/>
          <w:bCs/>
          <w:color w:val="auto"/>
          <w:highlight w:val="none"/>
        </w:rPr>
        <w:t>10.4.4</w:t>
      </w:r>
      <w:r>
        <w:rPr>
          <w:rFonts w:hint="eastAsia"/>
          <w:color w:val="auto"/>
          <w:highlight w:val="none"/>
        </w:rPr>
        <w:t>　</w:t>
      </w:r>
      <w:r>
        <w:rPr>
          <w:color w:val="auto"/>
          <w:highlight w:val="none"/>
        </w:rPr>
        <w:t>详细</w:t>
      </w:r>
      <w:r>
        <w:rPr>
          <w:rFonts w:hint="eastAsia"/>
          <w:color w:val="auto"/>
          <w:highlight w:val="none"/>
        </w:rPr>
        <w:t>勘察</w:t>
      </w:r>
      <w:r>
        <w:rPr>
          <w:color w:val="auto"/>
          <w:highlight w:val="none"/>
        </w:rPr>
        <w:t>取土试样及测试应符合下列规定：</w:t>
      </w:r>
    </w:p>
    <w:p>
      <w:pPr>
        <w:autoSpaceDE w:val="0"/>
        <w:spacing w:line="360" w:lineRule="auto"/>
        <w:ind w:firstLine="422" w:firstLineChars="200"/>
        <w:jc w:val="left"/>
        <w:rPr>
          <w:color w:val="auto"/>
          <w:highlight w:val="none"/>
        </w:rPr>
      </w:pPr>
      <w:r>
        <w:rPr>
          <w:b/>
          <w:bCs/>
          <w:color w:val="auto"/>
          <w:highlight w:val="none"/>
        </w:rPr>
        <w:t>1</w:t>
      </w:r>
      <w:r>
        <w:rPr>
          <w:rFonts w:hint="eastAsia"/>
          <w:color w:val="auto"/>
          <w:highlight w:val="none"/>
        </w:rPr>
        <w:t>　</w:t>
      </w:r>
      <w:r>
        <w:rPr>
          <w:color w:val="auto"/>
          <w:highlight w:val="none"/>
        </w:rPr>
        <w:t>取土试样和进行原位测试点的竖向间距在地基主要受力层内宜为1</w:t>
      </w:r>
      <w:r>
        <w:rPr>
          <w:rFonts w:hint="eastAsia"/>
          <w:color w:val="auto"/>
          <w:highlight w:val="none"/>
        </w:rPr>
        <w:t>.0m</w:t>
      </w:r>
      <w:r>
        <w:rPr>
          <w:color w:val="auto"/>
          <w:highlight w:val="none"/>
        </w:rPr>
        <w:t>~1.5m；当遇同一较厚土层时，可放大取土间距，但不宜大于2.5m；</w:t>
      </w:r>
    </w:p>
    <w:p>
      <w:pPr>
        <w:autoSpaceDE w:val="0"/>
        <w:spacing w:line="360" w:lineRule="auto"/>
        <w:ind w:firstLine="422" w:firstLineChars="200"/>
        <w:jc w:val="left"/>
        <w:rPr>
          <w:color w:val="auto"/>
          <w:highlight w:val="none"/>
        </w:rPr>
      </w:pPr>
      <w:r>
        <w:rPr>
          <w:rFonts w:hint="eastAsia"/>
          <w:b/>
          <w:bCs/>
          <w:color w:val="auto"/>
          <w:highlight w:val="none"/>
        </w:rPr>
        <w:t>2</w:t>
      </w:r>
      <w:r>
        <w:rPr>
          <w:rFonts w:hint="eastAsia"/>
          <w:color w:val="auto"/>
          <w:highlight w:val="none"/>
        </w:rPr>
        <w:t>　</w:t>
      </w:r>
      <w:r>
        <w:rPr>
          <w:color w:val="auto"/>
          <w:highlight w:val="none"/>
        </w:rPr>
        <w:t>土层性质不均匀时，应适当增加取样数量或原位测试次数；</w:t>
      </w:r>
    </w:p>
    <w:p>
      <w:pPr>
        <w:autoSpaceDE w:val="0"/>
        <w:spacing w:line="360" w:lineRule="auto"/>
        <w:ind w:firstLine="422" w:firstLineChars="200"/>
        <w:jc w:val="left"/>
        <w:rPr>
          <w:color w:val="auto"/>
          <w:highlight w:val="none"/>
        </w:rPr>
      </w:pPr>
      <w:r>
        <w:rPr>
          <w:rFonts w:hint="eastAsia"/>
          <w:b/>
          <w:bCs/>
          <w:color w:val="auto"/>
          <w:highlight w:val="none"/>
        </w:rPr>
        <w:t>3</w:t>
      </w:r>
      <w:r>
        <w:rPr>
          <w:rFonts w:hint="eastAsia"/>
          <w:color w:val="auto"/>
          <w:highlight w:val="none"/>
        </w:rPr>
        <w:t>　</w:t>
      </w:r>
      <w:r>
        <w:rPr>
          <w:color w:val="auto"/>
          <w:highlight w:val="none"/>
        </w:rPr>
        <w:t>当水文地质条件复杂且对工程影响重大时，应通过现场试验确定水文地质参数；</w:t>
      </w:r>
    </w:p>
    <w:p>
      <w:pPr>
        <w:autoSpaceDE w:val="0"/>
        <w:spacing w:line="360" w:lineRule="auto"/>
        <w:ind w:firstLine="422" w:firstLineChars="200"/>
        <w:jc w:val="left"/>
        <w:rPr>
          <w:color w:val="auto"/>
          <w:highlight w:val="none"/>
        </w:rPr>
      </w:pPr>
      <w:r>
        <w:rPr>
          <w:rFonts w:hint="eastAsia"/>
          <w:b/>
          <w:bCs/>
          <w:color w:val="auto"/>
          <w:highlight w:val="none"/>
        </w:rPr>
        <w:t>4</w:t>
      </w:r>
      <w:r>
        <w:rPr>
          <w:rFonts w:hint="eastAsia"/>
          <w:color w:val="auto"/>
          <w:highlight w:val="none"/>
        </w:rPr>
        <w:t>　</w:t>
      </w:r>
      <w:r>
        <w:rPr>
          <w:color w:val="auto"/>
          <w:highlight w:val="none"/>
        </w:rPr>
        <w:t>为判定地下水和土对建筑材料的腐蚀性，每个水文地质单元采取地下水、土试样各不应少于3件，且每2公里不少于1件。</w:t>
      </w:r>
    </w:p>
    <w:p>
      <w:pPr>
        <w:spacing w:line="360" w:lineRule="auto"/>
        <w:rPr>
          <w:color w:val="auto"/>
          <w:highlight w:val="none"/>
        </w:rPr>
      </w:pPr>
      <w:r>
        <w:rPr>
          <w:b/>
          <w:bCs/>
          <w:color w:val="auto"/>
          <w:highlight w:val="none"/>
        </w:rPr>
        <w:t>10.4.</w:t>
      </w:r>
      <w:r>
        <w:rPr>
          <w:rFonts w:hint="eastAsia"/>
          <w:b/>
          <w:bCs/>
          <w:color w:val="auto"/>
          <w:highlight w:val="none"/>
        </w:rPr>
        <w:t>5</w:t>
      </w:r>
      <w:r>
        <w:rPr>
          <w:rFonts w:hint="eastAsia"/>
          <w:color w:val="auto"/>
          <w:highlight w:val="none"/>
        </w:rPr>
        <w:t>　</w:t>
      </w:r>
      <w:r>
        <w:rPr>
          <w:color w:val="auto"/>
          <w:highlight w:val="none"/>
        </w:rPr>
        <w:t>详细勘察应重点分析评价下列内容：</w:t>
      </w:r>
    </w:p>
    <w:p>
      <w:pPr>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评价场地与地基的地震效应；</w:t>
      </w:r>
    </w:p>
    <w:p>
      <w:pPr>
        <w:autoSpaceDE w:val="0"/>
        <w:spacing w:line="360" w:lineRule="auto"/>
        <w:ind w:firstLine="422" w:firstLineChars="200"/>
        <w:jc w:val="left"/>
        <w:rPr>
          <w:color w:val="auto"/>
          <w:highlight w:val="none"/>
        </w:rPr>
      </w:pPr>
      <w:r>
        <w:rPr>
          <w:rFonts w:hint="eastAsia"/>
          <w:b/>
          <w:bCs/>
          <w:color w:val="auto"/>
          <w:highlight w:val="none"/>
        </w:rPr>
        <w:t>2</w:t>
      </w:r>
      <w:r>
        <w:rPr>
          <w:rFonts w:hint="eastAsia"/>
          <w:color w:val="auto"/>
          <w:highlight w:val="none"/>
        </w:rPr>
        <w:t>　评价场地的岩土条件</w:t>
      </w:r>
      <w:r>
        <w:rPr>
          <w:color w:val="auto"/>
          <w:highlight w:val="none"/>
        </w:rPr>
        <w:t>，提出各岩土层物理力学参数、</w:t>
      </w:r>
      <w:r>
        <w:rPr>
          <w:rFonts w:hint="eastAsia"/>
          <w:color w:val="auto"/>
          <w:highlight w:val="none"/>
        </w:rPr>
        <w:t>土石</w:t>
      </w:r>
      <w:r>
        <w:rPr>
          <w:color w:val="auto"/>
          <w:highlight w:val="none"/>
        </w:rPr>
        <w:t>工程分级、围岩分级；</w:t>
      </w:r>
    </w:p>
    <w:p>
      <w:pPr>
        <w:autoSpaceDE w:val="0"/>
        <w:spacing w:line="360" w:lineRule="auto"/>
        <w:ind w:firstLine="422" w:firstLineChars="200"/>
        <w:jc w:val="left"/>
        <w:rPr>
          <w:color w:val="auto"/>
          <w:highlight w:val="none"/>
        </w:rPr>
      </w:pPr>
      <w:r>
        <w:rPr>
          <w:rFonts w:hint="eastAsia"/>
          <w:b/>
          <w:bCs/>
          <w:color w:val="auto"/>
          <w:highlight w:val="none"/>
        </w:rPr>
        <w:t>3</w:t>
      </w:r>
      <w:r>
        <w:rPr>
          <w:rFonts w:hint="eastAsia"/>
          <w:color w:val="auto"/>
          <w:highlight w:val="none"/>
        </w:rPr>
        <w:t>　评价</w:t>
      </w:r>
      <w:r>
        <w:rPr>
          <w:color w:val="auto"/>
          <w:highlight w:val="none"/>
        </w:rPr>
        <w:t>拟建场地的不良地质作用、特殊性岩土、地下有害气体的分布情况及其对综合管廊的影响，提出相应处理措施的建议；</w:t>
      </w:r>
    </w:p>
    <w:p>
      <w:pPr>
        <w:autoSpaceDE w:val="0"/>
        <w:spacing w:line="360" w:lineRule="auto"/>
        <w:ind w:firstLine="422" w:firstLineChars="200"/>
        <w:jc w:val="left"/>
        <w:rPr>
          <w:color w:val="auto"/>
          <w:highlight w:val="none"/>
        </w:rPr>
      </w:pPr>
      <w:r>
        <w:rPr>
          <w:rFonts w:hint="eastAsia"/>
          <w:b/>
          <w:bCs/>
          <w:color w:val="auto"/>
          <w:highlight w:val="none"/>
        </w:rPr>
        <w:t>4</w:t>
      </w:r>
      <w:r>
        <w:rPr>
          <w:rFonts w:hint="eastAsia"/>
          <w:color w:val="auto"/>
          <w:highlight w:val="none"/>
        </w:rPr>
        <w:t>　</w:t>
      </w:r>
      <w:r>
        <w:rPr>
          <w:color w:val="auto"/>
          <w:highlight w:val="none"/>
        </w:rPr>
        <w:t>对拟采用明挖施工方案的管廊及工作竖井，应提供基坑边坡稳定性计算、基坑支护设计及基坑施工所需的岩土参数；</w:t>
      </w:r>
    </w:p>
    <w:p>
      <w:pPr>
        <w:autoSpaceDE w:val="0"/>
        <w:spacing w:line="360" w:lineRule="auto"/>
        <w:ind w:firstLine="422" w:firstLineChars="200"/>
        <w:jc w:val="left"/>
        <w:rPr>
          <w:color w:val="auto"/>
          <w:highlight w:val="none"/>
        </w:rPr>
      </w:pPr>
      <w:r>
        <w:rPr>
          <w:rFonts w:hint="eastAsia"/>
          <w:b/>
          <w:bCs/>
          <w:color w:val="auto"/>
          <w:highlight w:val="none"/>
        </w:rPr>
        <w:t>5</w:t>
      </w:r>
      <w:r>
        <w:rPr>
          <w:rFonts w:hint="eastAsia"/>
          <w:color w:val="auto"/>
          <w:highlight w:val="none"/>
        </w:rPr>
        <w:t>　评价</w:t>
      </w:r>
      <w:r>
        <w:rPr>
          <w:color w:val="auto"/>
          <w:highlight w:val="none"/>
        </w:rPr>
        <w:t>地下水对工程设计、施工的影响，提出地下水控制的方案建议并提供地下水控制所需参数，评价地下水控制方案对工程周边环境的影响；</w:t>
      </w:r>
    </w:p>
    <w:p>
      <w:pPr>
        <w:spacing w:line="360" w:lineRule="auto"/>
        <w:ind w:firstLine="422" w:firstLineChars="200"/>
        <w:rPr>
          <w:color w:val="auto"/>
          <w:kern w:val="0"/>
          <w:highlight w:val="none"/>
        </w:rPr>
      </w:pPr>
      <w:r>
        <w:rPr>
          <w:rFonts w:hint="eastAsia"/>
          <w:b/>
          <w:bCs/>
          <w:color w:val="auto"/>
          <w:kern w:val="0"/>
          <w:highlight w:val="none"/>
        </w:rPr>
        <w:t>6</w:t>
      </w:r>
      <w:r>
        <w:rPr>
          <w:rFonts w:hint="eastAsia"/>
          <w:color w:val="auto"/>
          <w:kern w:val="0"/>
          <w:highlight w:val="none"/>
        </w:rPr>
        <w:t>　</w:t>
      </w:r>
      <w:r>
        <w:rPr>
          <w:color w:val="auto"/>
          <w:kern w:val="0"/>
          <w:highlight w:val="none"/>
        </w:rPr>
        <w:t>分析</w:t>
      </w:r>
      <w:r>
        <w:rPr>
          <w:rFonts w:hint="eastAsia"/>
          <w:color w:val="auto"/>
          <w:highlight w:val="none"/>
        </w:rPr>
        <w:t>评价</w:t>
      </w:r>
      <w:r>
        <w:rPr>
          <w:color w:val="auto"/>
          <w:kern w:val="0"/>
          <w:highlight w:val="none"/>
        </w:rPr>
        <w:t>地下水水位变化规律及其对</w:t>
      </w:r>
      <w:r>
        <w:rPr>
          <w:rFonts w:hint="eastAsia"/>
          <w:color w:val="auto"/>
          <w:kern w:val="0"/>
          <w:highlight w:val="none"/>
        </w:rPr>
        <w:t>管廊</w:t>
      </w:r>
      <w:r>
        <w:rPr>
          <w:color w:val="auto"/>
          <w:kern w:val="0"/>
          <w:highlight w:val="none"/>
        </w:rPr>
        <w:t>抗浮的影响，提出抗浮设计建议；</w:t>
      </w:r>
    </w:p>
    <w:p>
      <w:pPr>
        <w:autoSpaceDE w:val="0"/>
        <w:spacing w:line="360" w:lineRule="auto"/>
        <w:ind w:firstLine="422" w:firstLineChars="200"/>
        <w:jc w:val="left"/>
        <w:rPr>
          <w:color w:val="auto"/>
          <w:highlight w:val="none"/>
        </w:rPr>
      </w:pPr>
      <w:r>
        <w:rPr>
          <w:rFonts w:hint="eastAsia"/>
          <w:b/>
          <w:bCs/>
          <w:color w:val="auto"/>
          <w:highlight w:val="none"/>
        </w:rPr>
        <w:t>7</w:t>
      </w:r>
      <w:r>
        <w:rPr>
          <w:rFonts w:hint="eastAsia"/>
          <w:color w:val="auto"/>
          <w:highlight w:val="none"/>
        </w:rPr>
        <w:t>　</w:t>
      </w:r>
      <w:r>
        <w:rPr>
          <w:color w:val="auto"/>
          <w:highlight w:val="none"/>
        </w:rPr>
        <w:t>对</w:t>
      </w:r>
      <w:r>
        <w:rPr>
          <w:rFonts w:hint="eastAsia"/>
          <w:color w:val="auto"/>
          <w:highlight w:val="none"/>
        </w:rPr>
        <w:t>暗挖</w:t>
      </w:r>
      <w:r>
        <w:rPr>
          <w:color w:val="auto"/>
          <w:highlight w:val="none"/>
        </w:rPr>
        <w:t>法</w:t>
      </w:r>
      <w:r>
        <w:rPr>
          <w:rFonts w:hint="eastAsia"/>
          <w:color w:val="auto"/>
          <w:highlight w:val="none"/>
        </w:rPr>
        <w:t>管廊</w:t>
      </w:r>
      <w:r>
        <w:rPr>
          <w:color w:val="auto"/>
          <w:highlight w:val="none"/>
        </w:rPr>
        <w:t>，应提供相应工法设计、施工所需参数；对于稳定性差的地层及可能产生流砂、管涌的地层，应提出预加固措施的建议；</w:t>
      </w:r>
    </w:p>
    <w:p>
      <w:pPr>
        <w:autoSpaceDE w:val="0"/>
        <w:spacing w:line="360" w:lineRule="auto"/>
        <w:ind w:firstLine="422" w:firstLineChars="200"/>
        <w:jc w:val="left"/>
        <w:rPr>
          <w:color w:val="auto"/>
          <w:highlight w:val="none"/>
        </w:rPr>
      </w:pPr>
      <w:r>
        <w:rPr>
          <w:rFonts w:hint="eastAsia"/>
          <w:b/>
          <w:bCs/>
          <w:color w:val="auto"/>
          <w:highlight w:val="none"/>
        </w:rPr>
        <w:t>8</w:t>
      </w:r>
      <w:r>
        <w:rPr>
          <w:rFonts w:hint="eastAsia"/>
          <w:color w:val="auto"/>
          <w:highlight w:val="none"/>
        </w:rPr>
        <w:t>　评价</w:t>
      </w:r>
      <w:r>
        <w:rPr>
          <w:color w:val="auto"/>
          <w:highlight w:val="none"/>
        </w:rPr>
        <w:t>地下水和土对建筑材料的腐蚀性；</w:t>
      </w:r>
    </w:p>
    <w:p>
      <w:pPr>
        <w:autoSpaceDE w:val="0"/>
        <w:spacing w:line="360" w:lineRule="auto"/>
        <w:ind w:firstLine="422" w:firstLineChars="200"/>
        <w:jc w:val="left"/>
        <w:rPr>
          <w:color w:val="auto"/>
          <w:highlight w:val="none"/>
        </w:rPr>
      </w:pPr>
      <w:r>
        <w:rPr>
          <w:rFonts w:hint="eastAsia"/>
          <w:b/>
          <w:bCs/>
          <w:color w:val="auto"/>
          <w:highlight w:val="none"/>
        </w:rPr>
        <w:t>9　</w:t>
      </w:r>
      <w:r>
        <w:rPr>
          <w:rFonts w:hint="eastAsia"/>
          <w:color w:val="auto"/>
          <w:highlight w:val="none"/>
        </w:rPr>
        <w:t>评价</w:t>
      </w:r>
      <w:r>
        <w:rPr>
          <w:color w:val="auto"/>
          <w:highlight w:val="none"/>
        </w:rPr>
        <w:t>既有地下管线、地下建（构）筑物及其它建构筑物基础对管廊施工的影响，提出处理措施建议；</w:t>
      </w:r>
    </w:p>
    <w:p>
      <w:pPr>
        <w:autoSpaceDE w:val="0"/>
        <w:spacing w:line="360" w:lineRule="auto"/>
        <w:ind w:firstLine="422" w:firstLineChars="200"/>
        <w:jc w:val="left"/>
        <w:rPr>
          <w:color w:val="auto"/>
          <w:highlight w:val="none"/>
        </w:rPr>
      </w:pPr>
      <w:r>
        <w:rPr>
          <w:rFonts w:hint="eastAsia"/>
          <w:b/>
          <w:bCs/>
          <w:color w:val="auto"/>
          <w:highlight w:val="none"/>
        </w:rPr>
        <w:t>10</w:t>
      </w:r>
      <w:r>
        <w:rPr>
          <w:rFonts w:hint="eastAsia"/>
          <w:color w:val="auto"/>
          <w:highlight w:val="none"/>
        </w:rPr>
        <w:t>　</w:t>
      </w:r>
      <w:r>
        <w:rPr>
          <w:color w:val="auto"/>
          <w:highlight w:val="none"/>
        </w:rPr>
        <w:t>管廊穿越建（构）筑物、堤岸时，应分析评价管廊设置对其稳定性和变形的影响，并提出相关建议；</w:t>
      </w:r>
    </w:p>
    <w:p>
      <w:pPr>
        <w:autoSpaceDE w:val="0"/>
        <w:spacing w:line="360" w:lineRule="auto"/>
        <w:ind w:firstLine="422" w:firstLineChars="200"/>
        <w:jc w:val="left"/>
        <w:rPr>
          <w:color w:val="auto"/>
          <w:highlight w:val="none"/>
        </w:rPr>
      </w:pPr>
      <w:r>
        <w:rPr>
          <w:rFonts w:hint="eastAsia"/>
          <w:b/>
          <w:bCs/>
          <w:color w:val="auto"/>
          <w:highlight w:val="none"/>
        </w:rPr>
        <w:t>11</w:t>
      </w:r>
      <w:r>
        <w:rPr>
          <w:rFonts w:hint="eastAsia"/>
          <w:color w:val="auto"/>
          <w:highlight w:val="none"/>
        </w:rPr>
        <w:t>　</w:t>
      </w:r>
      <w:r>
        <w:rPr>
          <w:color w:val="auto"/>
          <w:highlight w:val="none"/>
        </w:rPr>
        <w:t>对拟建控制中心等附属建筑物的建筑地基作出岩土工程评价，并提出</w:t>
      </w:r>
      <w:r>
        <w:rPr>
          <w:rFonts w:hint="eastAsia"/>
          <w:color w:val="auto"/>
          <w:highlight w:val="none"/>
        </w:rPr>
        <w:t>地基与基础方案</w:t>
      </w:r>
      <w:r>
        <w:rPr>
          <w:color w:val="auto"/>
          <w:highlight w:val="none"/>
        </w:rPr>
        <w:t>建议。</w:t>
      </w:r>
    </w:p>
    <w:p>
      <w:pPr>
        <w:rPr>
          <w:color w:val="auto"/>
          <w:sz w:val="10"/>
          <w:szCs w:val="10"/>
          <w:highlight w:val="none"/>
        </w:rPr>
      </w:pPr>
      <w:r>
        <w:rPr>
          <w:color w:val="auto"/>
          <w:sz w:val="10"/>
          <w:szCs w:val="10"/>
          <w:highlight w:val="none"/>
        </w:rPr>
        <w:br w:type="page"/>
      </w:r>
    </w:p>
    <w:p>
      <w:pPr>
        <w:rPr>
          <w:color w:val="auto"/>
          <w:sz w:val="10"/>
          <w:szCs w:val="10"/>
          <w:highlight w:val="none"/>
        </w:rPr>
      </w:pPr>
    </w:p>
    <w:p>
      <w:pPr>
        <w:pStyle w:val="2"/>
        <w:spacing w:before="480" w:after="480" w:line="240" w:lineRule="auto"/>
        <w:rPr>
          <w:color w:val="auto"/>
          <w:highlight w:val="none"/>
        </w:rPr>
      </w:pPr>
      <w:bookmarkStart w:id="184" w:name="_Toc17755"/>
      <w:bookmarkStart w:id="185" w:name="_Toc23226"/>
      <w:bookmarkStart w:id="186" w:name="_Toc7515"/>
      <w:bookmarkStart w:id="187" w:name="_11　城市场地平整工程"/>
      <w:r>
        <w:rPr>
          <w:rFonts w:hint="eastAsia"/>
          <w:color w:val="auto"/>
          <w:highlight w:val="none"/>
        </w:rPr>
        <w:t>11　城市场地平整工程</w:t>
      </w:r>
      <w:bookmarkEnd w:id="184"/>
      <w:bookmarkEnd w:id="185"/>
      <w:bookmarkEnd w:id="186"/>
    </w:p>
    <w:bookmarkEnd w:id="187"/>
    <w:p>
      <w:pPr>
        <w:pStyle w:val="3"/>
        <w:rPr>
          <w:rFonts w:ascii="Times New Roman" w:hAnsi="Times New Roman" w:eastAsia="宋体"/>
          <w:color w:val="auto"/>
          <w:highlight w:val="none"/>
        </w:rPr>
      </w:pPr>
      <w:bookmarkStart w:id="188" w:name="_Toc1978"/>
      <w:bookmarkStart w:id="189" w:name="_Toc32219"/>
      <w:bookmarkStart w:id="190" w:name="_Toc18206"/>
      <w:bookmarkStart w:id="191" w:name="_11.1　一般规定"/>
      <w:r>
        <w:rPr>
          <w:rFonts w:hint="eastAsia" w:ascii="Times New Roman" w:hAnsi="Times New Roman" w:eastAsia="宋体"/>
          <w:color w:val="auto"/>
          <w:highlight w:val="none"/>
        </w:rPr>
        <w:t>11.</w:t>
      </w:r>
      <w:r>
        <w:rPr>
          <w:rFonts w:ascii="Times New Roman" w:hAnsi="Times New Roman" w:eastAsia="宋体"/>
          <w:color w:val="auto"/>
          <w:highlight w:val="none"/>
        </w:rPr>
        <w:t>1</w:t>
      </w:r>
      <w:r>
        <w:rPr>
          <w:rFonts w:hint="eastAsia" w:ascii="Times New Roman" w:hAnsi="Times New Roman" w:eastAsia="宋体"/>
          <w:color w:val="auto"/>
          <w:highlight w:val="none"/>
        </w:rPr>
        <w:t>　</w:t>
      </w:r>
      <w:r>
        <w:rPr>
          <w:rFonts w:ascii="Times New Roman" w:hAnsi="Times New Roman" w:eastAsia="宋体"/>
          <w:color w:val="auto"/>
          <w:highlight w:val="none"/>
        </w:rPr>
        <w:t>一般规定</w:t>
      </w:r>
      <w:bookmarkEnd w:id="188"/>
      <w:bookmarkEnd w:id="189"/>
      <w:bookmarkEnd w:id="190"/>
    </w:p>
    <w:bookmarkEnd w:id="191"/>
    <w:p>
      <w:pPr>
        <w:autoSpaceDE w:val="0"/>
        <w:spacing w:line="360" w:lineRule="auto"/>
        <w:rPr>
          <w:color w:val="auto"/>
          <w:highlight w:val="none"/>
        </w:rPr>
      </w:pPr>
      <w:r>
        <w:rPr>
          <w:rFonts w:hint="eastAsia"/>
          <w:b/>
          <w:bCs/>
          <w:color w:val="auto"/>
          <w:highlight w:val="none"/>
        </w:rPr>
        <w:t>11.</w:t>
      </w:r>
      <w:r>
        <w:rPr>
          <w:b/>
          <w:bCs/>
          <w:color w:val="auto"/>
          <w:highlight w:val="none"/>
        </w:rPr>
        <w:t>1.1</w:t>
      </w:r>
      <w:r>
        <w:rPr>
          <w:rFonts w:hint="eastAsia"/>
          <w:color w:val="auto"/>
          <w:highlight w:val="none"/>
        </w:rPr>
        <w:t>　</w:t>
      </w:r>
      <w:r>
        <w:rPr>
          <w:color w:val="auto"/>
          <w:highlight w:val="none"/>
        </w:rPr>
        <w:t>本章适用于</w:t>
      </w:r>
      <w:r>
        <w:rPr>
          <w:rFonts w:hint="eastAsia"/>
          <w:color w:val="auto"/>
          <w:highlight w:val="none"/>
        </w:rPr>
        <w:t>城市丘陵场地平整工程和滨海场地平整工程</w:t>
      </w:r>
      <w:r>
        <w:rPr>
          <w:color w:val="auto"/>
          <w:highlight w:val="none"/>
        </w:rPr>
        <w:t>的岩土工程勘察</w:t>
      </w:r>
      <w:r>
        <w:rPr>
          <w:rFonts w:hint="eastAsia"/>
          <w:color w:val="auto"/>
          <w:highlight w:val="none"/>
        </w:rPr>
        <w:t>。丘陵场地平整工程涉及的</w:t>
      </w:r>
      <w:r>
        <w:rPr>
          <w:rFonts w:hint="eastAsia"/>
          <w:color w:val="auto"/>
          <w:highlight w:val="none"/>
          <w:lang w:val="en-US" w:eastAsia="zh-CN"/>
        </w:rPr>
        <w:t>临时</w:t>
      </w:r>
      <w:r>
        <w:rPr>
          <w:rFonts w:hint="eastAsia"/>
          <w:color w:val="auto"/>
          <w:highlight w:val="none"/>
        </w:rPr>
        <w:t>边坡工程可按本规范第5章的规定进行勘察</w:t>
      </w:r>
      <w:r>
        <w:rPr>
          <w:rFonts w:hint="eastAsia"/>
          <w:color w:val="auto"/>
          <w:highlight w:val="none"/>
          <w:lang w:eastAsia="zh-CN"/>
        </w:rPr>
        <w:t>，</w:t>
      </w:r>
      <w:r>
        <w:rPr>
          <w:rFonts w:hint="eastAsia"/>
          <w:color w:val="auto"/>
          <w:highlight w:val="none"/>
          <w:lang w:val="en-US" w:eastAsia="zh-CN"/>
        </w:rPr>
        <w:t>永久边坡工程应按现行的国家标准《建筑边坡工程技术规范》GB 50330执行</w:t>
      </w:r>
      <w:r>
        <w:rPr>
          <w:rFonts w:hint="eastAsia"/>
          <w:color w:val="auto"/>
          <w:highlight w:val="none"/>
        </w:rPr>
        <w:t>。</w:t>
      </w:r>
    </w:p>
    <w:p>
      <w:pPr>
        <w:autoSpaceDE w:val="0"/>
        <w:spacing w:line="360" w:lineRule="auto"/>
        <w:rPr>
          <w:rFonts w:hint="default" w:eastAsia="宋体"/>
          <w:color w:val="auto"/>
          <w:highlight w:val="none"/>
          <w:lang w:val="en-US" w:eastAsia="zh-CN"/>
        </w:rPr>
      </w:pPr>
      <w:r>
        <w:rPr>
          <w:rFonts w:hint="eastAsia"/>
          <w:b/>
          <w:bCs/>
          <w:color w:val="auto"/>
          <w:highlight w:val="none"/>
        </w:rPr>
        <w:t>11.1.2</w:t>
      </w:r>
      <w:r>
        <w:rPr>
          <w:rFonts w:hint="eastAsia"/>
          <w:color w:val="auto"/>
          <w:highlight w:val="none"/>
        </w:rPr>
        <w:t>　丘陵区通过大面积挖方或堆填进行地块开发利用前，以及海域或滨海滩涂地带进行填海造陆开发利用前，应进行场地平整工程勘察。</w:t>
      </w:r>
      <w:r>
        <w:rPr>
          <w:rFonts w:hint="eastAsia"/>
          <w:color w:val="auto"/>
          <w:highlight w:val="none"/>
          <w:lang w:val="en-US" w:eastAsia="zh-CN"/>
        </w:rPr>
        <w:t>场地平整工程可不分阶段，采用一次性勘察。</w:t>
      </w:r>
    </w:p>
    <w:p>
      <w:pPr>
        <w:pStyle w:val="3"/>
        <w:rPr>
          <w:rFonts w:ascii="Times New Roman" w:hAnsi="Times New Roman" w:eastAsia="宋体"/>
          <w:color w:val="auto"/>
          <w:highlight w:val="none"/>
        </w:rPr>
      </w:pPr>
      <w:bookmarkStart w:id="192" w:name="_Toc22186"/>
      <w:bookmarkStart w:id="193" w:name="_Toc4252"/>
      <w:bookmarkStart w:id="194" w:name="_Toc32060"/>
      <w:bookmarkStart w:id="195" w:name="_11.2　丘陵场地平整勘察"/>
      <w:r>
        <w:rPr>
          <w:rFonts w:hint="eastAsia" w:ascii="Times New Roman" w:hAnsi="Times New Roman" w:eastAsia="宋体"/>
          <w:color w:val="auto"/>
          <w:highlight w:val="none"/>
        </w:rPr>
        <w:t>11.</w:t>
      </w:r>
      <w:r>
        <w:rPr>
          <w:rFonts w:ascii="Times New Roman" w:hAnsi="Times New Roman" w:eastAsia="宋体"/>
          <w:color w:val="auto"/>
          <w:highlight w:val="none"/>
        </w:rPr>
        <w:t>2</w:t>
      </w:r>
      <w:r>
        <w:rPr>
          <w:rFonts w:hint="eastAsia" w:ascii="Times New Roman" w:hAnsi="Times New Roman" w:eastAsia="宋体"/>
          <w:color w:val="auto"/>
          <w:highlight w:val="none"/>
        </w:rPr>
        <w:t>　丘陵场地平整</w:t>
      </w:r>
      <w:r>
        <w:rPr>
          <w:rFonts w:ascii="Times New Roman" w:hAnsi="Times New Roman" w:eastAsia="宋体"/>
          <w:color w:val="auto"/>
          <w:highlight w:val="none"/>
        </w:rPr>
        <w:t>勘察</w:t>
      </w:r>
      <w:bookmarkEnd w:id="192"/>
      <w:bookmarkEnd w:id="193"/>
      <w:bookmarkEnd w:id="194"/>
    </w:p>
    <w:bookmarkEnd w:id="195"/>
    <w:p>
      <w:pPr>
        <w:autoSpaceDE w:val="0"/>
        <w:spacing w:line="360" w:lineRule="auto"/>
        <w:rPr>
          <w:color w:val="auto"/>
          <w:highlight w:val="none"/>
        </w:rPr>
      </w:pPr>
      <w:r>
        <w:rPr>
          <w:rFonts w:hint="eastAsia"/>
          <w:b/>
          <w:bCs/>
          <w:color w:val="auto"/>
          <w:highlight w:val="none"/>
        </w:rPr>
        <w:t>11.2.1　</w:t>
      </w:r>
      <w:r>
        <w:rPr>
          <w:rFonts w:hint="eastAsia"/>
          <w:color w:val="auto"/>
          <w:highlight w:val="none"/>
        </w:rPr>
        <w:t>丘陵场地平整工程勘察应查明下列内容：</w:t>
      </w:r>
    </w:p>
    <w:p>
      <w:pPr>
        <w:autoSpaceDE w:val="0"/>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w:t>
      </w:r>
      <w:r>
        <w:rPr>
          <w:color w:val="auto"/>
          <w:highlight w:val="none"/>
        </w:rPr>
        <w:t>查明</w:t>
      </w:r>
      <w:r>
        <w:rPr>
          <w:rFonts w:hint="eastAsia"/>
          <w:color w:val="auto"/>
          <w:highlight w:val="none"/>
        </w:rPr>
        <w:t>场地</w:t>
      </w:r>
      <w:r>
        <w:rPr>
          <w:color w:val="auto"/>
          <w:highlight w:val="none"/>
        </w:rPr>
        <w:t>的地形地貌、地层结构及其工程特性</w:t>
      </w:r>
      <w:r>
        <w:rPr>
          <w:rFonts w:hint="eastAsia"/>
          <w:color w:val="auto"/>
          <w:highlight w:val="none"/>
        </w:rPr>
        <w:t>；</w:t>
      </w:r>
    </w:p>
    <w:p>
      <w:pPr>
        <w:autoSpaceDE w:val="0"/>
        <w:spacing w:line="360" w:lineRule="auto"/>
        <w:ind w:firstLine="422" w:firstLineChars="200"/>
        <w:rPr>
          <w:color w:val="auto"/>
          <w:highlight w:val="none"/>
        </w:rPr>
      </w:pPr>
      <w:r>
        <w:rPr>
          <w:rFonts w:hint="eastAsia"/>
          <w:b/>
          <w:bCs/>
          <w:color w:val="auto"/>
          <w:highlight w:val="none"/>
        </w:rPr>
        <w:t>2</w:t>
      </w:r>
      <w:r>
        <w:rPr>
          <w:rFonts w:hint="eastAsia"/>
          <w:color w:val="auto"/>
          <w:highlight w:val="none"/>
        </w:rPr>
        <w:t>　查明拟挖方体的土石比，为挖方体的土方量和石方量计算提供依据；</w:t>
      </w:r>
    </w:p>
    <w:p>
      <w:pPr>
        <w:autoSpaceDE w:val="0"/>
        <w:spacing w:line="360" w:lineRule="auto"/>
        <w:ind w:firstLine="422" w:firstLineChars="200"/>
        <w:rPr>
          <w:color w:val="auto"/>
          <w:highlight w:val="none"/>
        </w:rPr>
      </w:pPr>
      <w:r>
        <w:rPr>
          <w:rFonts w:hint="eastAsia"/>
          <w:b/>
          <w:bCs/>
          <w:color w:val="auto"/>
          <w:highlight w:val="none"/>
        </w:rPr>
        <w:t>3</w:t>
      </w:r>
      <w:r>
        <w:rPr>
          <w:rFonts w:hint="eastAsia"/>
          <w:color w:val="auto"/>
          <w:highlight w:val="none"/>
        </w:rPr>
        <w:t>　查明拟填方区当前工程地质和水文地质条件，为填方工程的土方量计算提供依据；</w:t>
      </w:r>
    </w:p>
    <w:p>
      <w:pPr>
        <w:autoSpaceDE w:val="0"/>
        <w:spacing w:line="360" w:lineRule="auto"/>
        <w:ind w:firstLine="422" w:firstLineChars="200"/>
        <w:rPr>
          <w:color w:val="auto"/>
          <w:highlight w:val="none"/>
        </w:rPr>
      </w:pPr>
      <w:r>
        <w:rPr>
          <w:rFonts w:hint="eastAsia"/>
          <w:b/>
          <w:bCs/>
          <w:color w:val="auto"/>
          <w:highlight w:val="none"/>
        </w:rPr>
        <w:t>4</w:t>
      </w:r>
      <w:r>
        <w:rPr>
          <w:rFonts w:hint="eastAsia"/>
          <w:color w:val="auto"/>
          <w:highlight w:val="none"/>
        </w:rPr>
        <w:t>　查明场地表土和地下水</w:t>
      </w:r>
      <w:r>
        <w:rPr>
          <w:color w:val="auto"/>
          <w:highlight w:val="none"/>
        </w:rPr>
        <w:t>对建筑材料的腐蚀性</w:t>
      </w:r>
      <w:r>
        <w:rPr>
          <w:rFonts w:hint="eastAsia"/>
          <w:color w:val="auto"/>
          <w:highlight w:val="none"/>
        </w:rPr>
        <w:t>；</w:t>
      </w:r>
    </w:p>
    <w:p>
      <w:pPr>
        <w:autoSpaceDE w:val="0"/>
        <w:spacing w:line="360" w:lineRule="auto"/>
        <w:ind w:firstLine="422" w:firstLineChars="200"/>
        <w:rPr>
          <w:color w:val="auto"/>
          <w:highlight w:val="none"/>
        </w:rPr>
      </w:pPr>
      <w:r>
        <w:rPr>
          <w:rFonts w:hint="eastAsia"/>
          <w:b/>
          <w:bCs/>
          <w:color w:val="auto"/>
          <w:highlight w:val="none"/>
        </w:rPr>
        <w:t>5</w:t>
      </w:r>
      <w:r>
        <w:rPr>
          <w:rFonts w:hint="eastAsia"/>
          <w:color w:val="auto"/>
          <w:highlight w:val="none"/>
        </w:rPr>
        <w:t>　查明地块周界及地块内设计边坡或支挡结构地基的岩土条件，为边坡工程设计提供依据。</w:t>
      </w:r>
    </w:p>
    <w:p>
      <w:pPr>
        <w:autoSpaceDE w:val="0"/>
        <w:spacing w:line="360" w:lineRule="auto"/>
        <w:rPr>
          <w:color w:val="auto"/>
          <w:kern w:val="0"/>
          <w:highlight w:val="none"/>
        </w:rPr>
      </w:pPr>
      <w:r>
        <w:rPr>
          <w:rFonts w:hint="eastAsia"/>
          <w:b/>
          <w:bCs/>
          <w:color w:val="auto"/>
          <w:highlight w:val="none"/>
        </w:rPr>
        <w:t>11.2.2</w:t>
      </w:r>
      <w:r>
        <w:rPr>
          <w:rFonts w:hint="eastAsia"/>
          <w:color w:val="auto"/>
          <w:highlight w:val="none"/>
        </w:rPr>
        <w:t>　勘察前应</w:t>
      </w:r>
      <w:r>
        <w:rPr>
          <w:color w:val="auto"/>
          <w:highlight w:val="none"/>
        </w:rPr>
        <w:t>取得下列图纸和资料</w:t>
      </w:r>
      <w:r>
        <w:rPr>
          <w:color w:val="auto"/>
          <w:kern w:val="0"/>
          <w:highlight w:val="none"/>
        </w:rPr>
        <w:t>：</w:t>
      </w:r>
    </w:p>
    <w:p>
      <w:pPr>
        <w:autoSpaceDE w:val="0"/>
        <w:spacing w:line="360" w:lineRule="auto"/>
        <w:ind w:firstLine="422" w:firstLineChars="200"/>
        <w:rPr>
          <w:color w:val="auto"/>
          <w:kern w:val="0"/>
          <w:highlight w:val="none"/>
        </w:rPr>
      </w:pPr>
      <w:r>
        <w:rPr>
          <w:rFonts w:hint="eastAsia"/>
          <w:b/>
          <w:bCs/>
          <w:color w:val="auto"/>
          <w:kern w:val="0"/>
          <w:highlight w:val="none"/>
        </w:rPr>
        <w:t>1</w:t>
      </w:r>
      <w:r>
        <w:rPr>
          <w:rFonts w:hint="eastAsia"/>
          <w:color w:val="auto"/>
          <w:kern w:val="0"/>
          <w:highlight w:val="none"/>
        </w:rPr>
        <w:t>　拟平整地块的设计总平面图；</w:t>
      </w:r>
    </w:p>
    <w:p>
      <w:pPr>
        <w:autoSpaceDE w:val="0"/>
        <w:spacing w:line="360" w:lineRule="auto"/>
        <w:ind w:firstLine="422" w:firstLineChars="200"/>
        <w:rPr>
          <w:color w:val="auto"/>
          <w:kern w:val="0"/>
          <w:highlight w:val="none"/>
        </w:rPr>
      </w:pPr>
      <w:r>
        <w:rPr>
          <w:rFonts w:hint="eastAsia"/>
          <w:b/>
          <w:bCs/>
          <w:color w:val="auto"/>
          <w:kern w:val="0"/>
          <w:highlight w:val="none"/>
        </w:rPr>
        <w:t>2　</w:t>
      </w:r>
      <w:r>
        <w:rPr>
          <w:rFonts w:hint="eastAsia"/>
          <w:color w:val="auto"/>
          <w:kern w:val="0"/>
          <w:highlight w:val="none"/>
        </w:rPr>
        <w:t>平整设计典型剖面图；</w:t>
      </w:r>
    </w:p>
    <w:p>
      <w:pPr>
        <w:autoSpaceDE w:val="0"/>
        <w:spacing w:line="360" w:lineRule="auto"/>
        <w:ind w:firstLine="422" w:firstLineChars="200"/>
        <w:rPr>
          <w:color w:val="auto"/>
          <w:kern w:val="0"/>
          <w:highlight w:val="none"/>
        </w:rPr>
      </w:pPr>
      <w:r>
        <w:rPr>
          <w:rFonts w:hint="eastAsia"/>
          <w:b/>
          <w:bCs/>
          <w:color w:val="auto"/>
          <w:kern w:val="0"/>
          <w:highlight w:val="none"/>
        </w:rPr>
        <w:t>3</w:t>
      </w:r>
      <w:r>
        <w:rPr>
          <w:rFonts w:hint="eastAsia"/>
          <w:color w:val="auto"/>
          <w:kern w:val="0"/>
          <w:highlight w:val="none"/>
        </w:rPr>
        <w:t>　地块范围、地块面积、场地现状地形标高、地坪设计标高、设计挖方量、拟填方范围和填方高度，场地平整后周边及地块内的边坡情况及支挡方式；</w:t>
      </w:r>
    </w:p>
    <w:p>
      <w:pPr>
        <w:autoSpaceDE w:val="0"/>
        <w:spacing w:line="360" w:lineRule="auto"/>
        <w:ind w:firstLine="422" w:firstLineChars="200"/>
        <w:rPr>
          <w:color w:val="auto"/>
          <w:kern w:val="0"/>
          <w:highlight w:val="none"/>
        </w:rPr>
      </w:pPr>
      <w:r>
        <w:rPr>
          <w:rFonts w:hint="eastAsia"/>
          <w:b/>
          <w:bCs/>
          <w:color w:val="auto"/>
          <w:kern w:val="0"/>
          <w:highlight w:val="none"/>
        </w:rPr>
        <w:t>4　</w:t>
      </w:r>
      <w:r>
        <w:rPr>
          <w:rFonts w:hint="eastAsia"/>
          <w:color w:val="auto"/>
          <w:kern w:val="0"/>
          <w:highlight w:val="none"/>
        </w:rPr>
        <w:t>支挡工程的基础形式及承载力要求。</w:t>
      </w:r>
    </w:p>
    <w:p>
      <w:pPr>
        <w:autoSpaceDE w:val="0"/>
        <w:spacing w:line="360" w:lineRule="auto"/>
        <w:rPr>
          <w:color w:val="auto"/>
          <w:highlight w:val="none"/>
        </w:rPr>
      </w:pPr>
      <w:r>
        <w:rPr>
          <w:rFonts w:hint="eastAsia"/>
          <w:b/>
          <w:bCs/>
          <w:color w:val="auto"/>
          <w:highlight w:val="none"/>
        </w:rPr>
        <w:t>11.</w:t>
      </w:r>
      <w:r>
        <w:rPr>
          <w:b/>
          <w:bCs/>
          <w:color w:val="auto"/>
          <w:highlight w:val="none"/>
        </w:rPr>
        <w:t>2.</w:t>
      </w:r>
      <w:r>
        <w:rPr>
          <w:rFonts w:hint="eastAsia"/>
          <w:b/>
          <w:bCs/>
          <w:color w:val="auto"/>
          <w:highlight w:val="none"/>
        </w:rPr>
        <w:t>3</w:t>
      </w:r>
      <w:r>
        <w:rPr>
          <w:rFonts w:hint="eastAsia"/>
          <w:color w:val="auto"/>
          <w:highlight w:val="none"/>
        </w:rPr>
        <w:t>　</w:t>
      </w:r>
      <w:r>
        <w:rPr>
          <w:color w:val="auto"/>
          <w:highlight w:val="none"/>
        </w:rPr>
        <w:t>拟</w:t>
      </w:r>
      <w:r>
        <w:rPr>
          <w:rFonts w:hint="eastAsia"/>
          <w:color w:val="auto"/>
          <w:highlight w:val="none"/>
        </w:rPr>
        <w:t>挖方</w:t>
      </w:r>
      <w:r>
        <w:rPr>
          <w:color w:val="auto"/>
          <w:highlight w:val="none"/>
        </w:rPr>
        <w:t>地段土石比</w:t>
      </w:r>
      <w:r>
        <w:rPr>
          <w:rFonts w:hint="eastAsia"/>
          <w:color w:val="auto"/>
          <w:highlight w:val="none"/>
        </w:rPr>
        <w:t>的勘察方法宜以钻探、物探为主，与工程地质调查与测绘、室内试验相结合；其它范围勘察宜以钻探、原位测试、室内试验为主</w:t>
      </w:r>
      <w:r>
        <w:rPr>
          <w:color w:val="auto"/>
          <w:highlight w:val="none"/>
        </w:rPr>
        <w:t>。</w:t>
      </w:r>
    </w:p>
    <w:p>
      <w:pPr>
        <w:autoSpaceDE w:val="0"/>
        <w:spacing w:line="360" w:lineRule="auto"/>
        <w:rPr>
          <w:color w:val="auto"/>
          <w:highlight w:val="none"/>
        </w:rPr>
      </w:pPr>
      <w:r>
        <w:rPr>
          <w:rFonts w:hint="eastAsia"/>
          <w:b/>
          <w:bCs/>
          <w:color w:val="auto"/>
          <w:highlight w:val="none"/>
        </w:rPr>
        <w:t>11.</w:t>
      </w:r>
      <w:r>
        <w:rPr>
          <w:b/>
          <w:bCs/>
          <w:color w:val="auto"/>
          <w:highlight w:val="none"/>
        </w:rPr>
        <w:t>2.</w:t>
      </w:r>
      <w:r>
        <w:rPr>
          <w:rFonts w:hint="eastAsia"/>
          <w:b/>
          <w:bCs/>
          <w:color w:val="auto"/>
          <w:highlight w:val="none"/>
        </w:rPr>
        <w:t>4</w:t>
      </w:r>
      <w:r>
        <w:rPr>
          <w:rFonts w:hint="eastAsia"/>
          <w:color w:val="auto"/>
          <w:highlight w:val="none"/>
        </w:rPr>
        <w:t>　拟</w:t>
      </w:r>
      <w:r>
        <w:rPr>
          <w:color w:val="auto"/>
          <w:highlight w:val="none"/>
        </w:rPr>
        <w:t>填方地段的勘探点布置应</w:t>
      </w:r>
      <w:r>
        <w:rPr>
          <w:rFonts w:hint="eastAsia"/>
          <w:color w:val="auto"/>
          <w:highlight w:val="none"/>
        </w:rPr>
        <w:t>符合下列规定</w:t>
      </w:r>
      <w:r>
        <w:rPr>
          <w:color w:val="auto"/>
          <w:highlight w:val="none"/>
        </w:rPr>
        <w:t>：</w:t>
      </w:r>
    </w:p>
    <w:p>
      <w:pPr>
        <w:autoSpaceDE w:val="0"/>
        <w:spacing w:line="360" w:lineRule="auto"/>
        <w:ind w:firstLine="422" w:firstLineChars="200"/>
        <w:rPr>
          <w:color w:val="auto"/>
          <w:highlight w:val="none"/>
        </w:rPr>
      </w:pPr>
      <w:r>
        <w:rPr>
          <w:b/>
          <w:bCs/>
          <w:color w:val="auto"/>
          <w:highlight w:val="none"/>
        </w:rPr>
        <w:t>1</w:t>
      </w:r>
      <w:r>
        <w:rPr>
          <w:rFonts w:hint="eastAsia"/>
          <w:b/>
          <w:bCs/>
          <w:color w:val="auto"/>
          <w:highlight w:val="none"/>
        </w:rPr>
        <w:t>　</w:t>
      </w:r>
      <w:r>
        <w:rPr>
          <w:color w:val="auto"/>
          <w:highlight w:val="none"/>
        </w:rPr>
        <w:t>勘探点宜按50</w:t>
      </w:r>
      <w:r>
        <w:rPr>
          <w:rFonts w:hint="eastAsia"/>
          <w:color w:val="auto"/>
          <w:highlight w:val="none"/>
        </w:rPr>
        <w:t>m</w:t>
      </w:r>
      <w:r>
        <w:rPr>
          <w:color w:val="auto"/>
          <w:szCs w:val="21"/>
          <w:highlight w:val="none"/>
          <w:shd w:val="clear" w:color="auto" w:fill="FFFFFF"/>
        </w:rPr>
        <w:t>～</w:t>
      </w:r>
      <w:r>
        <w:rPr>
          <w:color w:val="auto"/>
          <w:highlight w:val="none"/>
        </w:rPr>
        <w:t>100</w:t>
      </w:r>
      <w:r>
        <w:rPr>
          <w:rFonts w:hint="eastAsia"/>
          <w:color w:val="auto"/>
          <w:highlight w:val="none"/>
        </w:rPr>
        <w:t>m间距呈方格网布置；</w:t>
      </w:r>
    </w:p>
    <w:p>
      <w:pPr>
        <w:autoSpaceDE w:val="0"/>
        <w:spacing w:line="360" w:lineRule="auto"/>
        <w:ind w:firstLine="422" w:firstLineChars="200"/>
        <w:rPr>
          <w:color w:val="auto"/>
          <w:szCs w:val="21"/>
          <w:highlight w:val="none"/>
        </w:rPr>
      </w:pPr>
      <w:r>
        <w:rPr>
          <w:b/>
          <w:bCs/>
          <w:color w:val="auto"/>
          <w:highlight w:val="none"/>
        </w:rPr>
        <w:t>2</w:t>
      </w:r>
      <w:r>
        <w:rPr>
          <w:rFonts w:hint="eastAsia"/>
          <w:b/>
          <w:bCs/>
          <w:color w:val="auto"/>
          <w:highlight w:val="none"/>
        </w:rPr>
        <w:t>　</w:t>
      </w:r>
      <w:r>
        <w:rPr>
          <w:color w:val="auto"/>
          <w:highlight w:val="none"/>
        </w:rPr>
        <w:t>在每个地貌单元和地貌交接部位应布置勘探点，并在地貌地层变化较大的地段予以加密</w:t>
      </w:r>
      <w:r>
        <w:rPr>
          <w:rFonts w:hint="eastAsia"/>
          <w:color w:val="auto"/>
          <w:highlight w:val="none"/>
        </w:rPr>
        <w:t>。</w:t>
      </w:r>
    </w:p>
    <w:p>
      <w:pPr>
        <w:autoSpaceDE w:val="0"/>
        <w:spacing w:line="360" w:lineRule="auto"/>
        <w:rPr>
          <w:color w:val="auto"/>
          <w:highlight w:val="none"/>
        </w:rPr>
      </w:pPr>
      <w:r>
        <w:rPr>
          <w:rFonts w:hint="eastAsia"/>
          <w:b/>
          <w:bCs/>
          <w:color w:val="auto"/>
          <w:highlight w:val="none"/>
        </w:rPr>
        <w:t>11.</w:t>
      </w:r>
      <w:r>
        <w:rPr>
          <w:b/>
          <w:bCs/>
          <w:color w:val="auto"/>
          <w:highlight w:val="none"/>
        </w:rPr>
        <w:t>2.</w:t>
      </w:r>
      <w:r>
        <w:rPr>
          <w:rFonts w:hint="eastAsia"/>
          <w:b/>
          <w:bCs/>
          <w:color w:val="auto"/>
          <w:highlight w:val="none"/>
        </w:rPr>
        <w:t>5</w:t>
      </w:r>
      <w:r>
        <w:rPr>
          <w:rFonts w:hint="eastAsia"/>
          <w:color w:val="auto"/>
          <w:highlight w:val="none"/>
        </w:rPr>
        <w:t>　</w:t>
      </w:r>
      <w:r>
        <w:rPr>
          <w:color w:val="auto"/>
          <w:highlight w:val="none"/>
        </w:rPr>
        <w:t>勘探</w:t>
      </w:r>
      <w:r>
        <w:rPr>
          <w:rFonts w:hint="eastAsia"/>
          <w:color w:val="auto"/>
          <w:highlight w:val="none"/>
        </w:rPr>
        <w:t>孔</w:t>
      </w:r>
      <w:r>
        <w:rPr>
          <w:color w:val="auto"/>
          <w:highlight w:val="none"/>
        </w:rPr>
        <w:t>深度应</w:t>
      </w:r>
      <w:r>
        <w:rPr>
          <w:rFonts w:hint="eastAsia"/>
          <w:color w:val="auto"/>
          <w:highlight w:val="none"/>
        </w:rPr>
        <w:t>符合下列规定</w:t>
      </w:r>
      <w:r>
        <w:rPr>
          <w:color w:val="auto"/>
          <w:highlight w:val="none"/>
        </w:rPr>
        <w:t>：</w:t>
      </w:r>
    </w:p>
    <w:p>
      <w:pPr>
        <w:autoSpaceDE w:val="0"/>
        <w:spacing w:line="360" w:lineRule="auto"/>
        <w:ind w:firstLine="422" w:firstLineChars="200"/>
        <w:rPr>
          <w:color w:val="auto"/>
          <w:highlight w:val="none"/>
        </w:rPr>
      </w:pPr>
      <w:r>
        <w:rPr>
          <w:b/>
          <w:bCs/>
          <w:color w:val="auto"/>
          <w:highlight w:val="none"/>
        </w:rPr>
        <w:t>1</w:t>
      </w:r>
      <w:r>
        <w:rPr>
          <w:rFonts w:hint="eastAsia"/>
          <w:b/>
          <w:bCs/>
          <w:color w:val="auto"/>
          <w:highlight w:val="none"/>
        </w:rPr>
        <w:t>　</w:t>
      </w:r>
      <w:r>
        <w:rPr>
          <w:color w:val="auto"/>
          <w:highlight w:val="none"/>
        </w:rPr>
        <w:t>拟填方地段</w:t>
      </w:r>
      <w:r>
        <w:rPr>
          <w:rFonts w:hint="eastAsia"/>
          <w:color w:val="auto"/>
          <w:highlight w:val="none"/>
        </w:rPr>
        <w:t>应</w:t>
      </w:r>
      <w:r>
        <w:rPr>
          <w:color w:val="auto"/>
          <w:highlight w:val="none"/>
        </w:rPr>
        <w:t>满足地基稳定和变形分析的要求；</w:t>
      </w:r>
    </w:p>
    <w:p>
      <w:pPr>
        <w:autoSpaceDE w:val="0"/>
        <w:spacing w:line="360" w:lineRule="auto"/>
        <w:ind w:firstLine="422" w:firstLineChars="200"/>
        <w:rPr>
          <w:color w:val="auto"/>
          <w:highlight w:val="none"/>
        </w:rPr>
      </w:pPr>
      <w:r>
        <w:rPr>
          <w:b/>
          <w:bCs/>
          <w:color w:val="auto"/>
          <w:highlight w:val="none"/>
        </w:rPr>
        <w:t>2</w:t>
      </w:r>
      <w:r>
        <w:rPr>
          <w:rFonts w:hint="eastAsia"/>
          <w:b/>
          <w:bCs/>
          <w:color w:val="auto"/>
          <w:highlight w:val="none"/>
        </w:rPr>
        <w:t>　</w:t>
      </w:r>
      <w:r>
        <w:rPr>
          <w:color w:val="auto"/>
          <w:highlight w:val="none"/>
        </w:rPr>
        <w:t>拟</w:t>
      </w:r>
      <w:r>
        <w:rPr>
          <w:rFonts w:hint="eastAsia"/>
          <w:color w:val="auto"/>
          <w:highlight w:val="none"/>
        </w:rPr>
        <w:t>挖方</w:t>
      </w:r>
      <w:r>
        <w:rPr>
          <w:color w:val="auto"/>
          <w:highlight w:val="none"/>
        </w:rPr>
        <w:t>地段</w:t>
      </w:r>
      <w:r>
        <w:rPr>
          <w:rFonts w:hint="eastAsia"/>
          <w:color w:val="auto"/>
          <w:highlight w:val="none"/>
        </w:rPr>
        <w:t>不应小于</w:t>
      </w:r>
      <w:r>
        <w:rPr>
          <w:color w:val="auto"/>
          <w:highlight w:val="none"/>
        </w:rPr>
        <w:t>平整标高以下</w:t>
      </w:r>
      <w:r>
        <w:rPr>
          <w:rFonts w:hint="eastAsia"/>
          <w:color w:val="auto"/>
          <w:highlight w:val="none"/>
        </w:rPr>
        <w:t>1</w:t>
      </w:r>
      <w:r>
        <w:rPr>
          <w:color w:val="auto"/>
          <w:highlight w:val="none"/>
        </w:rPr>
        <w:t>m</w:t>
      </w:r>
      <w:r>
        <w:rPr>
          <w:rFonts w:hint="eastAsia"/>
          <w:color w:val="auto"/>
          <w:highlight w:val="none"/>
        </w:rPr>
        <w:t>；在此深度内遇基岩，孔深可适当减小</w:t>
      </w:r>
      <w:r>
        <w:rPr>
          <w:color w:val="auto"/>
          <w:highlight w:val="none"/>
        </w:rPr>
        <w:t>。</w:t>
      </w:r>
    </w:p>
    <w:p>
      <w:pPr>
        <w:autoSpaceDE w:val="0"/>
        <w:spacing w:line="360" w:lineRule="auto"/>
        <w:rPr>
          <w:color w:val="auto"/>
          <w:highlight w:val="none"/>
        </w:rPr>
      </w:pPr>
      <w:r>
        <w:rPr>
          <w:rFonts w:hint="eastAsia"/>
          <w:b/>
          <w:bCs/>
          <w:color w:val="auto"/>
          <w:highlight w:val="none"/>
        </w:rPr>
        <w:t>11.</w:t>
      </w:r>
      <w:r>
        <w:rPr>
          <w:b/>
          <w:bCs/>
          <w:color w:val="auto"/>
          <w:highlight w:val="none"/>
        </w:rPr>
        <w:t>2.</w:t>
      </w:r>
      <w:r>
        <w:rPr>
          <w:rFonts w:hint="eastAsia"/>
          <w:b/>
          <w:bCs/>
          <w:color w:val="auto"/>
          <w:highlight w:val="none"/>
        </w:rPr>
        <w:t>6</w:t>
      </w:r>
      <w:r>
        <w:rPr>
          <w:rFonts w:hint="eastAsia"/>
          <w:color w:val="auto"/>
          <w:highlight w:val="none"/>
        </w:rPr>
        <w:t>　取样和测试除</w:t>
      </w:r>
      <w:r>
        <w:rPr>
          <w:rFonts w:hint="eastAsia"/>
          <w:color w:val="auto"/>
          <w:highlight w:val="none"/>
          <w:lang w:val="en-US" w:eastAsia="zh-CN"/>
        </w:rPr>
        <w:t>应</w:t>
      </w:r>
      <w:r>
        <w:rPr>
          <w:rFonts w:hint="eastAsia"/>
          <w:color w:val="auto"/>
          <w:highlight w:val="none"/>
        </w:rPr>
        <w:t>符合</w:t>
      </w:r>
      <w:r>
        <w:rPr>
          <w:rFonts w:hint="eastAsia"/>
          <w:color w:val="auto"/>
          <w:highlight w:val="none"/>
          <w:lang w:val="en-US" w:eastAsia="zh-CN"/>
        </w:rPr>
        <w:t>3.0.7条、3.0.9条的</w:t>
      </w:r>
      <w:r>
        <w:rPr>
          <w:rFonts w:hint="eastAsia"/>
          <w:color w:val="auto"/>
          <w:highlight w:val="none"/>
        </w:rPr>
        <w:t>规定外，尚</w:t>
      </w:r>
      <w:r>
        <w:rPr>
          <w:color w:val="auto"/>
          <w:highlight w:val="none"/>
        </w:rPr>
        <w:t>应符合下列规定：</w:t>
      </w:r>
    </w:p>
    <w:p>
      <w:pPr>
        <w:autoSpaceDE w:val="0"/>
        <w:spacing w:line="360" w:lineRule="auto"/>
        <w:ind w:firstLine="422" w:firstLineChars="200"/>
        <w:rPr>
          <w:color w:val="auto"/>
          <w:highlight w:val="none"/>
        </w:rPr>
      </w:pPr>
      <w:r>
        <w:rPr>
          <w:rFonts w:hint="eastAsia"/>
          <w:b/>
          <w:bCs/>
          <w:color w:val="auto"/>
          <w:highlight w:val="none"/>
        </w:rPr>
        <w:t>1　</w:t>
      </w:r>
      <w:r>
        <w:rPr>
          <w:rFonts w:hint="eastAsia"/>
          <w:color w:val="auto"/>
          <w:highlight w:val="none"/>
        </w:rPr>
        <w:t>高</w:t>
      </w:r>
      <w:r>
        <w:rPr>
          <w:color w:val="auto"/>
          <w:highlight w:val="none"/>
        </w:rPr>
        <w:t>填方地段的软土层，宜进行</w:t>
      </w:r>
      <w:r>
        <w:rPr>
          <w:rFonts w:hint="eastAsia"/>
          <w:color w:val="auto"/>
          <w:highlight w:val="none"/>
        </w:rPr>
        <w:t>标准固结试验、不固结不排水三轴剪切试验、固结不排水三轴剪切试验、无侧限抗压强度试验和十字板剪切试验</w:t>
      </w:r>
      <w:r>
        <w:rPr>
          <w:color w:val="auto"/>
          <w:highlight w:val="none"/>
        </w:rPr>
        <w:t>；</w:t>
      </w:r>
    </w:p>
    <w:p>
      <w:pPr>
        <w:autoSpaceDE w:val="0"/>
        <w:spacing w:line="360" w:lineRule="auto"/>
        <w:ind w:firstLine="422" w:firstLineChars="200"/>
        <w:rPr>
          <w:color w:val="auto"/>
          <w:highlight w:val="none"/>
        </w:rPr>
      </w:pPr>
      <w:r>
        <w:rPr>
          <w:rFonts w:hint="eastAsia"/>
          <w:b/>
          <w:bCs/>
          <w:color w:val="auto"/>
          <w:highlight w:val="none"/>
        </w:rPr>
        <w:t>2　</w:t>
      </w:r>
      <w:r>
        <w:rPr>
          <w:color w:val="auto"/>
          <w:highlight w:val="none"/>
        </w:rPr>
        <w:t>若要查明填料特性时，应对填料做承载比</w:t>
      </w:r>
      <w:r>
        <w:rPr>
          <w:rFonts w:hint="eastAsia"/>
          <w:color w:val="auto"/>
          <w:highlight w:val="none"/>
        </w:rPr>
        <w:t>（</w:t>
      </w:r>
      <w:r>
        <w:rPr>
          <w:color w:val="auto"/>
          <w:highlight w:val="none"/>
        </w:rPr>
        <w:t>CBR</w:t>
      </w:r>
      <w:r>
        <w:rPr>
          <w:rFonts w:hint="eastAsia"/>
          <w:color w:val="auto"/>
          <w:highlight w:val="none"/>
        </w:rPr>
        <w:t>）</w:t>
      </w:r>
      <w:r>
        <w:rPr>
          <w:color w:val="auto"/>
          <w:highlight w:val="none"/>
        </w:rPr>
        <w:t>试验</w:t>
      </w:r>
      <w:r>
        <w:rPr>
          <w:rFonts w:hint="eastAsia"/>
          <w:color w:val="auto"/>
          <w:highlight w:val="none"/>
        </w:rPr>
        <w:t>，对黏性土</w:t>
      </w:r>
      <w:r>
        <w:rPr>
          <w:color w:val="auto"/>
          <w:highlight w:val="none"/>
        </w:rPr>
        <w:t>填料</w:t>
      </w:r>
      <w:r>
        <w:rPr>
          <w:rFonts w:hint="eastAsia"/>
          <w:color w:val="auto"/>
          <w:highlight w:val="none"/>
        </w:rPr>
        <w:t>宜同时进行击实试验</w:t>
      </w:r>
      <w:r>
        <w:rPr>
          <w:color w:val="auto"/>
          <w:highlight w:val="none"/>
        </w:rPr>
        <w:t>。</w:t>
      </w:r>
    </w:p>
    <w:p>
      <w:pPr>
        <w:autoSpaceDE w:val="0"/>
        <w:spacing w:line="360" w:lineRule="auto"/>
        <w:rPr>
          <w:color w:val="auto"/>
          <w:highlight w:val="none"/>
        </w:rPr>
      </w:pPr>
      <w:r>
        <w:rPr>
          <w:rFonts w:hint="eastAsia"/>
          <w:b/>
          <w:bCs/>
          <w:color w:val="auto"/>
          <w:highlight w:val="none"/>
        </w:rPr>
        <w:t>11.</w:t>
      </w:r>
      <w:r>
        <w:rPr>
          <w:b/>
          <w:bCs/>
          <w:color w:val="auto"/>
          <w:highlight w:val="none"/>
        </w:rPr>
        <w:t>2.</w:t>
      </w:r>
      <w:r>
        <w:rPr>
          <w:rFonts w:hint="eastAsia"/>
          <w:b/>
          <w:bCs/>
          <w:color w:val="auto"/>
          <w:highlight w:val="none"/>
        </w:rPr>
        <w:t>7　</w:t>
      </w:r>
      <w:r>
        <w:rPr>
          <w:color w:val="auto"/>
          <w:highlight w:val="none"/>
        </w:rPr>
        <w:t>丘陵场地拟</w:t>
      </w:r>
      <w:r>
        <w:rPr>
          <w:rFonts w:hint="eastAsia"/>
          <w:color w:val="auto"/>
          <w:highlight w:val="none"/>
        </w:rPr>
        <w:t>挖方</w:t>
      </w:r>
      <w:r>
        <w:rPr>
          <w:color w:val="auto"/>
          <w:highlight w:val="none"/>
        </w:rPr>
        <w:t>地段的</w:t>
      </w:r>
      <w:r>
        <w:rPr>
          <w:rFonts w:hint="eastAsia"/>
          <w:color w:val="auto"/>
          <w:highlight w:val="none"/>
        </w:rPr>
        <w:t>物探</w:t>
      </w:r>
      <w:r>
        <w:rPr>
          <w:color w:val="auto"/>
          <w:highlight w:val="none"/>
        </w:rPr>
        <w:t>测线布置宜</w:t>
      </w:r>
      <w:r>
        <w:rPr>
          <w:rFonts w:hint="eastAsia"/>
          <w:color w:val="auto"/>
          <w:highlight w:val="none"/>
        </w:rPr>
        <w:t>符合下列规定</w:t>
      </w:r>
      <w:r>
        <w:rPr>
          <w:color w:val="auto"/>
          <w:highlight w:val="none"/>
        </w:rPr>
        <w:t>：</w:t>
      </w:r>
    </w:p>
    <w:p>
      <w:pPr>
        <w:autoSpaceDE w:val="0"/>
        <w:spacing w:line="360" w:lineRule="auto"/>
        <w:ind w:firstLine="422" w:firstLineChars="200"/>
        <w:rPr>
          <w:color w:val="auto"/>
          <w:highlight w:val="none"/>
        </w:rPr>
      </w:pPr>
      <w:r>
        <w:rPr>
          <w:b/>
          <w:bCs/>
          <w:color w:val="auto"/>
          <w:highlight w:val="none"/>
        </w:rPr>
        <w:t>1</w:t>
      </w:r>
      <w:r>
        <w:rPr>
          <w:rFonts w:hint="eastAsia"/>
          <w:b/>
          <w:bCs/>
          <w:color w:val="auto"/>
          <w:highlight w:val="none"/>
        </w:rPr>
        <w:t>　</w:t>
      </w:r>
      <w:r>
        <w:rPr>
          <w:color w:val="auto"/>
          <w:highlight w:val="none"/>
        </w:rPr>
        <w:t>测线包括主测线和辅测线，两者呈近于网格状覆盖整个</w:t>
      </w:r>
      <w:r>
        <w:rPr>
          <w:rFonts w:hint="eastAsia"/>
          <w:color w:val="auto"/>
          <w:highlight w:val="none"/>
        </w:rPr>
        <w:t>挖方</w:t>
      </w:r>
      <w:r>
        <w:rPr>
          <w:color w:val="auto"/>
          <w:highlight w:val="none"/>
        </w:rPr>
        <w:t>场地；</w:t>
      </w:r>
    </w:p>
    <w:p>
      <w:pPr>
        <w:autoSpaceDE w:val="0"/>
        <w:spacing w:line="360" w:lineRule="auto"/>
        <w:ind w:firstLine="422" w:firstLineChars="200"/>
        <w:rPr>
          <w:color w:val="auto"/>
          <w:highlight w:val="none"/>
        </w:rPr>
      </w:pPr>
      <w:r>
        <w:rPr>
          <w:b/>
          <w:bCs/>
          <w:color w:val="auto"/>
          <w:highlight w:val="none"/>
        </w:rPr>
        <w:t>2</w:t>
      </w:r>
      <w:r>
        <w:rPr>
          <w:rFonts w:hint="eastAsia"/>
          <w:color w:val="auto"/>
          <w:highlight w:val="none"/>
        </w:rPr>
        <w:t>　</w:t>
      </w:r>
      <w:r>
        <w:rPr>
          <w:color w:val="auto"/>
          <w:highlight w:val="none"/>
        </w:rPr>
        <w:t>主测线的布设应尽量沿地形等高线水平展布；辅测线垂直于主测线或等高线布设；测线尽量避开地表坑洞、陡坎、水塘等障碍物；</w:t>
      </w:r>
    </w:p>
    <w:p>
      <w:pPr>
        <w:autoSpaceDE w:val="0"/>
        <w:spacing w:line="360" w:lineRule="auto"/>
        <w:ind w:firstLine="422" w:firstLineChars="200"/>
        <w:rPr>
          <w:color w:val="auto"/>
          <w:highlight w:val="none"/>
        </w:rPr>
      </w:pPr>
      <w:r>
        <w:rPr>
          <w:b/>
          <w:bCs/>
          <w:color w:val="auto"/>
          <w:highlight w:val="none"/>
        </w:rPr>
        <w:t>3</w:t>
      </w:r>
      <w:r>
        <w:rPr>
          <w:rFonts w:hint="eastAsia"/>
          <w:color w:val="auto"/>
          <w:highlight w:val="none"/>
        </w:rPr>
        <w:t>　</w:t>
      </w:r>
      <w:r>
        <w:rPr>
          <w:color w:val="auto"/>
          <w:highlight w:val="none"/>
        </w:rPr>
        <w:t>主测线间距宜为10</w:t>
      </w:r>
      <w:r>
        <w:rPr>
          <w:rFonts w:hint="eastAsia"/>
          <w:color w:val="auto"/>
          <w:highlight w:val="none"/>
        </w:rPr>
        <w:t>m</w:t>
      </w:r>
      <w:r>
        <w:rPr>
          <w:color w:val="auto"/>
          <w:highlight w:val="none"/>
        </w:rPr>
        <w:t>~15m，辅测线间距宜为10</w:t>
      </w:r>
      <w:r>
        <w:rPr>
          <w:rFonts w:hint="eastAsia"/>
          <w:color w:val="auto"/>
          <w:highlight w:val="none"/>
        </w:rPr>
        <w:t>m</w:t>
      </w:r>
      <w:r>
        <w:rPr>
          <w:color w:val="auto"/>
          <w:highlight w:val="none"/>
        </w:rPr>
        <w:t>~30m。</w:t>
      </w:r>
    </w:p>
    <w:p>
      <w:pPr>
        <w:autoSpaceDE w:val="0"/>
        <w:spacing w:line="360" w:lineRule="auto"/>
        <w:rPr>
          <w:color w:val="auto"/>
          <w:highlight w:val="none"/>
        </w:rPr>
      </w:pPr>
      <w:r>
        <w:rPr>
          <w:rFonts w:hint="eastAsia"/>
          <w:b/>
          <w:bCs/>
          <w:color w:val="auto"/>
          <w:highlight w:val="none"/>
        </w:rPr>
        <w:t>11.2.8</w:t>
      </w:r>
      <w:r>
        <w:rPr>
          <w:rFonts w:hint="eastAsia"/>
          <w:color w:val="auto"/>
          <w:highlight w:val="none"/>
        </w:rPr>
        <w:t>　</w:t>
      </w:r>
      <w:r>
        <w:rPr>
          <w:color w:val="auto"/>
          <w:highlight w:val="none"/>
        </w:rPr>
        <w:t>丘陵场地平整勘察应</w:t>
      </w:r>
      <w:r>
        <w:rPr>
          <w:rFonts w:hint="eastAsia"/>
          <w:color w:val="auto"/>
          <w:highlight w:val="none"/>
        </w:rPr>
        <w:t>重点分析评价</w:t>
      </w:r>
      <w:r>
        <w:rPr>
          <w:color w:val="auto"/>
          <w:highlight w:val="none"/>
        </w:rPr>
        <w:t>下列内容：</w:t>
      </w:r>
    </w:p>
    <w:p>
      <w:pPr>
        <w:autoSpaceDE w:val="0"/>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w:t>
      </w:r>
      <w:r>
        <w:rPr>
          <w:color w:val="auto"/>
          <w:highlight w:val="none"/>
        </w:rPr>
        <w:t>评价场地和地基的稳定性</w:t>
      </w:r>
      <w:r>
        <w:rPr>
          <w:rFonts w:hint="eastAsia"/>
          <w:color w:val="auto"/>
          <w:highlight w:val="none"/>
        </w:rPr>
        <w:t>；</w:t>
      </w:r>
    </w:p>
    <w:p>
      <w:pPr>
        <w:autoSpaceDE w:val="0"/>
        <w:spacing w:line="360" w:lineRule="auto"/>
        <w:ind w:firstLine="422" w:firstLineChars="200"/>
        <w:rPr>
          <w:color w:val="auto"/>
          <w:highlight w:val="none"/>
        </w:rPr>
      </w:pPr>
      <w:r>
        <w:rPr>
          <w:rFonts w:hint="eastAsia"/>
          <w:b/>
          <w:bCs/>
          <w:color w:val="auto"/>
          <w:highlight w:val="none"/>
        </w:rPr>
        <w:t>2</w:t>
      </w:r>
      <w:r>
        <w:rPr>
          <w:rFonts w:hint="eastAsia"/>
          <w:color w:val="auto"/>
          <w:highlight w:val="none"/>
        </w:rPr>
        <w:t>　</w:t>
      </w:r>
      <w:r>
        <w:rPr>
          <w:color w:val="auto"/>
          <w:highlight w:val="none"/>
        </w:rPr>
        <w:t>评价场地与地基的地震效应</w:t>
      </w:r>
      <w:r>
        <w:rPr>
          <w:rFonts w:hint="eastAsia"/>
          <w:color w:val="auto"/>
          <w:highlight w:val="none"/>
        </w:rPr>
        <w:t>；</w:t>
      </w:r>
    </w:p>
    <w:p>
      <w:pPr>
        <w:autoSpaceDE w:val="0"/>
        <w:spacing w:line="360" w:lineRule="auto"/>
        <w:ind w:firstLine="422" w:firstLineChars="200"/>
        <w:rPr>
          <w:color w:val="auto"/>
          <w:highlight w:val="none"/>
        </w:rPr>
      </w:pPr>
      <w:r>
        <w:rPr>
          <w:rFonts w:hint="eastAsia"/>
          <w:b/>
          <w:bCs/>
          <w:color w:val="auto"/>
          <w:highlight w:val="none"/>
        </w:rPr>
        <w:t>3　</w:t>
      </w:r>
      <w:r>
        <w:rPr>
          <w:rFonts w:hint="eastAsia"/>
          <w:color w:val="auto"/>
          <w:highlight w:val="none"/>
        </w:rPr>
        <w:t>根据挖方区的土石构成和分布，分析评价不同挖方体的土石类别范围及适用的开挖方法；</w:t>
      </w:r>
    </w:p>
    <w:p>
      <w:pPr>
        <w:autoSpaceDE w:val="0"/>
        <w:spacing w:line="360" w:lineRule="auto"/>
        <w:ind w:firstLine="422" w:firstLineChars="200"/>
        <w:rPr>
          <w:color w:val="auto"/>
          <w:highlight w:val="none"/>
        </w:rPr>
      </w:pPr>
      <w:r>
        <w:rPr>
          <w:rFonts w:hint="eastAsia"/>
          <w:b/>
          <w:bCs/>
          <w:color w:val="auto"/>
          <w:highlight w:val="none"/>
        </w:rPr>
        <w:t>4</w:t>
      </w:r>
      <w:r>
        <w:rPr>
          <w:rFonts w:hint="eastAsia"/>
          <w:color w:val="auto"/>
          <w:highlight w:val="none"/>
        </w:rPr>
        <w:t>　分析填方区在堆填后可能发生的沉降，评价可能产生的超填方量，并提供沉降计算相关的岩土参数；</w:t>
      </w:r>
    </w:p>
    <w:p>
      <w:pPr>
        <w:autoSpaceDE w:val="0"/>
        <w:spacing w:line="360" w:lineRule="auto"/>
        <w:ind w:firstLine="422" w:firstLineChars="200"/>
        <w:rPr>
          <w:color w:val="auto"/>
          <w:highlight w:val="none"/>
        </w:rPr>
      </w:pPr>
      <w:r>
        <w:rPr>
          <w:rFonts w:hint="eastAsia"/>
          <w:b/>
          <w:bCs/>
          <w:color w:val="auto"/>
          <w:highlight w:val="none"/>
        </w:rPr>
        <w:t>5　</w:t>
      </w:r>
      <w:r>
        <w:rPr>
          <w:color w:val="auto"/>
          <w:highlight w:val="none"/>
        </w:rPr>
        <w:t>当拟填方体下卧有软弱土层时，评价软弱土层的工程性质并提供相关岩土参数</w:t>
      </w:r>
      <w:r>
        <w:rPr>
          <w:rFonts w:hint="eastAsia"/>
          <w:color w:val="auto"/>
          <w:highlight w:val="none"/>
        </w:rPr>
        <w:t>；</w:t>
      </w:r>
    </w:p>
    <w:p>
      <w:pPr>
        <w:autoSpaceDE w:val="0"/>
        <w:spacing w:line="360" w:lineRule="auto"/>
        <w:ind w:firstLine="422" w:firstLineChars="200"/>
        <w:rPr>
          <w:color w:val="auto"/>
          <w:highlight w:val="none"/>
        </w:rPr>
      </w:pPr>
      <w:r>
        <w:rPr>
          <w:rFonts w:hint="eastAsia"/>
          <w:b/>
          <w:bCs/>
          <w:color w:val="auto"/>
          <w:highlight w:val="none"/>
        </w:rPr>
        <w:t>6</w:t>
      </w:r>
      <w:r>
        <w:rPr>
          <w:rFonts w:hint="eastAsia"/>
          <w:color w:val="auto"/>
          <w:highlight w:val="none"/>
        </w:rPr>
        <w:t xml:space="preserve">　评价地块周界及地块内边坡的稳定性，为地基处理、边坡支护及支挡工程设计提供岩土参数和相关建议。 </w:t>
      </w:r>
    </w:p>
    <w:p>
      <w:pPr>
        <w:pStyle w:val="3"/>
        <w:rPr>
          <w:rFonts w:ascii="Times New Roman" w:hAnsi="Times New Roman" w:eastAsia="宋体"/>
          <w:color w:val="auto"/>
          <w:highlight w:val="none"/>
        </w:rPr>
      </w:pPr>
      <w:bookmarkStart w:id="196" w:name="_Toc12201"/>
      <w:bookmarkStart w:id="197" w:name="_Toc18575"/>
      <w:bookmarkStart w:id="198" w:name="_Toc24682"/>
      <w:bookmarkStart w:id="199" w:name="_11.3　滨海场地平整勘察"/>
      <w:r>
        <w:rPr>
          <w:rFonts w:hint="eastAsia" w:ascii="Times New Roman" w:hAnsi="Times New Roman" w:eastAsia="宋体"/>
          <w:color w:val="auto"/>
          <w:highlight w:val="none"/>
        </w:rPr>
        <w:t>11.</w:t>
      </w:r>
      <w:r>
        <w:rPr>
          <w:rFonts w:ascii="Times New Roman" w:hAnsi="Times New Roman" w:eastAsia="宋体"/>
          <w:color w:val="auto"/>
          <w:highlight w:val="none"/>
        </w:rPr>
        <w:t>3</w:t>
      </w:r>
      <w:r>
        <w:rPr>
          <w:rFonts w:hint="eastAsia" w:ascii="Times New Roman" w:hAnsi="Times New Roman" w:eastAsia="宋体"/>
          <w:color w:val="auto"/>
          <w:highlight w:val="none"/>
        </w:rPr>
        <w:t>　滨海场地平整</w:t>
      </w:r>
      <w:r>
        <w:rPr>
          <w:rFonts w:ascii="Times New Roman" w:hAnsi="Times New Roman" w:eastAsia="宋体"/>
          <w:color w:val="auto"/>
          <w:highlight w:val="none"/>
        </w:rPr>
        <w:t>勘察</w:t>
      </w:r>
      <w:bookmarkEnd w:id="196"/>
      <w:bookmarkEnd w:id="197"/>
      <w:bookmarkEnd w:id="198"/>
    </w:p>
    <w:bookmarkEnd w:id="199"/>
    <w:p>
      <w:pPr>
        <w:autoSpaceDE w:val="0"/>
        <w:spacing w:line="360" w:lineRule="auto"/>
        <w:rPr>
          <w:color w:val="auto"/>
          <w:highlight w:val="none"/>
        </w:rPr>
      </w:pPr>
      <w:r>
        <w:rPr>
          <w:rFonts w:hint="eastAsia"/>
          <w:b/>
          <w:bCs/>
          <w:color w:val="auto"/>
          <w:highlight w:val="none"/>
        </w:rPr>
        <w:t>11.</w:t>
      </w:r>
      <w:r>
        <w:rPr>
          <w:b/>
          <w:bCs/>
          <w:color w:val="auto"/>
          <w:highlight w:val="none"/>
        </w:rPr>
        <w:t>3.1</w:t>
      </w:r>
      <w:r>
        <w:rPr>
          <w:rFonts w:hint="eastAsia"/>
          <w:b/>
          <w:bCs/>
          <w:color w:val="auto"/>
          <w:highlight w:val="none"/>
        </w:rPr>
        <w:t>　</w:t>
      </w:r>
      <w:r>
        <w:rPr>
          <w:rFonts w:hint="eastAsia"/>
          <w:color w:val="auto"/>
          <w:highlight w:val="none"/>
        </w:rPr>
        <w:t>滨海场地平整</w:t>
      </w:r>
      <w:r>
        <w:rPr>
          <w:color w:val="auto"/>
          <w:highlight w:val="none"/>
        </w:rPr>
        <w:t>工程</w:t>
      </w:r>
      <w:r>
        <w:rPr>
          <w:rFonts w:hint="eastAsia"/>
          <w:color w:val="auto"/>
          <w:highlight w:val="none"/>
        </w:rPr>
        <w:t>勘察应查明下列内容：</w:t>
      </w:r>
    </w:p>
    <w:p>
      <w:pPr>
        <w:autoSpaceDE w:val="0"/>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w:t>
      </w:r>
      <w:r>
        <w:rPr>
          <w:color w:val="auto"/>
          <w:highlight w:val="none"/>
        </w:rPr>
        <w:t>查明</w:t>
      </w:r>
      <w:r>
        <w:rPr>
          <w:rFonts w:hint="eastAsia"/>
          <w:color w:val="auto"/>
          <w:highlight w:val="none"/>
        </w:rPr>
        <w:t>场地</w:t>
      </w:r>
      <w:r>
        <w:rPr>
          <w:color w:val="auto"/>
          <w:highlight w:val="none"/>
        </w:rPr>
        <w:t>的地形地貌、地层结构及其工程特性</w:t>
      </w:r>
      <w:r>
        <w:rPr>
          <w:rFonts w:hint="eastAsia"/>
          <w:color w:val="auto"/>
          <w:highlight w:val="none"/>
        </w:rPr>
        <w:t>；</w:t>
      </w:r>
    </w:p>
    <w:p>
      <w:pPr>
        <w:autoSpaceDE w:val="0"/>
        <w:spacing w:line="360" w:lineRule="auto"/>
        <w:ind w:firstLine="422" w:firstLineChars="200"/>
        <w:rPr>
          <w:color w:val="auto"/>
          <w:highlight w:val="none"/>
        </w:rPr>
      </w:pPr>
      <w:r>
        <w:rPr>
          <w:rFonts w:hint="eastAsia"/>
          <w:b/>
          <w:bCs/>
          <w:color w:val="auto"/>
          <w:highlight w:val="none"/>
        </w:rPr>
        <w:t>2</w:t>
      </w:r>
      <w:r>
        <w:rPr>
          <w:rFonts w:hint="eastAsia"/>
          <w:color w:val="auto"/>
          <w:highlight w:val="none"/>
        </w:rPr>
        <w:t>　</w:t>
      </w:r>
      <w:r>
        <w:rPr>
          <w:color w:val="auto"/>
          <w:highlight w:val="none"/>
        </w:rPr>
        <w:t>查明</w:t>
      </w:r>
      <w:r>
        <w:rPr>
          <w:rFonts w:hint="eastAsia"/>
          <w:color w:val="auto"/>
          <w:highlight w:val="none"/>
        </w:rPr>
        <w:t>场地</w:t>
      </w:r>
      <w:r>
        <w:rPr>
          <w:color w:val="auto"/>
          <w:highlight w:val="none"/>
        </w:rPr>
        <w:t>不良地质作用的</w:t>
      </w:r>
      <w:r>
        <w:rPr>
          <w:rFonts w:hint="eastAsia"/>
          <w:color w:val="auto"/>
          <w:highlight w:val="none"/>
        </w:rPr>
        <w:t>类型、</w:t>
      </w:r>
      <w:r>
        <w:rPr>
          <w:color w:val="auto"/>
          <w:highlight w:val="none"/>
        </w:rPr>
        <w:t>分布范围、发育程度和成因</w:t>
      </w:r>
      <w:r>
        <w:rPr>
          <w:rFonts w:hint="eastAsia"/>
          <w:color w:val="auto"/>
          <w:highlight w:val="none"/>
        </w:rPr>
        <w:t>；</w:t>
      </w:r>
    </w:p>
    <w:p>
      <w:pPr>
        <w:autoSpaceDE w:val="0"/>
        <w:spacing w:line="360" w:lineRule="auto"/>
        <w:ind w:firstLine="422" w:firstLineChars="200"/>
        <w:rPr>
          <w:color w:val="auto"/>
          <w:highlight w:val="none"/>
        </w:rPr>
      </w:pPr>
      <w:r>
        <w:rPr>
          <w:rFonts w:hint="eastAsia"/>
          <w:b/>
          <w:bCs/>
          <w:color w:val="auto"/>
          <w:highlight w:val="none"/>
        </w:rPr>
        <w:t>3</w:t>
      </w:r>
      <w:r>
        <w:rPr>
          <w:rFonts w:hint="eastAsia"/>
          <w:color w:val="auto"/>
          <w:highlight w:val="none"/>
        </w:rPr>
        <w:t>　</w:t>
      </w:r>
      <w:r>
        <w:rPr>
          <w:color w:val="auto"/>
          <w:highlight w:val="none"/>
        </w:rPr>
        <w:t>查明</w:t>
      </w:r>
      <w:r>
        <w:rPr>
          <w:rFonts w:hint="eastAsia"/>
          <w:color w:val="auto"/>
          <w:highlight w:val="none"/>
        </w:rPr>
        <w:t>场地的地质构造背景和场地地层的地震效应特性。</w:t>
      </w:r>
    </w:p>
    <w:p>
      <w:pPr>
        <w:autoSpaceDE w:val="0"/>
        <w:spacing w:line="360" w:lineRule="auto"/>
        <w:rPr>
          <w:color w:val="auto"/>
          <w:highlight w:val="none"/>
        </w:rPr>
      </w:pPr>
      <w:r>
        <w:rPr>
          <w:rFonts w:hint="eastAsia"/>
          <w:b/>
          <w:bCs/>
          <w:color w:val="auto"/>
          <w:highlight w:val="none"/>
        </w:rPr>
        <w:t>11.</w:t>
      </w:r>
      <w:r>
        <w:rPr>
          <w:b/>
          <w:bCs/>
          <w:color w:val="auto"/>
          <w:highlight w:val="none"/>
        </w:rPr>
        <w:t>3.</w:t>
      </w:r>
      <w:r>
        <w:rPr>
          <w:rFonts w:hint="eastAsia"/>
          <w:b/>
          <w:bCs/>
          <w:color w:val="auto"/>
          <w:highlight w:val="none"/>
        </w:rPr>
        <w:t>2</w:t>
      </w:r>
      <w:r>
        <w:rPr>
          <w:rFonts w:hint="eastAsia"/>
          <w:color w:val="auto"/>
          <w:highlight w:val="none"/>
        </w:rPr>
        <w:t>　</w:t>
      </w:r>
      <w:r>
        <w:rPr>
          <w:color w:val="auto"/>
          <w:highlight w:val="none"/>
        </w:rPr>
        <w:t>勘察前应取得下列图纸和资料：</w:t>
      </w:r>
    </w:p>
    <w:p>
      <w:pPr>
        <w:autoSpaceDE w:val="0"/>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w:t>
      </w:r>
      <w:r>
        <w:rPr>
          <w:color w:val="auto"/>
          <w:highlight w:val="none"/>
        </w:rPr>
        <w:t>拟</w:t>
      </w:r>
      <w:r>
        <w:rPr>
          <w:rFonts w:hint="eastAsia"/>
          <w:color w:val="auto"/>
          <w:highlight w:val="none"/>
        </w:rPr>
        <w:t>建工程陆域形成区</w:t>
      </w:r>
      <w:r>
        <w:rPr>
          <w:rFonts w:hint="eastAsia"/>
          <w:color w:val="auto"/>
          <w:kern w:val="0"/>
          <w:highlight w:val="none"/>
        </w:rPr>
        <w:t>的设计总平面图；</w:t>
      </w:r>
    </w:p>
    <w:p>
      <w:pPr>
        <w:autoSpaceDE w:val="0"/>
        <w:spacing w:line="360" w:lineRule="auto"/>
        <w:ind w:firstLine="422" w:firstLineChars="200"/>
        <w:rPr>
          <w:color w:val="auto"/>
          <w:highlight w:val="none"/>
        </w:rPr>
      </w:pPr>
      <w:r>
        <w:rPr>
          <w:rFonts w:hint="eastAsia"/>
          <w:b/>
          <w:bCs/>
          <w:color w:val="auto"/>
          <w:highlight w:val="none"/>
        </w:rPr>
        <w:t>2</w:t>
      </w:r>
      <w:r>
        <w:rPr>
          <w:rFonts w:hint="eastAsia"/>
          <w:color w:val="auto"/>
          <w:highlight w:val="none"/>
        </w:rPr>
        <w:t>　</w:t>
      </w:r>
      <w:r>
        <w:rPr>
          <w:color w:val="auto"/>
          <w:highlight w:val="none"/>
        </w:rPr>
        <w:t>拟</w:t>
      </w:r>
      <w:r>
        <w:rPr>
          <w:rFonts w:hint="eastAsia"/>
          <w:color w:val="auto"/>
          <w:highlight w:val="none"/>
        </w:rPr>
        <w:t>建工程陆域形成区</w:t>
      </w:r>
      <w:r>
        <w:rPr>
          <w:color w:val="auto"/>
          <w:highlight w:val="none"/>
        </w:rPr>
        <w:t>的范围、</w:t>
      </w:r>
      <w:r>
        <w:rPr>
          <w:rFonts w:hint="eastAsia"/>
          <w:color w:val="auto"/>
          <w:highlight w:val="none"/>
        </w:rPr>
        <w:t>面积、现状地形标高、</w:t>
      </w:r>
      <w:r>
        <w:rPr>
          <w:color w:val="auto"/>
          <w:highlight w:val="none"/>
        </w:rPr>
        <w:t>设计标高</w:t>
      </w:r>
      <w:r>
        <w:rPr>
          <w:rFonts w:hint="eastAsia"/>
          <w:color w:val="auto"/>
          <w:highlight w:val="none"/>
        </w:rPr>
        <w:t>，围堰长度、形式和剖面尺寸</w:t>
      </w:r>
      <w:r>
        <w:rPr>
          <w:color w:val="auto"/>
          <w:highlight w:val="none"/>
        </w:rPr>
        <w:t>，设计拟采用的陆域形成施工方式等</w:t>
      </w:r>
      <w:r>
        <w:rPr>
          <w:rFonts w:hint="eastAsia"/>
          <w:color w:val="auto"/>
          <w:highlight w:val="none"/>
        </w:rPr>
        <w:t>；</w:t>
      </w:r>
    </w:p>
    <w:p>
      <w:pPr>
        <w:autoSpaceDE w:val="0"/>
        <w:spacing w:line="360" w:lineRule="auto"/>
        <w:ind w:firstLine="422" w:firstLineChars="200"/>
        <w:rPr>
          <w:color w:val="auto"/>
          <w:highlight w:val="none"/>
        </w:rPr>
      </w:pPr>
      <w:r>
        <w:rPr>
          <w:rFonts w:hint="eastAsia"/>
          <w:b/>
          <w:bCs/>
          <w:color w:val="auto"/>
          <w:highlight w:val="none"/>
        </w:rPr>
        <w:t>3</w:t>
      </w:r>
      <w:r>
        <w:rPr>
          <w:rFonts w:hint="eastAsia"/>
          <w:color w:val="auto"/>
          <w:highlight w:val="none"/>
        </w:rPr>
        <w:t>　拟建场区水文</w:t>
      </w:r>
      <w:r>
        <w:rPr>
          <w:color w:val="auto"/>
          <w:highlight w:val="none"/>
        </w:rPr>
        <w:t>气象资料，重点搜集和调查水深地形、海底管线、冲淤变化、潮水位升降特征、</w:t>
      </w:r>
      <w:r>
        <w:rPr>
          <w:rFonts w:hint="eastAsia"/>
          <w:color w:val="auto"/>
          <w:highlight w:val="none"/>
        </w:rPr>
        <w:t>历史风暴潮资料、涨落</w:t>
      </w:r>
      <w:r>
        <w:rPr>
          <w:color w:val="auto"/>
          <w:highlight w:val="none"/>
        </w:rPr>
        <w:t>潮变化范围等水文条件</w:t>
      </w:r>
      <w:r>
        <w:rPr>
          <w:rFonts w:hint="eastAsia"/>
          <w:color w:val="auto"/>
          <w:highlight w:val="none"/>
        </w:rPr>
        <w:t>；</w:t>
      </w:r>
    </w:p>
    <w:p>
      <w:pPr>
        <w:autoSpaceDE w:val="0"/>
        <w:spacing w:line="360" w:lineRule="auto"/>
        <w:ind w:firstLine="422" w:firstLineChars="200"/>
        <w:rPr>
          <w:color w:val="auto"/>
          <w:highlight w:val="none"/>
        </w:rPr>
      </w:pPr>
      <w:r>
        <w:rPr>
          <w:rFonts w:hint="eastAsia"/>
          <w:b/>
          <w:bCs/>
          <w:color w:val="auto"/>
          <w:highlight w:val="none"/>
        </w:rPr>
        <w:t>4</w:t>
      </w:r>
      <w:r>
        <w:rPr>
          <w:rFonts w:hint="eastAsia"/>
          <w:color w:val="auto"/>
          <w:highlight w:val="none"/>
        </w:rPr>
        <w:t>　已有的岩土工程地质资料，和当地平整工程建设经验。</w:t>
      </w:r>
    </w:p>
    <w:p>
      <w:pPr>
        <w:autoSpaceDE w:val="0"/>
        <w:spacing w:line="360" w:lineRule="auto"/>
        <w:rPr>
          <w:color w:val="auto"/>
          <w:highlight w:val="none"/>
        </w:rPr>
      </w:pPr>
      <w:r>
        <w:rPr>
          <w:rFonts w:hint="eastAsia"/>
          <w:b/>
          <w:bCs/>
          <w:color w:val="auto"/>
          <w:highlight w:val="none"/>
        </w:rPr>
        <w:t>11.3.3</w:t>
      </w:r>
      <w:r>
        <w:rPr>
          <w:rFonts w:hint="eastAsia"/>
          <w:color w:val="auto"/>
          <w:highlight w:val="none"/>
        </w:rPr>
        <w:t>　滨海场地平整</w:t>
      </w:r>
      <w:r>
        <w:rPr>
          <w:color w:val="auto"/>
          <w:highlight w:val="none"/>
        </w:rPr>
        <w:t>工程</w:t>
      </w:r>
      <w:r>
        <w:rPr>
          <w:rFonts w:hint="eastAsia"/>
          <w:color w:val="auto"/>
          <w:highlight w:val="none"/>
        </w:rPr>
        <w:t>勘察方法应以钻探、原位测试、室内试验为主，并与工程地质调查与测绘、物探相结合。</w:t>
      </w:r>
    </w:p>
    <w:p>
      <w:pPr>
        <w:autoSpaceDE w:val="0"/>
        <w:spacing w:line="360" w:lineRule="auto"/>
        <w:rPr>
          <w:color w:val="auto"/>
          <w:highlight w:val="none"/>
        </w:rPr>
      </w:pPr>
      <w:r>
        <w:rPr>
          <w:rFonts w:hint="eastAsia"/>
          <w:b/>
          <w:bCs/>
          <w:color w:val="auto"/>
          <w:highlight w:val="none"/>
        </w:rPr>
        <w:t>11.</w:t>
      </w:r>
      <w:r>
        <w:rPr>
          <w:b/>
          <w:bCs/>
          <w:color w:val="auto"/>
          <w:highlight w:val="none"/>
        </w:rPr>
        <w:t>3.</w:t>
      </w:r>
      <w:r>
        <w:rPr>
          <w:rFonts w:hint="eastAsia"/>
          <w:b/>
          <w:bCs/>
          <w:color w:val="auto"/>
          <w:highlight w:val="none"/>
        </w:rPr>
        <w:t>4</w:t>
      </w:r>
      <w:r>
        <w:rPr>
          <w:rFonts w:hint="eastAsia"/>
          <w:color w:val="auto"/>
          <w:highlight w:val="none"/>
        </w:rPr>
        <w:t>　</w:t>
      </w:r>
      <w:r>
        <w:rPr>
          <w:color w:val="auto"/>
          <w:highlight w:val="none"/>
        </w:rPr>
        <w:t>勘探</w:t>
      </w:r>
      <w:r>
        <w:rPr>
          <w:rFonts w:hint="eastAsia"/>
          <w:color w:val="auto"/>
          <w:highlight w:val="none"/>
        </w:rPr>
        <w:t>点</w:t>
      </w:r>
      <w:r>
        <w:rPr>
          <w:color w:val="auto"/>
          <w:highlight w:val="none"/>
        </w:rPr>
        <w:t>布置</w:t>
      </w:r>
      <w:r>
        <w:rPr>
          <w:rFonts w:hint="eastAsia"/>
          <w:color w:val="auto"/>
          <w:highlight w:val="none"/>
        </w:rPr>
        <w:t>应符合下列规定：</w:t>
      </w:r>
    </w:p>
    <w:p>
      <w:pPr>
        <w:autoSpaceDE w:val="0"/>
        <w:spacing w:line="360" w:lineRule="auto"/>
        <w:ind w:firstLine="422" w:firstLineChars="200"/>
        <w:rPr>
          <w:color w:val="auto"/>
          <w:highlight w:val="none"/>
        </w:rPr>
      </w:pPr>
      <w:r>
        <w:rPr>
          <w:rFonts w:hint="eastAsia"/>
          <w:b/>
          <w:bCs/>
          <w:color w:val="auto"/>
          <w:highlight w:val="none"/>
        </w:rPr>
        <w:t>1　</w:t>
      </w:r>
      <w:r>
        <w:rPr>
          <w:rFonts w:hint="eastAsia"/>
          <w:color w:val="auto"/>
          <w:highlight w:val="none"/>
        </w:rPr>
        <w:t>陆域形成区</w:t>
      </w:r>
      <w:r>
        <w:rPr>
          <w:color w:val="auto"/>
          <w:highlight w:val="none"/>
        </w:rPr>
        <w:t>勘探线应垂直海岸线，</w:t>
      </w:r>
      <w:r>
        <w:rPr>
          <w:rFonts w:hint="eastAsia"/>
          <w:color w:val="auto"/>
          <w:highlight w:val="none"/>
        </w:rPr>
        <w:t>勘探线、</w:t>
      </w:r>
      <w:r>
        <w:rPr>
          <w:color w:val="auto"/>
          <w:highlight w:val="none"/>
        </w:rPr>
        <w:t>勘探</w:t>
      </w:r>
      <w:r>
        <w:rPr>
          <w:rFonts w:hint="eastAsia"/>
          <w:color w:val="auto"/>
          <w:highlight w:val="none"/>
        </w:rPr>
        <w:t>点</w:t>
      </w:r>
      <w:r>
        <w:rPr>
          <w:color w:val="auto"/>
          <w:highlight w:val="none"/>
        </w:rPr>
        <w:t>间距</w:t>
      </w:r>
      <w:r>
        <w:rPr>
          <w:rFonts w:hint="eastAsia"/>
          <w:color w:val="auto"/>
          <w:highlight w:val="none"/>
        </w:rPr>
        <w:t>宜为</w:t>
      </w:r>
      <w:r>
        <w:rPr>
          <w:color w:val="auto"/>
          <w:highlight w:val="none"/>
        </w:rPr>
        <w:t>100</w:t>
      </w:r>
      <w:r>
        <w:rPr>
          <w:rFonts w:hint="eastAsia"/>
          <w:color w:val="auto"/>
          <w:highlight w:val="none"/>
        </w:rPr>
        <w:t>m</w:t>
      </w:r>
      <w:r>
        <w:rPr>
          <w:color w:val="auto"/>
          <w:highlight w:val="none"/>
        </w:rPr>
        <w:t>~</w:t>
      </w:r>
      <w:r>
        <w:rPr>
          <w:rFonts w:hint="eastAsia"/>
          <w:color w:val="auto"/>
          <w:highlight w:val="none"/>
          <w:lang w:val="en-US" w:eastAsia="zh-CN"/>
        </w:rPr>
        <w:t>2</w:t>
      </w:r>
      <w:r>
        <w:rPr>
          <w:color w:val="auto"/>
          <w:highlight w:val="none"/>
        </w:rPr>
        <w:t>00m</w:t>
      </w:r>
      <w:r>
        <w:rPr>
          <w:rFonts w:hint="eastAsia"/>
          <w:color w:val="auto"/>
          <w:highlight w:val="none"/>
        </w:rPr>
        <w:t>；</w:t>
      </w:r>
    </w:p>
    <w:p>
      <w:pPr>
        <w:autoSpaceDE w:val="0"/>
        <w:spacing w:line="360" w:lineRule="auto"/>
        <w:ind w:firstLine="422" w:firstLineChars="200"/>
        <w:rPr>
          <w:rFonts w:hint="eastAsia" w:eastAsia="宋体"/>
          <w:color w:val="auto"/>
          <w:highlight w:val="none"/>
          <w:lang w:val="en-US" w:eastAsia="zh-CN"/>
        </w:rPr>
      </w:pPr>
      <w:r>
        <w:rPr>
          <w:rFonts w:hint="eastAsia"/>
          <w:b/>
          <w:bCs/>
          <w:color w:val="auto"/>
          <w:highlight w:val="none"/>
        </w:rPr>
        <w:t>2　</w:t>
      </w:r>
      <w:r>
        <w:rPr>
          <w:rFonts w:hint="eastAsia"/>
          <w:color w:val="auto"/>
          <w:highlight w:val="none"/>
        </w:rPr>
        <w:t>围堰、海堤勘探点沿轴线间距宜为5</w:t>
      </w:r>
      <w:r>
        <w:rPr>
          <w:color w:val="auto"/>
          <w:highlight w:val="none"/>
        </w:rPr>
        <w:t>0</w:t>
      </w:r>
      <w:r>
        <w:rPr>
          <w:rFonts w:hint="eastAsia"/>
          <w:color w:val="auto"/>
          <w:highlight w:val="none"/>
        </w:rPr>
        <w:t>m</w:t>
      </w:r>
      <w:r>
        <w:rPr>
          <w:color w:val="auto"/>
          <w:highlight w:val="none"/>
        </w:rPr>
        <w:t>~</w:t>
      </w:r>
      <w:r>
        <w:rPr>
          <w:rFonts w:hint="eastAsia"/>
          <w:color w:val="auto"/>
          <w:highlight w:val="none"/>
          <w:lang w:val="en-US" w:eastAsia="zh-CN"/>
        </w:rPr>
        <w:t>10</w:t>
      </w:r>
      <w:r>
        <w:rPr>
          <w:color w:val="auto"/>
          <w:highlight w:val="none"/>
        </w:rPr>
        <w:t>0</w:t>
      </w:r>
      <w:r>
        <w:rPr>
          <w:rFonts w:hint="eastAsia"/>
          <w:color w:val="auto"/>
          <w:highlight w:val="none"/>
        </w:rPr>
        <w:t>m；宜垂直于轴线方向布置横勘探线，横勘探线间距宜为轴线勘探点间距的2倍至</w:t>
      </w:r>
      <w:r>
        <w:rPr>
          <w:color w:val="auto"/>
          <w:highlight w:val="none"/>
        </w:rPr>
        <w:t>4</w:t>
      </w:r>
      <w:r>
        <w:rPr>
          <w:rFonts w:hint="eastAsia"/>
          <w:color w:val="auto"/>
          <w:highlight w:val="none"/>
        </w:rPr>
        <w:t>倍；每个地貌单元至少有一条横勘探线；每条横勘探线勘探点数量</w:t>
      </w:r>
      <w:r>
        <w:rPr>
          <w:rFonts w:hint="eastAsia"/>
          <w:color w:val="auto"/>
          <w:highlight w:val="none"/>
          <w:lang w:eastAsia="zh-CN"/>
        </w:rPr>
        <w:t>不宜</w:t>
      </w:r>
      <w:r>
        <w:rPr>
          <w:rFonts w:hint="eastAsia"/>
          <w:color w:val="auto"/>
          <w:highlight w:val="none"/>
        </w:rPr>
        <w:t>少于3个，勘探点间距宜为</w:t>
      </w:r>
      <w:r>
        <w:rPr>
          <w:rFonts w:hint="eastAsia"/>
          <w:color w:val="auto"/>
          <w:highlight w:val="none"/>
          <w:lang w:val="en-US" w:eastAsia="zh-CN"/>
        </w:rPr>
        <w:t>3</w:t>
      </w:r>
      <w:r>
        <w:rPr>
          <w:color w:val="auto"/>
          <w:highlight w:val="none"/>
        </w:rPr>
        <w:t>0</w:t>
      </w:r>
      <w:r>
        <w:rPr>
          <w:rFonts w:hint="eastAsia"/>
          <w:color w:val="auto"/>
          <w:highlight w:val="none"/>
        </w:rPr>
        <w:t>m</w:t>
      </w:r>
      <w:r>
        <w:rPr>
          <w:color w:val="auto"/>
          <w:highlight w:val="none"/>
        </w:rPr>
        <w:t>~</w:t>
      </w:r>
      <w:r>
        <w:rPr>
          <w:rFonts w:hint="eastAsia"/>
          <w:color w:val="auto"/>
          <w:highlight w:val="none"/>
          <w:lang w:val="en-US" w:eastAsia="zh-CN"/>
        </w:rPr>
        <w:t>6</w:t>
      </w:r>
      <w:r>
        <w:rPr>
          <w:color w:val="auto"/>
          <w:highlight w:val="none"/>
        </w:rPr>
        <w:t>0</w:t>
      </w:r>
      <w:r>
        <w:rPr>
          <w:rFonts w:hint="eastAsia"/>
          <w:color w:val="auto"/>
          <w:highlight w:val="none"/>
        </w:rPr>
        <w:t>m</w:t>
      </w:r>
      <w:r>
        <w:rPr>
          <w:rFonts w:hint="eastAsia"/>
          <w:color w:val="auto"/>
          <w:highlight w:val="none"/>
          <w:lang w:eastAsia="zh-CN"/>
        </w:rPr>
        <w:t>；</w:t>
      </w:r>
    </w:p>
    <w:p>
      <w:pPr>
        <w:autoSpaceDE w:val="0"/>
        <w:spacing w:line="360" w:lineRule="auto"/>
        <w:ind w:firstLine="422" w:firstLineChars="200"/>
        <w:rPr>
          <w:color w:val="auto"/>
          <w:highlight w:val="none"/>
        </w:rPr>
      </w:pPr>
      <w:r>
        <w:rPr>
          <w:rFonts w:hint="eastAsia"/>
          <w:b/>
          <w:bCs/>
          <w:color w:val="auto"/>
          <w:highlight w:val="none"/>
          <w:lang w:val="en-US" w:eastAsia="zh-CN"/>
        </w:rPr>
        <w:t>3</w:t>
      </w:r>
      <w:r>
        <w:rPr>
          <w:rFonts w:hint="eastAsia"/>
          <w:b/>
          <w:bCs/>
          <w:color w:val="auto"/>
          <w:highlight w:val="none"/>
        </w:rPr>
        <w:t>　</w:t>
      </w:r>
      <w:r>
        <w:rPr>
          <w:rFonts w:hint="eastAsia"/>
          <w:color w:val="auto"/>
          <w:highlight w:val="none"/>
        </w:rPr>
        <w:t>地貌单元交接部位和地层变化较大地段，勘探点应予以加密。</w:t>
      </w:r>
    </w:p>
    <w:p>
      <w:pPr>
        <w:autoSpaceDE w:val="0"/>
        <w:spacing w:line="360" w:lineRule="auto"/>
        <w:rPr>
          <w:color w:val="auto"/>
          <w:highlight w:val="none"/>
        </w:rPr>
      </w:pPr>
      <w:r>
        <w:rPr>
          <w:rFonts w:hint="eastAsia"/>
          <w:b/>
          <w:bCs/>
          <w:color w:val="auto"/>
          <w:highlight w:val="none"/>
        </w:rPr>
        <w:t>11.</w:t>
      </w:r>
      <w:r>
        <w:rPr>
          <w:b/>
          <w:bCs/>
          <w:color w:val="auto"/>
          <w:highlight w:val="none"/>
        </w:rPr>
        <w:t>3.</w:t>
      </w:r>
      <w:r>
        <w:rPr>
          <w:rFonts w:hint="eastAsia"/>
          <w:b/>
          <w:bCs/>
          <w:color w:val="auto"/>
          <w:highlight w:val="none"/>
        </w:rPr>
        <w:t>5　</w:t>
      </w:r>
      <w:r>
        <w:rPr>
          <w:color w:val="auto"/>
          <w:highlight w:val="none"/>
        </w:rPr>
        <w:t>勘探</w:t>
      </w:r>
      <w:r>
        <w:rPr>
          <w:rFonts w:hint="eastAsia"/>
          <w:color w:val="auto"/>
          <w:highlight w:val="none"/>
        </w:rPr>
        <w:t>孔</w:t>
      </w:r>
      <w:r>
        <w:rPr>
          <w:color w:val="auto"/>
          <w:highlight w:val="none"/>
        </w:rPr>
        <w:t>深度应</w:t>
      </w:r>
      <w:r>
        <w:rPr>
          <w:rFonts w:hint="eastAsia"/>
          <w:color w:val="auto"/>
          <w:highlight w:val="none"/>
        </w:rPr>
        <w:t>符合下列规定</w:t>
      </w:r>
      <w:r>
        <w:rPr>
          <w:color w:val="auto"/>
          <w:highlight w:val="none"/>
        </w:rPr>
        <w:t>：</w:t>
      </w:r>
    </w:p>
    <w:p>
      <w:pPr>
        <w:autoSpaceDE w:val="0"/>
        <w:spacing w:line="360" w:lineRule="auto"/>
        <w:ind w:firstLine="422" w:firstLineChars="200"/>
        <w:rPr>
          <w:color w:val="auto"/>
          <w:highlight w:val="none"/>
        </w:rPr>
      </w:pPr>
      <w:r>
        <w:rPr>
          <w:rFonts w:hint="eastAsia"/>
          <w:b/>
          <w:bCs/>
          <w:color w:val="auto"/>
          <w:highlight w:val="none"/>
        </w:rPr>
        <w:t>1　</w:t>
      </w:r>
      <w:r>
        <w:rPr>
          <w:rFonts w:hint="eastAsia"/>
          <w:color w:val="auto"/>
          <w:highlight w:val="none"/>
        </w:rPr>
        <w:t>陆域形成区勘探孔应钻穿软土进入下卧地层不小于5m；在此深度范围内遇基岩孔深可适当减小；</w:t>
      </w:r>
    </w:p>
    <w:p>
      <w:pPr>
        <w:autoSpaceDE w:val="0"/>
        <w:spacing w:line="360" w:lineRule="auto"/>
        <w:ind w:firstLine="422" w:firstLineChars="200"/>
        <w:rPr>
          <w:color w:val="auto"/>
          <w:highlight w:val="none"/>
        </w:rPr>
      </w:pPr>
      <w:r>
        <w:rPr>
          <w:rFonts w:hint="eastAsia"/>
          <w:b/>
          <w:bCs/>
          <w:color w:val="auto"/>
          <w:highlight w:val="none"/>
        </w:rPr>
        <w:t>2　</w:t>
      </w:r>
      <w:r>
        <w:rPr>
          <w:rFonts w:hint="eastAsia"/>
          <w:color w:val="auto"/>
          <w:highlight w:val="none"/>
        </w:rPr>
        <w:t>围堰、海堤形成区勘探孔宜穿透软土、松散砂土，进入一般性黏土、粉土或中密以上砂土不小于</w:t>
      </w:r>
      <w:r>
        <w:rPr>
          <w:color w:val="auto"/>
          <w:highlight w:val="none"/>
        </w:rPr>
        <w:t>8</w:t>
      </w:r>
      <w:r>
        <w:rPr>
          <w:rFonts w:hint="eastAsia"/>
          <w:color w:val="auto"/>
          <w:highlight w:val="none"/>
        </w:rPr>
        <w:t>m；对于有防渗要求的海堤，勘探孔深度应能满足防渗设计的要求。</w:t>
      </w:r>
    </w:p>
    <w:p>
      <w:pPr>
        <w:autoSpaceDE w:val="0"/>
        <w:spacing w:line="360" w:lineRule="auto"/>
        <w:rPr>
          <w:color w:val="auto"/>
          <w:highlight w:val="none"/>
        </w:rPr>
      </w:pPr>
      <w:r>
        <w:rPr>
          <w:rFonts w:hint="eastAsia"/>
          <w:b/>
          <w:bCs/>
          <w:color w:val="auto"/>
          <w:highlight w:val="none"/>
        </w:rPr>
        <w:t>11.</w:t>
      </w:r>
      <w:r>
        <w:rPr>
          <w:b/>
          <w:bCs/>
          <w:color w:val="auto"/>
          <w:highlight w:val="none"/>
        </w:rPr>
        <w:t>3.</w:t>
      </w:r>
      <w:r>
        <w:rPr>
          <w:rFonts w:hint="eastAsia"/>
          <w:b/>
          <w:bCs/>
          <w:color w:val="auto"/>
          <w:highlight w:val="none"/>
        </w:rPr>
        <w:t>6</w:t>
      </w:r>
      <w:r>
        <w:rPr>
          <w:rFonts w:hint="eastAsia"/>
          <w:color w:val="auto"/>
          <w:highlight w:val="none"/>
        </w:rPr>
        <w:t>　</w:t>
      </w:r>
      <w:r>
        <w:rPr>
          <w:color w:val="auto"/>
          <w:highlight w:val="none"/>
        </w:rPr>
        <w:t>软土</w:t>
      </w:r>
      <w:r>
        <w:rPr>
          <w:rFonts w:hint="eastAsia"/>
          <w:color w:val="auto"/>
          <w:highlight w:val="none"/>
        </w:rPr>
        <w:t>的取样和测试除符合3.0.9规定外，尚</w:t>
      </w:r>
      <w:r>
        <w:rPr>
          <w:color w:val="auto"/>
          <w:highlight w:val="none"/>
        </w:rPr>
        <w:t>应</w:t>
      </w:r>
      <w:r>
        <w:rPr>
          <w:rFonts w:hint="eastAsia"/>
          <w:color w:val="auto"/>
          <w:highlight w:val="none"/>
        </w:rPr>
        <w:t>符合下列规定</w:t>
      </w:r>
      <w:r>
        <w:rPr>
          <w:color w:val="auto"/>
          <w:highlight w:val="none"/>
        </w:rPr>
        <w:t>：</w:t>
      </w:r>
    </w:p>
    <w:p>
      <w:pPr>
        <w:autoSpaceDE w:val="0"/>
        <w:spacing w:line="360" w:lineRule="auto"/>
        <w:ind w:firstLine="422" w:firstLineChars="200"/>
        <w:rPr>
          <w:color w:val="auto"/>
          <w:highlight w:val="none"/>
        </w:rPr>
      </w:pPr>
      <w:r>
        <w:rPr>
          <w:b/>
          <w:bCs/>
          <w:color w:val="auto"/>
          <w:highlight w:val="none"/>
        </w:rPr>
        <w:t>1</w:t>
      </w:r>
      <w:r>
        <w:rPr>
          <w:rFonts w:hint="eastAsia"/>
          <w:color w:val="auto"/>
          <w:highlight w:val="none"/>
        </w:rPr>
        <w:t>　</w:t>
      </w:r>
      <w:r>
        <w:rPr>
          <w:color w:val="auto"/>
          <w:highlight w:val="none"/>
        </w:rPr>
        <w:t>钻探的钻进工艺、土样采取、储存、运送等</w:t>
      </w:r>
      <w:r>
        <w:rPr>
          <w:rFonts w:hint="eastAsia"/>
          <w:color w:val="auto"/>
          <w:highlight w:val="none"/>
        </w:rPr>
        <w:t>应满足取样和测试的要求</w:t>
      </w:r>
      <w:r>
        <w:rPr>
          <w:color w:val="auto"/>
          <w:highlight w:val="none"/>
        </w:rPr>
        <w:t>，并使用薄壁取土器采取原状样</w:t>
      </w:r>
      <w:r>
        <w:rPr>
          <w:rFonts w:hint="eastAsia"/>
          <w:color w:val="auto"/>
          <w:highlight w:val="none"/>
        </w:rPr>
        <w:t>；</w:t>
      </w:r>
    </w:p>
    <w:p>
      <w:pPr>
        <w:autoSpaceDE w:val="0"/>
        <w:spacing w:line="360" w:lineRule="auto"/>
        <w:ind w:firstLine="422" w:firstLineChars="200"/>
        <w:rPr>
          <w:color w:val="auto"/>
          <w:highlight w:val="none"/>
        </w:rPr>
      </w:pPr>
      <w:r>
        <w:rPr>
          <w:rFonts w:hint="eastAsia"/>
          <w:b/>
          <w:bCs/>
          <w:color w:val="auto"/>
          <w:highlight w:val="none"/>
        </w:rPr>
        <w:t>2</w:t>
      </w:r>
      <w:r>
        <w:rPr>
          <w:rFonts w:hint="eastAsia"/>
          <w:color w:val="auto"/>
          <w:highlight w:val="none"/>
        </w:rPr>
        <w:t>　应</w:t>
      </w:r>
      <w:r>
        <w:rPr>
          <w:color w:val="auto"/>
          <w:highlight w:val="none"/>
        </w:rPr>
        <w:t>根据设计需要</w:t>
      </w:r>
      <w:r>
        <w:rPr>
          <w:rFonts w:hint="eastAsia"/>
          <w:color w:val="auto"/>
          <w:highlight w:val="none"/>
        </w:rPr>
        <w:t>进行土的</w:t>
      </w:r>
      <w:r>
        <w:rPr>
          <w:color w:val="auto"/>
          <w:highlight w:val="none"/>
        </w:rPr>
        <w:t>直</w:t>
      </w:r>
      <w:r>
        <w:rPr>
          <w:rFonts w:hint="eastAsia"/>
          <w:color w:val="auto"/>
          <w:highlight w:val="none"/>
        </w:rPr>
        <w:t>接</w:t>
      </w:r>
      <w:r>
        <w:rPr>
          <w:color w:val="auto"/>
          <w:highlight w:val="none"/>
        </w:rPr>
        <w:t>剪</w:t>
      </w:r>
      <w:r>
        <w:rPr>
          <w:rFonts w:hint="eastAsia"/>
          <w:color w:val="auto"/>
          <w:highlight w:val="none"/>
        </w:rPr>
        <w:t>切</w:t>
      </w:r>
      <w:r>
        <w:rPr>
          <w:color w:val="auto"/>
          <w:highlight w:val="none"/>
        </w:rPr>
        <w:t>试验、无侧限抗压强度试验</w:t>
      </w:r>
      <w:r>
        <w:rPr>
          <w:rFonts w:hint="eastAsia"/>
          <w:color w:val="auto"/>
          <w:highlight w:val="none"/>
        </w:rPr>
        <w:t>和</w:t>
      </w:r>
      <w:r>
        <w:rPr>
          <w:color w:val="auto"/>
          <w:highlight w:val="none"/>
        </w:rPr>
        <w:t>三轴</w:t>
      </w:r>
      <w:r>
        <w:rPr>
          <w:rFonts w:hint="eastAsia"/>
          <w:color w:val="auto"/>
          <w:highlight w:val="none"/>
        </w:rPr>
        <w:t>压缩</w:t>
      </w:r>
      <w:r>
        <w:rPr>
          <w:color w:val="auto"/>
          <w:highlight w:val="none"/>
        </w:rPr>
        <w:t>试验</w:t>
      </w:r>
      <w:r>
        <w:rPr>
          <w:rFonts w:hint="eastAsia"/>
          <w:color w:val="auto"/>
          <w:highlight w:val="none"/>
        </w:rPr>
        <w:t>；</w:t>
      </w:r>
    </w:p>
    <w:p>
      <w:pPr>
        <w:autoSpaceDE w:val="0"/>
        <w:spacing w:line="360" w:lineRule="auto"/>
        <w:ind w:firstLine="422" w:firstLineChars="200"/>
        <w:rPr>
          <w:color w:val="auto"/>
          <w:highlight w:val="none"/>
        </w:rPr>
      </w:pPr>
      <w:r>
        <w:rPr>
          <w:rFonts w:hint="eastAsia"/>
          <w:b/>
          <w:bCs/>
          <w:color w:val="auto"/>
          <w:highlight w:val="none"/>
        </w:rPr>
        <w:t>3</w:t>
      </w:r>
      <w:r>
        <w:rPr>
          <w:rFonts w:hint="eastAsia"/>
          <w:color w:val="auto"/>
          <w:highlight w:val="none"/>
        </w:rPr>
        <w:t>　</w:t>
      </w:r>
      <w:r>
        <w:rPr>
          <w:color w:val="auto"/>
          <w:highlight w:val="none"/>
        </w:rPr>
        <w:t>宜采用十字板剪切试验、静力触探试验、旁压试验等</w:t>
      </w:r>
      <w:r>
        <w:rPr>
          <w:rFonts w:hint="eastAsia"/>
          <w:color w:val="auto"/>
          <w:highlight w:val="none"/>
        </w:rPr>
        <w:t>测试</w:t>
      </w:r>
      <w:r>
        <w:rPr>
          <w:color w:val="auto"/>
          <w:highlight w:val="none"/>
        </w:rPr>
        <w:t>方法。</w:t>
      </w:r>
    </w:p>
    <w:p>
      <w:pPr>
        <w:autoSpaceDE w:val="0"/>
        <w:spacing w:line="360" w:lineRule="auto"/>
        <w:rPr>
          <w:color w:val="auto"/>
          <w:highlight w:val="none"/>
        </w:rPr>
      </w:pPr>
      <w:r>
        <w:rPr>
          <w:rFonts w:hint="eastAsia"/>
          <w:b/>
          <w:bCs/>
          <w:color w:val="auto"/>
          <w:highlight w:val="none"/>
        </w:rPr>
        <w:t>11.</w:t>
      </w:r>
      <w:r>
        <w:rPr>
          <w:b/>
          <w:bCs/>
          <w:color w:val="auto"/>
          <w:highlight w:val="none"/>
        </w:rPr>
        <w:t>3.</w:t>
      </w:r>
      <w:r>
        <w:rPr>
          <w:rFonts w:hint="eastAsia"/>
          <w:b/>
          <w:bCs/>
          <w:color w:val="auto"/>
          <w:highlight w:val="none"/>
        </w:rPr>
        <w:t>7</w:t>
      </w:r>
      <w:r>
        <w:rPr>
          <w:rFonts w:hint="eastAsia"/>
          <w:color w:val="auto"/>
          <w:highlight w:val="none"/>
        </w:rPr>
        <w:t>　滨海场地平整</w:t>
      </w:r>
      <w:r>
        <w:rPr>
          <w:color w:val="auto"/>
          <w:highlight w:val="none"/>
        </w:rPr>
        <w:t>工程</w:t>
      </w:r>
      <w:r>
        <w:rPr>
          <w:rFonts w:hint="eastAsia"/>
          <w:color w:val="auto"/>
          <w:highlight w:val="none"/>
        </w:rPr>
        <w:t>勘察应</w:t>
      </w:r>
      <w:r>
        <w:rPr>
          <w:color w:val="auto"/>
          <w:highlight w:val="none"/>
        </w:rPr>
        <w:t>重点分析评价下列内容：</w:t>
      </w:r>
    </w:p>
    <w:p>
      <w:pPr>
        <w:autoSpaceDE w:val="0"/>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w:t>
      </w:r>
      <w:r>
        <w:rPr>
          <w:color w:val="auto"/>
          <w:highlight w:val="none"/>
        </w:rPr>
        <w:t>评价场地和地基的稳定性，提供满足陆域形成设计、施工所需的岩土参数、确定地基承载力，预测地基变形性状。</w:t>
      </w:r>
    </w:p>
    <w:p>
      <w:pPr>
        <w:autoSpaceDE w:val="0"/>
        <w:spacing w:line="360" w:lineRule="auto"/>
        <w:ind w:firstLine="422" w:firstLineChars="200"/>
        <w:rPr>
          <w:color w:val="auto"/>
          <w:highlight w:val="none"/>
        </w:rPr>
      </w:pPr>
      <w:r>
        <w:rPr>
          <w:rFonts w:hint="eastAsia"/>
          <w:b/>
          <w:bCs/>
          <w:color w:val="auto"/>
          <w:highlight w:val="none"/>
        </w:rPr>
        <w:t>2</w:t>
      </w:r>
      <w:r>
        <w:rPr>
          <w:rFonts w:hint="eastAsia"/>
          <w:color w:val="auto"/>
          <w:highlight w:val="none"/>
        </w:rPr>
        <w:t>　</w:t>
      </w:r>
      <w:r>
        <w:rPr>
          <w:color w:val="auto"/>
          <w:highlight w:val="none"/>
        </w:rPr>
        <w:t>分析预判陆域形成施工过程中及陆域形成后不良地质作用的形成、发展趋势和危害程度。</w:t>
      </w:r>
    </w:p>
    <w:p>
      <w:pPr>
        <w:autoSpaceDE w:val="0"/>
        <w:spacing w:line="360" w:lineRule="auto"/>
        <w:ind w:firstLine="422" w:firstLineChars="200"/>
        <w:rPr>
          <w:color w:val="auto"/>
          <w:highlight w:val="none"/>
        </w:rPr>
      </w:pPr>
      <w:r>
        <w:rPr>
          <w:rFonts w:hint="eastAsia"/>
          <w:b/>
          <w:bCs/>
          <w:color w:val="auto"/>
          <w:highlight w:val="none"/>
        </w:rPr>
        <w:t>3</w:t>
      </w:r>
      <w:r>
        <w:rPr>
          <w:rFonts w:hint="eastAsia"/>
          <w:color w:val="auto"/>
          <w:highlight w:val="none"/>
        </w:rPr>
        <w:t>　</w:t>
      </w:r>
      <w:r>
        <w:rPr>
          <w:color w:val="auto"/>
          <w:highlight w:val="none"/>
        </w:rPr>
        <w:t>评价场地与地基的地震效应。</w:t>
      </w:r>
    </w:p>
    <w:p>
      <w:pPr>
        <w:autoSpaceDE w:val="0"/>
        <w:spacing w:line="360" w:lineRule="auto"/>
        <w:ind w:firstLine="422" w:firstLineChars="200"/>
        <w:rPr>
          <w:color w:val="auto"/>
          <w:highlight w:val="none"/>
        </w:rPr>
      </w:pPr>
      <w:r>
        <w:rPr>
          <w:rFonts w:hint="eastAsia"/>
          <w:b/>
          <w:bCs/>
          <w:color w:val="auto"/>
          <w:highlight w:val="none"/>
        </w:rPr>
        <w:t>4</w:t>
      </w:r>
      <w:r>
        <w:rPr>
          <w:rFonts w:hint="eastAsia"/>
          <w:color w:val="auto"/>
          <w:highlight w:val="none"/>
        </w:rPr>
        <w:t>　</w:t>
      </w:r>
      <w:r>
        <w:rPr>
          <w:color w:val="auto"/>
          <w:highlight w:val="none"/>
        </w:rPr>
        <w:t>分析评价</w:t>
      </w:r>
      <w:r>
        <w:rPr>
          <w:rFonts w:hint="eastAsia"/>
          <w:color w:val="auto"/>
          <w:highlight w:val="none"/>
        </w:rPr>
        <w:t>场地水和土</w:t>
      </w:r>
      <w:r>
        <w:rPr>
          <w:color w:val="auto"/>
          <w:highlight w:val="none"/>
        </w:rPr>
        <w:t>对建筑材料的腐蚀性。</w:t>
      </w:r>
    </w:p>
    <w:p>
      <w:pPr>
        <w:autoSpaceDE w:val="0"/>
        <w:spacing w:line="360" w:lineRule="auto"/>
        <w:ind w:firstLine="422" w:firstLineChars="200"/>
        <w:rPr>
          <w:color w:val="auto"/>
          <w:highlight w:val="none"/>
        </w:rPr>
      </w:pPr>
      <w:r>
        <w:rPr>
          <w:rFonts w:hint="eastAsia"/>
          <w:b/>
          <w:bCs/>
          <w:color w:val="auto"/>
          <w:highlight w:val="none"/>
        </w:rPr>
        <w:t>5</w:t>
      </w:r>
      <w:r>
        <w:rPr>
          <w:rFonts w:hint="eastAsia"/>
          <w:color w:val="auto"/>
          <w:highlight w:val="none"/>
        </w:rPr>
        <w:t>　对软土地基中海堤设计和施工方案提出建议。</w:t>
      </w:r>
    </w:p>
    <w:p>
      <w:pPr>
        <w:autoSpaceDE w:val="0"/>
        <w:spacing w:line="360" w:lineRule="auto"/>
        <w:ind w:firstLine="422" w:firstLineChars="200"/>
        <w:rPr>
          <w:color w:val="auto"/>
          <w:highlight w:val="none"/>
        </w:rPr>
      </w:pPr>
      <w:r>
        <w:rPr>
          <w:rFonts w:hint="eastAsia"/>
          <w:b/>
          <w:bCs/>
          <w:color w:val="auto"/>
          <w:highlight w:val="none"/>
        </w:rPr>
        <w:t>6</w:t>
      </w:r>
      <w:r>
        <w:rPr>
          <w:rFonts w:hint="eastAsia"/>
          <w:color w:val="auto"/>
          <w:highlight w:val="none"/>
        </w:rPr>
        <w:t>　</w:t>
      </w:r>
      <w:r>
        <w:rPr>
          <w:color w:val="auto"/>
          <w:highlight w:val="none"/>
        </w:rPr>
        <w:t>对场地各区段作出岩土工程评价</w:t>
      </w:r>
      <w:r>
        <w:rPr>
          <w:rFonts w:hint="eastAsia"/>
          <w:color w:val="auto"/>
          <w:highlight w:val="none"/>
        </w:rPr>
        <w:t>，</w:t>
      </w:r>
      <w:r>
        <w:rPr>
          <w:color w:val="auto"/>
          <w:highlight w:val="none"/>
        </w:rPr>
        <w:t>对后期陆域形成、人工岸坡防护、地基处理等提出建议。</w:t>
      </w:r>
    </w:p>
    <w:p>
      <w:pPr>
        <w:autoSpaceDE w:val="0"/>
        <w:spacing w:line="360" w:lineRule="auto"/>
        <w:ind w:firstLine="420" w:firstLineChars="200"/>
        <w:rPr>
          <w:color w:val="auto"/>
          <w:highlight w:val="none"/>
        </w:rPr>
      </w:pPr>
    </w:p>
    <w:p>
      <w:pPr>
        <w:widowControl/>
        <w:jc w:val="left"/>
        <w:rPr>
          <w:color w:val="auto"/>
          <w:sz w:val="28"/>
          <w:szCs w:val="28"/>
          <w:highlight w:val="none"/>
        </w:rPr>
      </w:pPr>
      <w:r>
        <w:rPr>
          <w:color w:val="auto"/>
          <w:sz w:val="28"/>
          <w:szCs w:val="28"/>
          <w:highlight w:val="none"/>
        </w:rPr>
        <w:br w:type="page"/>
      </w:r>
    </w:p>
    <w:p>
      <w:pPr>
        <w:rPr>
          <w:color w:val="auto"/>
          <w:sz w:val="10"/>
          <w:szCs w:val="10"/>
          <w:highlight w:val="none"/>
        </w:rPr>
      </w:pPr>
    </w:p>
    <w:p>
      <w:pPr>
        <w:pStyle w:val="2"/>
        <w:spacing w:before="480" w:after="480" w:line="240" w:lineRule="auto"/>
        <w:rPr>
          <w:color w:val="auto"/>
          <w:highlight w:val="none"/>
        </w:rPr>
      </w:pPr>
      <w:bookmarkStart w:id="200" w:name="_Toc26711"/>
      <w:bookmarkStart w:id="201" w:name="_Toc30007"/>
      <w:bookmarkStart w:id="202" w:name="_Toc1827"/>
      <w:bookmarkStart w:id="203" w:name="_12　城市固体废弃物处置场工程"/>
      <w:r>
        <w:rPr>
          <w:rFonts w:hint="eastAsia"/>
          <w:color w:val="auto"/>
          <w:highlight w:val="none"/>
        </w:rPr>
        <w:t>12　城市固体废弃物处置场工程</w:t>
      </w:r>
      <w:bookmarkEnd w:id="200"/>
      <w:bookmarkEnd w:id="201"/>
      <w:bookmarkEnd w:id="202"/>
    </w:p>
    <w:bookmarkEnd w:id="203"/>
    <w:p>
      <w:pPr>
        <w:pStyle w:val="3"/>
        <w:rPr>
          <w:rFonts w:ascii="Times New Roman" w:hAnsi="Times New Roman" w:eastAsia="宋体"/>
          <w:color w:val="auto"/>
          <w:highlight w:val="none"/>
        </w:rPr>
      </w:pPr>
      <w:bookmarkStart w:id="204" w:name="_Toc29695"/>
      <w:bookmarkStart w:id="205" w:name="_Toc31850"/>
      <w:bookmarkStart w:id="206" w:name="_Toc1440"/>
      <w:bookmarkStart w:id="207" w:name="_12.1　一般规定"/>
      <w:r>
        <w:rPr>
          <w:rFonts w:ascii="Times New Roman" w:hAnsi="Times New Roman" w:eastAsia="宋体"/>
          <w:color w:val="auto"/>
          <w:highlight w:val="none"/>
        </w:rPr>
        <w:t>1</w:t>
      </w:r>
      <w:r>
        <w:rPr>
          <w:rFonts w:hint="eastAsia" w:ascii="Times New Roman" w:hAnsi="Times New Roman" w:eastAsia="宋体"/>
          <w:color w:val="auto"/>
          <w:highlight w:val="none"/>
        </w:rPr>
        <w:t>2</w:t>
      </w:r>
      <w:r>
        <w:rPr>
          <w:rFonts w:ascii="Times New Roman" w:hAnsi="Times New Roman" w:eastAsia="宋体"/>
          <w:color w:val="auto"/>
          <w:highlight w:val="none"/>
        </w:rPr>
        <w:t>.1</w:t>
      </w:r>
      <w:r>
        <w:rPr>
          <w:rFonts w:hint="eastAsia" w:ascii="Times New Roman" w:hAnsi="Times New Roman" w:eastAsia="宋体"/>
          <w:color w:val="auto"/>
          <w:highlight w:val="none"/>
        </w:rPr>
        <w:t>　</w:t>
      </w:r>
      <w:r>
        <w:rPr>
          <w:rFonts w:ascii="Times New Roman" w:hAnsi="Times New Roman" w:eastAsia="宋体"/>
          <w:color w:val="auto"/>
          <w:highlight w:val="none"/>
        </w:rPr>
        <w:t>一般规定</w:t>
      </w:r>
      <w:bookmarkEnd w:id="204"/>
      <w:bookmarkEnd w:id="205"/>
      <w:bookmarkEnd w:id="206"/>
    </w:p>
    <w:bookmarkEnd w:id="207"/>
    <w:p>
      <w:pPr>
        <w:autoSpaceDE w:val="0"/>
        <w:spacing w:line="360" w:lineRule="auto"/>
        <w:jc w:val="left"/>
        <w:rPr>
          <w:color w:val="auto"/>
          <w:kern w:val="0"/>
          <w:highlight w:val="none"/>
        </w:rPr>
      </w:pPr>
      <w:bookmarkStart w:id="208" w:name="_Hlk71815742"/>
      <w:r>
        <w:rPr>
          <w:rFonts w:hint="eastAsia"/>
          <w:b/>
          <w:bCs/>
          <w:color w:val="auto"/>
          <w:kern w:val="0"/>
          <w:highlight w:val="none"/>
        </w:rPr>
        <w:t>12.</w:t>
      </w:r>
      <w:r>
        <w:rPr>
          <w:b/>
          <w:bCs/>
          <w:color w:val="auto"/>
          <w:kern w:val="0"/>
          <w:highlight w:val="none"/>
        </w:rPr>
        <w:t>1.1</w:t>
      </w:r>
      <w:r>
        <w:rPr>
          <w:rFonts w:hint="eastAsia"/>
          <w:b/>
          <w:bCs/>
          <w:color w:val="auto"/>
          <w:kern w:val="0"/>
          <w:highlight w:val="none"/>
        </w:rPr>
        <w:t>　</w:t>
      </w:r>
      <w:r>
        <w:rPr>
          <w:color w:val="auto"/>
          <w:kern w:val="0"/>
          <w:highlight w:val="none"/>
        </w:rPr>
        <w:t>本章适用于新建、改（扩）建</w:t>
      </w:r>
      <w:r>
        <w:rPr>
          <w:rFonts w:hint="eastAsia"/>
          <w:color w:val="auto"/>
          <w:kern w:val="0"/>
          <w:highlight w:val="none"/>
        </w:rPr>
        <w:t>城市固体废弃物卫生填埋场和垃圾焚烧</w:t>
      </w:r>
      <w:bookmarkStart w:id="209" w:name="_Hlk85041635"/>
      <w:r>
        <w:rPr>
          <w:rFonts w:hint="eastAsia"/>
          <w:color w:val="auto"/>
          <w:kern w:val="0"/>
          <w:highlight w:val="none"/>
        </w:rPr>
        <w:t>厂工程</w:t>
      </w:r>
      <w:bookmarkEnd w:id="209"/>
      <w:bookmarkStart w:id="210" w:name="_Hlk85004487"/>
      <w:r>
        <w:rPr>
          <w:color w:val="auto"/>
          <w:kern w:val="0"/>
          <w:highlight w:val="none"/>
        </w:rPr>
        <w:t>的岩土工程勘察</w:t>
      </w:r>
      <w:bookmarkEnd w:id="210"/>
      <w:r>
        <w:rPr>
          <w:color w:val="auto"/>
          <w:kern w:val="0"/>
          <w:highlight w:val="none"/>
        </w:rPr>
        <w:t>。</w:t>
      </w:r>
      <w:bookmarkStart w:id="211" w:name="OLE_LINK10"/>
      <w:r>
        <w:rPr>
          <w:rFonts w:hint="eastAsia"/>
          <w:color w:val="auto"/>
          <w:highlight w:val="none"/>
        </w:rPr>
        <w:t>渗滤池、积液池的勘察按本规范第8章水处理构筑物的有关规定执行。</w:t>
      </w:r>
      <w:bookmarkEnd w:id="211"/>
    </w:p>
    <w:p>
      <w:pPr>
        <w:autoSpaceDE w:val="0"/>
        <w:spacing w:line="360" w:lineRule="auto"/>
        <w:jc w:val="center"/>
        <w:rPr>
          <w:b/>
          <w:bCs/>
          <w:color w:val="auto"/>
          <w:kern w:val="0"/>
          <w:highlight w:val="none"/>
        </w:rPr>
      </w:pPr>
      <w:r>
        <w:rPr>
          <w:rFonts w:hint="eastAsia"/>
          <w:b/>
          <w:bCs/>
          <w:color w:val="auto"/>
          <w:kern w:val="0"/>
          <w:highlight w:val="none"/>
        </w:rPr>
        <w:t>（</w:t>
      </w:r>
      <w:r>
        <w:rPr>
          <w:rFonts w:hint="eastAsia" w:ascii="宋体" w:hAnsi="宋体" w:cs="宋体"/>
          <w:b/>
          <w:bCs/>
          <w:color w:val="auto"/>
          <w:kern w:val="0"/>
          <w:highlight w:val="none"/>
        </w:rPr>
        <w:t>Ⅰ</w:t>
      </w:r>
      <w:r>
        <w:rPr>
          <w:rFonts w:hint="eastAsia"/>
          <w:b/>
          <w:bCs/>
          <w:color w:val="auto"/>
          <w:kern w:val="0"/>
          <w:highlight w:val="none"/>
        </w:rPr>
        <w:t>）卫生填埋场</w:t>
      </w:r>
    </w:p>
    <w:p>
      <w:pPr>
        <w:autoSpaceDE w:val="0"/>
        <w:spacing w:line="360" w:lineRule="auto"/>
        <w:jc w:val="left"/>
        <w:rPr>
          <w:b/>
          <w:color w:val="auto"/>
          <w:kern w:val="0"/>
          <w:highlight w:val="none"/>
        </w:rPr>
      </w:pPr>
      <w:r>
        <w:rPr>
          <w:rFonts w:hint="eastAsia"/>
          <w:b/>
          <w:bCs/>
          <w:color w:val="auto"/>
          <w:kern w:val="0"/>
          <w:highlight w:val="none"/>
        </w:rPr>
        <w:t>12.</w:t>
      </w:r>
      <w:r>
        <w:rPr>
          <w:b/>
          <w:bCs/>
          <w:color w:val="auto"/>
          <w:kern w:val="0"/>
          <w:highlight w:val="none"/>
        </w:rPr>
        <w:t>1.2</w:t>
      </w:r>
      <w:r>
        <w:rPr>
          <w:rFonts w:hint="eastAsia"/>
          <w:b/>
          <w:bCs/>
          <w:color w:val="auto"/>
          <w:kern w:val="0"/>
          <w:highlight w:val="none"/>
        </w:rPr>
        <w:t>　</w:t>
      </w:r>
      <w:r>
        <w:rPr>
          <w:color w:val="auto"/>
          <w:kern w:val="0"/>
          <w:highlight w:val="none"/>
        </w:rPr>
        <w:t>勘察前应根据各阶段勘察的工作需要，取得下列图纸和资料：</w:t>
      </w:r>
    </w:p>
    <w:p>
      <w:pPr>
        <w:spacing w:line="360" w:lineRule="auto"/>
        <w:ind w:firstLine="422" w:firstLineChars="200"/>
        <w:rPr>
          <w:color w:val="auto"/>
          <w:highlight w:val="none"/>
        </w:rPr>
      </w:pPr>
      <w:r>
        <w:rPr>
          <w:b/>
          <w:bCs/>
          <w:color w:val="auto"/>
          <w:highlight w:val="none"/>
        </w:rPr>
        <w:t>1</w:t>
      </w:r>
      <w:r>
        <w:rPr>
          <w:rFonts w:hint="eastAsia"/>
          <w:b/>
          <w:bCs/>
          <w:color w:val="auto"/>
          <w:highlight w:val="none"/>
        </w:rPr>
        <w:t>　</w:t>
      </w:r>
      <w:r>
        <w:rPr>
          <w:color w:val="auto"/>
          <w:highlight w:val="none"/>
        </w:rPr>
        <w:t>填埋场的总平面图；</w:t>
      </w:r>
    </w:p>
    <w:p>
      <w:pPr>
        <w:spacing w:line="360" w:lineRule="auto"/>
        <w:ind w:firstLine="422" w:firstLineChars="200"/>
        <w:rPr>
          <w:color w:val="auto"/>
          <w:highlight w:val="none"/>
        </w:rPr>
      </w:pPr>
      <w:r>
        <w:rPr>
          <w:b/>
          <w:bCs/>
          <w:color w:val="auto"/>
          <w:highlight w:val="none"/>
        </w:rPr>
        <w:t>2</w:t>
      </w:r>
      <w:r>
        <w:rPr>
          <w:rFonts w:hint="eastAsia"/>
          <w:b/>
          <w:bCs/>
          <w:color w:val="auto"/>
          <w:highlight w:val="none"/>
        </w:rPr>
        <w:t>　</w:t>
      </w:r>
      <w:r>
        <w:rPr>
          <w:rFonts w:hint="eastAsia"/>
          <w:color w:val="auto"/>
          <w:highlight w:val="none"/>
        </w:rPr>
        <w:t>填埋场库区的设计剖面；垃圾坝的纵横剖面；</w:t>
      </w:r>
    </w:p>
    <w:p>
      <w:pPr>
        <w:spacing w:line="360" w:lineRule="auto"/>
        <w:ind w:firstLine="422" w:firstLineChars="200"/>
        <w:rPr>
          <w:color w:val="auto"/>
          <w:highlight w:val="none"/>
        </w:rPr>
      </w:pPr>
      <w:r>
        <w:rPr>
          <w:rFonts w:hint="eastAsia"/>
          <w:b/>
          <w:bCs/>
          <w:color w:val="auto"/>
          <w:highlight w:val="none"/>
        </w:rPr>
        <w:t>3</w:t>
      </w:r>
      <w:r>
        <w:rPr>
          <w:rFonts w:hint="eastAsia"/>
          <w:color w:val="auto"/>
          <w:highlight w:val="none"/>
        </w:rPr>
        <w:t>　</w:t>
      </w:r>
      <w:r>
        <w:rPr>
          <w:color w:val="auto"/>
          <w:highlight w:val="none"/>
        </w:rPr>
        <w:t>废弃物的日处理量、成分、物理和化学性质；</w:t>
      </w:r>
      <w:r>
        <w:rPr>
          <w:rFonts w:hint="eastAsia"/>
          <w:color w:val="auto"/>
          <w:highlight w:val="none"/>
        </w:rPr>
        <w:t>填埋场的平面尺寸、设计标高、总容</w:t>
      </w:r>
      <w:r>
        <w:rPr>
          <w:color w:val="auto"/>
          <w:highlight w:val="none"/>
        </w:rPr>
        <w:t>量、有效容量和使用年限；垃圾坝的设计坝长和坝顶标高；防渗结构、封盖层和渗滤液集排系统对地基和废弃物的变形要求；山谷型</w:t>
      </w:r>
      <w:r>
        <w:rPr>
          <w:rFonts w:hint="eastAsia"/>
          <w:color w:val="auto"/>
          <w:highlight w:val="none"/>
        </w:rPr>
        <w:t>填埋</w:t>
      </w:r>
      <w:r>
        <w:rPr>
          <w:color w:val="auto"/>
          <w:highlight w:val="none"/>
        </w:rPr>
        <w:t>场的流域面积、降水量、径流量、多年一遇洪峰流量；邻近的水源地保护带、水源开采情况和环境保护要求</w:t>
      </w:r>
      <w:r>
        <w:rPr>
          <w:rFonts w:hint="eastAsia"/>
          <w:color w:val="auto"/>
          <w:highlight w:val="none"/>
        </w:rPr>
        <w:t>等</w:t>
      </w:r>
      <w:r>
        <w:rPr>
          <w:color w:val="auto"/>
          <w:highlight w:val="none"/>
        </w:rPr>
        <w:t>；</w:t>
      </w:r>
    </w:p>
    <w:p>
      <w:pPr>
        <w:spacing w:line="360" w:lineRule="auto"/>
        <w:ind w:firstLine="422" w:firstLineChars="200"/>
        <w:rPr>
          <w:color w:val="auto"/>
          <w:highlight w:val="none"/>
        </w:rPr>
      </w:pPr>
      <w:r>
        <w:rPr>
          <w:rFonts w:hint="eastAsia"/>
          <w:b/>
          <w:bCs/>
          <w:color w:val="auto"/>
          <w:highlight w:val="none"/>
        </w:rPr>
        <w:t>4　</w:t>
      </w:r>
      <w:r>
        <w:rPr>
          <w:color w:val="auto"/>
          <w:highlight w:val="none"/>
        </w:rPr>
        <w:t>对于改扩建废弃物填埋场工程，还</w:t>
      </w:r>
      <w:r>
        <w:rPr>
          <w:rFonts w:hint="eastAsia"/>
          <w:color w:val="auto"/>
          <w:highlight w:val="none"/>
        </w:rPr>
        <w:t>宜</w:t>
      </w:r>
      <w:r>
        <w:rPr>
          <w:color w:val="auto"/>
          <w:highlight w:val="none"/>
        </w:rPr>
        <w:t>搜集现有废弃物填埋场原勘察、设计、施工、监测相关资料，包括填埋场水平与垂直防渗系统、垃圾坝、渗滤液收集导排系统和填埋气收集系统等资料。</w:t>
      </w:r>
    </w:p>
    <w:p>
      <w:pPr>
        <w:autoSpaceDE w:val="0"/>
        <w:spacing w:line="360" w:lineRule="auto"/>
        <w:jc w:val="left"/>
        <w:rPr>
          <w:b/>
          <w:bCs/>
          <w:color w:val="auto"/>
          <w:kern w:val="0"/>
          <w:highlight w:val="none"/>
        </w:rPr>
      </w:pPr>
      <w:r>
        <w:rPr>
          <w:rFonts w:hint="eastAsia"/>
          <w:b/>
          <w:bCs/>
          <w:color w:val="auto"/>
          <w:kern w:val="0"/>
          <w:highlight w:val="none"/>
        </w:rPr>
        <w:t>12.</w:t>
      </w:r>
      <w:r>
        <w:rPr>
          <w:b/>
          <w:bCs/>
          <w:color w:val="auto"/>
          <w:kern w:val="0"/>
          <w:highlight w:val="none"/>
        </w:rPr>
        <w:t>1.</w:t>
      </w:r>
      <w:r>
        <w:rPr>
          <w:rFonts w:hint="eastAsia"/>
          <w:b/>
          <w:bCs/>
          <w:color w:val="auto"/>
          <w:kern w:val="0"/>
          <w:highlight w:val="none"/>
        </w:rPr>
        <w:t>3　</w:t>
      </w:r>
      <w:r>
        <w:rPr>
          <w:rFonts w:hint="eastAsia"/>
          <w:color w:val="auto"/>
          <w:kern w:val="0"/>
          <w:highlight w:val="none"/>
        </w:rPr>
        <w:t>勘探点布置宜符合下列规定</w:t>
      </w:r>
      <w:r>
        <w:rPr>
          <w:color w:val="auto"/>
          <w:kern w:val="0"/>
          <w:highlight w:val="none"/>
        </w:rPr>
        <w:t>：</w:t>
      </w:r>
    </w:p>
    <w:p>
      <w:pPr>
        <w:spacing w:line="360" w:lineRule="auto"/>
        <w:ind w:firstLine="422" w:firstLineChars="200"/>
        <w:rPr>
          <w:color w:val="auto"/>
          <w:highlight w:val="none"/>
        </w:rPr>
      </w:pPr>
      <w:r>
        <w:rPr>
          <w:b/>
          <w:bCs/>
          <w:color w:val="auto"/>
          <w:highlight w:val="none"/>
        </w:rPr>
        <w:t>1</w:t>
      </w:r>
      <w:r>
        <w:rPr>
          <w:rFonts w:hint="eastAsia"/>
          <w:color w:val="auto"/>
          <w:highlight w:val="none"/>
        </w:rPr>
        <w:t>　库区库底宜网格状布置勘探点，宜沿边坡坡向布置勘探线；</w:t>
      </w:r>
    </w:p>
    <w:p>
      <w:pPr>
        <w:spacing w:line="360" w:lineRule="auto"/>
        <w:ind w:firstLine="422" w:firstLineChars="200"/>
        <w:rPr>
          <w:color w:val="auto"/>
          <w:highlight w:val="none"/>
        </w:rPr>
      </w:pPr>
      <w:r>
        <w:rPr>
          <w:b/>
          <w:bCs/>
          <w:color w:val="auto"/>
          <w:highlight w:val="none"/>
        </w:rPr>
        <w:t>2</w:t>
      </w:r>
      <w:r>
        <w:rPr>
          <w:rFonts w:hint="eastAsia"/>
          <w:b/>
          <w:bCs/>
          <w:color w:val="auto"/>
          <w:highlight w:val="none"/>
        </w:rPr>
        <w:t>　</w:t>
      </w:r>
      <w:r>
        <w:rPr>
          <w:rFonts w:hint="eastAsia"/>
          <w:color w:val="auto"/>
          <w:highlight w:val="none"/>
        </w:rPr>
        <w:t>垃圾坝宜平行于坝基轴线或防渗线布置纵勘探线，垂直于坝基轴线布置横勘探线</w:t>
      </w:r>
      <w:r>
        <w:rPr>
          <w:color w:val="auto"/>
          <w:highlight w:val="none"/>
        </w:rPr>
        <w:t>；</w:t>
      </w:r>
    </w:p>
    <w:p>
      <w:pPr>
        <w:spacing w:line="360" w:lineRule="auto"/>
        <w:ind w:firstLine="422" w:firstLineChars="200"/>
        <w:rPr>
          <w:color w:val="auto"/>
          <w:highlight w:val="none"/>
        </w:rPr>
      </w:pPr>
      <w:r>
        <w:rPr>
          <w:rFonts w:hint="eastAsia"/>
          <w:b/>
          <w:bCs/>
          <w:color w:val="auto"/>
          <w:highlight w:val="none"/>
        </w:rPr>
        <w:t>3</w:t>
      </w:r>
      <w:r>
        <w:rPr>
          <w:rFonts w:hint="eastAsia"/>
          <w:color w:val="auto"/>
          <w:highlight w:val="none"/>
        </w:rPr>
        <w:t>　改扩建填埋场如需要在现有废弃物堆体上进行勘探工作，宜按方格网布置勘探点；如现有堆体存在边坡，应沿着边坡走向布置勘探线；</w:t>
      </w:r>
    </w:p>
    <w:p>
      <w:pPr>
        <w:spacing w:line="360" w:lineRule="auto"/>
        <w:ind w:firstLine="422" w:firstLineChars="200"/>
        <w:rPr>
          <w:color w:val="auto"/>
          <w:highlight w:val="none"/>
        </w:rPr>
      </w:pPr>
      <w:r>
        <w:rPr>
          <w:rFonts w:hint="eastAsia"/>
          <w:b/>
          <w:bCs/>
          <w:color w:val="auto"/>
          <w:highlight w:val="none"/>
        </w:rPr>
        <w:t>4</w:t>
      </w:r>
      <w:r>
        <w:rPr>
          <w:rFonts w:hint="eastAsia"/>
          <w:color w:val="auto"/>
          <w:highlight w:val="none"/>
        </w:rPr>
        <w:t>　</w:t>
      </w:r>
      <w:r>
        <w:rPr>
          <w:color w:val="auto"/>
          <w:highlight w:val="none"/>
        </w:rPr>
        <w:t>当存在断层破碎带或渗漏地段时，应垂直于断层破碎带、渗漏带或平行地下水流方向布置勘探线。</w:t>
      </w:r>
    </w:p>
    <w:p>
      <w:pPr>
        <w:autoSpaceDE w:val="0"/>
        <w:spacing w:line="360" w:lineRule="auto"/>
        <w:jc w:val="left"/>
        <w:rPr>
          <w:b/>
          <w:bCs/>
          <w:color w:val="auto"/>
          <w:kern w:val="0"/>
          <w:highlight w:val="none"/>
        </w:rPr>
      </w:pPr>
      <w:r>
        <w:rPr>
          <w:rFonts w:hint="eastAsia"/>
          <w:b/>
          <w:bCs/>
          <w:color w:val="auto"/>
          <w:kern w:val="0"/>
          <w:highlight w:val="none"/>
        </w:rPr>
        <w:t>12.</w:t>
      </w:r>
      <w:r>
        <w:rPr>
          <w:b/>
          <w:bCs/>
          <w:color w:val="auto"/>
          <w:kern w:val="0"/>
          <w:highlight w:val="none"/>
        </w:rPr>
        <w:t>1.</w:t>
      </w:r>
      <w:r>
        <w:rPr>
          <w:rFonts w:hint="eastAsia"/>
          <w:b/>
          <w:bCs/>
          <w:color w:val="auto"/>
          <w:kern w:val="0"/>
          <w:highlight w:val="none"/>
        </w:rPr>
        <w:t>4　</w:t>
      </w:r>
      <w:r>
        <w:rPr>
          <w:color w:val="auto"/>
          <w:highlight w:val="none"/>
        </w:rPr>
        <w:t>当存在</w:t>
      </w:r>
      <w:r>
        <w:rPr>
          <w:rFonts w:hint="eastAsia"/>
          <w:color w:val="auto"/>
          <w:highlight w:val="none"/>
        </w:rPr>
        <w:t>对填埋场工程建设影响重大的</w:t>
      </w:r>
      <w:r>
        <w:rPr>
          <w:color w:val="auto"/>
          <w:highlight w:val="none"/>
        </w:rPr>
        <w:t>断层破碎带</w:t>
      </w:r>
      <w:r>
        <w:rPr>
          <w:rFonts w:hint="eastAsia"/>
          <w:color w:val="auto"/>
          <w:highlight w:val="none"/>
        </w:rPr>
        <w:t>、岩溶强烈发育区</w:t>
      </w:r>
      <w:r>
        <w:rPr>
          <w:color w:val="auto"/>
          <w:highlight w:val="none"/>
        </w:rPr>
        <w:t>或渗漏地段时</w:t>
      </w:r>
      <w:r>
        <w:rPr>
          <w:rFonts w:hint="eastAsia"/>
          <w:color w:val="auto"/>
          <w:highlight w:val="none"/>
        </w:rPr>
        <w:t>，宜开展专项勘察。</w:t>
      </w:r>
    </w:p>
    <w:p>
      <w:pPr>
        <w:autoSpaceDE w:val="0"/>
        <w:spacing w:line="360" w:lineRule="auto"/>
        <w:jc w:val="left"/>
        <w:rPr>
          <w:b/>
          <w:bCs/>
          <w:color w:val="auto"/>
          <w:kern w:val="0"/>
          <w:highlight w:val="none"/>
        </w:rPr>
      </w:pPr>
      <w:r>
        <w:rPr>
          <w:rFonts w:hint="eastAsia"/>
          <w:b/>
          <w:bCs/>
          <w:color w:val="auto"/>
          <w:kern w:val="0"/>
          <w:highlight w:val="none"/>
        </w:rPr>
        <w:t>12.</w:t>
      </w:r>
      <w:r>
        <w:rPr>
          <w:b/>
          <w:bCs/>
          <w:color w:val="auto"/>
          <w:kern w:val="0"/>
          <w:highlight w:val="none"/>
        </w:rPr>
        <w:t>1.</w:t>
      </w:r>
      <w:r>
        <w:rPr>
          <w:rFonts w:hint="eastAsia"/>
          <w:b/>
          <w:bCs/>
          <w:color w:val="auto"/>
          <w:kern w:val="0"/>
          <w:highlight w:val="none"/>
        </w:rPr>
        <w:t>5　</w:t>
      </w:r>
      <w:r>
        <w:rPr>
          <w:rFonts w:hint="eastAsia"/>
          <w:color w:val="auto"/>
          <w:highlight w:val="none"/>
        </w:rPr>
        <w:t>取样和测试工作</w:t>
      </w:r>
      <w:r>
        <w:rPr>
          <w:color w:val="auto"/>
          <w:highlight w:val="none"/>
        </w:rPr>
        <w:t>应</w:t>
      </w:r>
      <w:r>
        <w:rPr>
          <w:rFonts w:hint="eastAsia"/>
          <w:color w:val="auto"/>
          <w:highlight w:val="none"/>
        </w:rPr>
        <w:t>符合下列规定</w:t>
      </w:r>
      <w:r>
        <w:rPr>
          <w:color w:val="auto"/>
          <w:highlight w:val="none"/>
        </w:rPr>
        <w:t>：</w:t>
      </w:r>
    </w:p>
    <w:p>
      <w:pPr>
        <w:spacing w:line="360" w:lineRule="auto"/>
        <w:ind w:firstLine="422" w:firstLineChars="200"/>
        <w:jc w:val="left"/>
        <w:rPr>
          <w:color w:val="auto"/>
          <w:highlight w:val="none"/>
        </w:rPr>
      </w:pPr>
      <w:r>
        <w:rPr>
          <w:rFonts w:hint="eastAsia"/>
          <w:b/>
          <w:bCs/>
          <w:color w:val="auto"/>
          <w:highlight w:val="none"/>
        </w:rPr>
        <w:t>1</w:t>
      </w:r>
      <w:r>
        <w:rPr>
          <w:rFonts w:hint="eastAsia"/>
          <w:color w:val="auto"/>
          <w:highlight w:val="none"/>
        </w:rPr>
        <w:t>　岩土的测试可按</w:t>
      </w:r>
      <w:r>
        <w:rPr>
          <w:rFonts w:hint="eastAsia"/>
          <w:color w:val="auto"/>
          <w:highlight w:val="none"/>
          <w:lang w:val="en-US" w:eastAsia="zh-CN"/>
        </w:rPr>
        <w:t>3.0.7、3.0.9条的</w:t>
      </w:r>
      <w:r>
        <w:rPr>
          <w:rFonts w:hint="eastAsia"/>
          <w:color w:val="auto"/>
          <w:highlight w:val="none"/>
        </w:rPr>
        <w:t>规定执行；</w:t>
      </w:r>
    </w:p>
    <w:p>
      <w:pPr>
        <w:spacing w:line="360" w:lineRule="auto"/>
        <w:ind w:firstLine="422" w:firstLineChars="200"/>
        <w:jc w:val="left"/>
        <w:rPr>
          <w:color w:val="auto"/>
          <w:highlight w:val="none"/>
        </w:rPr>
      </w:pPr>
      <w:r>
        <w:rPr>
          <w:rFonts w:hint="eastAsia"/>
          <w:b/>
          <w:bCs/>
          <w:color w:val="auto"/>
          <w:highlight w:val="none"/>
        </w:rPr>
        <w:t>2</w:t>
      </w:r>
      <w:r>
        <w:rPr>
          <w:rFonts w:hint="eastAsia"/>
          <w:color w:val="auto"/>
          <w:highlight w:val="none"/>
        </w:rPr>
        <w:t>　废弃物应根据其种类和特性采用合适的方法测试其物理力学特性；可根据现场监测资料，用反分析方法获取设计参数；</w:t>
      </w:r>
    </w:p>
    <w:p>
      <w:pPr>
        <w:spacing w:line="360" w:lineRule="auto"/>
        <w:ind w:firstLine="422" w:firstLineChars="200"/>
        <w:jc w:val="left"/>
        <w:rPr>
          <w:color w:val="auto"/>
          <w:highlight w:val="none"/>
        </w:rPr>
      </w:pPr>
      <w:r>
        <w:rPr>
          <w:rFonts w:hint="eastAsia"/>
          <w:b/>
          <w:bCs/>
          <w:color w:val="auto"/>
          <w:highlight w:val="none"/>
        </w:rPr>
        <w:t>3</w:t>
      </w:r>
      <w:r>
        <w:rPr>
          <w:rFonts w:hint="eastAsia"/>
          <w:color w:val="auto"/>
          <w:highlight w:val="none"/>
        </w:rPr>
        <w:t>　测定垃圾渗出液的化学成分；必要时进行专门试验，研究污染物的运移规律。</w:t>
      </w:r>
    </w:p>
    <w:p>
      <w:pPr>
        <w:autoSpaceDE w:val="0"/>
        <w:spacing w:line="360" w:lineRule="auto"/>
        <w:jc w:val="center"/>
        <w:rPr>
          <w:b/>
          <w:bCs/>
          <w:color w:val="auto"/>
          <w:kern w:val="0"/>
          <w:highlight w:val="none"/>
        </w:rPr>
      </w:pPr>
      <w:r>
        <w:rPr>
          <w:rFonts w:hint="eastAsia"/>
          <w:b/>
          <w:bCs/>
          <w:color w:val="auto"/>
          <w:kern w:val="0"/>
          <w:highlight w:val="none"/>
        </w:rPr>
        <w:t>（</w:t>
      </w:r>
      <w:r>
        <w:rPr>
          <w:rFonts w:hint="eastAsia" w:ascii="微软雅黑" w:hAnsi="微软雅黑" w:eastAsia="微软雅黑" w:cs="微软雅黑"/>
          <w:b/>
          <w:bCs/>
          <w:color w:val="auto"/>
          <w:kern w:val="0"/>
          <w:highlight w:val="none"/>
        </w:rPr>
        <w:t>Ⅱ</w:t>
      </w:r>
      <w:r>
        <w:rPr>
          <w:rFonts w:hint="eastAsia"/>
          <w:b/>
          <w:bCs/>
          <w:color w:val="auto"/>
          <w:kern w:val="0"/>
          <w:highlight w:val="none"/>
        </w:rPr>
        <w:t>）垃圾焚烧厂</w:t>
      </w:r>
    </w:p>
    <w:p>
      <w:pPr>
        <w:autoSpaceDE w:val="0"/>
        <w:spacing w:line="360" w:lineRule="auto"/>
        <w:jc w:val="left"/>
        <w:rPr>
          <w:b/>
          <w:color w:val="auto"/>
          <w:kern w:val="0"/>
          <w:highlight w:val="none"/>
        </w:rPr>
      </w:pPr>
      <w:r>
        <w:rPr>
          <w:rFonts w:hint="eastAsia"/>
          <w:b/>
          <w:bCs/>
          <w:color w:val="auto"/>
          <w:kern w:val="0"/>
          <w:highlight w:val="none"/>
        </w:rPr>
        <w:t>12.</w:t>
      </w:r>
      <w:r>
        <w:rPr>
          <w:b/>
          <w:bCs/>
          <w:color w:val="auto"/>
          <w:kern w:val="0"/>
          <w:highlight w:val="none"/>
        </w:rPr>
        <w:t>1.</w:t>
      </w:r>
      <w:r>
        <w:rPr>
          <w:rFonts w:hint="eastAsia"/>
          <w:b/>
          <w:bCs/>
          <w:color w:val="auto"/>
          <w:kern w:val="0"/>
          <w:highlight w:val="none"/>
        </w:rPr>
        <w:t>6　</w:t>
      </w:r>
      <w:r>
        <w:rPr>
          <w:color w:val="auto"/>
          <w:kern w:val="0"/>
          <w:highlight w:val="none"/>
        </w:rPr>
        <w:t>勘察前应根据各阶段勘察的工作需要，取得下列图纸和资料：</w:t>
      </w:r>
    </w:p>
    <w:p>
      <w:pPr>
        <w:spacing w:line="360" w:lineRule="auto"/>
        <w:ind w:firstLine="422" w:firstLineChars="200"/>
        <w:rPr>
          <w:color w:val="auto"/>
          <w:highlight w:val="none"/>
        </w:rPr>
      </w:pPr>
      <w:r>
        <w:rPr>
          <w:b/>
          <w:bCs/>
          <w:color w:val="auto"/>
          <w:highlight w:val="none"/>
        </w:rPr>
        <w:t>1</w:t>
      </w:r>
      <w:r>
        <w:rPr>
          <w:rFonts w:hint="eastAsia"/>
          <w:color w:val="auto"/>
          <w:highlight w:val="none"/>
        </w:rPr>
        <w:t>　焚烧厂</w:t>
      </w:r>
      <w:r>
        <w:rPr>
          <w:color w:val="auto"/>
          <w:highlight w:val="none"/>
        </w:rPr>
        <w:t>的总平面图；</w:t>
      </w:r>
    </w:p>
    <w:p>
      <w:pPr>
        <w:spacing w:line="360" w:lineRule="auto"/>
        <w:ind w:firstLine="422" w:firstLineChars="200"/>
        <w:rPr>
          <w:color w:val="auto"/>
          <w:highlight w:val="none"/>
        </w:rPr>
      </w:pPr>
      <w:r>
        <w:rPr>
          <w:b/>
          <w:bCs/>
          <w:color w:val="auto"/>
          <w:highlight w:val="none"/>
        </w:rPr>
        <w:t>2</w:t>
      </w:r>
      <w:r>
        <w:rPr>
          <w:rFonts w:hint="eastAsia"/>
          <w:color w:val="auto"/>
          <w:highlight w:val="none"/>
        </w:rPr>
        <w:t>　</w:t>
      </w:r>
      <w:r>
        <w:rPr>
          <w:color w:val="auto"/>
          <w:highlight w:val="none"/>
        </w:rPr>
        <w:t>废弃物的成分、粒度、物理和化学性质，废弃物的日处理量、输送和排放方式；</w:t>
      </w:r>
    </w:p>
    <w:p>
      <w:pPr>
        <w:autoSpaceDE w:val="0"/>
        <w:spacing w:line="360" w:lineRule="auto"/>
        <w:ind w:firstLine="422" w:firstLineChars="200"/>
        <w:jc w:val="left"/>
        <w:rPr>
          <w:color w:val="auto"/>
          <w:highlight w:val="none"/>
        </w:rPr>
      </w:pPr>
      <w:r>
        <w:rPr>
          <w:rFonts w:hint="eastAsia"/>
          <w:b/>
          <w:bCs/>
          <w:color w:val="auto"/>
          <w:highlight w:val="none"/>
        </w:rPr>
        <w:t>3</w:t>
      </w:r>
      <w:r>
        <w:rPr>
          <w:rFonts w:hint="eastAsia"/>
          <w:color w:val="auto"/>
          <w:highlight w:val="none"/>
        </w:rPr>
        <w:t>　废弃物暂存与转运站的容量、防渗要求及使用年限；烟囱的高度、结构形式和拟采用的地基基础方案</w:t>
      </w:r>
      <w:r>
        <w:rPr>
          <w:color w:val="auto"/>
          <w:highlight w:val="none"/>
        </w:rPr>
        <w:t>和承载力要求</w:t>
      </w:r>
      <w:r>
        <w:rPr>
          <w:rFonts w:hint="eastAsia"/>
          <w:color w:val="auto"/>
          <w:highlight w:val="none"/>
        </w:rPr>
        <w:t>；其他</w:t>
      </w:r>
      <w:r>
        <w:rPr>
          <w:color w:val="auto"/>
          <w:highlight w:val="none"/>
        </w:rPr>
        <w:t>建（构）筑物的</w:t>
      </w:r>
      <w:r>
        <w:rPr>
          <w:rFonts w:hint="eastAsia"/>
          <w:color w:val="auto"/>
          <w:highlight w:val="none"/>
        </w:rPr>
        <w:t>平面</w:t>
      </w:r>
      <w:r>
        <w:rPr>
          <w:color w:val="auto"/>
          <w:highlight w:val="none"/>
        </w:rPr>
        <w:t>布置、尺寸、</w:t>
      </w:r>
      <w:r>
        <w:rPr>
          <w:rFonts w:hint="eastAsia"/>
          <w:color w:val="auto"/>
          <w:highlight w:val="none"/>
        </w:rPr>
        <w:t>拟采用的</w:t>
      </w:r>
      <w:r>
        <w:rPr>
          <w:color w:val="auto"/>
          <w:highlight w:val="none"/>
        </w:rPr>
        <w:t>地基基础型式和承载力要求</w:t>
      </w:r>
      <w:r>
        <w:rPr>
          <w:rFonts w:hint="eastAsia"/>
          <w:color w:val="auto"/>
          <w:highlight w:val="none"/>
        </w:rPr>
        <w:t>。</w:t>
      </w:r>
    </w:p>
    <w:p>
      <w:pPr>
        <w:autoSpaceDE w:val="0"/>
        <w:spacing w:line="360" w:lineRule="auto"/>
        <w:jc w:val="left"/>
        <w:rPr>
          <w:color w:val="auto"/>
          <w:highlight w:val="none"/>
        </w:rPr>
      </w:pPr>
      <w:r>
        <w:rPr>
          <w:rFonts w:hint="eastAsia"/>
          <w:b/>
          <w:bCs/>
          <w:color w:val="auto"/>
          <w:kern w:val="0"/>
          <w:highlight w:val="none"/>
        </w:rPr>
        <w:t>12.</w:t>
      </w:r>
      <w:r>
        <w:rPr>
          <w:b/>
          <w:bCs/>
          <w:color w:val="auto"/>
          <w:kern w:val="0"/>
          <w:highlight w:val="none"/>
        </w:rPr>
        <w:t>1.</w:t>
      </w:r>
      <w:r>
        <w:rPr>
          <w:rFonts w:hint="eastAsia"/>
          <w:b/>
          <w:bCs/>
          <w:color w:val="auto"/>
          <w:kern w:val="0"/>
          <w:highlight w:val="none"/>
        </w:rPr>
        <w:t>7　</w:t>
      </w:r>
      <w:r>
        <w:rPr>
          <w:rFonts w:hint="eastAsia"/>
          <w:color w:val="auto"/>
          <w:highlight w:val="none"/>
        </w:rPr>
        <w:t>厂区</w:t>
      </w:r>
      <w:r>
        <w:rPr>
          <w:rFonts w:hint="eastAsia"/>
          <w:color w:val="auto"/>
          <w:kern w:val="0"/>
          <w:highlight w:val="none"/>
        </w:rPr>
        <w:t>宜</w:t>
      </w:r>
      <w:r>
        <w:rPr>
          <w:rFonts w:hint="eastAsia"/>
          <w:color w:val="auto"/>
          <w:highlight w:val="none"/>
        </w:rPr>
        <w:t>按方格网布置勘探点</w:t>
      </w:r>
      <w:r>
        <w:rPr>
          <w:color w:val="auto"/>
          <w:highlight w:val="none"/>
        </w:rPr>
        <w:t>。</w:t>
      </w:r>
    </w:p>
    <w:p>
      <w:pPr>
        <w:pStyle w:val="3"/>
        <w:rPr>
          <w:rFonts w:ascii="Times New Roman" w:hAnsi="Times New Roman" w:eastAsia="宋体"/>
          <w:color w:val="auto"/>
          <w:highlight w:val="none"/>
        </w:rPr>
      </w:pPr>
      <w:bookmarkStart w:id="212" w:name="_Toc17090"/>
      <w:bookmarkStart w:id="213" w:name="_Toc18395"/>
      <w:bookmarkStart w:id="214" w:name="_Toc2653"/>
      <w:bookmarkStart w:id="215" w:name="_12.2　可行性研究勘察"/>
      <w:r>
        <w:rPr>
          <w:rFonts w:hint="eastAsia" w:ascii="Times New Roman" w:hAnsi="Times New Roman" w:eastAsia="宋体"/>
          <w:color w:val="auto"/>
          <w:highlight w:val="none"/>
        </w:rPr>
        <w:t>12.</w:t>
      </w:r>
      <w:r>
        <w:rPr>
          <w:rFonts w:ascii="Times New Roman" w:hAnsi="Times New Roman" w:eastAsia="宋体"/>
          <w:color w:val="auto"/>
          <w:highlight w:val="none"/>
        </w:rPr>
        <w:t>2</w:t>
      </w:r>
      <w:r>
        <w:rPr>
          <w:rFonts w:hint="eastAsia" w:ascii="Times New Roman" w:hAnsi="Times New Roman" w:eastAsia="宋体"/>
          <w:color w:val="auto"/>
          <w:highlight w:val="none"/>
        </w:rPr>
        <w:t>　</w:t>
      </w:r>
      <w:r>
        <w:rPr>
          <w:rFonts w:ascii="Times New Roman" w:hAnsi="Times New Roman" w:eastAsia="宋体"/>
          <w:color w:val="auto"/>
          <w:highlight w:val="none"/>
        </w:rPr>
        <w:t>可行性研究勘察</w:t>
      </w:r>
      <w:bookmarkEnd w:id="212"/>
      <w:bookmarkEnd w:id="213"/>
      <w:bookmarkEnd w:id="214"/>
    </w:p>
    <w:bookmarkEnd w:id="215"/>
    <w:p>
      <w:pPr>
        <w:spacing w:line="360" w:lineRule="auto"/>
        <w:rPr>
          <w:color w:val="auto"/>
          <w:kern w:val="0"/>
          <w:highlight w:val="none"/>
        </w:rPr>
      </w:pPr>
      <w:r>
        <w:rPr>
          <w:rFonts w:hint="eastAsia"/>
          <w:b/>
          <w:bCs/>
          <w:color w:val="auto"/>
          <w:kern w:val="0"/>
          <w:highlight w:val="none"/>
        </w:rPr>
        <w:t>12.</w:t>
      </w:r>
      <w:r>
        <w:rPr>
          <w:b/>
          <w:bCs/>
          <w:color w:val="auto"/>
          <w:kern w:val="0"/>
          <w:highlight w:val="none"/>
        </w:rPr>
        <w:t>2.1</w:t>
      </w:r>
      <w:r>
        <w:rPr>
          <w:rFonts w:hint="eastAsia"/>
          <w:color w:val="auto"/>
          <w:highlight w:val="none"/>
        </w:rPr>
        <w:t>　</w:t>
      </w:r>
      <w:r>
        <w:rPr>
          <w:color w:val="auto"/>
          <w:highlight w:val="none"/>
        </w:rPr>
        <w:t>可行性研究勘察应以收集资料、工程地质</w:t>
      </w:r>
      <w:r>
        <w:rPr>
          <w:rFonts w:hint="eastAsia"/>
          <w:color w:val="auto"/>
          <w:highlight w:val="none"/>
        </w:rPr>
        <w:t>调查与测绘</w:t>
      </w:r>
      <w:r>
        <w:rPr>
          <w:color w:val="auto"/>
          <w:highlight w:val="none"/>
        </w:rPr>
        <w:t>为主，根据具体条件辅以必要的</w:t>
      </w:r>
      <w:r>
        <w:rPr>
          <w:rFonts w:hint="eastAsia"/>
          <w:color w:val="auto"/>
          <w:highlight w:val="none"/>
        </w:rPr>
        <w:t>勘探、测试及试验工作。</w:t>
      </w:r>
      <w:r>
        <w:rPr>
          <w:color w:val="auto"/>
          <w:highlight w:val="none"/>
        </w:rPr>
        <w:t>当有两个或以上拟选场址时，</w:t>
      </w:r>
      <w:r>
        <w:rPr>
          <w:rFonts w:hint="eastAsia"/>
          <w:color w:val="auto"/>
          <w:highlight w:val="none"/>
        </w:rPr>
        <w:t>应进行场址的可行性比选</w:t>
      </w:r>
      <w:r>
        <w:rPr>
          <w:color w:val="auto"/>
          <w:kern w:val="0"/>
          <w:highlight w:val="none"/>
        </w:rPr>
        <w:t>。</w:t>
      </w:r>
    </w:p>
    <w:p>
      <w:pPr>
        <w:spacing w:line="360" w:lineRule="auto"/>
        <w:rPr>
          <w:color w:val="auto"/>
          <w:kern w:val="0"/>
          <w:highlight w:val="none"/>
        </w:rPr>
      </w:pPr>
      <w:r>
        <w:rPr>
          <w:rFonts w:hint="eastAsia"/>
          <w:b/>
          <w:bCs/>
          <w:color w:val="auto"/>
          <w:kern w:val="0"/>
          <w:highlight w:val="none"/>
        </w:rPr>
        <w:t>12.2.2</w:t>
      </w:r>
      <w:r>
        <w:rPr>
          <w:rFonts w:hint="eastAsia"/>
          <w:color w:val="auto"/>
          <w:kern w:val="0"/>
          <w:highlight w:val="none"/>
        </w:rPr>
        <w:t>　</w:t>
      </w:r>
      <w:r>
        <w:rPr>
          <w:color w:val="auto"/>
          <w:highlight w:val="none"/>
        </w:rPr>
        <w:t>可行性研究勘察应主要结合遥感影像资料、区域地质资料开展工程地质测绘工作</w:t>
      </w:r>
      <w:r>
        <w:rPr>
          <w:rFonts w:hint="eastAsia"/>
          <w:color w:val="auto"/>
          <w:highlight w:val="none"/>
        </w:rPr>
        <w:t>。工程地质测绘比例尺宜为1:1000~1:2000。</w:t>
      </w:r>
    </w:p>
    <w:p>
      <w:pPr>
        <w:spacing w:line="360" w:lineRule="auto"/>
        <w:rPr>
          <w:color w:val="auto"/>
          <w:highlight w:val="none"/>
        </w:rPr>
      </w:pPr>
      <w:r>
        <w:rPr>
          <w:rFonts w:hint="eastAsia"/>
          <w:b/>
          <w:bCs/>
          <w:color w:val="auto"/>
          <w:kern w:val="0"/>
          <w:highlight w:val="none"/>
        </w:rPr>
        <w:t>12.</w:t>
      </w:r>
      <w:r>
        <w:rPr>
          <w:b/>
          <w:bCs/>
          <w:color w:val="auto"/>
          <w:kern w:val="0"/>
          <w:highlight w:val="none"/>
        </w:rPr>
        <w:t>2.</w:t>
      </w:r>
      <w:r>
        <w:rPr>
          <w:rFonts w:hint="eastAsia"/>
          <w:b/>
          <w:bCs/>
          <w:color w:val="auto"/>
          <w:kern w:val="0"/>
          <w:highlight w:val="none"/>
        </w:rPr>
        <w:t>3　</w:t>
      </w:r>
      <w:r>
        <w:rPr>
          <w:color w:val="auto"/>
          <w:highlight w:val="none"/>
        </w:rPr>
        <w:t>可行性研究</w:t>
      </w:r>
      <w:r>
        <w:rPr>
          <w:rFonts w:hint="eastAsia"/>
          <w:color w:val="auto"/>
          <w:highlight w:val="none"/>
        </w:rPr>
        <w:t>勘察</w:t>
      </w:r>
      <w:r>
        <w:rPr>
          <w:color w:val="auto"/>
          <w:kern w:val="0"/>
          <w:highlight w:val="none"/>
        </w:rPr>
        <w:t>勘探点间距宜为</w:t>
      </w:r>
      <w:r>
        <w:rPr>
          <w:rFonts w:hint="eastAsia"/>
          <w:color w:val="auto"/>
          <w:highlight w:val="none"/>
        </w:rPr>
        <w:t>1</w:t>
      </w:r>
      <w:r>
        <w:rPr>
          <w:color w:val="auto"/>
          <w:highlight w:val="none"/>
        </w:rPr>
        <w:t>00m～</w:t>
      </w:r>
      <w:r>
        <w:rPr>
          <w:rFonts w:hint="eastAsia"/>
          <w:color w:val="auto"/>
          <w:highlight w:val="none"/>
        </w:rPr>
        <w:t>2</w:t>
      </w:r>
      <w:r>
        <w:rPr>
          <w:color w:val="auto"/>
          <w:highlight w:val="none"/>
        </w:rPr>
        <w:t>00m</w:t>
      </w:r>
      <w:r>
        <w:rPr>
          <w:rFonts w:hint="eastAsia"/>
          <w:color w:val="auto"/>
          <w:highlight w:val="none"/>
        </w:rPr>
        <w:t>；勘探孔深度</w:t>
      </w:r>
      <w:r>
        <w:rPr>
          <w:rFonts w:hint="eastAsia"/>
          <w:color w:val="auto"/>
          <w:highlight w:val="none"/>
          <w:lang w:eastAsia="zh-CN"/>
        </w:rPr>
        <w:t>不宜</w:t>
      </w:r>
      <w:r>
        <w:rPr>
          <w:rFonts w:hint="eastAsia"/>
          <w:color w:val="auto"/>
          <w:highlight w:val="none"/>
        </w:rPr>
        <w:t>小于50m或连续进入基岩中风化～微风化带不少于10m</w:t>
      </w:r>
      <w:r>
        <w:rPr>
          <w:color w:val="auto"/>
          <w:highlight w:val="none"/>
        </w:rPr>
        <w:t>。</w:t>
      </w:r>
    </w:p>
    <w:p>
      <w:pPr>
        <w:spacing w:line="360" w:lineRule="auto"/>
        <w:rPr>
          <w:color w:val="auto"/>
          <w:highlight w:val="none"/>
        </w:rPr>
      </w:pPr>
      <w:r>
        <w:rPr>
          <w:rFonts w:hint="eastAsia"/>
          <w:b/>
          <w:bCs/>
          <w:color w:val="auto"/>
          <w:kern w:val="0"/>
          <w:highlight w:val="none"/>
        </w:rPr>
        <w:t>12.</w:t>
      </w:r>
      <w:r>
        <w:rPr>
          <w:b/>
          <w:bCs/>
          <w:color w:val="auto"/>
          <w:kern w:val="0"/>
          <w:highlight w:val="none"/>
        </w:rPr>
        <w:t>2.</w:t>
      </w:r>
      <w:r>
        <w:rPr>
          <w:rFonts w:hint="eastAsia"/>
          <w:b/>
          <w:bCs/>
          <w:color w:val="auto"/>
          <w:kern w:val="0"/>
          <w:highlight w:val="none"/>
        </w:rPr>
        <w:t>4　</w:t>
      </w:r>
      <w:r>
        <w:rPr>
          <w:color w:val="auto"/>
          <w:highlight w:val="none"/>
        </w:rPr>
        <w:t>可行性研究</w:t>
      </w:r>
      <w:r>
        <w:rPr>
          <w:color w:val="auto"/>
          <w:kern w:val="0"/>
          <w:highlight w:val="none"/>
        </w:rPr>
        <w:t>勘察应初步分析评价下列内容：</w:t>
      </w:r>
    </w:p>
    <w:p>
      <w:pPr>
        <w:spacing w:line="360" w:lineRule="auto"/>
        <w:ind w:firstLine="422" w:firstLineChars="200"/>
        <w:rPr>
          <w:color w:val="auto"/>
          <w:highlight w:val="none"/>
        </w:rPr>
      </w:pPr>
      <w:r>
        <w:rPr>
          <w:b/>
          <w:bCs/>
          <w:color w:val="auto"/>
          <w:highlight w:val="none"/>
        </w:rPr>
        <w:t>1</w:t>
      </w:r>
      <w:r>
        <w:rPr>
          <w:rFonts w:hint="eastAsia"/>
          <w:color w:val="auto"/>
          <w:highlight w:val="none"/>
        </w:rPr>
        <w:t>　</w:t>
      </w:r>
      <w:r>
        <w:rPr>
          <w:color w:val="auto"/>
          <w:highlight w:val="none"/>
        </w:rPr>
        <w:t>场</w:t>
      </w:r>
      <w:r>
        <w:rPr>
          <w:rFonts w:hint="eastAsia"/>
          <w:color w:val="auto"/>
          <w:highlight w:val="none"/>
        </w:rPr>
        <w:t>地的</w:t>
      </w:r>
      <w:r>
        <w:rPr>
          <w:color w:val="auto"/>
          <w:highlight w:val="none"/>
        </w:rPr>
        <w:t>工程地质及水文地质条件，地质构造、不良地质作用、特殊性岩土的基本发育情况</w:t>
      </w:r>
      <w:r>
        <w:rPr>
          <w:rFonts w:hint="eastAsia"/>
          <w:color w:val="auto"/>
          <w:highlight w:val="none"/>
        </w:rPr>
        <w:t>及对工程的不利影响；山谷形填埋场泥石流、滑坡、崩塌等地质灾害发育情况；</w:t>
      </w:r>
    </w:p>
    <w:p>
      <w:pPr>
        <w:spacing w:line="360" w:lineRule="auto"/>
        <w:ind w:firstLine="422" w:firstLineChars="200"/>
        <w:rPr>
          <w:color w:val="auto"/>
          <w:highlight w:val="none"/>
        </w:rPr>
      </w:pPr>
      <w:r>
        <w:rPr>
          <w:rFonts w:hint="eastAsia"/>
          <w:b/>
          <w:bCs/>
          <w:color w:val="auto"/>
          <w:highlight w:val="none"/>
        </w:rPr>
        <w:t>2</w:t>
      </w:r>
      <w:r>
        <w:rPr>
          <w:rFonts w:hint="eastAsia"/>
          <w:color w:val="auto"/>
          <w:highlight w:val="none"/>
        </w:rPr>
        <w:t>　</w:t>
      </w:r>
      <w:r>
        <w:rPr>
          <w:color w:val="auto"/>
          <w:highlight w:val="none"/>
        </w:rPr>
        <w:t>场地</w:t>
      </w:r>
      <w:r>
        <w:rPr>
          <w:rFonts w:hint="eastAsia"/>
          <w:color w:val="auto"/>
          <w:highlight w:val="none"/>
        </w:rPr>
        <w:t>的稳定性和工程建设的适宜性，预测可能引起的地质环境问题</w:t>
      </w:r>
      <w:r>
        <w:rPr>
          <w:color w:val="auto"/>
          <w:highlight w:val="none"/>
        </w:rPr>
        <w:t>。</w:t>
      </w:r>
    </w:p>
    <w:bookmarkEnd w:id="208"/>
    <w:p>
      <w:pPr>
        <w:pStyle w:val="3"/>
        <w:rPr>
          <w:rFonts w:ascii="Times New Roman" w:hAnsi="Times New Roman" w:eastAsia="宋体"/>
          <w:color w:val="auto"/>
          <w:highlight w:val="none"/>
        </w:rPr>
      </w:pPr>
      <w:bookmarkStart w:id="216" w:name="_Toc18178"/>
      <w:bookmarkStart w:id="217" w:name="_Toc4500"/>
      <w:bookmarkStart w:id="218" w:name="_Toc19446"/>
      <w:bookmarkStart w:id="219" w:name="_12.3　初步勘察"/>
      <w:r>
        <w:rPr>
          <w:rFonts w:hint="eastAsia" w:ascii="Times New Roman" w:hAnsi="Times New Roman" w:eastAsia="宋体"/>
          <w:color w:val="auto"/>
          <w:highlight w:val="none"/>
        </w:rPr>
        <w:t>12.</w:t>
      </w:r>
      <w:r>
        <w:rPr>
          <w:rFonts w:ascii="Times New Roman" w:hAnsi="Times New Roman" w:eastAsia="宋体"/>
          <w:color w:val="auto"/>
          <w:highlight w:val="none"/>
        </w:rPr>
        <w:t>3</w:t>
      </w:r>
      <w:r>
        <w:rPr>
          <w:rFonts w:hint="eastAsia" w:ascii="Times New Roman" w:hAnsi="Times New Roman" w:eastAsia="宋体"/>
          <w:color w:val="auto"/>
          <w:highlight w:val="none"/>
        </w:rPr>
        <w:t>　</w:t>
      </w:r>
      <w:r>
        <w:rPr>
          <w:rFonts w:ascii="Times New Roman" w:hAnsi="Times New Roman" w:eastAsia="宋体"/>
          <w:color w:val="auto"/>
          <w:highlight w:val="none"/>
        </w:rPr>
        <w:t>初步勘察</w:t>
      </w:r>
      <w:bookmarkEnd w:id="216"/>
      <w:bookmarkEnd w:id="217"/>
      <w:bookmarkEnd w:id="218"/>
    </w:p>
    <w:bookmarkEnd w:id="219"/>
    <w:p>
      <w:pPr>
        <w:autoSpaceDE w:val="0"/>
        <w:spacing w:line="360" w:lineRule="auto"/>
        <w:jc w:val="center"/>
        <w:rPr>
          <w:b/>
          <w:bCs/>
          <w:color w:val="auto"/>
          <w:kern w:val="0"/>
          <w:highlight w:val="none"/>
        </w:rPr>
      </w:pPr>
      <w:r>
        <w:rPr>
          <w:rFonts w:hint="eastAsia"/>
          <w:b/>
          <w:bCs/>
          <w:color w:val="auto"/>
          <w:kern w:val="0"/>
          <w:highlight w:val="none"/>
        </w:rPr>
        <w:t>（</w:t>
      </w:r>
      <w:r>
        <w:rPr>
          <w:rFonts w:hint="eastAsia" w:ascii="宋体" w:hAnsi="宋体" w:cs="宋体"/>
          <w:b/>
          <w:bCs/>
          <w:color w:val="auto"/>
          <w:kern w:val="0"/>
          <w:highlight w:val="none"/>
        </w:rPr>
        <w:t>Ⅰ</w:t>
      </w:r>
      <w:r>
        <w:rPr>
          <w:rFonts w:hint="eastAsia"/>
          <w:b/>
          <w:bCs/>
          <w:color w:val="auto"/>
          <w:kern w:val="0"/>
          <w:highlight w:val="none"/>
        </w:rPr>
        <w:t>）卫生填埋场</w:t>
      </w:r>
    </w:p>
    <w:p>
      <w:pPr>
        <w:autoSpaceDE w:val="0"/>
        <w:autoSpaceDN w:val="0"/>
        <w:adjustRightInd w:val="0"/>
        <w:spacing w:line="360" w:lineRule="auto"/>
        <w:jc w:val="left"/>
        <w:rPr>
          <w:color w:val="auto"/>
          <w:kern w:val="0"/>
          <w:highlight w:val="none"/>
        </w:rPr>
      </w:pPr>
      <w:r>
        <w:rPr>
          <w:rFonts w:hint="eastAsia"/>
          <w:b/>
          <w:bCs/>
          <w:color w:val="auto"/>
          <w:kern w:val="0"/>
          <w:highlight w:val="none"/>
        </w:rPr>
        <w:t>12.</w:t>
      </w:r>
      <w:r>
        <w:rPr>
          <w:b/>
          <w:bCs/>
          <w:color w:val="auto"/>
          <w:kern w:val="0"/>
          <w:highlight w:val="none"/>
        </w:rPr>
        <w:t>3.1</w:t>
      </w:r>
      <w:r>
        <w:rPr>
          <w:rFonts w:hint="eastAsia"/>
          <w:color w:val="auto"/>
          <w:highlight w:val="none"/>
        </w:rPr>
        <w:t>　</w:t>
      </w:r>
      <w:r>
        <w:rPr>
          <w:color w:val="auto"/>
          <w:kern w:val="0"/>
          <w:highlight w:val="none"/>
        </w:rPr>
        <w:t>初步勘察应</w:t>
      </w:r>
      <w:r>
        <w:rPr>
          <w:rFonts w:hint="eastAsia"/>
          <w:color w:val="auto"/>
          <w:kern w:val="0"/>
          <w:highlight w:val="none"/>
        </w:rPr>
        <w:t>初步</w:t>
      </w:r>
      <w:r>
        <w:rPr>
          <w:color w:val="auto"/>
          <w:kern w:val="0"/>
          <w:highlight w:val="none"/>
        </w:rPr>
        <w:t>查明以下内容：</w:t>
      </w:r>
    </w:p>
    <w:p>
      <w:pPr>
        <w:autoSpaceDE w:val="0"/>
        <w:autoSpaceDN w:val="0"/>
        <w:adjustRightInd w:val="0"/>
        <w:spacing w:line="360" w:lineRule="auto"/>
        <w:ind w:firstLine="422" w:firstLineChars="200"/>
        <w:jc w:val="left"/>
        <w:rPr>
          <w:rFonts w:hint="default" w:eastAsia="宋体"/>
          <w:b w:val="0"/>
          <w:bCs w:val="0"/>
          <w:color w:val="auto"/>
          <w:kern w:val="0"/>
          <w:highlight w:val="none"/>
          <w:lang w:val="en-US" w:eastAsia="zh-CN"/>
        </w:rPr>
      </w:pPr>
      <w:r>
        <w:rPr>
          <w:rFonts w:hint="eastAsia"/>
          <w:b/>
          <w:bCs/>
          <w:color w:val="auto"/>
          <w:kern w:val="0"/>
          <w:highlight w:val="none"/>
          <w:lang w:val="en-US" w:eastAsia="zh-CN"/>
        </w:rPr>
        <w:t>1</w:t>
      </w:r>
      <w:r>
        <w:rPr>
          <w:rFonts w:hint="eastAsia"/>
          <w:color w:val="auto"/>
          <w:highlight w:val="none"/>
        </w:rPr>
        <w:t>　</w:t>
      </w:r>
      <w:r>
        <w:rPr>
          <w:rFonts w:hint="eastAsia"/>
          <w:b w:val="0"/>
          <w:bCs w:val="0"/>
          <w:color w:val="auto"/>
          <w:kern w:val="0"/>
          <w:highlight w:val="none"/>
          <w:lang w:val="en-US" w:eastAsia="zh-CN"/>
        </w:rPr>
        <w:t>场地的</w:t>
      </w:r>
      <w:r>
        <w:rPr>
          <w:color w:val="auto"/>
          <w:kern w:val="0"/>
          <w:highlight w:val="none"/>
        </w:rPr>
        <w:t>地貌类型、</w:t>
      </w:r>
      <w:r>
        <w:rPr>
          <w:rFonts w:hint="eastAsia"/>
          <w:color w:val="auto"/>
          <w:kern w:val="0"/>
          <w:highlight w:val="none"/>
        </w:rPr>
        <w:t>地形起伏变化情况</w:t>
      </w:r>
      <w:r>
        <w:rPr>
          <w:rFonts w:hint="eastAsia"/>
          <w:color w:val="auto"/>
          <w:highlight w:val="none"/>
          <w:lang w:val="en-US" w:eastAsia="zh-CN"/>
        </w:rPr>
        <w:t>、场地类别</w:t>
      </w:r>
      <w:r>
        <w:rPr>
          <w:color w:val="auto"/>
          <w:kern w:val="0"/>
          <w:highlight w:val="none"/>
        </w:rPr>
        <w:t>及</w:t>
      </w:r>
      <w:r>
        <w:rPr>
          <w:rFonts w:hint="eastAsia"/>
          <w:b w:val="0"/>
          <w:bCs w:val="0"/>
          <w:color w:val="auto"/>
          <w:kern w:val="0"/>
          <w:highlight w:val="none"/>
          <w:lang w:val="en-US" w:eastAsia="zh-CN"/>
        </w:rPr>
        <w:t>地震动参数；</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lang w:val="en-US" w:eastAsia="zh-CN"/>
        </w:rPr>
        <w:t>2</w:t>
      </w:r>
      <w:r>
        <w:rPr>
          <w:rFonts w:hint="eastAsia"/>
          <w:color w:val="auto"/>
          <w:kern w:val="0"/>
          <w:highlight w:val="none"/>
        </w:rPr>
        <w:t>　</w:t>
      </w:r>
      <w:r>
        <w:rPr>
          <w:color w:val="auto"/>
          <w:kern w:val="0"/>
          <w:highlight w:val="none"/>
        </w:rPr>
        <w:t>断裂和褶皱的类型、分布、规模、产状、形态，以及断裂的活动性；</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lang w:val="en-US" w:eastAsia="zh-CN"/>
        </w:rPr>
        <w:t>3</w:t>
      </w:r>
      <w:r>
        <w:rPr>
          <w:rFonts w:hint="eastAsia"/>
          <w:color w:val="auto"/>
          <w:kern w:val="0"/>
          <w:highlight w:val="none"/>
        </w:rPr>
        <w:t>　</w:t>
      </w:r>
      <w:r>
        <w:rPr>
          <w:color w:val="auto"/>
          <w:kern w:val="0"/>
          <w:highlight w:val="none"/>
        </w:rPr>
        <w:t>覆盖层的厚度、土质类型、分布范围、地层结构、密实度和物理力学性质；</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lang w:val="en-US" w:eastAsia="zh-CN"/>
        </w:rPr>
        <w:t>4</w:t>
      </w:r>
      <w:r>
        <w:rPr>
          <w:rFonts w:hint="eastAsia"/>
          <w:color w:val="auto"/>
          <w:kern w:val="0"/>
          <w:highlight w:val="none"/>
        </w:rPr>
        <w:t>　</w:t>
      </w:r>
      <w:r>
        <w:rPr>
          <w:color w:val="auto"/>
          <w:kern w:val="0"/>
          <w:highlight w:val="none"/>
        </w:rPr>
        <w:t>基岩的埋深、起伏状态、地层及岩性组合，岩石的风化程度、节理发育程度和物理力学性质；</w:t>
      </w:r>
    </w:p>
    <w:p>
      <w:pPr>
        <w:spacing w:line="360" w:lineRule="auto"/>
        <w:ind w:firstLine="422" w:firstLineChars="200"/>
        <w:rPr>
          <w:color w:val="auto"/>
          <w:highlight w:val="none"/>
        </w:rPr>
      </w:pPr>
      <w:r>
        <w:rPr>
          <w:rFonts w:hint="eastAsia"/>
          <w:b/>
          <w:bCs/>
          <w:color w:val="auto"/>
          <w:highlight w:val="none"/>
          <w:lang w:val="en-US" w:eastAsia="zh-CN"/>
        </w:rPr>
        <w:t>5</w:t>
      </w:r>
      <w:r>
        <w:rPr>
          <w:rFonts w:hint="eastAsia"/>
          <w:color w:val="auto"/>
          <w:highlight w:val="none"/>
        </w:rPr>
        <w:t>　</w:t>
      </w:r>
      <w:r>
        <w:rPr>
          <w:color w:val="auto"/>
          <w:highlight w:val="none"/>
        </w:rPr>
        <w:t>岩溶、断裂、地表水和地下水的分布及连通性，地下水的类型、埋深、补径排关系</w:t>
      </w:r>
      <w:r>
        <w:rPr>
          <w:rFonts w:hint="eastAsia"/>
          <w:color w:val="auto"/>
          <w:highlight w:val="none"/>
        </w:rPr>
        <w:t>，</w:t>
      </w:r>
      <w:r>
        <w:rPr>
          <w:color w:val="auto"/>
          <w:highlight w:val="none"/>
        </w:rPr>
        <w:t>透水层的渗透性；</w:t>
      </w:r>
    </w:p>
    <w:p>
      <w:pPr>
        <w:spacing w:line="360" w:lineRule="auto"/>
        <w:ind w:firstLine="422" w:firstLineChars="200"/>
        <w:rPr>
          <w:color w:val="auto"/>
          <w:highlight w:val="none"/>
        </w:rPr>
      </w:pPr>
      <w:r>
        <w:rPr>
          <w:rFonts w:hint="eastAsia"/>
          <w:b/>
          <w:bCs/>
          <w:color w:val="auto"/>
          <w:highlight w:val="none"/>
          <w:lang w:val="en-US" w:eastAsia="zh-CN"/>
        </w:rPr>
        <w:t>6</w:t>
      </w:r>
      <w:r>
        <w:rPr>
          <w:rFonts w:hint="eastAsia"/>
          <w:color w:val="auto"/>
          <w:highlight w:val="none"/>
        </w:rPr>
        <w:t>　</w:t>
      </w:r>
      <w:r>
        <w:rPr>
          <w:color w:val="auto"/>
          <w:highlight w:val="none"/>
        </w:rPr>
        <w:t>场地及周边的不良地质作用分布、规模和类型；</w:t>
      </w:r>
    </w:p>
    <w:p>
      <w:pPr>
        <w:spacing w:line="360" w:lineRule="auto"/>
        <w:ind w:firstLine="422" w:firstLineChars="200"/>
        <w:rPr>
          <w:color w:val="auto"/>
          <w:highlight w:val="none"/>
        </w:rPr>
      </w:pPr>
      <w:r>
        <w:rPr>
          <w:rFonts w:hint="eastAsia"/>
          <w:b/>
          <w:bCs/>
          <w:color w:val="auto"/>
          <w:highlight w:val="none"/>
          <w:lang w:val="en-US" w:eastAsia="zh-CN"/>
        </w:rPr>
        <w:t>7</w:t>
      </w:r>
      <w:r>
        <w:rPr>
          <w:rFonts w:hint="eastAsia"/>
          <w:color w:val="auto"/>
          <w:highlight w:val="none"/>
        </w:rPr>
        <w:t>　</w:t>
      </w:r>
      <w:r>
        <w:rPr>
          <w:color w:val="auto"/>
          <w:highlight w:val="none"/>
        </w:rPr>
        <w:t>特殊性岩土的分布、成因和工程地质特性</w:t>
      </w:r>
      <w:r>
        <w:rPr>
          <w:rFonts w:hint="eastAsia"/>
          <w:color w:val="auto"/>
          <w:highlight w:val="none"/>
        </w:rPr>
        <w:t>；</w:t>
      </w:r>
    </w:p>
    <w:p>
      <w:pPr>
        <w:spacing w:line="360" w:lineRule="auto"/>
        <w:ind w:firstLine="422" w:firstLineChars="200"/>
        <w:rPr>
          <w:color w:val="auto"/>
          <w:highlight w:val="none"/>
        </w:rPr>
      </w:pPr>
      <w:r>
        <w:rPr>
          <w:rFonts w:hint="eastAsia"/>
          <w:b/>
          <w:bCs/>
          <w:color w:val="auto"/>
          <w:highlight w:val="none"/>
          <w:lang w:val="en-US" w:eastAsia="zh-CN"/>
        </w:rPr>
        <w:t>8</w:t>
      </w:r>
      <w:r>
        <w:rPr>
          <w:rFonts w:hint="eastAsia"/>
          <w:color w:val="auto"/>
          <w:highlight w:val="none"/>
        </w:rPr>
        <w:t>　场地土和地下水对建筑材料的腐蚀性</w:t>
      </w:r>
      <w:r>
        <w:rPr>
          <w:color w:val="auto"/>
          <w:highlight w:val="none"/>
        </w:rPr>
        <w:t>。</w:t>
      </w:r>
    </w:p>
    <w:p>
      <w:pPr>
        <w:spacing w:line="360" w:lineRule="auto"/>
        <w:rPr>
          <w:b/>
          <w:bCs/>
          <w:color w:val="auto"/>
          <w:kern w:val="0"/>
          <w:highlight w:val="none"/>
        </w:rPr>
      </w:pPr>
      <w:r>
        <w:rPr>
          <w:rFonts w:hint="eastAsia"/>
          <w:b/>
          <w:bCs/>
          <w:color w:val="auto"/>
          <w:kern w:val="0"/>
          <w:highlight w:val="none"/>
        </w:rPr>
        <w:t>12.</w:t>
      </w:r>
      <w:r>
        <w:rPr>
          <w:b/>
          <w:bCs/>
          <w:color w:val="auto"/>
          <w:kern w:val="0"/>
          <w:highlight w:val="none"/>
        </w:rPr>
        <w:t>3.2</w:t>
      </w:r>
      <w:r>
        <w:rPr>
          <w:color w:val="auto"/>
          <w:kern w:val="0"/>
          <w:highlight w:val="none"/>
        </w:rPr>
        <w:t>初步</w:t>
      </w:r>
      <w:r>
        <w:rPr>
          <w:rFonts w:hint="eastAsia"/>
          <w:color w:val="auto"/>
          <w:kern w:val="0"/>
          <w:highlight w:val="none"/>
        </w:rPr>
        <w:t>勘察</w:t>
      </w:r>
      <w:r>
        <w:rPr>
          <w:color w:val="auto"/>
          <w:kern w:val="0"/>
          <w:highlight w:val="none"/>
        </w:rPr>
        <w:t>勘探点布置应</w:t>
      </w:r>
      <w:r>
        <w:rPr>
          <w:rFonts w:hint="eastAsia"/>
          <w:color w:val="auto"/>
          <w:kern w:val="0"/>
          <w:highlight w:val="none"/>
        </w:rPr>
        <w:t>符合下列规定</w:t>
      </w:r>
      <w:r>
        <w:rPr>
          <w:color w:val="auto"/>
          <w:kern w:val="0"/>
          <w:highlight w:val="none"/>
        </w:rPr>
        <w:t>：</w:t>
      </w:r>
    </w:p>
    <w:p>
      <w:pPr>
        <w:spacing w:line="360" w:lineRule="auto"/>
        <w:ind w:firstLine="422" w:firstLineChars="200"/>
        <w:rPr>
          <w:rFonts w:hint="eastAsia" w:eastAsia="宋体"/>
          <w:color w:val="auto"/>
          <w:highlight w:val="none"/>
          <w:lang w:eastAsia="zh-CN"/>
        </w:rPr>
      </w:pPr>
      <w:r>
        <w:rPr>
          <w:rFonts w:hint="eastAsia"/>
          <w:b/>
          <w:bCs/>
          <w:color w:val="auto"/>
          <w:highlight w:val="none"/>
        </w:rPr>
        <w:t>1</w:t>
      </w:r>
      <w:r>
        <w:rPr>
          <w:rFonts w:hint="eastAsia"/>
          <w:color w:val="auto"/>
          <w:highlight w:val="none"/>
        </w:rPr>
        <w:t>　</w:t>
      </w:r>
      <w:r>
        <w:rPr>
          <w:color w:val="auto"/>
          <w:highlight w:val="none"/>
        </w:rPr>
        <w:t>库区</w:t>
      </w:r>
      <w:r>
        <w:rPr>
          <w:rFonts w:hint="eastAsia"/>
          <w:color w:val="auto"/>
          <w:highlight w:val="none"/>
        </w:rPr>
        <w:t>：宜沿坡向布置勘探线，</w:t>
      </w:r>
      <w:r>
        <w:rPr>
          <w:color w:val="auto"/>
          <w:highlight w:val="none"/>
        </w:rPr>
        <w:t>勘探线、勘探点间距宜</w:t>
      </w:r>
      <w:r>
        <w:rPr>
          <w:rFonts w:hint="eastAsia"/>
          <w:color w:val="auto"/>
          <w:highlight w:val="none"/>
        </w:rPr>
        <w:t>根据场地和岩土条件复杂程度等级</w:t>
      </w:r>
      <w:r>
        <w:rPr>
          <w:color w:val="auto"/>
          <w:highlight w:val="none"/>
        </w:rPr>
        <w:t>按表</w:t>
      </w:r>
      <w:r>
        <w:rPr>
          <w:rFonts w:hint="eastAsia"/>
          <w:color w:val="auto"/>
          <w:highlight w:val="none"/>
        </w:rPr>
        <w:t>12.</w:t>
      </w:r>
      <w:r>
        <w:rPr>
          <w:color w:val="auto"/>
          <w:highlight w:val="none"/>
        </w:rPr>
        <w:t>3.2-1确定</w:t>
      </w:r>
      <w:r>
        <w:rPr>
          <w:rFonts w:hint="eastAsia"/>
          <w:color w:val="auto"/>
          <w:highlight w:val="none"/>
          <w:lang w:eastAsia="zh-CN"/>
        </w:rPr>
        <w:t>；</w:t>
      </w:r>
    </w:p>
    <w:p>
      <w:pPr>
        <w:spacing w:line="360" w:lineRule="auto"/>
        <w:ind w:firstLine="422" w:firstLineChars="200"/>
        <w:jc w:val="center"/>
        <w:rPr>
          <w:b/>
          <w:color w:val="auto"/>
          <w:highlight w:val="none"/>
        </w:rPr>
      </w:pPr>
      <w:r>
        <w:rPr>
          <w:b/>
          <w:color w:val="auto"/>
          <w:highlight w:val="none"/>
        </w:rPr>
        <w:t>表</w:t>
      </w:r>
      <w:r>
        <w:rPr>
          <w:rFonts w:hint="eastAsia"/>
          <w:b/>
          <w:color w:val="auto"/>
          <w:highlight w:val="none"/>
        </w:rPr>
        <w:t>12.</w:t>
      </w:r>
      <w:r>
        <w:rPr>
          <w:b/>
          <w:color w:val="auto"/>
          <w:highlight w:val="none"/>
        </w:rPr>
        <w:t>3.2</w:t>
      </w:r>
      <w:r>
        <w:rPr>
          <w:rFonts w:hint="eastAsia"/>
          <w:b/>
          <w:color w:val="auto"/>
          <w:highlight w:val="none"/>
        </w:rPr>
        <w:t>　</w:t>
      </w:r>
      <w:r>
        <w:rPr>
          <w:b/>
          <w:color w:val="auto"/>
          <w:highlight w:val="none"/>
        </w:rPr>
        <w:t>初步</w:t>
      </w:r>
      <w:r>
        <w:rPr>
          <w:rFonts w:hint="eastAsia"/>
          <w:b/>
          <w:color w:val="auto"/>
          <w:highlight w:val="none"/>
        </w:rPr>
        <w:t>勘察</w:t>
      </w:r>
      <w:r>
        <w:rPr>
          <w:b/>
          <w:color w:val="auto"/>
          <w:highlight w:val="none"/>
        </w:rPr>
        <w:t>库区勘探线、勘探点的间距（m）</w:t>
      </w:r>
    </w:p>
    <w:tbl>
      <w:tblPr>
        <w:tblStyle w:val="22"/>
        <w:tblW w:w="829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926"/>
        <w:gridCol w:w="2683"/>
        <w:gridCol w:w="268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26" w:type="dxa"/>
            <w:shd w:val="clear" w:color="auto" w:fill="auto"/>
            <w:vAlign w:val="center"/>
          </w:tcPr>
          <w:p>
            <w:pPr>
              <w:spacing w:line="0" w:lineRule="atLeast"/>
              <w:jc w:val="left"/>
              <w:rPr>
                <w:b/>
                <w:bCs/>
                <w:color w:val="auto"/>
                <w:kern w:val="0"/>
                <w:sz w:val="20"/>
                <w:szCs w:val="20"/>
                <w:highlight w:val="none"/>
              </w:rPr>
            </w:pPr>
            <w:r>
              <w:rPr>
                <w:rFonts w:hint="eastAsia"/>
                <w:color w:val="auto"/>
                <w:kern w:val="0"/>
                <w:sz w:val="20"/>
                <w:szCs w:val="20"/>
                <w:highlight w:val="none"/>
              </w:rPr>
              <w:t>场</w:t>
            </w:r>
            <w:r>
              <w:rPr>
                <w:color w:val="auto"/>
                <w:sz w:val="20"/>
                <w:szCs w:val="20"/>
                <w:highlight w:val="none"/>
              </w:rPr>
              <w:t>地</w:t>
            </w:r>
            <w:r>
              <w:rPr>
                <w:rFonts w:hint="eastAsia"/>
                <w:color w:val="auto"/>
                <w:sz w:val="20"/>
                <w:szCs w:val="20"/>
                <w:highlight w:val="none"/>
              </w:rPr>
              <w:t>和岩土条件</w:t>
            </w:r>
            <w:r>
              <w:rPr>
                <w:color w:val="auto"/>
                <w:sz w:val="20"/>
                <w:szCs w:val="20"/>
                <w:highlight w:val="none"/>
              </w:rPr>
              <w:t>复杂程度等级</w:t>
            </w:r>
          </w:p>
        </w:tc>
        <w:tc>
          <w:tcPr>
            <w:tcW w:w="2683" w:type="dxa"/>
            <w:shd w:val="clear" w:color="auto" w:fill="auto"/>
            <w:vAlign w:val="center"/>
          </w:tcPr>
          <w:p>
            <w:pPr>
              <w:autoSpaceDE w:val="0"/>
              <w:autoSpaceDN w:val="0"/>
              <w:adjustRightInd w:val="0"/>
              <w:spacing w:line="0" w:lineRule="atLeast"/>
              <w:jc w:val="center"/>
              <w:rPr>
                <w:color w:val="auto"/>
                <w:kern w:val="0"/>
                <w:sz w:val="20"/>
                <w:szCs w:val="20"/>
                <w:highlight w:val="none"/>
              </w:rPr>
            </w:pPr>
            <w:r>
              <w:rPr>
                <w:color w:val="auto"/>
                <w:kern w:val="0"/>
                <w:sz w:val="20"/>
                <w:szCs w:val="20"/>
                <w:highlight w:val="none"/>
              </w:rPr>
              <w:t>勘探线间距</w:t>
            </w:r>
          </w:p>
        </w:tc>
        <w:tc>
          <w:tcPr>
            <w:tcW w:w="2685" w:type="dxa"/>
            <w:shd w:val="clear" w:color="auto" w:fill="auto"/>
            <w:vAlign w:val="center"/>
          </w:tcPr>
          <w:p>
            <w:pPr>
              <w:autoSpaceDE w:val="0"/>
              <w:autoSpaceDN w:val="0"/>
              <w:adjustRightInd w:val="0"/>
              <w:spacing w:line="0" w:lineRule="atLeast"/>
              <w:jc w:val="center"/>
              <w:rPr>
                <w:color w:val="auto"/>
                <w:kern w:val="0"/>
                <w:sz w:val="20"/>
                <w:szCs w:val="20"/>
                <w:highlight w:val="none"/>
              </w:rPr>
            </w:pPr>
            <w:r>
              <w:rPr>
                <w:color w:val="auto"/>
                <w:kern w:val="0"/>
                <w:sz w:val="20"/>
                <w:szCs w:val="20"/>
                <w:highlight w:val="none"/>
              </w:rPr>
              <w:t>勘探点间距</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26" w:type="dxa"/>
            <w:shd w:val="clear" w:color="auto" w:fill="auto"/>
            <w:vAlign w:val="center"/>
          </w:tcPr>
          <w:p>
            <w:pPr>
              <w:autoSpaceDE w:val="0"/>
              <w:autoSpaceDN w:val="0"/>
              <w:adjustRightInd w:val="0"/>
              <w:spacing w:line="0" w:lineRule="atLeast"/>
              <w:jc w:val="center"/>
              <w:rPr>
                <w:b/>
                <w:bCs/>
                <w:color w:val="auto"/>
                <w:kern w:val="0"/>
                <w:sz w:val="20"/>
                <w:szCs w:val="20"/>
                <w:highlight w:val="none"/>
              </w:rPr>
            </w:pPr>
            <w:r>
              <w:rPr>
                <w:color w:val="auto"/>
                <w:kern w:val="0"/>
                <w:sz w:val="20"/>
                <w:szCs w:val="20"/>
                <w:highlight w:val="none"/>
              </w:rPr>
              <w:t>一级</w:t>
            </w:r>
          </w:p>
        </w:tc>
        <w:tc>
          <w:tcPr>
            <w:tcW w:w="2683" w:type="dxa"/>
            <w:shd w:val="clear" w:color="auto" w:fill="auto"/>
            <w:vAlign w:val="center"/>
          </w:tcPr>
          <w:p>
            <w:pPr>
              <w:autoSpaceDE w:val="0"/>
              <w:autoSpaceDN w:val="0"/>
              <w:adjustRightInd w:val="0"/>
              <w:spacing w:line="0" w:lineRule="atLeast"/>
              <w:jc w:val="center"/>
              <w:rPr>
                <w:color w:val="auto"/>
                <w:kern w:val="0"/>
                <w:sz w:val="20"/>
                <w:szCs w:val="20"/>
                <w:highlight w:val="none"/>
              </w:rPr>
            </w:pPr>
            <w:r>
              <w:rPr>
                <w:color w:val="auto"/>
                <w:kern w:val="0"/>
                <w:sz w:val="20"/>
                <w:szCs w:val="20"/>
                <w:highlight w:val="none"/>
              </w:rPr>
              <w:t>50～70</w:t>
            </w:r>
          </w:p>
        </w:tc>
        <w:tc>
          <w:tcPr>
            <w:tcW w:w="2685" w:type="dxa"/>
            <w:shd w:val="clear" w:color="auto" w:fill="auto"/>
            <w:vAlign w:val="center"/>
          </w:tcPr>
          <w:p>
            <w:pPr>
              <w:autoSpaceDE w:val="0"/>
              <w:autoSpaceDN w:val="0"/>
              <w:adjustRightInd w:val="0"/>
              <w:spacing w:line="0" w:lineRule="atLeast"/>
              <w:jc w:val="center"/>
              <w:rPr>
                <w:color w:val="auto"/>
                <w:kern w:val="0"/>
                <w:sz w:val="20"/>
                <w:szCs w:val="20"/>
                <w:highlight w:val="none"/>
              </w:rPr>
            </w:pPr>
            <w:r>
              <w:rPr>
                <w:color w:val="auto"/>
                <w:kern w:val="0"/>
                <w:sz w:val="20"/>
                <w:szCs w:val="20"/>
                <w:highlight w:val="none"/>
              </w:rPr>
              <w:t>30～50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26" w:type="dxa"/>
            <w:shd w:val="clear" w:color="auto" w:fill="auto"/>
            <w:vAlign w:val="center"/>
          </w:tcPr>
          <w:p>
            <w:pPr>
              <w:autoSpaceDE w:val="0"/>
              <w:autoSpaceDN w:val="0"/>
              <w:adjustRightInd w:val="0"/>
              <w:spacing w:line="0" w:lineRule="atLeast"/>
              <w:jc w:val="center"/>
              <w:rPr>
                <w:b/>
                <w:bCs/>
                <w:color w:val="auto"/>
                <w:kern w:val="0"/>
                <w:sz w:val="20"/>
                <w:szCs w:val="20"/>
                <w:highlight w:val="none"/>
              </w:rPr>
            </w:pPr>
            <w:r>
              <w:rPr>
                <w:color w:val="auto"/>
                <w:kern w:val="0"/>
                <w:sz w:val="20"/>
                <w:szCs w:val="20"/>
                <w:highlight w:val="none"/>
              </w:rPr>
              <w:t>二级</w:t>
            </w:r>
          </w:p>
        </w:tc>
        <w:tc>
          <w:tcPr>
            <w:tcW w:w="2683" w:type="dxa"/>
            <w:shd w:val="clear" w:color="auto" w:fill="auto"/>
            <w:vAlign w:val="center"/>
          </w:tcPr>
          <w:p>
            <w:pPr>
              <w:autoSpaceDE w:val="0"/>
              <w:autoSpaceDN w:val="0"/>
              <w:adjustRightInd w:val="0"/>
              <w:spacing w:line="0" w:lineRule="atLeast"/>
              <w:jc w:val="center"/>
              <w:rPr>
                <w:color w:val="auto"/>
                <w:kern w:val="0"/>
                <w:sz w:val="20"/>
                <w:szCs w:val="20"/>
                <w:highlight w:val="none"/>
              </w:rPr>
            </w:pPr>
            <w:r>
              <w:rPr>
                <w:color w:val="auto"/>
                <w:kern w:val="0"/>
                <w:sz w:val="20"/>
                <w:szCs w:val="20"/>
                <w:highlight w:val="none"/>
              </w:rPr>
              <w:t>70～150</w:t>
            </w:r>
          </w:p>
        </w:tc>
        <w:tc>
          <w:tcPr>
            <w:tcW w:w="2685" w:type="dxa"/>
            <w:shd w:val="clear" w:color="auto" w:fill="auto"/>
            <w:vAlign w:val="center"/>
          </w:tcPr>
          <w:p>
            <w:pPr>
              <w:autoSpaceDE w:val="0"/>
              <w:autoSpaceDN w:val="0"/>
              <w:adjustRightInd w:val="0"/>
              <w:spacing w:line="0" w:lineRule="atLeast"/>
              <w:jc w:val="center"/>
              <w:rPr>
                <w:color w:val="auto"/>
                <w:kern w:val="0"/>
                <w:sz w:val="20"/>
                <w:szCs w:val="20"/>
                <w:highlight w:val="none"/>
              </w:rPr>
            </w:pPr>
            <w:r>
              <w:rPr>
                <w:color w:val="auto"/>
                <w:kern w:val="0"/>
                <w:sz w:val="20"/>
                <w:szCs w:val="20"/>
                <w:highlight w:val="none"/>
              </w:rPr>
              <w:t>50～100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26" w:type="dxa"/>
            <w:shd w:val="clear" w:color="auto" w:fill="auto"/>
            <w:vAlign w:val="center"/>
          </w:tcPr>
          <w:p>
            <w:pPr>
              <w:autoSpaceDE w:val="0"/>
              <w:autoSpaceDN w:val="0"/>
              <w:adjustRightInd w:val="0"/>
              <w:spacing w:line="0" w:lineRule="atLeast"/>
              <w:jc w:val="center"/>
              <w:rPr>
                <w:b/>
                <w:bCs/>
                <w:color w:val="auto"/>
                <w:kern w:val="0"/>
                <w:sz w:val="20"/>
                <w:szCs w:val="20"/>
                <w:highlight w:val="none"/>
              </w:rPr>
            </w:pPr>
            <w:r>
              <w:rPr>
                <w:color w:val="auto"/>
                <w:kern w:val="0"/>
                <w:sz w:val="20"/>
                <w:szCs w:val="20"/>
                <w:highlight w:val="none"/>
              </w:rPr>
              <w:t>三级</w:t>
            </w:r>
          </w:p>
        </w:tc>
        <w:tc>
          <w:tcPr>
            <w:tcW w:w="2683" w:type="dxa"/>
            <w:shd w:val="clear" w:color="auto" w:fill="auto"/>
            <w:vAlign w:val="center"/>
          </w:tcPr>
          <w:p>
            <w:pPr>
              <w:autoSpaceDE w:val="0"/>
              <w:autoSpaceDN w:val="0"/>
              <w:adjustRightInd w:val="0"/>
              <w:spacing w:line="0" w:lineRule="atLeast"/>
              <w:jc w:val="center"/>
              <w:rPr>
                <w:color w:val="auto"/>
                <w:kern w:val="0"/>
                <w:sz w:val="20"/>
                <w:szCs w:val="20"/>
                <w:highlight w:val="none"/>
              </w:rPr>
            </w:pPr>
            <w:r>
              <w:rPr>
                <w:color w:val="auto"/>
                <w:kern w:val="0"/>
                <w:sz w:val="20"/>
                <w:szCs w:val="20"/>
                <w:highlight w:val="none"/>
              </w:rPr>
              <w:t>150～300</w:t>
            </w:r>
          </w:p>
        </w:tc>
        <w:tc>
          <w:tcPr>
            <w:tcW w:w="2685" w:type="dxa"/>
            <w:shd w:val="clear" w:color="auto" w:fill="auto"/>
            <w:vAlign w:val="center"/>
          </w:tcPr>
          <w:p>
            <w:pPr>
              <w:autoSpaceDE w:val="0"/>
              <w:autoSpaceDN w:val="0"/>
              <w:adjustRightInd w:val="0"/>
              <w:spacing w:line="0" w:lineRule="atLeast"/>
              <w:jc w:val="center"/>
              <w:rPr>
                <w:color w:val="auto"/>
                <w:kern w:val="0"/>
                <w:sz w:val="20"/>
                <w:szCs w:val="20"/>
                <w:highlight w:val="none"/>
              </w:rPr>
            </w:pPr>
            <w:r>
              <w:rPr>
                <w:color w:val="auto"/>
                <w:kern w:val="0"/>
                <w:sz w:val="20"/>
                <w:szCs w:val="20"/>
                <w:highlight w:val="none"/>
              </w:rPr>
              <w:t>100～200</w:t>
            </w:r>
          </w:p>
        </w:tc>
      </w:tr>
    </w:tbl>
    <w:p>
      <w:pPr>
        <w:spacing w:line="360" w:lineRule="auto"/>
        <w:ind w:firstLine="422" w:firstLineChars="200"/>
        <w:rPr>
          <w:color w:val="auto"/>
          <w:highlight w:val="none"/>
        </w:rPr>
      </w:pPr>
      <w:r>
        <w:rPr>
          <w:rFonts w:hint="eastAsia"/>
          <w:b/>
          <w:bCs/>
          <w:color w:val="auto"/>
          <w:highlight w:val="none"/>
        </w:rPr>
        <w:t>2</w:t>
      </w:r>
      <w:r>
        <w:rPr>
          <w:rFonts w:hint="eastAsia"/>
          <w:color w:val="auto"/>
          <w:highlight w:val="none"/>
        </w:rPr>
        <w:t>　</w:t>
      </w:r>
      <w:r>
        <w:rPr>
          <w:color w:val="auto"/>
          <w:highlight w:val="none"/>
        </w:rPr>
        <w:t>坝址区</w:t>
      </w:r>
      <w:r>
        <w:rPr>
          <w:rFonts w:hint="eastAsia"/>
          <w:color w:val="auto"/>
          <w:highlight w:val="none"/>
        </w:rPr>
        <w:t>：</w:t>
      </w:r>
      <w:r>
        <w:rPr>
          <w:color w:val="auto"/>
          <w:highlight w:val="none"/>
        </w:rPr>
        <w:t>应至少</w:t>
      </w:r>
      <w:r>
        <w:rPr>
          <w:rFonts w:hint="eastAsia"/>
          <w:color w:val="auto"/>
          <w:highlight w:val="none"/>
        </w:rPr>
        <w:t>沿轴线</w:t>
      </w:r>
      <w:r>
        <w:rPr>
          <w:color w:val="auto"/>
          <w:highlight w:val="none"/>
        </w:rPr>
        <w:t>布置一条代表性的勘探</w:t>
      </w:r>
      <w:r>
        <w:rPr>
          <w:rFonts w:hint="eastAsia"/>
          <w:color w:val="auto"/>
          <w:highlight w:val="none"/>
        </w:rPr>
        <w:t>线</w:t>
      </w:r>
      <w:r>
        <w:rPr>
          <w:color w:val="auto"/>
          <w:highlight w:val="none"/>
        </w:rPr>
        <w:t>，坝肩及坝基部位应布置勘探点</w:t>
      </w:r>
      <w:r>
        <w:rPr>
          <w:rFonts w:hint="eastAsia"/>
          <w:color w:val="auto"/>
          <w:highlight w:val="none"/>
        </w:rPr>
        <w:t>，</w:t>
      </w:r>
      <w:r>
        <w:rPr>
          <w:color w:val="auto"/>
          <w:highlight w:val="none"/>
        </w:rPr>
        <w:t>勘探点的间距</w:t>
      </w:r>
      <w:r>
        <w:rPr>
          <w:rFonts w:hint="eastAsia"/>
          <w:color w:val="auto"/>
          <w:highlight w:val="none"/>
        </w:rPr>
        <w:t>宜为</w:t>
      </w:r>
      <w:r>
        <w:rPr>
          <w:color w:val="auto"/>
          <w:highlight w:val="none"/>
        </w:rPr>
        <w:t>50</w:t>
      </w:r>
      <w:r>
        <w:rPr>
          <w:rFonts w:hint="eastAsia"/>
          <w:color w:val="auto"/>
          <w:highlight w:val="none"/>
        </w:rPr>
        <w:t>m</w:t>
      </w:r>
      <w:r>
        <w:rPr>
          <w:color w:val="auto"/>
          <w:highlight w:val="none"/>
        </w:rPr>
        <w:t>～100m</w:t>
      </w:r>
      <w:r>
        <w:rPr>
          <w:rFonts w:hint="eastAsia"/>
          <w:color w:val="auto"/>
          <w:highlight w:val="none"/>
        </w:rPr>
        <w:t>；</w:t>
      </w:r>
    </w:p>
    <w:p>
      <w:pPr>
        <w:spacing w:line="360" w:lineRule="auto"/>
        <w:ind w:firstLine="422" w:firstLineChars="200"/>
        <w:rPr>
          <w:color w:val="auto"/>
          <w:highlight w:val="none"/>
        </w:rPr>
      </w:pPr>
      <w:r>
        <w:rPr>
          <w:rFonts w:hint="eastAsia"/>
          <w:b/>
          <w:bCs/>
          <w:color w:val="auto"/>
          <w:highlight w:val="none"/>
        </w:rPr>
        <w:t>3</w:t>
      </w:r>
      <w:r>
        <w:rPr>
          <w:rFonts w:hint="eastAsia"/>
          <w:color w:val="auto"/>
          <w:highlight w:val="none"/>
        </w:rPr>
        <w:t>　填埋场</w:t>
      </w:r>
      <w:r>
        <w:rPr>
          <w:color w:val="auto"/>
          <w:highlight w:val="none"/>
        </w:rPr>
        <w:t>改扩建项目现有垃圾堆体</w:t>
      </w:r>
      <w:r>
        <w:rPr>
          <w:rFonts w:hint="eastAsia"/>
          <w:color w:val="auto"/>
          <w:highlight w:val="none"/>
        </w:rPr>
        <w:t>：可根据堆体的分布范围按照1</w:t>
      </w:r>
      <w:r>
        <w:rPr>
          <w:color w:val="auto"/>
          <w:highlight w:val="none"/>
        </w:rPr>
        <w:t>00</w:t>
      </w:r>
      <w:r>
        <w:rPr>
          <w:rFonts w:hint="eastAsia"/>
          <w:color w:val="auto"/>
          <w:highlight w:val="none"/>
        </w:rPr>
        <w:t>m～</w:t>
      </w:r>
      <w:r>
        <w:rPr>
          <w:color w:val="auto"/>
          <w:highlight w:val="none"/>
        </w:rPr>
        <w:t>200</w:t>
      </w:r>
      <w:r>
        <w:rPr>
          <w:rFonts w:hint="eastAsia"/>
          <w:color w:val="auto"/>
          <w:highlight w:val="none"/>
        </w:rPr>
        <w:t>m的间距布置勘探孔；</w:t>
      </w:r>
    </w:p>
    <w:p>
      <w:pPr>
        <w:spacing w:line="360" w:lineRule="auto"/>
        <w:rPr>
          <w:color w:val="auto"/>
          <w:kern w:val="0"/>
          <w:highlight w:val="none"/>
        </w:rPr>
      </w:pPr>
      <w:r>
        <w:rPr>
          <w:rFonts w:hint="eastAsia"/>
          <w:b/>
          <w:bCs/>
          <w:color w:val="auto"/>
          <w:kern w:val="0"/>
          <w:highlight w:val="none"/>
        </w:rPr>
        <w:t>12.</w:t>
      </w:r>
      <w:r>
        <w:rPr>
          <w:b/>
          <w:bCs/>
          <w:color w:val="auto"/>
          <w:kern w:val="0"/>
          <w:highlight w:val="none"/>
        </w:rPr>
        <w:t>3.3</w:t>
      </w:r>
      <w:r>
        <w:rPr>
          <w:rFonts w:hint="eastAsia"/>
          <w:color w:val="auto"/>
          <w:kern w:val="0"/>
          <w:highlight w:val="none"/>
        </w:rPr>
        <w:t>　</w:t>
      </w:r>
      <w:r>
        <w:rPr>
          <w:color w:val="auto"/>
          <w:kern w:val="0"/>
          <w:highlight w:val="none"/>
        </w:rPr>
        <w:t>初步勘察勘探孔孔深应符合下列规定：</w:t>
      </w:r>
    </w:p>
    <w:p>
      <w:pPr>
        <w:spacing w:line="360" w:lineRule="auto"/>
        <w:ind w:firstLine="422" w:firstLineChars="200"/>
        <w:rPr>
          <w:rFonts w:hint="eastAsia" w:eastAsia="宋体"/>
          <w:color w:val="auto"/>
          <w:highlight w:val="none"/>
          <w:lang w:eastAsia="zh-CN"/>
        </w:rPr>
      </w:pPr>
      <w:r>
        <w:rPr>
          <w:b/>
          <w:bCs/>
          <w:color w:val="auto"/>
          <w:highlight w:val="none"/>
        </w:rPr>
        <w:t>1</w:t>
      </w:r>
      <w:r>
        <w:rPr>
          <w:rFonts w:hint="eastAsia"/>
          <w:color w:val="auto"/>
          <w:highlight w:val="none"/>
        </w:rPr>
        <w:t>　</w:t>
      </w:r>
      <w:r>
        <w:rPr>
          <w:color w:val="auto"/>
          <w:highlight w:val="none"/>
        </w:rPr>
        <w:t>库区</w:t>
      </w:r>
      <w:r>
        <w:rPr>
          <w:rFonts w:hint="eastAsia"/>
          <w:color w:val="auto"/>
          <w:highlight w:val="none"/>
        </w:rPr>
        <w:t>：</w:t>
      </w:r>
      <w:r>
        <w:rPr>
          <w:color w:val="auto"/>
          <w:highlight w:val="none"/>
        </w:rPr>
        <w:t>勘探孔深度应满足</w:t>
      </w:r>
      <w:r>
        <w:rPr>
          <w:rFonts w:hint="eastAsia"/>
          <w:color w:val="auto"/>
          <w:highlight w:val="none"/>
        </w:rPr>
        <w:t>稳定性评价、渗透分析的</w:t>
      </w:r>
      <w:r>
        <w:rPr>
          <w:color w:val="auto"/>
          <w:highlight w:val="none"/>
        </w:rPr>
        <w:t>要求</w:t>
      </w:r>
      <w:r>
        <w:rPr>
          <w:rFonts w:hint="eastAsia"/>
          <w:color w:val="auto"/>
          <w:highlight w:val="none"/>
        </w:rPr>
        <w:t>。</w:t>
      </w:r>
      <w:r>
        <w:rPr>
          <w:color w:val="auto"/>
          <w:highlight w:val="none"/>
        </w:rPr>
        <w:t>控制性勘探孔深度</w:t>
      </w:r>
      <w:r>
        <w:rPr>
          <w:rFonts w:hint="eastAsia"/>
          <w:color w:val="auto"/>
          <w:highlight w:val="none"/>
          <w:lang w:eastAsia="zh-CN"/>
        </w:rPr>
        <w:t>不宜</w:t>
      </w:r>
      <w:r>
        <w:rPr>
          <w:color w:val="auto"/>
          <w:highlight w:val="none"/>
        </w:rPr>
        <w:t>小于50m</w:t>
      </w:r>
      <w:r>
        <w:rPr>
          <w:rFonts w:hint="eastAsia"/>
          <w:color w:val="auto"/>
          <w:highlight w:val="none"/>
        </w:rPr>
        <w:t>且进入相对隔水层不小于10m</w:t>
      </w:r>
      <w:r>
        <w:rPr>
          <w:color w:val="auto"/>
          <w:highlight w:val="none"/>
        </w:rPr>
        <w:t>，一般性勘探孔深度</w:t>
      </w:r>
      <w:r>
        <w:rPr>
          <w:rFonts w:hint="eastAsia"/>
          <w:color w:val="auto"/>
          <w:highlight w:val="none"/>
          <w:lang w:eastAsia="zh-CN"/>
        </w:rPr>
        <w:t>不宜</w:t>
      </w:r>
      <w:r>
        <w:rPr>
          <w:color w:val="auto"/>
          <w:highlight w:val="none"/>
        </w:rPr>
        <w:t>小于30m</w:t>
      </w:r>
      <w:r>
        <w:rPr>
          <w:rFonts w:hint="eastAsia"/>
          <w:color w:val="auto"/>
          <w:highlight w:val="none"/>
        </w:rPr>
        <w:t>且进入相对隔水层不小于7m</w:t>
      </w:r>
      <w:r>
        <w:rPr>
          <w:rFonts w:hint="eastAsia"/>
          <w:color w:val="auto"/>
          <w:highlight w:val="none"/>
          <w:lang w:eastAsia="zh-CN"/>
        </w:rPr>
        <w:t>；</w:t>
      </w:r>
    </w:p>
    <w:p>
      <w:pPr>
        <w:spacing w:line="360" w:lineRule="auto"/>
        <w:ind w:firstLine="422" w:firstLineChars="200"/>
        <w:rPr>
          <w:color w:val="auto"/>
          <w:highlight w:val="none"/>
        </w:rPr>
      </w:pPr>
      <w:r>
        <w:rPr>
          <w:b/>
          <w:bCs/>
          <w:color w:val="auto"/>
          <w:highlight w:val="none"/>
        </w:rPr>
        <w:t>2</w:t>
      </w:r>
      <w:r>
        <w:rPr>
          <w:rFonts w:hint="eastAsia"/>
          <w:color w:val="auto"/>
          <w:highlight w:val="none"/>
        </w:rPr>
        <w:t>　</w:t>
      </w:r>
      <w:r>
        <w:rPr>
          <w:color w:val="auto"/>
          <w:highlight w:val="none"/>
        </w:rPr>
        <w:t>坝址区</w:t>
      </w:r>
      <w:r>
        <w:rPr>
          <w:rFonts w:hint="eastAsia"/>
          <w:color w:val="auto"/>
          <w:highlight w:val="none"/>
        </w:rPr>
        <w:t>：</w:t>
      </w:r>
      <w:r>
        <w:rPr>
          <w:color w:val="auto"/>
          <w:highlight w:val="none"/>
        </w:rPr>
        <w:t>勘探孔深度应进入拟定</w:t>
      </w:r>
      <w:r>
        <w:rPr>
          <w:rFonts w:hint="eastAsia"/>
          <w:color w:val="auto"/>
          <w:highlight w:val="none"/>
        </w:rPr>
        <w:t>坝基</w:t>
      </w:r>
      <w:r>
        <w:rPr>
          <w:color w:val="auto"/>
          <w:highlight w:val="none"/>
        </w:rPr>
        <w:t>高程以下</w:t>
      </w:r>
      <w:r>
        <w:rPr>
          <w:rFonts w:hint="eastAsia"/>
          <w:color w:val="auto"/>
          <w:highlight w:val="none"/>
        </w:rPr>
        <w:t>不小于</w:t>
      </w:r>
      <w:r>
        <w:rPr>
          <w:color w:val="auto"/>
          <w:highlight w:val="none"/>
        </w:rPr>
        <w:t>1</w:t>
      </w:r>
      <w:r>
        <w:rPr>
          <w:rFonts w:hint="eastAsia"/>
          <w:color w:val="auto"/>
          <w:highlight w:val="none"/>
        </w:rPr>
        <w:t>.5</w:t>
      </w:r>
      <w:r>
        <w:rPr>
          <w:color w:val="auto"/>
          <w:highlight w:val="none"/>
        </w:rPr>
        <w:t>倍坝高的深度，</w:t>
      </w:r>
      <w:r>
        <w:rPr>
          <w:rFonts w:hint="eastAsia"/>
          <w:color w:val="auto"/>
          <w:highlight w:val="none"/>
        </w:rPr>
        <w:t>且</w:t>
      </w:r>
      <w:r>
        <w:rPr>
          <w:color w:val="auto"/>
          <w:highlight w:val="none"/>
        </w:rPr>
        <w:t>进入相对隔水</w:t>
      </w:r>
      <w:r>
        <w:rPr>
          <w:rFonts w:hint="eastAsia"/>
          <w:color w:val="auto"/>
          <w:highlight w:val="none"/>
        </w:rPr>
        <w:t>持力层</w:t>
      </w:r>
      <w:r>
        <w:rPr>
          <w:color w:val="auto"/>
          <w:highlight w:val="none"/>
        </w:rPr>
        <w:t>不小于10m；</w:t>
      </w:r>
    </w:p>
    <w:p>
      <w:pPr>
        <w:spacing w:line="360" w:lineRule="auto"/>
        <w:ind w:firstLine="422" w:firstLineChars="200"/>
        <w:rPr>
          <w:color w:val="auto"/>
          <w:highlight w:val="none"/>
        </w:rPr>
      </w:pPr>
      <w:r>
        <w:rPr>
          <w:b/>
          <w:bCs/>
          <w:color w:val="auto"/>
          <w:highlight w:val="none"/>
        </w:rPr>
        <w:t>3</w:t>
      </w:r>
      <w:r>
        <w:rPr>
          <w:rFonts w:hint="eastAsia"/>
          <w:b/>
          <w:bCs/>
          <w:color w:val="auto"/>
          <w:highlight w:val="none"/>
        </w:rPr>
        <w:t>　</w:t>
      </w:r>
      <w:r>
        <w:rPr>
          <w:color w:val="auto"/>
          <w:highlight w:val="none"/>
        </w:rPr>
        <w:t>改扩建项目现有垃圾堆体</w:t>
      </w:r>
      <w:r>
        <w:rPr>
          <w:rFonts w:hint="eastAsia"/>
          <w:color w:val="auto"/>
          <w:highlight w:val="none"/>
        </w:rPr>
        <w:t>：</w:t>
      </w:r>
      <w:r>
        <w:rPr>
          <w:color w:val="auto"/>
          <w:highlight w:val="none"/>
        </w:rPr>
        <w:t>勘探孔深度应满足稳定性、变形计算</w:t>
      </w:r>
      <w:r>
        <w:rPr>
          <w:rFonts w:hint="eastAsia"/>
          <w:color w:val="auto"/>
          <w:highlight w:val="none"/>
        </w:rPr>
        <w:t>和污染物检测</w:t>
      </w:r>
      <w:r>
        <w:rPr>
          <w:color w:val="auto"/>
          <w:highlight w:val="none"/>
        </w:rPr>
        <w:t>的要求。对于无衬垫系统的填埋场，勘探孔的深度应穿透堆填体</w:t>
      </w:r>
      <w:r>
        <w:rPr>
          <w:rFonts w:hint="eastAsia"/>
          <w:color w:val="auto"/>
          <w:highlight w:val="none"/>
        </w:rPr>
        <w:t>，进入下卧地层</w:t>
      </w:r>
      <w:r>
        <w:rPr>
          <w:rFonts w:hint="eastAsia"/>
          <w:color w:val="auto"/>
          <w:highlight w:val="none"/>
          <w:lang w:eastAsia="zh-CN"/>
        </w:rPr>
        <w:t>不宜</w:t>
      </w:r>
      <w:r>
        <w:rPr>
          <w:rFonts w:hint="eastAsia"/>
          <w:color w:val="auto"/>
          <w:highlight w:val="none"/>
        </w:rPr>
        <w:t>超过1m。</w:t>
      </w:r>
      <w:r>
        <w:rPr>
          <w:color w:val="auto"/>
          <w:highlight w:val="none"/>
        </w:rPr>
        <w:t>对于有衬垫系统的填埋场，勘探孔的深度最深处距离衬垫系统顶部不应小于5m</w:t>
      </w:r>
      <w:r>
        <w:rPr>
          <w:rFonts w:hint="eastAsia"/>
          <w:color w:val="auto"/>
          <w:highlight w:val="none"/>
        </w:rPr>
        <w:t>；</w:t>
      </w:r>
      <w:r>
        <w:rPr>
          <w:color w:val="auto"/>
          <w:highlight w:val="none"/>
        </w:rPr>
        <w:t>当原有资料不能满足分析评价要求而</w:t>
      </w:r>
      <w:r>
        <w:rPr>
          <w:rFonts w:hint="eastAsia"/>
          <w:color w:val="auto"/>
          <w:highlight w:val="none"/>
        </w:rPr>
        <w:t>勘探孔</w:t>
      </w:r>
      <w:r>
        <w:rPr>
          <w:color w:val="auto"/>
          <w:highlight w:val="none"/>
        </w:rPr>
        <w:t>必须穿透场底衬垫系统时，应有有效的封孔、防渗、防污染措施。</w:t>
      </w:r>
    </w:p>
    <w:p>
      <w:pPr>
        <w:spacing w:line="360" w:lineRule="auto"/>
        <w:rPr>
          <w:color w:val="auto"/>
          <w:kern w:val="0"/>
          <w:highlight w:val="none"/>
        </w:rPr>
      </w:pPr>
      <w:r>
        <w:rPr>
          <w:rFonts w:hint="eastAsia"/>
          <w:b/>
          <w:bCs/>
          <w:color w:val="auto"/>
          <w:kern w:val="0"/>
          <w:highlight w:val="none"/>
        </w:rPr>
        <w:t>12.</w:t>
      </w:r>
      <w:r>
        <w:rPr>
          <w:b/>
          <w:bCs/>
          <w:color w:val="auto"/>
          <w:kern w:val="0"/>
          <w:highlight w:val="none"/>
        </w:rPr>
        <w:t>3.4</w:t>
      </w:r>
      <w:r>
        <w:rPr>
          <w:rFonts w:hint="eastAsia"/>
          <w:color w:val="auto"/>
          <w:kern w:val="0"/>
          <w:highlight w:val="none"/>
        </w:rPr>
        <w:t>　</w:t>
      </w:r>
      <w:r>
        <w:rPr>
          <w:rFonts w:hint="eastAsia"/>
          <w:color w:val="auto"/>
          <w:highlight w:val="none"/>
        </w:rPr>
        <w:t>初步勘察应评价</w:t>
      </w:r>
      <w:r>
        <w:rPr>
          <w:color w:val="auto"/>
          <w:kern w:val="0"/>
          <w:highlight w:val="none"/>
        </w:rPr>
        <w:t>场地的稳定性和</w:t>
      </w:r>
      <w:r>
        <w:rPr>
          <w:rFonts w:hint="eastAsia"/>
          <w:color w:val="auto"/>
          <w:kern w:val="0"/>
          <w:highlight w:val="none"/>
        </w:rPr>
        <w:t>工程建设的</w:t>
      </w:r>
      <w:r>
        <w:rPr>
          <w:color w:val="auto"/>
          <w:kern w:val="0"/>
          <w:highlight w:val="none"/>
        </w:rPr>
        <w:t>适宜性</w:t>
      </w:r>
      <w:r>
        <w:rPr>
          <w:rFonts w:hint="eastAsia"/>
          <w:color w:val="auto"/>
          <w:highlight w:val="none"/>
        </w:rPr>
        <w:t>，并初步</w:t>
      </w:r>
      <w:r>
        <w:rPr>
          <w:color w:val="auto"/>
          <w:highlight w:val="none"/>
        </w:rPr>
        <w:t>分析评价下列内容：</w:t>
      </w:r>
    </w:p>
    <w:p>
      <w:pPr>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评价场地与地基的地震效应；</w:t>
      </w:r>
    </w:p>
    <w:p>
      <w:pPr>
        <w:spacing w:line="360" w:lineRule="auto"/>
        <w:ind w:firstLine="422" w:firstLineChars="200"/>
        <w:rPr>
          <w:color w:val="auto"/>
          <w:highlight w:val="none"/>
        </w:rPr>
      </w:pPr>
      <w:r>
        <w:rPr>
          <w:rFonts w:hint="eastAsia"/>
          <w:b/>
          <w:bCs/>
          <w:color w:val="auto"/>
          <w:highlight w:val="none"/>
        </w:rPr>
        <w:t>2</w:t>
      </w:r>
      <w:r>
        <w:rPr>
          <w:rFonts w:hint="eastAsia"/>
          <w:color w:val="auto"/>
          <w:highlight w:val="none"/>
        </w:rPr>
        <w:t>　</w:t>
      </w:r>
      <w:r>
        <w:rPr>
          <w:rFonts w:hint="eastAsia"/>
          <w:color w:val="auto"/>
          <w:szCs w:val="21"/>
          <w:highlight w:val="none"/>
        </w:rPr>
        <w:t>评价</w:t>
      </w:r>
      <w:r>
        <w:rPr>
          <w:rFonts w:hint="eastAsia"/>
          <w:color w:val="auto"/>
          <w:highlight w:val="none"/>
        </w:rPr>
        <w:t>固体废弃物处置场建设对场地及周边</w:t>
      </w:r>
      <w:r>
        <w:rPr>
          <w:color w:val="auto"/>
          <w:highlight w:val="none"/>
        </w:rPr>
        <w:t>地下水</w:t>
      </w:r>
      <w:r>
        <w:rPr>
          <w:rFonts w:hint="eastAsia"/>
          <w:color w:val="auto"/>
          <w:highlight w:val="none"/>
        </w:rPr>
        <w:t>产生污染的风险，提出预防措施建议</w:t>
      </w:r>
      <w:r>
        <w:rPr>
          <w:color w:val="auto"/>
          <w:highlight w:val="none"/>
        </w:rPr>
        <w:t>。</w:t>
      </w:r>
    </w:p>
    <w:p>
      <w:pPr>
        <w:autoSpaceDE w:val="0"/>
        <w:spacing w:line="360" w:lineRule="auto"/>
        <w:jc w:val="center"/>
        <w:rPr>
          <w:b/>
          <w:bCs/>
          <w:color w:val="auto"/>
          <w:kern w:val="0"/>
          <w:highlight w:val="none"/>
        </w:rPr>
      </w:pPr>
      <w:r>
        <w:rPr>
          <w:rFonts w:hint="eastAsia"/>
          <w:b/>
          <w:bCs/>
          <w:color w:val="auto"/>
          <w:kern w:val="0"/>
          <w:highlight w:val="none"/>
        </w:rPr>
        <w:t>（</w:t>
      </w:r>
      <w:r>
        <w:rPr>
          <w:rFonts w:hint="eastAsia" w:ascii="微软雅黑" w:hAnsi="微软雅黑" w:eastAsia="微软雅黑" w:cs="微软雅黑"/>
          <w:b/>
          <w:bCs/>
          <w:color w:val="auto"/>
          <w:kern w:val="0"/>
          <w:highlight w:val="none"/>
        </w:rPr>
        <w:t>Ⅱ</w:t>
      </w:r>
      <w:r>
        <w:rPr>
          <w:rFonts w:hint="eastAsia"/>
          <w:b/>
          <w:bCs/>
          <w:color w:val="auto"/>
          <w:kern w:val="0"/>
          <w:highlight w:val="none"/>
        </w:rPr>
        <w:t>）垃圾焚烧厂</w:t>
      </w:r>
    </w:p>
    <w:p>
      <w:pPr>
        <w:autoSpaceDE w:val="0"/>
        <w:autoSpaceDN w:val="0"/>
        <w:adjustRightInd w:val="0"/>
        <w:spacing w:line="360" w:lineRule="auto"/>
        <w:jc w:val="left"/>
        <w:rPr>
          <w:color w:val="auto"/>
          <w:kern w:val="0"/>
          <w:highlight w:val="none"/>
        </w:rPr>
      </w:pPr>
      <w:r>
        <w:rPr>
          <w:rFonts w:hint="eastAsia"/>
          <w:b/>
          <w:bCs/>
          <w:color w:val="auto"/>
          <w:kern w:val="0"/>
          <w:highlight w:val="none"/>
        </w:rPr>
        <w:t>12.</w:t>
      </w:r>
      <w:r>
        <w:rPr>
          <w:b/>
          <w:bCs/>
          <w:color w:val="auto"/>
          <w:kern w:val="0"/>
          <w:highlight w:val="none"/>
        </w:rPr>
        <w:t>3.</w:t>
      </w:r>
      <w:r>
        <w:rPr>
          <w:rFonts w:hint="eastAsia"/>
          <w:b/>
          <w:bCs/>
          <w:color w:val="auto"/>
          <w:kern w:val="0"/>
          <w:highlight w:val="none"/>
        </w:rPr>
        <w:t>5</w:t>
      </w:r>
      <w:r>
        <w:rPr>
          <w:rFonts w:hint="eastAsia"/>
          <w:color w:val="auto"/>
          <w:highlight w:val="none"/>
        </w:rPr>
        <w:t>　</w:t>
      </w:r>
      <w:r>
        <w:rPr>
          <w:color w:val="auto"/>
          <w:kern w:val="0"/>
          <w:highlight w:val="none"/>
        </w:rPr>
        <w:t>初步勘察应</w:t>
      </w:r>
      <w:r>
        <w:rPr>
          <w:rFonts w:hint="eastAsia"/>
          <w:color w:val="auto"/>
          <w:kern w:val="0"/>
          <w:highlight w:val="none"/>
        </w:rPr>
        <w:t>初步</w:t>
      </w:r>
      <w:r>
        <w:rPr>
          <w:color w:val="auto"/>
          <w:kern w:val="0"/>
          <w:highlight w:val="none"/>
        </w:rPr>
        <w:t>查明以下内容：</w:t>
      </w:r>
    </w:p>
    <w:p>
      <w:pPr>
        <w:autoSpaceDE w:val="0"/>
        <w:autoSpaceDN w:val="0"/>
        <w:adjustRightInd w:val="0"/>
        <w:spacing w:line="360" w:lineRule="auto"/>
        <w:ind w:firstLine="422" w:firstLineChars="200"/>
        <w:jc w:val="left"/>
        <w:rPr>
          <w:rFonts w:hint="default" w:eastAsia="宋体"/>
          <w:b w:val="0"/>
          <w:bCs w:val="0"/>
          <w:color w:val="auto"/>
          <w:kern w:val="0"/>
          <w:highlight w:val="none"/>
          <w:lang w:val="en-US" w:eastAsia="zh-CN"/>
        </w:rPr>
      </w:pPr>
      <w:r>
        <w:rPr>
          <w:rFonts w:hint="eastAsia"/>
          <w:b/>
          <w:bCs/>
          <w:color w:val="auto"/>
          <w:kern w:val="0"/>
          <w:highlight w:val="none"/>
          <w:lang w:val="en-US" w:eastAsia="zh-CN"/>
        </w:rPr>
        <w:t>1</w:t>
      </w:r>
      <w:r>
        <w:rPr>
          <w:rFonts w:hint="eastAsia"/>
          <w:b w:val="0"/>
          <w:bCs w:val="0"/>
          <w:color w:val="auto"/>
          <w:kern w:val="0"/>
          <w:highlight w:val="none"/>
          <w:lang w:val="en-US" w:eastAsia="zh-CN"/>
        </w:rPr>
        <w:t xml:space="preserve">   场地的</w:t>
      </w:r>
      <w:r>
        <w:rPr>
          <w:color w:val="auto"/>
          <w:kern w:val="0"/>
          <w:highlight w:val="none"/>
        </w:rPr>
        <w:t>地貌类型、</w:t>
      </w:r>
      <w:r>
        <w:rPr>
          <w:rFonts w:hint="eastAsia"/>
          <w:color w:val="auto"/>
          <w:kern w:val="0"/>
          <w:highlight w:val="none"/>
        </w:rPr>
        <w:t>地形起伏变化情况</w:t>
      </w:r>
      <w:r>
        <w:rPr>
          <w:rFonts w:hint="eastAsia"/>
          <w:color w:val="auto"/>
          <w:highlight w:val="none"/>
          <w:lang w:val="en-US" w:eastAsia="zh-CN"/>
        </w:rPr>
        <w:t>、场地类别</w:t>
      </w:r>
      <w:r>
        <w:rPr>
          <w:color w:val="auto"/>
          <w:kern w:val="0"/>
          <w:highlight w:val="none"/>
        </w:rPr>
        <w:t>及</w:t>
      </w:r>
      <w:r>
        <w:rPr>
          <w:rFonts w:hint="eastAsia"/>
          <w:b w:val="0"/>
          <w:bCs w:val="0"/>
          <w:color w:val="auto"/>
          <w:kern w:val="0"/>
          <w:highlight w:val="none"/>
          <w:lang w:val="en-US" w:eastAsia="zh-CN"/>
        </w:rPr>
        <w:t>地震动参数；</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lang w:val="en-US" w:eastAsia="zh-CN"/>
        </w:rPr>
        <w:t>2</w:t>
      </w:r>
      <w:r>
        <w:rPr>
          <w:rFonts w:hint="eastAsia"/>
          <w:color w:val="auto"/>
          <w:kern w:val="0"/>
          <w:highlight w:val="none"/>
        </w:rPr>
        <w:t>　</w:t>
      </w:r>
      <w:r>
        <w:rPr>
          <w:color w:val="auto"/>
          <w:kern w:val="0"/>
          <w:highlight w:val="none"/>
        </w:rPr>
        <w:t>覆盖层的厚度、土质类型、分布范围、地层结构、密实度和物理力学性质；</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lang w:val="en-US" w:eastAsia="zh-CN"/>
        </w:rPr>
        <w:t>3</w:t>
      </w:r>
      <w:r>
        <w:rPr>
          <w:rFonts w:hint="eastAsia"/>
          <w:color w:val="auto"/>
          <w:kern w:val="0"/>
          <w:highlight w:val="none"/>
        </w:rPr>
        <w:t>　</w:t>
      </w:r>
      <w:r>
        <w:rPr>
          <w:color w:val="auto"/>
          <w:kern w:val="0"/>
          <w:highlight w:val="none"/>
        </w:rPr>
        <w:t>基岩的埋深、起伏状态、地层及岩性组合，岩石的风化程度、节理发育程度和物理力学性质；</w:t>
      </w:r>
    </w:p>
    <w:p>
      <w:pPr>
        <w:spacing w:line="360" w:lineRule="auto"/>
        <w:ind w:firstLine="422" w:firstLineChars="200"/>
        <w:rPr>
          <w:color w:val="auto"/>
          <w:highlight w:val="none"/>
        </w:rPr>
      </w:pPr>
      <w:r>
        <w:rPr>
          <w:rFonts w:hint="eastAsia"/>
          <w:b/>
          <w:bCs/>
          <w:color w:val="auto"/>
          <w:highlight w:val="none"/>
          <w:lang w:val="en-US" w:eastAsia="zh-CN"/>
        </w:rPr>
        <w:t>4</w:t>
      </w:r>
      <w:r>
        <w:rPr>
          <w:rFonts w:hint="eastAsia"/>
          <w:color w:val="auto"/>
          <w:highlight w:val="none"/>
        </w:rPr>
        <w:t>　</w:t>
      </w:r>
      <w:r>
        <w:rPr>
          <w:color w:val="auto"/>
          <w:highlight w:val="none"/>
        </w:rPr>
        <w:t>场地及周边的不良地质作用分布、规模和类型；</w:t>
      </w:r>
    </w:p>
    <w:p>
      <w:pPr>
        <w:spacing w:line="360" w:lineRule="auto"/>
        <w:ind w:firstLine="422" w:firstLineChars="200"/>
        <w:rPr>
          <w:color w:val="auto"/>
          <w:highlight w:val="none"/>
        </w:rPr>
      </w:pPr>
      <w:r>
        <w:rPr>
          <w:rFonts w:hint="eastAsia"/>
          <w:b/>
          <w:bCs/>
          <w:color w:val="auto"/>
          <w:highlight w:val="none"/>
          <w:lang w:val="en-US" w:eastAsia="zh-CN"/>
        </w:rPr>
        <w:t>5</w:t>
      </w:r>
      <w:r>
        <w:rPr>
          <w:rFonts w:hint="eastAsia"/>
          <w:color w:val="auto"/>
          <w:highlight w:val="none"/>
        </w:rPr>
        <w:t>　</w:t>
      </w:r>
      <w:r>
        <w:rPr>
          <w:color w:val="auto"/>
          <w:highlight w:val="none"/>
        </w:rPr>
        <w:t>特殊性岩土的分布、成因和工程地质特性</w:t>
      </w:r>
      <w:r>
        <w:rPr>
          <w:rFonts w:hint="eastAsia"/>
          <w:color w:val="auto"/>
          <w:highlight w:val="none"/>
        </w:rPr>
        <w:t>；</w:t>
      </w:r>
    </w:p>
    <w:p>
      <w:pPr>
        <w:spacing w:line="360" w:lineRule="auto"/>
        <w:ind w:firstLine="422" w:firstLineChars="200"/>
        <w:rPr>
          <w:color w:val="auto"/>
          <w:highlight w:val="none"/>
        </w:rPr>
      </w:pPr>
      <w:r>
        <w:rPr>
          <w:rFonts w:hint="eastAsia"/>
          <w:b/>
          <w:bCs/>
          <w:color w:val="auto"/>
          <w:highlight w:val="none"/>
          <w:lang w:val="en-US" w:eastAsia="zh-CN"/>
        </w:rPr>
        <w:t>6</w:t>
      </w:r>
      <w:r>
        <w:rPr>
          <w:rFonts w:hint="eastAsia"/>
          <w:color w:val="auto"/>
          <w:highlight w:val="none"/>
        </w:rPr>
        <w:t>　场地土和地下水对建筑材料的腐蚀性</w:t>
      </w:r>
      <w:r>
        <w:rPr>
          <w:color w:val="auto"/>
          <w:highlight w:val="none"/>
        </w:rPr>
        <w:t>。</w:t>
      </w:r>
    </w:p>
    <w:p>
      <w:pPr>
        <w:spacing w:line="360" w:lineRule="auto"/>
        <w:rPr>
          <w:color w:val="auto"/>
          <w:highlight w:val="none"/>
        </w:rPr>
      </w:pPr>
      <w:r>
        <w:rPr>
          <w:rFonts w:hint="eastAsia"/>
          <w:b/>
          <w:bCs/>
          <w:color w:val="auto"/>
          <w:kern w:val="0"/>
          <w:highlight w:val="none"/>
        </w:rPr>
        <w:t>12.</w:t>
      </w:r>
      <w:r>
        <w:rPr>
          <w:b/>
          <w:bCs/>
          <w:color w:val="auto"/>
          <w:kern w:val="0"/>
          <w:highlight w:val="none"/>
        </w:rPr>
        <w:t>3.</w:t>
      </w:r>
      <w:r>
        <w:rPr>
          <w:rFonts w:hint="eastAsia"/>
          <w:b/>
          <w:bCs/>
          <w:color w:val="auto"/>
          <w:kern w:val="0"/>
          <w:highlight w:val="none"/>
        </w:rPr>
        <w:t>6　</w:t>
      </w:r>
      <w:r>
        <w:rPr>
          <w:color w:val="auto"/>
          <w:kern w:val="0"/>
          <w:highlight w:val="none"/>
        </w:rPr>
        <w:t>初步</w:t>
      </w:r>
      <w:r>
        <w:rPr>
          <w:rFonts w:hint="eastAsia"/>
          <w:color w:val="auto"/>
          <w:kern w:val="0"/>
          <w:highlight w:val="none"/>
        </w:rPr>
        <w:t>勘察</w:t>
      </w:r>
      <w:r>
        <w:rPr>
          <w:color w:val="auto"/>
          <w:kern w:val="0"/>
          <w:highlight w:val="none"/>
        </w:rPr>
        <w:t>勘探点</w:t>
      </w:r>
      <w:r>
        <w:rPr>
          <w:rFonts w:hint="eastAsia"/>
          <w:color w:val="auto"/>
          <w:kern w:val="0"/>
          <w:highlight w:val="none"/>
        </w:rPr>
        <w:t>宜符合本规范8.3.2的规定</w:t>
      </w:r>
      <w:r>
        <w:rPr>
          <w:rFonts w:hint="eastAsia"/>
          <w:color w:val="auto"/>
          <w:highlight w:val="none"/>
        </w:rPr>
        <w:t>；各单体建（构）筑物应布置勘探点。</w:t>
      </w:r>
    </w:p>
    <w:p>
      <w:pPr>
        <w:spacing w:line="360" w:lineRule="auto"/>
        <w:rPr>
          <w:color w:val="auto"/>
          <w:highlight w:val="none"/>
        </w:rPr>
      </w:pPr>
      <w:r>
        <w:rPr>
          <w:rFonts w:hint="eastAsia"/>
          <w:b/>
          <w:bCs/>
          <w:color w:val="auto"/>
          <w:kern w:val="0"/>
          <w:highlight w:val="none"/>
        </w:rPr>
        <w:t>12.</w:t>
      </w:r>
      <w:r>
        <w:rPr>
          <w:b/>
          <w:bCs/>
          <w:color w:val="auto"/>
          <w:kern w:val="0"/>
          <w:highlight w:val="none"/>
        </w:rPr>
        <w:t>3.</w:t>
      </w:r>
      <w:r>
        <w:rPr>
          <w:rFonts w:hint="eastAsia"/>
          <w:b/>
          <w:bCs/>
          <w:color w:val="auto"/>
          <w:kern w:val="0"/>
          <w:highlight w:val="none"/>
        </w:rPr>
        <w:t>7　</w:t>
      </w:r>
      <w:r>
        <w:rPr>
          <w:color w:val="auto"/>
          <w:kern w:val="0"/>
          <w:highlight w:val="none"/>
        </w:rPr>
        <w:t>初步勘察</w:t>
      </w:r>
      <w:r>
        <w:rPr>
          <w:rFonts w:hint="eastAsia"/>
          <w:color w:val="auto"/>
          <w:highlight w:val="none"/>
        </w:rPr>
        <w:t>勘探孔深度</w:t>
      </w:r>
      <w:r>
        <w:rPr>
          <w:rFonts w:hint="eastAsia"/>
          <w:color w:val="auto"/>
          <w:kern w:val="0"/>
          <w:highlight w:val="none"/>
        </w:rPr>
        <w:t>宜符合本规范8.3.3的规定</w:t>
      </w:r>
      <w:r>
        <w:rPr>
          <w:rFonts w:hint="eastAsia"/>
          <w:color w:val="auto"/>
          <w:highlight w:val="none"/>
        </w:rPr>
        <w:t>。</w:t>
      </w:r>
    </w:p>
    <w:p>
      <w:pPr>
        <w:spacing w:line="360" w:lineRule="auto"/>
        <w:rPr>
          <w:color w:val="auto"/>
          <w:kern w:val="0"/>
          <w:highlight w:val="none"/>
        </w:rPr>
      </w:pPr>
      <w:r>
        <w:rPr>
          <w:rFonts w:hint="eastAsia"/>
          <w:b/>
          <w:bCs/>
          <w:color w:val="auto"/>
          <w:highlight w:val="none"/>
        </w:rPr>
        <w:t>12.3.8　</w:t>
      </w:r>
      <w:r>
        <w:rPr>
          <w:rFonts w:hint="eastAsia"/>
          <w:color w:val="auto"/>
          <w:highlight w:val="none"/>
        </w:rPr>
        <w:t>初步勘察应评价</w:t>
      </w:r>
      <w:r>
        <w:rPr>
          <w:color w:val="auto"/>
          <w:kern w:val="0"/>
          <w:highlight w:val="none"/>
        </w:rPr>
        <w:t>场地的稳定性和</w:t>
      </w:r>
      <w:r>
        <w:rPr>
          <w:rFonts w:hint="eastAsia"/>
          <w:color w:val="auto"/>
          <w:kern w:val="0"/>
          <w:highlight w:val="none"/>
        </w:rPr>
        <w:t>工程建设的</w:t>
      </w:r>
      <w:r>
        <w:rPr>
          <w:color w:val="auto"/>
          <w:kern w:val="0"/>
          <w:highlight w:val="none"/>
        </w:rPr>
        <w:t>适宜性</w:t>
      </w:r>
      <w:r>
        <w:rPr>
          <w:rFonts w:hint="eastAsia"/>
          <w:color w:val="auto"/>
          <w:highlight w:val="none"/>
        </w:rPr>
        <w:t>，并初步</w:t>
      </w:r>
      <w:r>
        <w:rPr>
          <w:color w:val="auto"/>
          <w:highlight w:val="none"/>
        </w:rPr>
        <w:t>分析评价下列内容：</w:t>
      </w:r>
    </w:p>
    <w:p>
      <w:pPr>
        <w:spacing w:line="360" w:lineRule="auto"/>
        <w:ind w:firstLine="422" w:firstLineChars="200"/>
        <w:rPr>
          <w:color w:val="auto"/>
          <w:highlight w:val="none"/>
        </w:rPr>
      </w:pPr>
      <w:r>
        <w:rPr>
          <w:rFonts w:hint="eastAsia"/>
          <w:b/>
          <w:bCs/>
          <w:color w:val="auto"/>
          <w:highlight w:val="none"/>
        </w:rPr>
        <w:t>1　</w:t>
      </w:r>
      <w:r>
        <w:rPr>
          <w:rFonts w:hint="eastAsia"/>
          <w:color w:val="auto"/>
          <w:highlight w:val="none"/>
        </w:rPr>
        <w:t>评价场地与地基的地震效应；</w:t>
      </w:r>
    </w:p>
    <w:p>
      <w:pPr>
        <w:spacing w:line="360" w:lineRule="auto"/>
        <w:ind w:firstLine="422" w:firstLineChars="200"/>
        <w:rPr>
          <w:color w:val="auto"/>
          <w:highlight w:val="none"/>
        </w:rPr>
      </w:pPr>
      <w:r>
        <w:rPr>
          <w:rFonts w:hint="eastAsia"/>
          <w:b/>
          <w:bCs/>
          <w:color w:val="auto"/>
          <w:highlight w:val="none"/>
        </w:rPr>
        <w:t>2　</w:t>
      </w:r>
      <w:r>
        <w:rPr>
          <w:rFonts w:hint="eastAsia"/>
          <w:color w:val="auto"/>
          <w:szCs w:val="21"/>
          <w:highlight w:val="none"/>
        </w:rPr>
        <w:t>评价</w:t>
      </w:r>
      <w:r>
        <w:rPr>
          <w:rFonts w:hint="eastAsia"/>
          <w:color w:val="auto"/>
          <w:highlight w:val="none"/>
        </w:rPr>
        <w:t>焚烧厂建设对场地及周边</w:t>
      </w:r>
      <w:r>
        <w:rPr>
          <w:color w:val="auto"/>
          <w:highlight w:val="none"/>
        </w:rPr>
        <w:t>地下水</w:t>
      </w:r>
      <w:r>
        <w:rPr>
          <w:rFonts w:hint="eastAsia"/>
          <w:color w:val="auto"/>
          <w:highlight w:val="none"/>
        </w:rPr>
        <w:t>产生污染的风险，提出预防措施建议</w:t>
      </w:r>
      <w:r>
        <w:rPr>
          <w:color w:val="auto"/>
          <w:highlight w:val="none"/>
        </w:rPr>
        <w:t>。</w:t>
      </w:r>
    </w:p>
    <w:p>
      <w:pPr>
        <w:pStyle w:val="3"/>
        <w:rPr>
          <w:rFonts w:ascii="Times New Roman" w:hAnsi="Times New Roman" w:eastAsia="宋体"/>
          <w:color w:val="auto"/>
          <w:highlight w:val="none"/>
        </w:rPr>
      </w:pPr>
      <w:bookmarkStart w:id="220" w:name="_Toc15159"/>
      <w:bookmarkStart w:id="221" w:name="_Toc9985"/>
      <w:bookmarkStart w:id="222" w:name="_Toc24189"/>
      <w:r>
        <w:rPr>
          <w:rFonts w:hint="eastAsia" w:ascii="Times New Roman" w:hAnsi="Times New Roman" w:eastAsia="宋体"/>
          <w:color w:val="auto"/>
          <w:highlight w:val="none"/>
        </w:rPr>
        <w:t>12.</w:t>
      </w:r>
      <w:r>
        <w:rPr>
          <w:rFonts w:ascii="Times New Roman" w:hAnsi="Times New Roman" w:eastAsia="宋体"/>
          <w:color w:val="auto"/>
          <w:highlight w:val="none"/>
        </w:rPr>
        <w:t>4</w:t>
      </w:r>
      <w:r>
        <w:rPr>
          <w:rFonts w:hint="eastAsia" w:ascii="Times New Roman" w:hAnsi="Times New Roman" w:eastAsia="宋体"/>
          <w:color w:val="auto"/>
          <w:highlight w:val="none"/>
        </w:rPr>
        <w:t>　</w:t>
      </w:r>
      <w:r>
        <w:rPr>
          <w:rFonts w:ascii="Times New Roman" w:hAnsi="Times New Roman" w:eastAsia="宋体"/>
          <w:color w:val="auto"/>
          <w:highlight w:val="none"/>
        </w:rPr>
        <w:t>详细勘察</w:t>
      </w:r>
      <w:bookmarkEnd w:id="220"/>
      <w:bookmarkEnd w:id="221"/>
      <w:bookmarkEnd w:id="222"/>
    </w:p>
    <w:p>
      <w:pPr>
        <w:autoSpaceDE w:val="0"/>
        <w:spacing w:line="360" w:lineRule="auto"/>
        <w:jc w:val="center"/>
        <w:rPr>
          <w:b/>
          <w:bCs/>
          <w:color w:val="auto"/>
          <w:kern w:val="0"/>
          <w:highlight w:val="none"/>
        </w:rPr>
      </w:pPr>
      <w:r>
        <w:rPr>
          <w:rFonts w:hint="eastAsia"/>
          <w:b/>
          <w:bCs/>
          <w:color w:val="auto"/>
          <w:kern w:val="0"/>
          <w:highlight w:val="none"/>
        </w:rPr>
        <w:t>（</w:t>
      </w:r>
      <w:r>
        <w:rPr>
          <w:rFonts w:hint="eastAsia" w:ascii="宋体" w:hAnsi="宋体" w:cs="宋体"/>
          <w:b/>
          <w:bCs/>
          <w:color w:val="auto"/>
          <w:kern w:val="0"/>
          <w:highlight w:val="none"/>
        </w:rPr>
        <w:t>Ⅰ</w:t>
      </w:r>
      <w:r>
        <w:rPr>
          <w:rFonts w:hint="eastAsia"/>
          <w:b/>
          <w:bCs/>
          <w:color w:val="auto"/>
          <w:kern w:val="0"/>
          <w:highlight w:val="none"/>
        </w:rPr>
        <w:t>）卫生填埋场</w:t>
      </w:r>
    </w:p>
    <w:p>
      <w:pPr>
        <w:spacing w:line="360" w:lineRule="auto"/>
        <w:rPr>
          <w:color w:val="auto"/>
          <w:kern w:val="0"/>
          <w:highlight w:val="none"/>
        </w:rPr>
      </w:pPr>
      <w:r>
        <w:rPr>
          <w:rFonts w:hint="eastAsia"/>
          <w:b/>
          <w:bCs/>
          <w:color w:val="auto"/>
          <w:kern w:val="0"/>
          <w:highlight w:val="none"/>
        </w:rPr>
        <w:t>12.</w:t>
      </w:r>
      <w:r>
        <w:rPr>
          <w:b/>
          <w:bCs/>
          <w:color w:val="auto"/>
          <w:kern w:val="0"/>
          <w:highlight w:val="none"/>
        </w:rPr>
        <w:t>4.1</w:t>
      </w:r>
      <w:r>
        <w:rPr>
          <w:rFonts w:hint="eastAsia"/>
          <w:color w:val="auto"/>
          <w:kern w:val="0"/>
          <w:highlight w:val="none"/>
        </w:rPr>
        <w:t>　</w:t>
      </w:r>
      <w:r>
        <w:rPr>
          <w:color w:val="auto"/>
          <w:kern w:val="0"/>
          <w:highlight w:val="none"/>
        </w:rPr>
        <w:t>详细勘察应重点查明以下内容：</w:t>
      </w:r>
    </w:p>
    <w:p>
      <w:pPr>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w:t>
      </w:r>
      <w:r>
        <w:rPr>
          <w:color w:val="auto"/>
          <w:highlight w:val="none"/>
        </w:rPr>
        <w:t>活动断裂、</w:t>
      </w:r>
      <w:r>
        <w:rPr>
          <w:rFonts w:hint="eastAsia"/>
          <w:color w:val="auto"/>
          <w:highlight w:val="none"/>
        </w:rPr>
        <w:t>岩溶、滑坡、泥石流、</w:t>
      </w:r>
      <w:r>
        <w:rPr>
          <w:color w:val="auto"/>
          <w:highlight w:val="none"/>
        </w:rPr>
        <w:t>地面沉降、地震液化、地面塌陷等不良地质作用</w:t>
      </w:r>
      <w:r>
        <w:rPr>
          <w:rFonts w:hint="eastAsia"/>
          <w:color w:val="auto"/>
          <w:highlight w:val="none"/>
        </w:rPr>
        <w:t>发育情况</w:t>
      </w:r>
      <w:r>
        <w:rPr>
          <w:color w:val="auto"/>
          <w:highlight w:val="none"/>
        </w:rPr>
        <w:t>；</w:t>
      </w:r>
    </w:p>
    <w:p>
      <w:pPr>
        <w:spacing w:line="360" w:lineRule="auto"/>
        <w:ind w:firstLine="422" w:firstLineChars="200"/>
        <w:rPr>
          <w:color w:val="auto"/>
          <w:highlight w:val="none"/>
        </w:rPr>
      </w:pPr>
      <w:r>
        <w:rPr>
          <w:rFonts w:hint="eastAsia"/>
          <w:b/>
          <w:bCs/>
          <w:color w:val="auto"/>
          <w:highlight w:val="none"/>
        </w:rPr>
        <w:t>2　</w:t>
      </w:r>
      <w:r>
        <w:rPr>
          <w:rFonts w:hint="eastAsia"/>
          <w:color w:val="auto"/>
          <w:highlight w:val="none"/>
        </w:rPr>
        <w:t>地基土中，相对不透水层的性质、分布、厚度、颗粒组成和渗透性</w:t>
      </w:r>
      <w:r>
        <w:rPr>
          <w:color w:val="auto"/>
          <w:highlight w:val="none"/>
        </w:rPr>
        <w:t>；</w:t>
      </w:r>
    </w:p>
    <w:p>
      <w:pPr>
        <w:spacing w:line="360" w:lineRule="auto"/>
        <w:ind w:firstLine="422" w:firstLineChars="200"/>
        <w:rPr>
          <w:color w:val="auto"/>
          <w:highlight w:val="none"/>
        </w:rPr>
      </w:pPr>
      <w:r>
        <w:rPr>
          <w:b/>
          <w:bCs/>
          <w:color w:val="auto"/>
          <w:highlight w:val="none"/>
        </w:rPr>
        <w:t>3</w:t>
      </w:r>
      <w:r>
        <w:rPr>
          <w:rFonts w:hint="eastAsia"/>
          <w:color w:val="auto"/>
          <w:highlight w:val="none"/>
        </w:rPr>
        <w:t>　</w:t>
      </w:r>
      <w:r>
        <w:rPr>
          <w:color w:val="auto"/>
          <w:highlight w:val="none"/>
        </w:rPr>
        <w:t>地下水埋藏特征、补给排泄条件及水文地质参数；</w:t>
      </w:r>
    </w:p>
    <w:p>
      <w:pPr>
        <w:spacing w:line="360" w:lineRule="auto"/>
        <w:ind w:firstLine="422" w:firstLineChars="200"/>
        <w:rPr>
          <w:color w:val="auto"/>
          <w:highlight w:val="none"/>
        </w:rPr>
      </w:pPr>
      <w:r>
        <w:rPr>
          <w:rFonts w:hint="eastAsia"/>
          <w:b/>
          <w:bCs/>
          <w:color w:val="auto"/>
          <w:highlight w:val="none"/>
        </w:rPr>
        <w:t>4</w:t>
      </w:r>
      <w:r>
        <w:rPr>
          <w:rFonts w:hint="eastAsia"/>
          <w:color w:val="auto"/>
          <w:highlight w:val="none"/>
        </w:rPr>
        <w:t>　场地土和地下水对建筑材料的腐蚀性；</w:t>
      </w:r>
    </w:p>
    <w:p>
      <w:pPr>
        <w:spacing w:line="360" w:lineRule="auto"/>
        <w:ind w:firstLine="422" w:firstLineChars="200"/>
        <w:rPr>
          <w:color w:val="auto"/>
          <w:highlight w:val="none"/>
        </w:rPr>
      </w:pPr>
      <w:r>
        <w:rPr>
          <w:rFonts w:hint="eastAsia"/>
          <w:b/>
          <w:bCs/>
          <w:color w:val="auto"/>
          <w:highlight w:val="none"/>
        </w:rPr>
        <w:t>5</w:t>
      </w:r>
      <w:r>
        <w:rPr>
          <w:rFonts w:hint="eastAsia"/>
          <w:color w:val="auto"/>
          <w:highlight w:val="none"/>
        </w:rPr>
        <w:t>　填埋场坝基、坝肩、库区和其他有关部位的渗漏路径及强度；</w:t>
      </w:r>
    </w:p>
    <w:p>
      <w:pPr>
        <w:spacing w:line="360" w:lineRule="auto"/>
        <w:rPr>
          <w:color w:val="auto"/>
          <w:kern w:val="0"/>
          <w:highlight w:val="none"/>
        </w:rPr>
      </w:pPr>
      <w:r>
        <w:rPr>
          <w:rFonts w:hint="eastAsia"/>
          <w:b/>
          <w:bCs/>
          <w:color w:val="auto"/>
          <w:kern w:val="0"/>
          <w:highlight w:val="none"/>
        </w:rPr>
        <w:t>12.</w:t>
      </w:r>
      <w:r>
        <w:rPr>
          <w:b/>
          <w:bCs/>
          <w:color w:val="auto"/>
          <w:kern w:val="0"/>
          <w:highlight w:val="none"/>
        </w:rPr>
        <w:t>4.2</w:t>
      </w:r>
      <w:r>
        <w:rPr>
          <w:rFonts w:hint="eastAsia"/>
          <w:color w:val="auto"/>
          <w:kern w:val="0"/>
          <w:highlight w:val="none"/>
        </w:rPr>
        <w:t>　</w:t>
      </w:r>
      <w:r>
        <w:rPr>
          <w:color w:val="auto"/>
          <w:kern w:val="0"/>
          <w:highlight w:val="none"/>
        </w:rPr>
        <w:t>详细</w:t>
      </w:r>
      <w:r>
        <w:rPr>
          <w:rFonts w:hint="eastAsia"/>
          <w:color w:val="auto"/>
          <w:kern w:val="0"/>
          <w:highlight w:val="none"/>
        </w:rPr>
        <w:t>勘察</w:t>
      </w:r>
      <w:r>
        <w:rPr>
          <w:color w:val="auto"/>
          <w:kern w:val="0"/>
          <w:highlight w:val="none"/>
        </w:rPr>
        <w:t>勘探点布置应</w:t>
      </w:r>
      <w:r>
        <w:rPr>
          <w:rFonts w:hint="eastAsia"/>
          <w:color w:val="auto"/>
          <w:kern w:val="0"/>
          <w:highlight w:val="none"/>
        </w:rPr>
        <w:t>符合下列规定</w:t>
      </w:r>
      <w:r>
        <w:rPr>
          <w:color w:val="auto"/>
          <w:kern w:val="0"/>
          <w:highlight w:val="none"/>
        </w:rPr>
        <w:t>：</w:t>
      </w:r>
    </w:p>
    <w:p>
      <w:pPr>
        <w:spacing w:line="360" w:lineRule="auto"/>
        <w:ind w:firstLine="422" w:firstLineChars="200"/>
        <w:rPr>
          <w:color w:val="auto"/>
          <w:highlight w:val="none"/>
        </w:rPr>
      </w:pPr>
      <w:r>
        <w:rPr>
          <w:b/>
          <w:bCs/>
          <w:color w:val="auto"/>
          <w:highlight w:val="none"/>
        </w:rPr>
        <w:t>1</w:t>
      </w:r>
      <w:r>
        <w:rPr>
          <w:rFonts w:hint="eastAsia"/>
          <w:b/>
          <w:bCs/>
          <w:color w:val="auto"/>
          <w:highlight w:val="none"/>
        </w:rPr>
        <w:t>　</w:t>
      </w:r>
      <w:r>
        <w:rPr>
          <w:color w:val="auto"/>
          <w:highlight w:val="none"/>
        </w:rPr>
        <w:t>库区</w:t>
      </w:r>
      <w:r>
        <w:rPr>
          <w:rFonts w:hint="eastAsia"/>
          <w:color w:val="auto"/>
          <w:highlight w:val="none"/>
        </w:rPr>
        <w:t>：勘探线、</w:t>
      </w:r>
      <w:r>
        <w:rPr>
          <w:color w:val="auto"/>
          <w:highlight w:val="none"/>
        </w:rPr>
        <w:t>勘探点间距宜</w:t>
      </w:r>
      <w:r>
        <w:rPr>
          <w:rFonts w:hint="eastAsia"/>
          <w:color w:val="auto"/>
          <w:highlight w:val="none"/>
        </w:rPr>
        <w:t>根据场地和岩土条件复杂程度等级</w:t>
      </w:r>
      <w:r>
        <w:rPr>
          <w:color w:val="auto"/>
          <w:highlight w:val="none"/>
        </w:rPr>
        <w:t>按表</w:t>
      </w:r>
      <w:r>
        <w:rPr>
          <w:rFonts w:hint="eastAsia"/>
          <w:color w:val="auto"/>
          <w:highlight w:val="none"/>
        </w:rPr>
        <w:t>12.</w:t>
      </w:r>
      <w:r>
        <w:rPr>
          <w:color w:val="auto"/>
          <w:highlight w:val="none"/>
        </w:rPr>
        <w:t>4.2</w:t>
      </w:r>
      <w:r>
        <w:rPr>
          <w:rFonts w:hint="eastAsia"/>
          <w:color w:val="auto"/>
          <w:highlight w:val="none"/>
        </w:rPr>
        <w:t>-1</w:t>
      </w:r>
      <w:r>
        <w:rPr>
          <w:color w:val="auto"/>
          <w:highlight w:val="none"/>
        </w:rPr>
        <w:t>确定。在每个地貌单元和地貌交接部位应布置勘探点，并在地貌和地层变化较大的地段予以加密</w:t>
      </w:r>
      <w:r>
        <w:rPr>
          <w:rFonts w:hint="eastAsia"/>
          <w:color w:val="auto"/>
          <w:highlight w:val="none"/>
        </w:rPr>
        <w:t>；岩溶发育区勘探线、勘探点应适当加密</w:t>
      </w:r>
      <w:r>
        <w:rPr>
          <w:color w:val="auto"/>
          <w:highlight w:val="none"/>
        </w:rPr>
        <w:t>。</w:t>
      </w:r>
    </w:p>
    <w:p>
      <w:pPr>
        <w:spacing w:line="360" w:lineRule="auto"/>
        <w:ind w:firstLine="422" w:firstLineChars="200"/>
        <w:jc w:val="center"/>
        <w:rPr>
          <w:b/>
          <w:color w:val="auto"/>
          <w:highlight w:val="none"/>
        </w:rPr>
      </w:pPr>
      <w:r>
        <w:rPr>
          <w:b/>
          <w:color w:val="auto"/>
          <w:highlight w:val="none"/>
        </w:rPr>
        <w:t>表</w:t>
      </w:r>
      <w:r>
        <w:rPr>
          <w:rFonts w:hint="eastAsia"/>
          <w:b/>
          <w:color w:val="auto"/>
          <w:highlight w:val="none"/>
        </w:rPr>
        <w:t>12.</w:t>
      </w:r>
      <w:r>
        <w:rPr>
          <w:b/>
          <w:color w:val="auto"/>
          <w:highlight w:val="none"/>
        </w:rPr>
        <w:t>4.2-1</w:t>
      </w:r>
      <w:r>
        <w:rPr>
          <w:rFonts w:hint="eastAsia"/>
          <w:b/>
          <w:color w:val="auto"/>
          <w:highlight w:val="none"/>
        </w:rPr>
        <w:t>　</w:t>
      </w:r>
      <w:r>
        <w:rPr>
          <w:b/>
          <w:color w:val="auto"/>
          <w:highlight w:val="none"/>
        </w:rPr>
        <w:t>详细</w:t>
      </w:r>
      <w:r>
        <w:rPr>
          <w:rFonts w:hint="eastAsia"/>
          <w:b/>
          <w:color w:val="auto"/>
          <w:highlight w:val="none"/>
        </w:rPr>
        <w:t>勘察</w:t>
      </w:r>
      <w:r>
        <w:rPr>
          <w:b/>
          <w:color w:val="auto"/>
          <w:highlight w:val="none"/>
        </w:rPr>
        <w:t>库区</w:t>
      </w:r>
      <w:r>
        <w:rPr>
          <w:rFonts w:hint="eastAsia"/>
          <w:b/>
          <w:color w:val="auto"/>
          <w:highlight w:val="none"/>
        </w:rPr>
        <w:t>勘探线、</w:t>
      </w:r>
      <w:r>
        <w:rPr>
          <w:b/>
          <w:color w:val="auto"/>
          <w:highlight w:val="none"/>
        </w:rPr>
        <w:t>勘探点间距（m）</w:t>
      </w:r>
    </w:p>
    <w:tbl>
      <w:tblPr>
        <w:tblStyle w:val="22"/>
        <w:tblW w:w="829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926"/>
        <w:gridCol w:w="2683"/>
        <w:gridCol w:w="268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26" w:type="dxa"/>
            <w:shd w:val="clear" w:color="auto" w:fill="auto"/>
            <w:vAlign w:val="center"/>
          </w:tcPr>
          <w:p>
            <w:pPr>
              <w:spacing w:line="0" w:lineRule="atLeast"/>
              <w:jc w:val="left"/>
              <w:rPr>
                <w:b/>
                <w:bCs/>
                <w:color w:val="auto"/>
                <w:kern w:val="0"/>
                <w:sz w:val="20"/>
                <w:szCs w:val="20"/>
                <w:highlight w:val="none"/>
              </w:rPr>
            </w:pPr>
            <w:r>
              <w:rPr>
                <w:color w:val="auto"/>
                <w:sz w:val="20"/>
                <w:szCs w:val="20"/>
                <w:highlight w:val="none"/>
              </w:rPr>
              <w:t>场地</w:t>
            </w:r>
            <w:r>
              <w:rPr>
                <w:rFonts w:hint="eastAsia"/>
                <w:color w:val="auto"/>
                <w:sz w:val="20"/>
                <w:szCs w:val="20"/>
                <w:highlight w:val="none"/>
              </w:rPr>
              <w:t>和岩土条件</w:t>
            </w:r>
            <w:r>
              <w:rPr>
                <w:color w:val="auto"/>
                <w:sz w:val="20"/>
                <w:szCs w:val="20"/>
                <w:highlight w:val="none"/>
              </w:rPr>
              <w:t>复杂程度等级</w:t>
            </w:r>
          </w:p>
        </w:tc>
        <w:tc>
          <w:tcPr>
            <w:tcW w:w="2683" w:type="dxa"/>
            <w:shd w:val="clear" w:color="auto" w:fill="auto"/>
            <w:vAlign w:val="center"/>
          </w:tcPr>
          <w:p>
            <w:pPr>
              <w:autoSpaceDE w:val="0"/>
              <w:autoSpaceDN w:val="0"/>
              <w:adjustRightInd w:val="0"/>
              <w:spacing w:line="0" w:lineRule="atLeast"/>
              <w:jc w:val="center"/>
              <w:rPr>
                <w:color w:val="auto"/>
                <w:kern w:val="0"/>
                <w:sz w:val="20"/>
                <w:szCs w:val="20"/>
                <w:highlight w:val="none"/>
              </w:rPr>
            </w:pPr>
            <w:r>
              <w:rPr>
                <w:color w:val="auto"/>
                <w:kern w:val="0"/>
                <w:sz w:val="20"/>
                <w:szCs w:val="20"/>
                <w:highlight w:val="none"/>
              </w:rPr>
              <w:t>勘探线间距</w:t>
            </w:r>
          </w:p>
        </w:tc>
        <w:tc>
          <w:tcPr>
            <w:tcW w:w="2685" w:type="dxa"/>
            <w:shd w:val="clear" w:color="auto" w:fill="auto"/>
            <w:vAlign w:val="center"/>
          </w:tcPr>
          <w:p>
            <w:pPr>
              <w:autoSpaceDE w:val="0"/>
              <w:autoSpaceDN w:val="0"/>
              <w:adjustRightInd w:val="0"/>
              <w:spacing w:line="0" w:lineRule="atLeast"/>
              <w:jc w:val="center"/>
              <w:rPr>
                <w:color w:val="auto"/>
                <w:kern w:val="0"/>
                <w:sz w:val="20"/>
                <w:szCs w:val="20"/>
                <w:highlight w:val="none"/>
              </w:rPr>
            </w:pPr>
            <w:r>
              <w:rPr>
                <w:color w:val="auto"/>
                <w:kern w:val="0"/>
                <w:sz w:val="20"/>
                <w:szCs w:val="20"/>
                <w:highlight w:val="none"/>
              </w:rPr>
              <w:t>勘探点间距</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26" w:type="dxa"/>
            <w:shd w:val="clear" w:color="auto" w:fill="auto"/>
            <w:vAlign w:val="center"/>
          </w:tcPr>
          <w:p>
            <w:pPr>
              <w:autoSpaceDE w:val="0"/>
              <w:autoSpaceDN w:val="0"/>
              <w:adjustRightInd w:val="0"/>
              <w:spacing w:line="0" w:lineRule="atLeast"/>
              <w:jc w:val="center"/>
              <w:rPr>
                <w:b/>
                <w:bCs/>
                <w:color w:val="auto"/>
                <w:kern w:val="0"/>
                <w:sz w:val="20"/>
                <w:szCs w:val="20"/>
                <w:highlight w:val="none"/>
              </w:rPr>
            </w:pPr>
            <w:r>
              <w:rPr>
                <w:color w:val="auto"/>
                <w:kern w:val="0"/>
                <w:sz w:val="20"/>
                <w:szCs w:val="20"/>
                <w:highlight w:val="none"/>
              </w:rPr>
              <w:t>一级</w:t>
            </w:r>
          </w:p>
        </w:tc>
        <w:tc>
          <w:tcPr>
            <w:tcW w:w="2683" w:type="dxa"/>
            <w:shd w:val="clear" w:color="auto" w:fill="auto"/>
          </w:tcPr>
          <w:p>
            <w:pPr>
              <w:autoSpaceDE w:val="0"/>
              <w:autoSpaceDN w:val="0"/>
              <w:adjustRightInd w:val="0"/>
              <w:spacing w:line="0" w:lineRule="atLeast"/>
              <w:jc w:val="center"/>
              <w:rPr>
                <w:color w:val="auto"/>
                <w:kern w:val="0"/>
                <w:sz w:val="20"/>
                <w:szCs w:val="20"/>
                <w:highlight w:val="none"/>
              </w:rPr>
            </w:pPr>
            <w:r>
              <w:rPr>
                <w:rFonts w:hint="eastAsia"/>
                <w:color w:val="auto"/>
                <w:kern w:val="0"/>
                <w:sz w:val="20"/>
                <w:szCs w:val="20"/>
                <w:highlight w:val="none"/>
              </w:rPr>
              <w:t>2</w:t>
            </w:r>
            <w:r>
              <w:rPr>
                <w:color w:val="auto"/>
                <w:kern w:val="0"/>
                <w:sz w:val="20"/>
                <w:szCs w:val="20"/>
                <w:highlight w:val="none"/>
              </w:rPr>
              <w:t>5～35</w:t>
            </w:r>
          </w:p>
        </w:tc>
        <w:tc>
          <w:tcPr>
            <w:tcW w:w="2685" w:type="dxa"/>
            <w:shd w:val="clear" w:color="auto" w:fill="auto"/>
            <w:vAlign w:val="center"/>
          </w:tcPr>
          <w:p>
            <w:pPr>
              <w:autoSpaceDE w:val="0"/>
              <w:autoSpaceDN w:val="0"/>
              <w:adjustRightInd w:val="0"/>
              <w:spacing w:line="0" w:lineRule="atLeast"/>
              <w:jc w:val="center"/>
              <w:rPr>
                <w:color w:val="auto"/>
                <w:kern w:val="0"/>
                <w:sz w:val="20"/>
                <w:szCs w:val="20"/>
                <w:highlight w:val="none"/>
              </w:rPr>
            </w:pPr>
            <w:r>
              <w:rPr>
                <w:color w:val="auto"/>
                <w:kern w:val="0"/>
                <w:sz w:val="20"/>
                <w:szCs w:val="20"/>
                <w:highlight w:val="none"/>
              </w:rPr>
              <w:t>15～</w:t>
            </w:r>
            <w:r>
              <w:rPr>
                <w:rFonts w:hint="eastAsia"/>
                <w:color w:val="auto"/>
                <w:kern w:val="0"/>
                <w:sz w:val="20"/>
                <w:szCs w:val="20"/>
                <w:highlight w:val="none"/>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26" w:type="dxa"/>
            <w:shd w:val="clear" w:color="auto" w:fill="auto"/>
            <w:vAlign w:val="center"/>
          </w:tcPr>
          <w:p>
            <w:pPr>
              <w:autoSpaceDE w:val="0"/>
              <w:autoSpaceDN w:val="0"/>
              <w:adjustRightInd w:val="0"/>
              <w:spacing w:line="0" w:lineRule="atLeast"/>
              <w:jc w:val="center"/>
              <w:rPr>
                <w:b/>
                <w:bCs/>
                <w:color w:val="auto"/>
                <w:kern w:val="0"/>
                <w:sz w:val="20"/>
                <w:szCs w:val="20"/>
                <w:highlight w:val="none"/>
              </w:rPr>
            </w:pPr>
            <w:r>
              <w:rPr>
                <w:color w:val="auto"/>
                <w:kern w:val="0"/>
                <w:sz w:val="20"/>
                <w:szCs w:val="20"/>
                <w:highlight w:val="none"/>
              </w:rPr>
              <w:t>二级</w:t>
            </w:r>
          </w:p>
        </w:tc>
        <w:tc>
          <w:tcPr>
            <w:tcW w:w="2683" w:type="dxa"/>
            <w:shd w:val="clear" w:color="auto" w:fill="auto"/>
          </w:tcPr>
          <w:p>
            <w:pPr>
              <w:autoSpaceDE w:val="0"/>
              <w:autoSpaceDN w:val="0"/>
              <w:adjustRightInd w:val="0"/>
              <w:spacing w:line="0" w:lineRule="atLeast"/>
              <w:jc w:val="center"/>
              <w:rPr>
                <w:color w:val="auto"/>
                <w:kern w:val="0"/>
                <w:sz w:val="20"/>
                <w:szCs w:val="20"/>
                <w:highlight w:val="none"/>
              </w:rPr>
            </w:pPr>
            <w:r>
              <w:rPr>
                <w:rFonts w:hint="eastAsia"/>
                <w:color w:val="auto"/>
                <w:kern w:val="0"/>
                <w:sz w:val="20"/>
                <w:szCs w:val="20"/>
                <w:highlight w:val="none"/>
              </w:rPr>
              <w:t>3</w:t>
            </w:r>
            <w:r>
              <w:rPr>
                <w:color w:val="auto"/>
                <w:kern w:val="0"/>
                <w:sz w:val="20"/>
                <w:szCs w:val="20"/>
                <w:highlight w:val="none"/>
              </w:rPr>
              <w:t>5～75</w:t>
            </w:r>
          </w:p>
        </w:tc>
        <w:tc>
          <w:tcPr>
            <w:tcW w:w="2685" w:type="dxa"/>
            <w:shd w:val="clear" w:color="auto" w:fill="auto"/>
            <w:vAlign w:val="center"/>
          </w:tcPr>
          <w:p>
            <w:pPr>
              <w:autoSpaceDE w:val="0"/>
              <w:autoSpaceDN w:val="0"/>
              <w:adjustRightInd w:val="0"/>
              <w:spacing w:line="0" w:lineRule="atLeast"/>
              <w:jc w:val="center"/>
              <w:rPr>
                <w:color w:val="auto"/>
                <w:kern w:val="0"/>
                <w:sz w:val="20"/>
                <w:szCs w:val="20"/>
                <w:highlight w:val="none"/>
              </w:rPr>
            </w:pPr>
            <w:r>
              <w:rPr>
                <w:rFonts w:hint="eastAsia"/>
                <w:color w:val="auto"/>
                <w:kern w:val="0"/>
                <w:sz w:val="20"/>
                <w:szCs w:val="20"/>
                <w:highlight w:val="none"/>
              </w:rPr>
              <w:t>30</w:t>
            </w:r>
            <w:r>
              <w:rPr>
                <w:color w:val="auto"/>
                <w:kern w:val="0"/>
                <w:sz w:val="20"/>
                <w:szCs w:val="20"/>
                <w:highlight w:val="none"/>
              </w:rPr>
              <w:t>～</w:t>
            </w:r>
            <w:r>
              <w:rPr>
                <w:rFonts w:hint="eastAsia"/>
                <w:color w:val="auto"/>
                <w:kern w:val="0"/>
                <w:sz w:val="20"/>
                <w:szCs w:val="20"/>
                <w:highlight w:val="none"/>
              </w:rPr>
              <w:t>4</w:t>
            </w:r>
            <w:r>
              <w:rPr>
                <w:color w:val="auto"/>
                <w:kern w:val="0"/>
                <w:sz w:val="20"/>
                <w:szCs w:val="20"/>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26" w:type="dxa"/>
            <w:shd w:val="clear" w:color="auto" w:fill="auto"/>
            <w:vAlign w:val="center"/>
          </w:tcPr>
          <w:p>
            <w:pPr>
              <w:autoSpaceDE w:val="0"/>
              <w:autoSpaceDN w:val="0"/>
              <w:adjustRightInd w:val="0"/>
              <w:spacing w:line="0" w:lineRule="atLeast"/>
              <w:jc w:val="center"/>
              <w:rPr>
                <w:b/>
                <w:bCs/>
                <w:color w:val="auto"/>
                <w:kern w:val="0"/>
                <w:sz w:val="20"/>
                <w:szCs w:val="20"/>
                <w:highlight w:val="none"/>
              </w:rPr>
            </w:pPr>
            <w:r>
              <w:rPr>
                <w:color w:val="auto"/>
                <w:kern w:val="0"/>
                <w:sz w:val="20"/>
                <w:szCs w:val="20"/>
                <w:highlight w:val="none"/>
              </w:rPr>
              <w:t>三级</w:t>
            </w:r>
          </w:p>
        </w:tc>
        <w:tc>
          <w:tcPr>
            <w:tcW w:w="2683" w:type="dxa"/>
            <w:shd w:val="clear" w:color="auto" w:fill="auto"/>
          </w:tcPr>
          <w:p>
            <w:pPr>
              <w:autoSpaceDE w:val="0"/>
              <w:autoSpaceDN w:val="0"/>
              <w:adjustRightInd w:val="0"/>
              <w:spacing w:line="0" w:lineRule="atLeast"/>
              <w:jc w:val="center"/>
              <w:rPr>
                <w:color w:val="auto"/>
                <w:kern w:val="0"/>
                <w:sz w:val="20"/>
                <w:szCs w:val="20"/>
                <w:highlight w:val="none"/>
              </w:rPr>
            </w:pPr>
            <w:r>
              <w:rPr>
                <w:rFonts w:hint="eastAsia"/>
                <w:color w:val="auto"/>
                <w:kern w:val="0"/>
                <w:sz w:val="20"/>
                <w:szCs w:val="20"/>
                <w:highlight w:val="none"/>
              </w:rPr>
              <w:t>7</w:t>
            </w:r>
            <w:r>
              <w:rPr>
                <w:color w:val="auto"/>
                <w:kern w:val="0"/>
                <w:sz w:val="20"/>
                <w:szCs w:val="20"/>
                <w:highlight w:val="none"/>
              </w:rPr>
              <w:t>5～150</w:t>
            </w:r>
          </w:p>
        </w:tc>
        <w:tc>
          <w:tcPr>
            <w:tcW w:w="2685" w:type="dxa"/>
            <w:shd w:val="clear" w:color="auto" w:fill="auto"/>
            <w:vAlign w:val="center"/>
          </w:tcPr>
          <w:p>
            <w:pPr>
              <w:autoSpaceDE w:val="0"/>
              <w:autoSpaceDN w:val="0"/>
              <w:adjustRightInd w:val="0"/>
              <w:spacing w:line="0" w:lineRule="atLeast"/>
              <w:jc w:val="center"/>
              <w:rPr>
                <w:color w:val="auto"/>
                <w:kern w:val="0"/>
                <w:sz w:val="20"/>
                <w:szCs w:val="20"/>
                <w:highlight w:val="none"/>
              </w:rPr>
            </w:pPr>
            <w:r>
              <w:rPr>
                <w:rFonts w:hint="eastAsia"/>
                <w:color w:val="auto"/>
                <w:kern w:val="0"/>
                <w:sz w:val="20"/>
                <w:szCs w:val="20"/>
                <w:highlight w:val="none"/>
              </w:rPr>
              <w:t>4</w:t>
            </w:r>
            <w:r>
              <w:rPr>
                <w:color w:val="auto"/>
                <w:kern w:val="0"/>
                <w:sz w:val="20"/>
                <w:szCs w:val="20"/>
                <w:highlight w:val="none"/>
              </w:rPr>
              <w:t>0～</w:t>
            </w:r>
            <w:r>
              <w:rPr>
                <w:rFonts w:hint="eastAsia"/>
                <w:color w:val="auto"/>
                <w:kern w:val="0"/>
                <w:sz w:val="20"/>
                <w:szCs w:val="20"/>
                <w:highlight w:val="none"/>
              </w:rPr>
              <w:t>5</w:t>
            </w:r>
            <w:r>
              <w:rPr>
                <w:color w:val="auto"/>
                <w:kern w:val="0"/>
                <w:sz w:val="20"/>
                <w:szCs w:val="20"/>
                <w:highlight w:val="none"/>
              </w:rPr>
              <w:t>0</w:t>
            </w:r>
          </w:p>
        </w:tc>
      </w:tr>
    </w:tbl>
    <w:p>
      <w:pPr>
        <w:spacing w:line="360" w:lineRule="auto"/>
        <w:ind w:firstLine="422" w:firstLineChars="200"/>
        <w:rPr>
          <w:color w:val="auto"/>
          <w:highlight w:val="none"/>
        </w:rPr>
      </w:pPr>
      <w:r>
        <w:rPr>
          <w:b/>
          <w:bCs/>
          <w:color w:val="auto"/>
          <w:highlight w:val="none"/>
        </w:rPr>
        <w:t>2</w:t>
      </w:r>
      <w:r>
        <w:rPr>
          <w:rFonts w:hint="eastAsia"/>
          <w:color w:val="auto"/>
          <w:highlight w:val="none"/>
        </w:rPr>
        <w:t>　</w:t>
      </w:r>
      <w:r>
        <w:rPr>
          <w:color w:val="auto"/>
          <w:highlight w:val="none"/>
        </w:rPr>
        <w:t>坝址区</w:t>
      </w:r>
      <w:r>
        <w:rPr>
          <w:rFonts w:hint="eastAsia"/>
          <w:color w:val="auto"/>
          <w:highlight w:val="none"/>
        </w:rPr>
        <w:t>：</w:t>
      </w:r>
    </w:p>
    <w:p>
      <w:pPr>
        <w:autoSpaceDE w:val="0"/>
        <w:spacing w:line="360" w:lineRule="auto"/>
        <w:ind w:left="946" w:leftChars="300" w:hanging="316" w:hangingChars="150"/>
        <w:jc w:val="left"/>
        <w:rPr>
          <w:color w:val="auto"/>
          <w:highlight w:val="none"/>
        </w:rPr>
      </w:pPr>
      <w:r>
        <w:rPr>
          <w:b/>
          <w:bCs/>
          <w:color w:val="auto"/>
          <w:highlight w:val="none"/>
        </w:rPr>
        <w:t>1）</w:t>
      </w:r>
      <w:r>
        <w:rPr>
          <w:rFonts w:hint="eastAsia"/>
          <w:color w:val="auto"/>
          <w:highlight w:val="none"/>
        </w:rPr>
        <w:t>勘探线的间距及数量应根据坝基的宽度及场地和岩土条件复杂程度确定。一般纵勘探线宜为2～3条，横勘探线不宜少于3条，左右坝肩宜布置横勘探线；</w:t>
      </w:r>
    </w:p>
    <w:p>
      <w:pPr>
        <w:autoSpaceDE w:val="0"/>
        <w:spacing w:line="360" w:lineRule="auto"/>
        <w:ind w:left="946" w:leftChars="300" w:hanging="316" w:hangingChars="150"/>
        <w:jc w:val="left"/>
        <w:rPr>
          <w:color w:val="auto"/>
          <w:highlight w:val="none"/>
        </w:rPr>
      </w:pPr>
      <w:r>
        <w:rPr>
          <w:b/>
          <w:bCs/>
          <w:color w:val="auto"/>
          <w:highlight w:val="none"/>
        </w:rPr>
        <w:t>2）</w:t>
      </w:r>
      <w:r>
        <w:rPr>
          <w:color w:val="auto"/>
          <w:highlight w:val="none"/>
        </w:rPr>
        <w:t>岩基坝址区：土石坝勘探点间距宜采用50m～100m</w:t>
      </w:r>
      <w:r>
        <w:rPr>
          <w:rFonts w:hint="eastAsia"/>
          <w:color w:val="auto"/>
          <w:highlight w:val="none"/>
        </w:rPr>
        <w:t>；</w:t>
      </w:r>
      <w:r>
        <w:rPr>
          <w:color w:val="auto"/>
          <w:highlight w:val="none"/>
        </w:rPr>
        <w:t>混凝土重力坝勘探点间距可采用20m～50m；</w:t>
      </w:r>
    </w:p>
    <w:p>
      <w:pPr>
        <w:spacing w:line="360" w:lineRule="auto"/>
        <w:ind w:firstLine="632" w:firstLineChars="300"/>
        <w:rPr>
          <w:color w:val="auto"/>
          <w:highlight w:val="none"/>
        </w:rPr>
      </w:pPr>
      <w:r>
        <w:rPr>
          <w:b/>
          <w:bCs/>
          <w:color w:val="auto"/>
          <w:highlight w:val="none"/>
        </w:rPr>
        <w:t>3）</w:t>
      </w:r>
      <w:r>
        <w:rPr>
          <w:color w:val="auto"/>
          <w:highlight w:val="none"/>
        </w:rPr>
        <w:t>土基坝址区勘探点间距宜按表</w:t>
      </w:r>
      <w:r>
        <w:rPr>
          <w:rFonts w:hint="eastAsia"/>
          <w:color w:val="auto"/>
          <w:highlight w:val="none"/>
        </w:rPr>
        <w:t>12.</w:t>
      </w:r>
      <w:r>
        <w:rPr>
          <w:color w:val="auto"/>
          <w:highlight w:val="none"/>
        </w:rPr>
        <w:t>4.2-</w:t>
      </w:r>
      <w:r>
        <w:rPr>
          <w:rFonts w:hint="eastAsia"/>
          <w:color w:val="auto"/>
          <w:highlight w:val="none"/>
        </w:rPr>
        <w:t>2</w:t>
      </w:r>
      <w:r>
        <w:rPr>
          <w:color w:val="auto"/>
          <w:highlight w:val="none"/>
        </w:rPr>
        <w:t>确定。</w:t>
      </w:r>
    </w:p>
    <w:p>
      <w:pPr>
        <w:spacing w:line="360" w:lineRule="auto"/>
        <w:ind w:firstLine="422" w:firstLineChars="200"/>
        <w:jc w:val="center"/>
        <w:rPr>
          <w:b/>
          <w:color w:val="auto"/>
          <w:highlight w:val="none"/>
        </w:rPr>
      </w:pPr>
      <w:r>
        <w:rPr>
          <w:rFonts w:hint="eastAsia"/>
          <w:b/>
          <w:color w:val="auto"/>
          <w:highlight w:val="none"/>
        </w:rPr>
        <w:t>表12.4.2-</w:t>
      </w:r>
      <w:r>
        <w:rPr>
          <w:b/>
          <w:color w:val="auto"/>
          <w:highlight w:val="none"/>
        </w:rPr>
        <w:t>2</w:t>
      </w:r>
      <w:r>
        <w:rPr>
          <w:rFonts w:hint="eastAsia"/>
          <w:b/>
          <w:color w:val="auto"/>
          <w:highlight w:val="none"/>
        </w:rPr>
        <w:t>　详细勘察坝址区勘探点间距（m）</w:t>
      </w:r>
    </w:p>
    <w:tbl>
      <w:tblPr>
        <w:tblStyle w:val="22"/>
        <w:tblW w:w="8234" w:type="dxa"/>
        <w:tblInd w:w="14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117"/>
        <w:gridCol w:w="411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4117" w:type="dxa"/>
            <w:shd w:val="clear" w:color="auto" w:fill="auto"/>
            <w:vAlign w:val="center"/>
          </w:tcPr>
          <w:p>
            <w:pPr>
              <w:spacing w:line="0" w:lineRule="atLeast"/>
              <w:jc w:val="center"/>
              <w:rPr>
                <w:color w:val="auto"/>
                <w:kern w:val="0"/>
                <w:sz w:val="20"/>
                <w:szCs w:val="20"/>
                <w:highlight w:val="none"/>
                <w:shd w:val="clear" w:color="auto" w:fill="00B0F0"/>
              </w:rPr>
            </w:pPr>
            <w:r>
              <w:rPr>
                <w:color w:val="auto"/>
                <w:sz w:val="20"/>
                <w:szCs w:val="20"/>
                <w:highlight w:val="none"/>
              </w:rPr>
              <w:t>场地</w:t>
            </w:r>
            <w:r>
              <w:rPr>
                <w:rFonts w:hint="eastAsia"/>
                <w:color w:val="auto"/>
                <w:sz w:val="20"/>
                <w:szCs w:val="20"/>
                <w:highlight w:val="none"/>
              </w:rPr>
              <w:t>和岩土条件</w:t>
            </w:r>
            <w:r>
              <w:rPr>
                <w:color w:val="auto"/>
                <w:sz w:val="20"/>
                <w:szCs w:val="20"/>
                <w:highlight w:val="none"/>
              </w:rPr>
              <w:t>复杂程度等级</w:t>
            </w:r>
          </w:p>
        </w:tc>
        <w:tc>
          <w:tcPr>
            <w:tcW w:w="4117" w:type="dxa"/>
            <w:shd w:val="clear" w:color="auto" w:fill="auto"/>
            <w:vAlign w:val="center"/>
          </w:tcPr>
          <w:p>
            <w:pPr>
              <w:autoSpaceDE w:val="0"/>
              <w:autoSpaceDN w:val="0"/>
              <w:adjustRightInd w:val="0"/>
              <w:spacing w:line="0" w:lineRule="atLeast"/>
              <w:jc w:val="center"/>
              <w:rPr>
                <w:color w:val="auto"/>
                <w:kern w:val="0"/>
                <w:sz w:val="20"/>
                <w:szCs w:val="20"/>
                <w:highlight w:val="none"/>
              </w:rPr>
            </w:pPr>
            <w:r>
              <w:rPr>
                <w:rFonts w:hint="eastAsia"/>
                <w:color w:val="auto"/>
                <w:kern w:val="0"/>
                <w:sz w:val="20"/>
                <w:szCs w:val="20"/>
                <w:highlight w:val="none"/>
              </w:rPr>
              <w:t>勘探点间距（m）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4117" w:type="dxa"/>
            <w:shd w:val="clear" w:color="auto" w:fill="auto"/>
            <w:vAlign w:val="center"/>
          </w:tcPr>
          <w:p>
            <w:pPr>
              <w:autoSpaceDE w:val="0"/>
              <w:autoSpaceDN w:val="0"/>
              <w:adjustRightInd w:val="0"/>
              <w:spacing w:line="0" w:lineRule="atLeast"/>
              <w:jc w:val="center"/>
              <w:rPr>
                <w:b/>
                <w:bCs/>
                <w:color w:val="auto"/>
                <w:kern w:val="0"/>
                <w:sz w:val="20"/>
                <w:szCs w:val="20"/>
                <w:highlight w:val="none"/>
                <w:shd w:val="clear" w:color="auto" w:fill="00B0F0"/>
              </w:rPr>
            </w:pPr>
            <w:r>
              <w:rPr>
                <w:color w:val="auto"/>
                <w:kern w:val="0"/>
                <w:sz w:val="20"/>
                <w:szCs w:val="20"/>
                <w:highlight w:val="none"/>
              </w:rPr>
              <w:t>一级</w:t>
            </w:r>
          </w:p>
        </w:tc>
        <w:tc>
          <w:tcPr>
            <w:tcW w:w="4117" w:type="dxa"/>
            <w:shd w:val="clear" w:color="auto" w:fill="auto"/>
            <w:vAlign w:val="center"/>
          </w:tcPr>
          <w:p>
            <w:pPr>
              <w:autoSpaceDE w:val="0"/>
              <w:autoSpaceDN w:val="0"/>
              <w:adjustRightInd w:val="0"/>
              <w:spacing w:line="0" w:lineRule="atLeast"/>
              <w:jc w:val="center"/>
              <w:rPr>
                <w:color w:val="auto"/>
                <w:kern w:val="0"/>
                <w:sz w:val="20"/>
                <w:szCs w:val="20"/>
                <w:highlight w:val="none"/>
              </w:rPr>
            </w:pPr>
            <w:r>
              <w:rPr>
                <w:rFonts w:hint="eastAsia"/>
                <w:color w:val="auto"/>
                <w:kern w:val="0"/>
                <w:sz w:val="20"/>
                <w:szCs w:val="20"/>
                <w:highlight w:val="none"/>
              </w:rPr>
              <w:t>10～20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4117" w:type="dxa"/>
            <w:shd w:val="clear" w:color="auto" w:fill="auto"/>
            <w:vAlign w:val="center"/>
          </w:tcPr>
          <w:p>
            <w:pPr>
              <w:autoSpaceDE w:val="0"/>
              <w:autoSpaceDN w:val="0"/>
              <w:adjustRightInd w:val="0"/>
              <w:spacing w:line="0" w:lineRule="atLeast"/>
              <w:jc w:val="center"/>
              <w:rPr>
                <w:b/>
                <w:bCs/>
                <w:color w:val="auto"/>
                <w:kern w:val="0"/>
                <w:sz w:val="20"/>
                <w:szCs w:val="20"/>
                <w:highlight w:val="none"/>
                <w:shd w:val="clear" w:color="auto" w:fill="00B0F0"/>
              </w:rPr>
            </w:pPr>
            <w:r>
              <w:rPr>
                <w:color w:val="auto"/>
                <w:kern w:val="0"/>
                <w:sz w:val="20"/>
                <w:szCs w:val="20"/>
                <w:highlight w:val="none"/>
              </w:rPr>
              <w:t>二级</w:t>
            </w:r>
          </w:p>
        </w:tc>
        <w:tc>
          <w:tcPr>
            <w:tcW w:w="4117" w:type="dxa"/>
            <w:shd w:val="clear" w:color="auto" w:fill="auto"/>
            <w:vAlign w:val="center"/>
          </w:tcPr>
          <w:p>
            <w:pPr>
              <w:autoSpaceDE w:val="0"/>
              <w:autoSpaceDN w:val="0"/>
              <w:adjustRightInd w:val="0"/>
              <w:spacing w:line="0" w:lineRule="atLeast"/>
              <w:jc w:val="center"/>
              <w:rPr>
                <w:color w:val="auto"/>
                <w:kern w:val="0"/>
                <w:sz w:val="20"/>
                <w:szCs w:val="20"/>
                <w:highlight w:val="none"/>
              </w:rPr>
            </w:pPr>
            <w:r>
              <w:rPr>
                <w:rFonts w:hint="eastAsia"/>
                <w:color w:val="auto"/>
                <w:kern w:val="0"/>
                <w:sz w:val="20"/>
                <w:szCs w:val="20"/>
                <w:highlight w:val="none"/>
              </w:rPr>
              <w:t>20～30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4117" w:type="dxa"/>
            <w:shd w:val="clear" w:color="auto" w:fill="auto"/>
            <w:vAlign w:val="center"/>
          </w:tcPr>
          <w:p>
            <w:pPr>
              <w:autoSpaceDE w:val="0"/>
              <w:autoSpaceDN w:val="0"/>
              <w:adjustRightInd w:val="0"/>
              <w:spacing w:line="0" w:lineRule="atLeast"/>
              <w:jc w:val="center"/>
              <w:rPr>
                <w:b/>
                <w:bCs/>
                <w:color w:val="auto"/>
                <w:kern w:val="0"/>
                <w:sz w:val="20"/>
                <w:szCs w:val="20"/>
                <w:highlight w:val="none"/>
                <w:shd w:val="clear" w:color="auto" w:fill="00B0F0"/>
              </w:rPr>
            </w:pPr>
            <w:r>
              <w:rPr>
                <w:color w:val="auto"/>
                <w:kern w:val="0"/>
                <w:sz w:val="20"/>
                <w:szCs w:val="20"/>
                <w:highlight w:val="none"/>
              </w:rPr>
              <w:t>三级</w:t>
            </w:r>
          </w:p>
        </w:tc>
        <w:tc>
          <w:tcPr>
            <w:tcW w:w="4117" w:type="dxa"/>
            <w:shd w:val="clear" w:color="auto" w:fill="auto"/>
            <w:vAlign w:val="center"/>
          </w:tcPr>
          <w:p>
            <w:pPr>
              <w:autoSpaceDE w:val="0"/>
              <w:autoSpaceDN w:val="0"/>
              <w:adjustRightInd w:val="0"/>
              <w:spacing w:line="0" w:lineRule="atLeast"/>
              <w:jc w:val="center"/>
              <w:rPr>
                <w:color w:val="auto"/>
                <w:kern w:val="0"/>
                <w:sz w:val="20"/>
                <w:szCs w:val="20"/>
                <w:highlight w:val="none"/>
              </w:rPr>
            </w:pPr>
            <w:r>
              <w:rPr>
                <w:rFonts w:hint="eastAsia"/>
                <w:color w:val="auto"/>
                <w:kern w:val="0"/>
                <w:sz w:val="20"/>
                <w:szCs w:val="20"/>
                <w:highlight w:val="none"/>
              </w:rPr>
              <w:t>30～40</w:t>
            </w:r>
          </w:p>
        </w:tc>
      </w:tr>
    </w:tbl>
    <w:p>
      <w:pPr>
        <w:spacing w:line="360" w:lineRule="auto"/>
        <w:ind w:firstLine="422" w:firstLineChars="200"/>
        <w:rPr>
          <w:color w:val="auto"/>
          <w:highlight w:val="none"/>
        </w:rPr>
      </w:pPr>
      <w:r>
        <w:rPr>
          <w:b/>
          <w:bCs/>
          <w:color w:val="auto"/>
          <w:highlight w:val="none"/>
        </w:rPr>
        <w:t>3</w:t>
      </w:r>
      <w:r>
        <w:rPr>
          <w:rFonts w:hint="eastAsia"/>
          <w:b/>
          <w:bCs/>
          <w:color w:val="auto"/>
          <w:highlight w:val="none"/>
        </w:rPr>
        <w:t>　</w:t>
      </w:r>
      <w:r>
        <w:rPr>
          <w:rFonts w:hint="eastAsia"/>
          <w:color w:val="auto"/>
          <w:highlight w:val="none"/>
        </w:rPr>
        <w:t>填埋场</w:t>
      </w:r>
      <w:r>
        <w:rPr>
          <w:color w:val="auto"/>
          <w:highlight w:val="none"/>
        </w:rPr>
        <w:t>改扩建项目现有垃圾堆体</w:t>
      </w:r>
      <w:r>
        <w:rPr>
          <w:rFonts w:hint="eastAsia"/>
          <w:color w:val="auto"/>
          <w:highlight w:val="none"/>
        </w:rPr>
        <w:t>：</w:t>
      </w:r>
      <w:r>
        <w:rPr>
          <w:color w:val="auto"/>
          <w:highlight w:val="none"/>
        </w:rPr>
        <w:t>勘探点间距</w:t>
      </w:r>
      <w:r>
        <w:rPr>
          <w:rFonts w:hint="eastAsia"/>
          <w:color w:val="auto"/>
          <w:highlight w:val="none"/>
        </w:rPr>
        <w:t>宜为3</w:t>
      </w:r>
      <w:r>
        <w:rPr>
          <w:color w:val="auto"/>
          <w:highlight w:val="none"/>
        </w:rPr>
        <w:t>0m～50m</w:t>
      </w:r>
      <w:r>
        <w:rPr>
          <w:rFonts w:hint="eastAsia"/>
          <w:color w:val="auto"/>
          <w:highlight w:val="none"/>
        </w:rPr>
        <w:t>。</w:t>
      </w:r>
    </w:p>
    <w:p>
      <w:pPr>
        <w:spacing w:line="360" w:lineRule="auto"/>
        <w:rPr>
          <w:color w:val="auto"/>
          <w:kern w:val="0"/>
          <w:highlight w:val="none"/>
        </w:rPr>
      </w:pPr>
      <w:r>
        <w:rPr>
          <w:rFonts w:hint="eastAsia"/>
          <w:b/>
          <w:bCs/>
          <w:color w:val="auto"/>
          <w:kern w:val="0"/>
          <w:highlight w:val="none"/>
        </w:rPr>
        <w:t>12.4.3</w:t>
      </w:r>
      <w:r>
        <w:rPr>
          <w:rFonts w:hint="eastAsia"/>
          <w:color w:val="auto"/>
          <w:kern w:val="0"/>
          <w:highlight w:val="none"/>
        </w:rPr>
        <w:t>　详细勘察勘探孔孔深应符合下列规定：</w:t>
      </w:r>
    </w:p>
    <w:p>
      <w:pPr>
        <w:spacing w:line="360" w:lineRule="auto"/>
        <w:ind w:firstLine="422" w:firstLineChars="200"/>
        <w:rPr>
          <w:color w:val="auto"/>
          <w:highlight w:val="none"/>
        </w:rPr>
      </w:pPr>
      <w:r>
        <w:rPr>
          <w:b/>
          <w:bCs/>
          <w:color w:val="auto"/>
          <w:highlight w:val="none"/>
        </w:rPr>
        <w:t>1</w:t>
      </w:r>
      <w:r>
        <w:rPr>
          <w:rFonts w:hint="eastAsia"/>
          <w:b/>
          <w:bCs/>
          <w:color w:val="auto"/>
          <w:highlight w:val="none"/>
        </w:rPr>
        <w:t>　</w:t>
      </w:r>
      <w:r>
        <w:rPr>
          <w:color w:val="auto"/>
          <w:highlight w:val="none"/>
        </w:rPr>
        <w:t>库区：</w:t>
      </w:r>
      <w:r>
        <w:rPr>
          <w:rFonts w:hint="eastAsia"/>
          <w:color w:val="auto"/>
          <w:highlight w:val="none"/>
        </w:rPr>
        <w:t>勘探孔深度应满足稳定、变形、渗透分析的要求，控制性勘探孔深度应进入库底高程以下不小于20m且进入相对隔水层不小于8m，一般性勘探孔深度应进入库底高程以下不小于10m且进入相对隔水层不小于5m；</w:t>
      </w:r>
    </w:p>
    <w:p>
      <w:pPr>
        <w:spacing w:line="360" w:lineRule="auto"/>
        <w:ind w:firstLine="422" w:firstLineChars="200"/>
        <w:rPr>
          <w:color w:val="auto"/>
          <w:highlight w:val="none"/>
        </w:rPr>
      </w:pPr>
      <w:r>
        <w:rPr>
          <w:b/>
          <w:bCs/>
          <w:color w:val="auto"/>
          <w:highlight w:val="none"/>
        </w:rPr>
        <w:t>2</w:t>
      </w:r>
      <w:r>
        <w:rPr>
          <w:rFonts w:hint="eastAsia"/>
          <w:color w:val="auto"/>
          <w:highlight w:val="none"/>
        </w:rPr>
        <w:t>　</w:t>
      </w:r>
      <w:r>
        <w:rPr>
          <w:color w:val="auto"/>
          <w:highlight w:val="none"/>
        </w:rPr>
        <w:t>土</w:t>
      </w:r>
      <w:r>
        <w:rPr>
          <w:rFonts w:hint="eastAsia"/>
          <w:color w:val="auto"/>
          <w:highlight w:val="none"/>
        </w:rPr>
        <w:t>石坝：</w:t>
      </w:r>
      <w:r>
        <w:rPr>
          <w:color w:val="auto"/>
          <w:highlight w:val="none"/>
        </w:rPr>
        <w:t>勘探孔深度</w:t>
      </w:r>
      <w:r>
        <w:rPr>
          <w:rFonts w:hint="eastAsia"/>
          <w:color w:val="auto"/>
          <w:highlight w:val="none"/>
        </w:rPr>
        <w:t>应进入坝基高程以下不小于0.5倍</w:t>
      </w:r>
      <w:r>
        <w:rPr>
          <w:color w:val="auto"/>
          <w:highlight w:val="none"/>
        </w:rPr>
        <w:t>坝高的</w:t>
      </w:r>
      <w:r>
        <w:rPr>
          <w:rFonts w:hint="eastAsia"/>
          <w:color w:val="auto"/>
          <w:highlight w:val="none"/>
        </w:rPr>
        <w:t>深度且不小于坝基高程以下5m</w:t>
      </w:r>
      <w:r>
        <w:rPr>
          <w:color w:val="auto"/>
          <w:highlight w:val="none"/>
        </w:rPr>
        <w:t>，防渗线上的勘探孔深度应</w:t>
      </w:r>
      <w:r>
        <w:rPr>
          <w:rFonts w:hint="eastAsia"/>
          <w:color w:val="auto"/>
          <w:highlight w:val="none"/>
        </w:rPr>
        <w:t>进入坝基高程以下不小于1倍的坝高深度且进</w:t>
      </w:r>
      <w:r>
        <w:rPr>
          <w:color w:val="auto"/>
          <w:highlight w:val="none"/>
        </w:rPr>
        <w:t>入</w:t>
      </w:r>
      <w:r>
        <w:rPr>
          <w:rFonts w:hint="eastAsia"/>
          <w:color w:val="auto"/>
          <w:highlight w:val="none"/>
        </w:rPr>
        <w:t>坝基高程以下</w:t>
      </w:r>
      <w:r>
        <w:rPr>
          <w:color w:val="auto"/>
          <w:highlight w:val="none"/>
        </w:rPr>
        <w:t>相对隔水层</w:t>
      </w:r>
      <w:r>
        <w:rPr>
          <w:rFonts w:hint="eastAsia"/>
          <w:color w:val="auto"/>
          <w:highlight w:val="none"/>
        </w:rPr>
        <w:t>不小于</w:t>
      </w:r>
      <w:r>
        <w:rPr>
          <w:color w:val="auto"/>
          <w:highlight w:val="none"/>
        </w:rPr>
        <w:t>10m；</w:t>
      </w:r>
    </w:p>
    <w:p>
      <w:pPr>
        <w:spacing w:line="360" w:lineRule="auto"/>
        <w:ind w:firstLine="422" w:firstLineChars="200"/>
        <w:rPr>
          <w:color w:val="auto"/>
          <w:highlight w:val="none"/>
        </w:rPr>
      </w:pPr>
      <w:r>
        <w:rPr>
          <w:rFonts w:hint="eastAsia"/>
          <w:b/>
          <w:bCs/>
          <w:color w:val="auto"/>
          <w:highlight w:val="none"/>
        </w:rPr>
        <w:t>3</w:t>
      </w:r>
      <w:r>
        <w:rPr>
          <w:rFonts w:hint="eastAsia"/>
          <w:color w:val="auto"/>
          <w:highlight w:val="none"/>
        </w:rPr>
        <w:t>　混凝土</w:t>
      </w:r>
      <w:r>
        <w:rPr>
          <w:color w:val="auto"/>
          <w:highlight w:val="none"/>
        </w:rPr>
        <w:t>坝</w:t>
      </w:r>
      <w:r>
        <w:rPr>
          <w:rFonts w:hint="eastAsia"/>
          <w:color w:val="auto"/>
          <w:highlight w:val="none"/>
        </w:rPr>
        <w:t>：</w:t>
      </w:r>
      <w:r>
        <w:rPr>
          <w:color w:val="auto"/>
          <w:highlight w:val="none"/>
        </w:rPr>
        <w:t>当下伏基岩埋深小于坝高时，勘探孔</w:t>
      </w:r>
      <w:r>
        <w:rPr>
          <w:rFonts w:hint="eastAsia"/>
          <w:color w:val="auto"/>
          <w:highlight w:val="none"/>
        </w:rPr>
        <w:t>应</w:t>
      </w:r>
      <w:r>
        <w:rPr>
          <w:color w:val="auto"/>
          <w:highlight w:val="none"/>
        </w:rPr>
        <w:t>进入基岩不宜小于</w:t>
      </w:r>
      <w:r>
        <w:rPr>
          <w:rFonts w:hint="eastAsia"/>
          <w:color w:val="auto"/>
          <w:highlight w:val="none"/>
        </w:rPr>
        <w:t>5</w:t>
      </w:r>
      <w:r>
        <w:rPr>
          <w:color w:val="auto"/>
          <w:highlight w:val="none"/>
        </w:rPr>
        <w:t>m，防渗线上勘探孔深度可根据防渗需要确定；当下伏基岩埋深大于坝高时，勘探孔深度宜根据</w:t>
      </w:r>
      <w:r>
        <w:rPr>
          <w:rFonts w:hint="eastAsia"/>
          <w:color w:val="auto"/>
          <w:highlight w:val="none"/>
        </w:rPr>
        <w:t>稳定、变形、渗透分析的要求</w:t>
      </w:r>
      <w:r>
        <w:rPr>
          <w:color w:val="auto"/>
          <w:highlight w:val="none"/>
        </w:rPr>
        <w:t>确定；</w:t>
      </w:r>
    </w:p>
    <w:p>
      <w:pPr>
        <w:spacing w:line="360" w:lineRule="auto"/>
        <w:ind w:firstLine="422" w:firstLineChars="200"/>
        <w:rPr>
          <w:color w:val="auto"/>
          <w:highlight w:val="none"/>
        </w:rPr>
      </w:pPr>
      <w:r>
        <w:rPr>
          <w:rFonts w:hint="eastAsia"/>
          <w:b/>
          <w:bCs/>
          <w:color w:val="auto"/>
          <w:highlight w:val="none"/>
        </w:rPr>
        <w:t>4</w:t>
      </w:r>
      <w:r>
        <w:rPr>
          <w:rFonts w:hint="eastAsia"/>
          <w:color w:val="auto"/>
          <w:highlight w:val="none"/>
        </w:rPr>
        <w:t>　填埋场</w:t>
      </w:r>
      <w:r>
        <w:rPr>
          <w:color w:val="auto"/>
          <w:highlight w:val="none"/>
        </w:rPr>
        <w:t>改扩建项目现有垃圾堆体</w:t>
      </w:r>
      <w:r>
        <w:rPr>
          <w:rFonts w:hint="eastAsia"/>
          <w:color w:val="auto"/>
          <w:highlight w:val="none"/>
        </w:rPr>
        <w:t>：勘探孔深度</w:t>
      </w:r>
      <w:r>
        <w:rPr>
          <w:color w:val="auto"/>
          <w:highlight w:val="none"/>
        </w:rPr>
        <w:t>应满足</w:t>
      </w:r>
      <w:r>
        <w:rPr>
          <w:rFonts w:hint="eastAsia"/>
          <w:color w:val="auto"/>
          <w:highlight w:val="none"/>
        </w:rPr>
        <w:t>本规范12.</w:t>
      </w:r>
      <w:r>
        <w:rPr>
          <w:color w:val="auto"/>
          <w:highlight w:val="none"/>
        </w:rPr>
        <w:t>3.3条规定</w:t>
      </w:r>
      <w:r>
        <w:rPr>
          <w:rFonts w:hint="eastAsia"/>
          <w:color w:val="auto"/>
          <w:highlight w:val="none"/>
        </w:rPr>
        <w:t>；</w:t>
      </w:r>
    </w:p>
    <w:p>
      <w:pPr>
        <w:spacing w:line="360" w:lineRule="auto"/>
        <w:ind w:firstLine="422" w:firstLineChars="200"/>
        <w:rPr>
          <w:color w:val="auto"/>
          <w:highlight w:val="none"/>
        </w:rPr>
      </w:pPr>
      <w:r>
        <w:rPr>
          <w:rFonts w:hint="eastAsia"/>
          <w:b/>
          <w:bCs/>
          <w:color w:val="auto"/>
          <w:highlight w:val="none"/>
        </w:rPr>
        <w:t>5</w:t>
      </w:r>
      <w:r>
        <w:rPr>
          <w:rFonts w:hint="eastAsia"/>
          <w:color w:val="auto"/>
          <w:highlight w:val="none"/>
        </w:rPr>
        <w:t>　</w:t>
      </w:r>
      <w:r>
        <w:rPr>
          <w:color w:val="auto"/>
          <w:highlight w:val="none"/>
        </w:rPr>
        <w:t>当遇下列情形之一时，应适当增加或减小勘探孔深度：</w:t>
      </w:r>
    </w:p>
    <w:p>
      <w:pPr>
        <w:autoSpaceDE w:val="0"/>
        <w:spacing w:line="360" w:lineRule="auto"/>
        <w:ind w:left="946" w:leftChars="300" w:hanging="316" w:hangingChars="150"/>
        <w:jc w:val="left"/>
        <w:rPr>
          <w:color w:val="auto"/>
          <w:highlight w:val="none"/>
        </w:rPr>
      </w:pPr>
      <w:r>
        <w:rPr>
          <w:b/>
          <w:bCs/>
          <w:color w:val="auto"/>
          <w:highlight w:val="none"/>
        </w:rPr>
        <w:t>1）</w:t>
      </w:r>
      <w:r>
        <w:rPr>
          <w:color w:val="auto"/>
          <w:highlight w:val="none"/>
        </w:rPr>
        <w:t>预计勘探深度内有软弱土层时，应适当增大勘探深度</w:t>
      </w:r>
      <w:r>
        <w:rPr>
          <w:rFonts w:hint="eastAsia"/>
          <w:color w:val="auto"/>
          <w:highlight w:val="none"/>
        </w:rPr>
        <w:t>；</w:t>
      </w:r>
      <w:r>
        <w:rPr>
          <w:color w:val="auto"/>
          <w:highlight w:val="none"/>
        </w:rPr>
        <w:t>需要时，应穿透软弱土层</w:t>
      </w:r>
      <w:r>
        <w:rPr>
          <w:rFonts w:hint="eastAsia"/>
          <w:color w:val="auto"/>
          <w:highlight w:val="none"/>
        </w:rPr>
        <w:t>进入下卧持力层不小于3m</w:t>
      </w:r>
      <w:r>
        <w:rPr>
          <w:color w:val="auto"/>
          <w:highlight w:val="none"/>
        </w:rPr>
        <w:t>；</w:t>
      </w:r>
    </w:p>
    <w:p>
      <w:pPr>
        <w:autoSpaceDE w:val="0"/>
        <w:spacing w:line="360" w:lineRule="auto"/>
        <w:ind w:left="946" w:leftChars="300" w:hanging="316" w:hangingChars="150"/>
        <w:jc w:val="left"/>
        <w:rPr>
          <w:color w:val="auto"/>
          <w:highlight w:val="none"/>
        </w:rPr>
      </w:pPr>
      <w:r>
        <w:rPr>
          <w:b/>
          <w:bCs/>
          <w:color w:val="auto"/>
          <w:highlight w:val="none"/>
        </w:rPr>
        <w:t>2）</w:t>
      </w:r>
      <w:r>
        <w:rPr>
          <w:color w:val="auto"/>
          <w:highlight w:val="none"/>
        </w:rPr>
        <w:t>预计勘探深度内遇基岩时，可适当减小勘探深度；</w:t>
      </w:r>
    </w:p>
    <w:p>
      <w:pPr>
        <w:autoSpaceDE w:val="0"/>
        <w:spacing w:line="360" w:lineRule="auto"/>
        <w:ind w:left="946" w:leftChars="300" w:hanging="316" w:hangingChars="150"/>
        <w:jc w:val="left"/>
        <w:rPr>
          <w:color w:val="auto"/>
          <w:highlight w:val="none"/>
        </w:rPr>
      </w:pPr>
      <w:r>
        <w:rPr>
          <w:b/>
          <w:bCs/>
          <w:color w:val="auto"/>
          <w:highlight w:val="none"/>
        </w:rPr>
        <w:t>3）</w:t>
      </w:r>
      <w:r>
        <w:rPr>
          <w:color w:val="auto"/>
          <w:highlight w:val="none"/>
        </w:rPr>
        <w:t>预计勘探深度内有厚度较大</w:t>
      </w:r>
      <w:r>
        <w:rPr>
          <w:rFonts w:hint="eastAsia"/>
          <w:color w:val="auto"/>
          <w:highlight w:val="none"/>
        </w:rPr>
        <w:t>、</w:t>
      </w:r>
      <w:r>
        <w:rPr>
          <w:color w:val="auto"/>
          <w:highlight w:val="none"/>
        </w:rPr>
        <w:t>分布均匀且相对隔水的硬土层时，一般性勘探孔的深度可适当减小。</w:t>
      </w:r>
    </w:p>
    <w:p>
      <w:pPr>
        <w:spacing w:line="360" w:lineRule="auto"/>
        <w:rPr>
          <w:color w:val="auto"/>
          <w:kern w:val="0"/>
          <w:highlight w:val="none"/>
        </w:rPr>
      </w:pPr>
      <w:r>
        <w:rPr>
          <w:rFonts w:hint="eastAsia"/>
          <w:b/>
          <w:bCs/>
          <w:color w:val="auto"/>
          <w:kern w:val="0"/>
          <w:highlight w:val="none"/>
        </w:rPr>
        <w:t>12.</w:t>
      </w:r>
      <w:r>
        <w:rPr>
          <w:b/>
          <w:bCs/>
          <w:color w:val="auto"/>
          <w:kern w:val="0"/>
          <w:highlight w:val="none"/>
        </w:rPr>
        <w:t>4.4</w:t>
      </w:r>
      <w:r>
        <w:rPr>
          <w:rFonts w:hint="eastAsia"/>
          <w:color w:val="auto"/>
          <w:kern w:val="0"/>
          <w:highlight w:val="none"/>
        </w:rPr>
        <w:t>　</w:t>
      </w:r>
      <w:r>
        <w:rPr>
          <w:color w:val="auto"/>
          <w:kern w:val="0"/>
          <w:highlight w:val="none"/>
        </w:rPr>
        <w:t>详细勘察应重点分析评价下列内容：</w:t>
      </w:r>
    </w:p>
    <w:p>
      <w:pPr>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w:t>
      </w:r>
      <w:r>
        <w:rPr>
          <w:color w:val="auto"/>
          <w:highlight w:val="none"/>
        </w:rPr>
        <w:t>场地区域地质构造、全新世活动断裂、场地地基和堆积体的地震效应；</w:t>
      </w:r>
    </w:p>
    <w:p>
      <w:pPr>
        <w:spacing w:line="360" w:lineRule="auto"/>
        <w:ind w:firstLine="422" w:firstLineChars="200"/>
        <w:rPr>
          <w:color w:val="auto"/>
          <w:highlight w:val="none"/>
        </w:rPr>
      </w:pPr>
      <w:r>
        <w:rPr>
          <w:rFonts w:hint="eastAsia"/>
          <w:b/>
          <w:bCs/>
          <w:color w:val="auto"/>
          <w:highlight w:val="none"/>
        </w:rPr>
        <w:t>2</w:t>
      </w:r>
      <w:r>
        <w:rPr>
          <w:rFonts w:hint="eastAsia"/>
          <w:color w:val="auto"/>
          <w:highlight w:val="none"/>
        </w:rPr>
        <w:t>　</w:t>
      </w:r>
      <w:r>
        <w:rPr>
          <w:color w:val="auto"/>
          <w:highlight w:val="none"/>
        </w:rPr>
        <w:t>评价地基土的强度、变形、渗透特性</w:t>
      </w:r>
      <w:r>
        <w:rPr>
          <w:color w:val="auto"/>
          <w:kern w:val="0"/>
          <w:highlight w:val="none"/>
        </w:rPr>
        <w:t>，</w:t>
      </w:r>
      <w:r>
        <w:rPr>
          <w:rFonts w:hint="eastAsia"/>
          <w:color w:val="auto"/>
          <w:kern w:val="0"/>
          <w:highlight w:val="none"/>
        </w:rPr>
        <w:t>以及</w:t>
      </w:r>
      <w:r>
        <w:rPr>
          <w:color w:val="auto"/>
          <w:kern w:val="0"/>
          <w:highlight w:val="none"/>
        </w:rPr>
        <w:t>场地岩土层的防渗条件</w:t>
      </w:r>
      <w:r>
        <w:rPr>
          <w:color w:val="auto"/>
          <w:highlight w:val="none"/>
        </w:rPr>
        <w:t>，提出控制变形、防止渗漏的建议；</w:t>
      </w:r>
    </w:p>
    <w:p>
      <w:pPr>
        <w:spacing w:line="360" w:lineRule="auto"/>
        <w:ind w:firstLine="422" w:firstLineChars="200"/>
        <w:rPr>
          <w:color w:val="auto"/>
          <w:highlight w:val="none"/>
        </w:rPr>
      </w:pPr>
      <w:r>
        <w:rPr>
          <w:rFonts w:hint="eastAsia"/>
          <w:b/>
          <w:bCs/>
          <w:color w:val="auto"/>
          <w:highlight w:val="none"/>
        </w:rPr>
        <w:t>3</w:t>
      </w:r>
      <w:r>
        <w:rPr>
          <w:rFonts w:hint="eastAsia"/>
          <w:color w:val="auto"/>
          <w:highlight w:val="none"/>
        </w:rPr>
        <w:t>　坝基、坝肩部位岩体的完整性、结构面产状等，划分岩体基本质量等级。</w:t>
      </w:r>
    </w:p>
    <w:p>
      <w:pPr>
        <w:spacing w:line="360" w:lineRule="auto"/>
        <w:ind w:firstLine="422" w:firstLineChars="200"/>
        <w:rPr>
          <w:color w:val="auto"/>
          <w:highlight w:val="none"/>
        </w:rPr>
      </w:pPr>
      <w:r>
        <w:rPr>
          <w:rFonts w:hint="eastAsia"/>
          <w:b/>
          <w:bCs/>
          <w:color w:val="auto"/>
          <w:highlight w:val="none"/>
        </w:rPr>
        <w:t>4</w:t>
      </w:r>
      <w:r>
        <w:rPr>
          <w:rFonts w:hint="eastAsia"/>
          <w:color w:val="auto"/>
          <w:highlight w:val="none"/>
        </w:rPr>
        <w:t>　</w:t>
      </w:r>
      <w:r>
        <w:rPr>
          <w:color w:val="auto"/>
          <w:highlight w:val="none"/>
        </w:rPr>
        <w:t>分析地下水埋藏特征、补给排泄条件</w:t>
      </w:r>
      <w:r>
        <w:rPr>
          <w:rFonts w:hint="eastAsia"/>
          <w:color w:val="auto"/>
          <w:highlight w:val="none"/>
        </w:rPr>
        <w:t>，提供地层</w:t>
      </w:r>
      <w:r>
        <w:rPr>
          <w:color w:val="auto"/>
          <w:highlight w:val="none"/>
        </w:rPr>
        <w:t>水文地质参数</w:t>
      </w:r>
      <w:r>
        <w:rPr>
          <w:rFonts w:hint="eastAsia"/>
          <w:color w:val="auto"/>
          <w:highlight w:val="none"/>
        </w:rPr>
        <w:t>，结合</w:t>
      </w:r>
      <w:r>
        <w:rPr>
          <w:color w:val="auto"/>
          <w:highlight w:val="none"/>
        </w:rPr>
        <w:t>地下水水质检测结果、场地环境资料，</w:t>
      </w:r>
      <w:r>
        <w:rPr>
          <w:rFonts w:hint="eastAsia"/>
          <w:color w:val="auto"/>
          <w:highlight w:val="none"/>
        </w:rPr>
        <w:t>分析污染物运移规律，</w:t>
      </w:r>
      <w:r>
        <w:rPr>
          <w:color w:val="auto"/>
          <w:highlight w:val="none"/>
        </w:rPr>
        <w:t>评价改扩建场地地下水</w:t>
      </w:r>
      <w:r>
        <w:rPr>
          <w:rFonts w:hint="eastAsia"/>
          <w:color w:val="auto"/>
          <w:highlight w:val="none"/>
        </w:rPr>
        <w:t>、周边水源及生态环境</w:t>
      </w:r>
      <w:r>
        <w:rPr>
          <w:color w:val="auto"/>
          <w:highlight w:val="none"/>
        </w:rPr>
        <w:t>受污染</w:t>
      </w:r>
      <w:r>
        <w:rPr>
          <w:rFonts w:hint="eastAsia"/>
          <w:color w:val="auto"/>
          <w:highlight w:val="none"/>
        </w:rPr>
        <w:t>的风险及</w:t>
      </w:r>
      <w:r>
        <w:rPr>
          <w:color w:val="auto"/>
          <w:highlight w:val="none"/>
        </w:rPr>
        <w:t>污染</w:t>
      </w:r>
      <w:r>
        <w:rPr>
          <w:rFonts w:hint="eastAsia"/>
          <w:color w:val="auto"/>
          <w:highlight w:val="none"/>
        </w:rPr>
        <w:t>的</w:t>
      </w:r>
      <w:r>
        <w:rPr>
          <w:color w:val="auto"/>
          <w:highlight w:val="none"/>
        </w:rPr>
        <w:t>类型；</w:t>
      </w:r>
    </w:p>
    <w:p>
      <w:pPr>
        <w:spacing w:line="360" w:lineRule="auto"/>
        <w:ind w:firstLine="422" w:firstLineChars="200"/>
        <w:rPr>
          <w:color w:val="auto"/>
          <w:highlight w:val="none"/>
        </w:rPr>
      </w:pPr>
      <w:r>
        <w:rPr>
          <w:rFonts w:hint="eastAsia"/>
          <w:b/>
          <w:bCs/>
          <w:color w:val="auto"/>
          <w:highlight w:val="none"/>
        </w:rPr>
        <w:t>5</w:t>
      </w:r>
      <w:r>
        <w:rPr>
          <w:rFonts w:hint="eastAsia"/>
          <w:color w:val="auto"/>
          <w:highlight w:val="none"/>
        </w:rPr>
        <w:t>　提供</w:t>
      </w:r>
      <w:r>
        <w:rPr>
          <w:color w:val="auto"/>
          <w:highlight w:val="none"/>
        </w:rPr>
        <w:t>基坑</w:t>
      </w:r>
      <w:r>
        <w:rPr>
          <w:rFonts w:hint="eastAsia"/>
          <w:color w:val="auto"/>
          <w:highlight w:val="none"/>
        </w:rPr>
        <w:t>和</w:t>
      </w:r>
      <w:r>
        <w:rPr>
          <w:color w:val="auto"/>
          <w:highlight w:val="none"/>
        </w:rPr>
        <w:t>边坡开挖、支护所需参数，</w:t>
      </w:r>
      <w:r>
        <w:rPr>
          <w:rFonts w:hint="eastAsia"/>
          <w:color w:val="auto"/>
          <w:highlight w:val="none"/>
        </w:rPr>
        <w:t>提出</w:t>
      </w:r>
      <w:r>
        <w:rPr>
          <w:color w:val="auto"/>
          <w:highlight w:val="none"/>
        </w:rPr>
        <w:t>支护、地下水控制措施建议；平原型废弃物填埋场工程，评价基坑突涌的可能性，并提出相关建议；</w:t>
      </w:r>
    </w:p>
    <w:p>
      <w:pPr>
        <w:autoSpaceDE w:val="0"/>
        <w:autoSpaceDN w:val="0"/>
        <w:adjustRightInd w:val="0"/>
        <w:spacing w:line="360" w:lineRule="auto"/>
        <w:ind w:firstLine="422" w:firstLineChars="200"/>
        <w:jc w:val="left"/>
        <w:rPr>
          <w:color w:val="auto"/>
          <w:highlight w:val="none"/>
        </w:rPr>
      </w:pPr>
      <w:r>
        <w:rPr>
          <w:rFonts w:hint="eastAsia"/>
          <w:b/>
          <w:bCs/>
          <w:color w:val="auto"/>
          <w:highlight w:val="none"/>
        </w:rPr>
        <w:t>6</w:t>
      </w:r>
      <w:r>
        <w:rPr>
          <w:rFonts w:hint="eastAsia"/>
          <w:color w:val="auto"/>
          <w:highlight w:val="none"/>
        </w:rPr>
        <w:t>　评价场地土和地下水对建筑材料的腐蚀性，提出防治措施建议；</w:t>
      </w:r>
    </w:p>
    <w:p>
      <w:pPr>
        <w:spacing w:line="360" w:lineRule="auto"/>
        <w:ind w:firstLine="422" w:firstLineChars="200"/>
        <w:rPr>
          <w:color w:val="auto"/>
          <w:highlight w:val="none"/>
        </w:rPr>
      </w:pPr>
      <w:r>
        <w:rPr>
          <w:rFonts w:hint="eastAsia"/>
          <w:b/>
          <w:bCs/>
          <w:color w:val="auto"/>
          <w:highlight w:val="none"/>
        </w:rPr>
        <w:t>7　</w:t>
      </w:r>
      <w:r>
        <w:rPr>
          <w:color w:val="auto"/>
          <w:highlight w:val="none"/>
        </w:rPr>
        <w:t>对施工期、空载候填期的填埋场衬垫防渗系统、集水井、调节池等结构提出抗浮设计的相关建议。</w:t>
      </w:r>
    </w:p>
    <w:p>
      <w:pPr>
        <w:spacing w:line="360" w:lineRule="auto"/>
        <w:ind w:firstLine="422" w:firstLineChars="200"/>
        <w:rPr>
          <w:color w:val="auto"/>
          <w:highlight w:val="none"/>
        </w:rPr>
      </w:pPr>
      <w:r>
        <w:rPr>
          <w:rFonts w:hint="eastAsia"/>
          <w:b/>
          <w:bCs/>
          <w:color w:val="auto"/>
          <w:highlight w:val="none"/>
        </w:rPr>
        <w:t>8</w:t>
      </w:r>
      <w:r>
        <w:rPr>
          <w:rFonts w:hint="eastAsia"/>
          <w:color w:val="auto"/>
          <w:highlight w:val="none"/>
        </w:rPr>
        <w:t>　</w:t>
      </w:r>
      <w:r>
        <w:rPr>
          <w:color w:val="auto"/>
          <w:highlight w:val="none"/>
        </w:rPr>
        <w:t>提出</w:t>
      </w:r>
      <w:r>
        <w:rPr>
          <w:rFonts w:hint="eastAsia"/>
          <w:color w:val="auto"/>
          <w:highlight w:val="none"/>
        </w:rPr>
        <w:t>填埋场工程</w:t>
      </w:r>
      <w:r>
        <w:rPr>
          <w:color w:val="auto"/>
          <w:highlight w:val="none"/>
        </w:rPr>
        <w:t>有关稳定、变形、水位、渗漏、水土和渗滤液化学性质</w:t>
      </w:r>
      <w:r>
        <w:rPr>
          <w:rFonts w:hint="eastAsia"/>
          <w:color w:val="auto"/>
          <w:highlight w:val="none"/>
        </w:rPr>
        <w:t>等</w:t>
      </w:r>
      <w:r>
        <w:rPr>
          <w:color w:val="auto"/>
          <w:highlight w:val="none"/>
        </w:rPr>
        <w:t>监测工作的建议</w:t>
      </w:r>
      <w:r>
        <w:rPr>
          <w:rFonts w:hint="eastAsia"/>
          <w:color w:val="auto"/>
          <w:highlight w:val="none"/>
        </w:rPr>
        <w:t>。</w:t>
      </w:r>
    </w:p>
    <w:p>
      <w:pPr>
        <w:spacing w:line="360" w:lineRule="auto"/>
        <w:ind w:firstLine="422" w:firstLineChars="200"/>
        <w:rPr>
          <w:color w:val="auto"/>
          <w:highlight w:val="none"/>
        </w:rPr>
      </w:pPr>
      <w:r>
        <w:rPr>
          <w:rFonts w:hint="eastAsia"/>
          <w:b/>
          <w:bCs/>
          <w:color w:val="auto"/>
          <w:highlight w:val="none"/>
        </w:rPr>
        <w:t>9</w:t>
      </w:r>
      <w:r>
        <w:rPr>
          <w:rFonts w:hint="eastAsia"/>
          <w:color w:val="auto"/>
          <w:highlight w:val="none"/>
        </w:rPr>
        <w:t>　分析工程建设</w:t>
      </w:r>
      <w:r>
        <w:rPr>
          <w:color w:val="auto"/>
          <w:highlight w:val="none"/>
        </w:rPr>
        <w:t>过程可能</w:t>
      </w:r>
      <w:r>
        <w:rPr>
          <w:rFonts w:hint="eastAsia"/>
          <w:color w:val="auto"/>
          <w:highlight w:val="none"/>
        </w:rPr>
        <w:t>引发或</w:t>
      </w:r>
      <w:r>
        <w:rPr>
          <w:color w:val="auto"/>
          <w:highlight w:val="none"/>
        </w:rPr>
        <w:t>遭遇的地质风险</w:t>
      </w:r>
      <w:r>
        <w:rPr>
          <w:rFonts w:hint="eastAsia"/>
          <w:color w:val="auto"/>
          <w:highlight w:val="none"/>
        </w:rPr>
        <w:t>，并提出</w:t>
      </w:r>
      <w:r>
        <w:rPr>
          <w:color w:val="auto"/>
          <w:highlight w:val="none"/>
        </w:rPr>
        <w:t>应对措施</w:t>
      </w:r>
      <w:r>
        <w:rPr>
          <w:rFonts w:hint="eastAsia"/>
          <w:color w:val="auto"/>
          <w:highlight w:val="none"/>
        </w:rPr>
        <w:t>建议。</w:t>
      </w:r>
    </w:p>
    <w:p>
      <w:pPr>
        <w:autoSpaceDE w:val="0"/>
        <w:spacing w:line="360" w:lineRule="auto"/>
        <w:jc w:val="center"/>
        <w:rPr>
          <w:b/>
          <w:bCs/>
          <w:color w:val="auto"/>
          <w:kern w:val="0"/>
          <w:highlight w:val="none"/>
        </w:rPr>
      </w:pPr>
      <w:r>
        <w:rPr>
          <w:rFonts w:hint="eastAsia"/>
          <w:b/>
          <w:bCs/>
          <w:color w:val="auto"/>
          <w:kern w:val="0"/>
          <w:highlight w:val="none"/>
        </w:rPr>
        <w:t>（</w:t>
      </w:r>
      <w:r>
        <w:rPr>
          <w:rFonts w:hint="eastAsia" w:ascii="微软雅黑" w:hAnsi="微软雅黑" w:eastAsia="微软雅黑" w:cs="微软雅黑"/>
          <w:b/>
          <w:bCs/>
          <w:color w:val="auto"/>
          <w:kern w:val="0"/>
          <w:highlight w:val="none"/>
        </w:rPr>
        <w:t>Ⅱ</w:t>
      </w:r>
      <w:r>
        <w:rPr>
          <w:rFonts w:hint="eastAsia"/>
          <w:b/>
          <w:bCs/>
          <w:color w:val="auto"/>
          <w:kern w:val="0"/>
          <w:highlight w:val="none"/>
        </w:rPr>
        <w:t>）垃圾焚烧厂</w:t>
      </w:r>
    </w:p>
    <w:p>
      <w:pPr>
        <w:spacing w:line="360" w:lineRule="auto"/>
        <w:rPr>
          <w:color w:val="auto"/>
          <w:kern w:val="0"/>
          <w:highlight w:val="none"/>
        </w:rPr>
      </w:pPr>
      <w:r>
        <w:rPr>
          <w:rFonts w:hint="eastAsia"/>
          <w:b/>
          <w:bCs/>
          <w:color w:val="auto"/>
          <w:kern w:val="0"/>
          <w:highlight w:val="none"/>
        </w:rPr>
        <w:t>12.</w:t>
      </w:r>
      <w:r>
        <w:rPr>
          <w:b/>
          <w:bCs/>
          <w:color w:val="auto"/>
          <w:kern w:val="0"/>
          <w:highlight w:val="none"/>
        </w:rPr>
        <w:t>4.</w:t>
      </w:r>
      <w:r>
        <w:rPr>
          <w:rFonts w:hint="eastAsia"/>
          <w:b/>
          <w:bCs/>
          <w:color w:val="auto"/>
          <w:kern w:val="0"/>
          <w:highlight w:val="none"/>
        </w:rPr>
        <w:t>5</w:t>
      </w:r>
      <w:r>
        <w:rPr>
          <w:rFonts w:hint="eastAsia"/>
          <w:color w:val="auto"/>
          <w:kern w:val="0"/>
          <w:highlight w:val="none"/>
        </w:rPr>
        <w:t>　</w:t>
      </w:r>
      <w:r>
        <w:rPr>
          <w:color w:val="auto"/>
          <w:kern w:val="0"/>
          <w:highlight w:val="none"/>
        </w:rPr>
        <w:t>详细勘察应重点查明以下内容：</w:t>
      </w:r>
    </w:p>
    <w:p>
      <w:pPr>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w:t>
      </w:r>
      <w:r>
        <w:rPr>
          <w:color w:val="auto"/>
          <w:highlight w:val="none"/>
        </w:rPr>
        <w:t>地层结构及其物理力学性质；</w:t>
      </w:r>
    </w:p>
    <w:p>
      <w:pPr>
        <w:spacing w:line="360" w:lineRule="auto"/>
        <w:ind w:firstLine="422" w:firstLineChars="200"/>
        <w:rPr>
          <w:color w:val="auto"/>
          <w:highlight w:val="none"/>
        </w:rPr>
      </w:pPr>
      <w:r>
        <w:rPr>
          <w:rFonts w:hint="eastAsia"/>
          <w:b/>
          <w:bCs/>
          <w:color w:val="auto"/>
          <w:highlight w:val="none"/>
        </w:rPr>
        <w:t>2</w:t>
      </w:r>
      <w:r>
        <w:rPr>
          <w:rFonts w:hint="eastAsia"/>
          <w:color w:val="auto"/>
          <w:highlight w:val="none"/>
        </w:rPr>
        <w:t>　</w:t>
      </w:r>
      <w:r>
        <w:rPr>
          <w:color w:val="auto"/>
          <w:highlight w:val="none"/>
        </w:rPr>
        <w:t>活动断裂、</w:t>
      </w:r>
      <w:r>
        <w:rPr>
          <w:rFonts w:hint="eastAsia"/>
          <w:color w:val="auto"/>
          <w:highlight w:val="none"/>
        </w:rPr>
        <w:t>岩溶、滑坡、泥石流、</w:t>
      </w:r>
      <w:r>
        <w:rPr>
          <w:color w:val="auto"/>
          <w:highlight w:val="none"/>
        </w:rPr>
        <w:t>地面沉降、地震液化、地面塌陷等不良地质作用</w:t>
      </w:r>
      <w:r>
        <w:rPr>
          <w:rFonts w:hint="eastAsia"/>
          <w:color w:val="auto"/>
          <w:highlight w:val="none"/>
        </w:rPr>
        <w:t>发育情况</w:t>
      </w:r>
      <w:r>
        <w:rPr>
          <w:color w:val="auto"/>
          <w:highlight w:val="none"/>
        </w:rPr>
        <w:t>；</w:t>
      </w:r>
    </w:p>
    <w:p>
      <w:pPr>
        <w:spacing w:line="360" w:lineRule="auto"/>
        <w:ind w:firstLine="422" w:firstLineChars="200"/>
        <w:rPr>
          <w:color w:val="auto"/>
          <w:highlight w:val="none"/>
        </w:rPr>
      </w:pPr>
      <w:r>
        <w:rPr>
          <w:b/>
          <w:bCs/>
          <w:color w:val="auto"/>
          <w:highlight w:val="none"/>
        </w:rPr>
        <w:t>3</w:t>
      </w:r>
      <w:r>
        <w:rPr>
          <w:rFonts w:hint="eastAsia"/>
          <w:color w:val="auto"/>
          <w:highlight w:val="none"/>
        </w:rPr>
        <w:t>　</w:t>
      </w:r>
      <w:r>
        <w:rPr>
          <w:color w:val="auto"/>
          <w:highlight w:val="none"/>
        </w:rPr>
        <w:t>地下水埋藏特征、补给排泄条件、腐蚀性及水文地质参数；</w:t>
      </w:r>
      <w:r>
        <w:rPr>
          <w:rFonts w:hint="eastAsia"/>
          <w:color w:val="auto"/>
          <w:highlight w:val="none"/>
        </w:rPr>
        <w:t>场地表土的腐蚀性；</w:t>
      </w:r>
    </w:p>
    <w:p>
      <w:pPr>
        <w:spacing w:line="360" w:lineRule="auto"/>
        <w:ind w:firstLine="422" w:firstLineChars="200"/>
        <w:rPr>
          <w:color w:val="auto"/>
          <w:highlight w:val="none"/>
        </w:rPr>
      </w:pPr>
      <w:r>
        <w:rPr>
          <w:rFonts w:hint="eastAsia"/>
          <w:b/>
          <w:bCs/>
          <w:color w:val="auto"/>
          <w:highlight w:val="none"/>
        </w:rPr>
        <w:t>4</w:t>
      </w:r>
      <w:r>
        <w:rPr>
          <w:rFonts w:hint="eastAsia"/>
          <w:color w:val="auto"/>
          <w:highlight w:val="none"/>
        </w:rPr>
        <w:t>　高耸结构处的地层分布、埋深和工程性质</w:t>
      </w:r>
      <w:r>
        <w:rPr>
          <w:color w:val="auto"/>
          <w:highlight w:val="none"/>
        </w:rPr>
        <w:t>。</w:t>
      </w:r>
    </w:p>
    <w:p>
      <w:pPr>
        <w:spacing w:line="360" w:lineRule="auto"/>
        <w:rPr>
          <w:color w:val="auto"/>
          <w:highlight w:val="none"/>
        </w:rPr>
      </w:pPr>
      <w:r>
        <w:rPr>
          <w:rFonts w:hint="eastAsia"/>
          <w:b/>
          <w:bCs/>
          <w:color w:val="auto"/>
          <w:kern w:val="0"/>
          <w:highlight w:val="none"/>
        </w:rPr>
        <w:t>12.</w:t>
      </w:r>
      <w:r>
        <w:rPr>
          <w:b/>
          <w:bCs/>
          <w:color w:val="auto"/>
          <w:kern w:val="0"/>
          <w:highlight w:val="none"/>
        </w:rPr>
        <w:t>4.</w:t>
      </w:r>
      <w:r>
        <w:rPr>
          <w:rFonts w:hint="eastAsia"/>
          <w:b/>
          <w:bCs/>
          <w:color w:val="auto"/>
          <w:kern w:val="0"/>
          <w:highlight w:val="none"/>
        </w:rPr>
        <w:t>6</w:t>
      </w:r>
      <w:r>
        <w:rPr>
          <w:rFonts w:hint="eastAsia"/>
          <w:color w:val="auto"/>
          <w:kern w:val="0"/>
          <w:highlight w:val="none"/>
        </w:rPr>
        <w:t>　</w:t>
      </w:r>
      <w:r>
        <w:rPr>
          <w:color w:val="auto"/>
          <w:kern w:val="0"/>
          <w:highlight w:val="none"/>
        </w:rPr>
        <w:t>详细</w:t>
      </w:r>
      <w:r>
        <w:rPr>
          <w:rFonts w:hint="eastAsia"/>
          <w:color w:val="auto"/>
          <w:kern w:val="0"/>
          <w:highlight w:val="none"/>
        </w:rPr>
        <w:t>勘察</w:t>
      </w:r>
      <w:r>
        <w:rPr>
          <w:color w:val="auto"/>
          <w:kern w:val="0"/>
          <w:highlight w:val="none"/>
        </w:rPr>
        <w:t>勘探点</w:t>
      </w:r>
      <w:r>
        <w:rPr>
          <w:rFonts w:hint="eastAsia"/>
          <w:color w:val="auto"/>
          <w:highlight w:val="none"/>
        </w:rPr>
        <w:t>应根据厂区建构筑物的特点</w:t>
      </w:r>
      <w:r>
        <w:rPr>
          <w:color w:val="auto"/>
          <w:kern w:val="0"/>
          <w:highlight w:val="none"/>
        </w:rPr>
        <w:t>布置</w:t>
      </w:r>
      <w:r>
        <w:rPr>
          <w:rFonts w:hint="eastAsia"/>
          <w:color w:val="auto"/>
          <w:kern w:val="0"/>
          <w:highlight w:val="none"/>
        </w:rPr>
        <w:t>，并</w:t>
      </w:r>
      <w:r>
        <w:rPr>
          <w:rFonts w:hint="eastAsia"/>
          <w:color w:val="auto"/>
          <w:highlight w:val="none"/>
        </w:rPr>
        <w:t>符合本规范8.4.2条规定；烟囱勘探点不宜少于3个。</w:t>
      </w:r>
    </w:p>
    <w:p>
      <w:pPr>
        <w:spacing w:line="360" w:lineRule="auto"/>
        <w:rPr>
          <w:color w:val="auto"/>
          <w:highlight w:val="none"/>
        </w:rPr>
      </w:pPr>
      <w:r>
        <w:rPr>
          <w:rFonts w:hint="eastAsia"/>
          <w:b/>
          <w:bCs/>
          <w:color w:val="auto"/>
          <w:kern w:val="0"/>
          <w:highlight w:val="none"/>
        </w:rPr>
        <w:t>12.4.7</w:t>
      </w:r>
      <w:r>
        <w:rPr>
          <w:rFonts w:hint="eastAsia"/>
          <w:color w:val="auto"/>
          <w:kern w:val="0"/>
          <w:highlight w:val="none"/>
        </w:rPr>
        <w:t>　详细勘察勘探孔孔深</w:t>
      </w:r>
      <w:r>
        <w:rPr>
          <w:rFonts w:hint="eastAsia"/>
          <w:color w:val="auto"/>
          <w:highlight w:val="none"/>
        </w:rPr>
        <w:t>应根据厂区建构筑物的特点控制，符合本规范第8.4.3条规定。</w:t>
      </w:r>
    </w:p>
    <w:p>
      <w:pPr>
        <w:spacing w:line="360" w:lineRule="auto"/>
        <w:rPr>
          <w:color w:val="auto"/>
          <w:kern w:val="0"/>
          <w:highlight w:val="none"/>
        </w:rPr>
      </w:pPr>
      <w:r>
        <w:rPr>
          <w:rFonts w:hint="eastAsia"/>
          <w:b/>
          <w:bCs/>
          <w:color w:val="auto"/>
          <w:kern w:val="0"/>
          <w:highlight w:val="none"/>
        </w:rPr>
        <w:t>12.</w:t>
      </w:r>
      <w:r>
        <w:rPr>
          <w:b/>
          <w:bCs/>
          <w:color w:val="auto"/>
          <w:kern w:val="0"/>
          <w:highlight w:val="none"/>
        </w:rPr>
        <w:t>4.</w:t>
      </w:r>
      <w:r>
        <w:rPr>
          <w:rFonts w:hint="eastAsia"/>
          <w:b/>
          <w:bCs/>
          <w:color w:val="auto"/>
          <w:kern w:val="0"/>
          <w:highlight w:val="none"/>
        </w:rPr>
        <w:t>8</w:t>
      </w:r>
      <w:r>
        <w:rPr>
          <w:rFonts w:hint="eastAsia"/>
          <w:color w:val="auto"/>
          <w:kern w:val="0"/>
          <w:highlight w:val="none"/>
        </w:rPr>
        <w:t>　</w:t>
      </w:r>
      <w:r>
        <w:rPr>
          <w:color w:val="auto"/>
          <w:kern w:val="0"/>
          <w:highlight w:val="none"/>
        </w:rPr>
        <w:t>详细勘察应重点分析评价下列内容：</w:t>
      </w:r>
    </w:p>
    <w:p>
      <w:pPr>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评价场地与地基的地震效应；</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2</w:t>
      </w:r>
      <w:r>
        <w:rPr>
          <w:rFonts w:hint="eastAsia"/>
          <w:color w:val="auto"/>
          <w:kern w:val="0"/>
          <w:highlight w:val="none"/>
        </w:rPr>
        <w:t>　</w:t>
      </w:r>
      <w:r>
        <w:rPr>
          <w:color w:val="auto"/>
          <w:kern w:val="0"/>
          <w:highlight w:val="none"/>
        </w:rPr>
        <w:t>地基持力层的工程特性，提出地基处理方案建议；</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3　</w:t>
      </w:r>
      <w:r>
        <w:rPr>
          <w:rFonts w:hint="eastAsia"/>
          <w:color w:val="auto"/>
          <w:kern w:val="0"/>
          <w:highlight w:val="none"/>
        </w:rPr>
        <w:t>场地及周边断层、</w:t>
      </w:r>
      <w:r>
        <w:rPr>
          <w:color w:val="auto"/>
          <w:kern w:val="0"/>
          <w:highlight w:val="none"/>
        </w:rPr>
        <w:t>溶土洞、采空区</w:t>
      </w:r>
      <w:r>
        <w:rPr>
          <w:rFonts w:hint="eastAsia"/>
          <w:color w:val="auto"/>
          <w:kern w:val="0"/>
          <w:highlight w:val="none"/>
        </w:rPr>
        <w:t>、滑坡</w:t>
      </w:r>
      <w:r>
        <w:rPr>
          <w:color w:val="auto"/>
          <w:kern w:val="0"/>
          <w:highlight w:val="none"/>
        </w:rPr>
        <w:t>等</w:t>
      </w:r>
      <w:r>
        <w:rPr>
          <w:rFonts w:hint="eastAsia"/>
          <w:color w:val="auto"/>
          <w:kern w:val="0"/>
          <w:highlight w:val="none"/>
        </w:rPr>
        <w:t>不良地质作用</w:t>
      </w:r>
      <w:r>
        <w:rPr>
          <w:color w:val="auto"/>
          <w:kern w:val="0"/>
          <w:highlight w:val="none"/>
        </w:rPr>
        <w:t>对</w:t>
      </w:r>
      <w:r>
        <w:rPr>
          <w:rFonts w:hint="eastAsia"/>
          <w:color w:val="auto"/>
          <w:kern w:val="0"/>
          <w:highlight w:val="none"/>
        </w:rPr>
        <w:t>工程</w:t>
      </w:r>
      <w:r>
        <w:rPr>
          <w:color w:val="auto"/>
          <w:kern w:val="0"/>
          <w:highlight w:val="none"/>
        </w:rPr>
        <w:t>的影响，提出</w:t>
      </w:r>
      <w:r>
        <w:rPr>
          <w:rFonts w:hint="eastAsia"/>
          <w:color w:val="auto"/>
          <w:kern w:val="0"/>
          <w:highlight w:val="none"/>
        </w:rPr>
        <w:t>相应防治措施</w:t>
      </w:r>
      <w:r>
        <w:rPr>
          <w:color w:val="auto"/>
          <w:kern w:val="0"/>
          <w:highlight w:val="none"/>
        </w:rPr>
        <w:t>建议；</w:t>
      </w:r>
    </w:p>
    <w:p>
      <w:pPr>
        <w:autoSpaceDE w:val="0"/>
        <w:autoSpaceDN w:val="0"/>
        <w:adjustRightInd w:val="0"/>
        <w:spacing w:line="360" w:lineRule="auto"/>
        <w:ind w:firstLine="422" w:firstLineChars="200"/>
        <w:jc w:val="left"/>
        <w:rPr>
          <w:color w:val="auto"/>
          <w:kern w:val="0"/>
          <w:highlight w:val="none"/>
        </w:rPr>
      </w:pPr>
      <w:r>
        <w:rPr>
          <w:rFonts w:hint="eastAsia"/>
          <w:b/>
          <w:bCs/>
          <w:color w:val="auto"/>
          <w:kern w:val="0"/>
          <w:highlight w:val="none"/>
        </w:rPr>
        <w:t>4　</w:t>
      </w:r>
      <w:r>
        <w:rPr>
          <w:rFonts w:hint="eastAsia"/>
          <w:color w:val="auto"/>
          <w:kern w:val="0"/>
          <w:highlight w:val="none"/>
        </w:rPr>
        <w:t>根据特殊性岩土的工程特性，结合地区经验提出相应</w:t>
      </w:r>
      <w:r>
        <w:rPr>
          <w:color w:val="auto"/>
          <w:szCs w:val="21"/>
          <w:highlight w:val="none"/>
        </w:rPr>
        <w:t>处理措施</w:t>
      </w:r>
      <w:r>
        <w:rPr>
          <w:rFonts w:hint="eastAsia"/>
          <w:color w:val="auto"/>
          <w:szCs w:val="21"/>
          <w:highlight w:val="none"/>
        </w:rPr>
        <w:t>建议；</w:t>
      </w:r>
    </w:p>
    <w:p>
      <w:pPr>
        <w:spacing w:line="360" w:lineRule="auto"/>
        <w:ind w:firstLine="422" w:firstLineChars="200"/>
        <w:rPr>
          <w:color w:val="auto"/>
          <w:highlight w:val="none"/>
        </w:rPr>
      </w:pPr>
      <w:r>
        <w:rPr>
          <w:rFonts w:hint="eastAsia"/>
          <w:b/>
          <w:bCs/>
          <w:color w:val="auto"/>
          <w:highlight w:val="none"/>
        </w:rPr>
        <w:t>5</w:t>
      </w:r>
      <w:r>
        <w:rPr>
          <w:rFonts w:hint="eastAsia"/>
          <w:color w:val="auto"/>
          <w:highlight w:val="none"/>
        </w:rPr>
        <w:t>　</w:t>
      </w:r>
      <w:r>
        <w:rPr>
          <w:color w:val="auto"/>
          <w:highlight w:val="none"/>
        </w:rPr>
        <w:t>提出</w:t>
      </w:r>
      <w:r>
        <w:rPr>
          <w:rFonts w:hint="eastAsia"/>
          <w:color w:val="auto"/>
          <w:highlight w:val="none"/>
        </w:rPr>
        <w:t>烟囱竖向承载力和侧向稳定性计算所需的岩土力学参数。</w:t>
      </w:r>
    </w:p>
    <w:p>
      <w:pPr>
        <w:spacing w:line="360" w:lineRule="auto"/>
        <w:ind w:firstLine="422" w:firstLineChars="200"/>
        <w:rPr>
          <w:color w:val="auto"/>
          <w:highlight w:val="none"/>
        </w:rPr>
      </w:pPr>
      <w:r>
        <w:rPr>
          <w:rFonts w:hint="eastAsia"/>
          <w:b/>
          <w:bCs/>
          <w:color w:val="auto"/>
          <w:highlight w:val="none"/>
        </w:rPr>
        <w:t>6</w:t>
      </w:r>
      <w:r>
        <w:rPr>
          <w:rFonts w:hint="eastAsia"/>
          <w:color w:val="auto"/>
          <w:highlight w:val="none"/>
        </w:rPr>
        <w:t>　分析工程建设</w:t>
      </w:r>
      <w:r>
        <w:rPr>
          <w:color w:val="auto"/>
          <w:highlight w:val="none"/>
        </w:rPr>
        <w:t>过程可能</w:t>
      </w:r>
      <w:r>
        <w:rPr>
          <w:rFonts w:hint="eastAsia"/>
          <w:color w:val="auto"/>
          <w:highlight w:val="none"/>
        </w:rPr>
        <w:t>引发或</w:t>
      </w:r>
      <w:r>
        <w:rPr>
          <w:color w:val="auto"/>
          <w:highlight w:val="none"/>
        </w:rPr>
        <w:t>遭遇的地质风险</w:t>
      </w:r>
      <w:r>
        <w:rPr>
          <w:rFonts w:hint="eastAsia"/>
          <w:color w:val="auto"/>
          <w:highlight w:val="none"/>
        </w:rPr>
        <w:t>，并提出</w:t>
      </w:r>
      <w:r>
        <w:rPr>
          <w:color w:val="auto"/>
          <w:highlight w:val="none"/>
        </w:rPr>
        <w:t>应对措施</w:t>
      </w:r>
      <w:r>
        <w:rPr>
          <w:rFonts w:hint="eastAsia"/>
          <w:color w:val="auto"/>
          <w:highlight w:val="none"/>
        </w:rPr>
        <w:t>建议。</w:t>
      </w:r>
    </w:p>
    <w:p>
      <w:pPr>
        <w:spacing w:line="360" w:lineRule="auto"/>
        <w:ind w:firstLine="560" w:firstLineChars="200"/>
        <w:rPr>
          <w:color w:val="auto"/>
          <w:sz w:val="28"/>
          <w:szCs w:val="28"/>
          <w:highlight w:val="none"/>
        </w:rPr>
      </w:pPr>
      <w:r>
        <w:rPr>
          <w:color w:val="auto"/>
          <w:sz w:val="28"/>
          <w:szCs w:val="28"/>
          <w:highlight w:val="none"/>
        </w:rPr>
        <w:br w:type="page"/>
      </w:r>
    </w:p>
    <w:p>
      <w:pPr>
        <w:rPr>
          <w:color w:val="auto"/>
          <w:sz w:val="10"/>
          <w:szCs w:val="10"/>
          <w:highlight w:val="none"/>
        </w:rPr>
      </w:pPr>
    </w:p>
    <w:p>
      <w:pPr>
        <w:pStyle w:val="2"/>
        <w:spacing w:before="480" w:after="480" w:line="240" w:lineRule="auto"/>
        <w:rPr>
          <w:color w:val="auto"/>
          <w:highlight w:val="none"/>
        </w:rPr>
      </w:pPr>
      <w:bookmarkStart w:id="223" w:name="_Toc27785"/>
      <w:bookmarkStart w:id="224" w:name="_Toc8"/>
      <w:bookmarkStart w:id="225" w:name="_Toc11988"/>
      <w:bookmarkStart w:id="226" w:name="_13　城市堤岸工程"/>
      <w:r>
        <w:rPr>
          <w:rFonts w:hint="eastAsia"/>
          <w:color w:val="auto"/>
          <w:highlight w:val="none"/>
        </w:rPr>
        <w:t>13　城市堤岸工程</w:t>
      </w:r>
      <w:bookmarkEnd w:id="223"/>
      <w:bookmarkEnd w:id="224"/>
      <w:bookmarkEnd w:id="225"/>
    </w:p>
    <w:bookmarkEnd w:id="226"/>
    <w:p>
      <w:pPr>
        <w:pStyle w:val="3"/>
        <w:rPr>
          <w:rFonts w:ascii="Times New Roman" w:hAnsi="Times New Roman" w:eastAsia="宋体"/>
          <w:color w:val="auto"/>
          <w:szCs w:val="24"/>
          <w:highlight w:val="none"/>
        </w:rPr>
      </w:pPr>
      <w:bookmarkStart w:id="227" w:name="_Toc10743"/>
      <w:bookmarkStart w:id="228" w:name="_Toc13672"/>
      <w:bookmarkStart w:id="229" w:name="_Toc12041"/>
      <w:bookmarkStart w:id="230" w:name="_13.1　一般规定"/>
      <w:r>
        <w:rPr>
          <w:rFonts w:hint="eastAsia" w:ascii="Times New Roman" w:hAnsi="Times New Roman" w:eastAsia="宋体"/>
          <w:color w:val="auto"/>
          <w:highlight w:val="none"/>
        </w:rPr>
        <w:t>13.</w:t>
      </w:r>
      <w:r>
        <w:rPr>
          <w:rFonts w:ascii="Times New Roman" w:hAnsi="Times New Roman" w:eastAsia="宋体"/>
          <w:color w:val="auto"/>
          <w:highlight w:val="none"/>
        </w:rPr>
        <w:t>1</w:t>
      </w:r>
      <w:r>
        <w:rPr>
          <w:rFonts w:hint="eastAsia" w:ascii="Times New Roman" w:hAnsi="Times New Roman" w:eastAsia="宋体"/>
          <w:color w:val="auto"/>
          <w:highlight w:val="none"/>
        </w:rPr>
        <w:t>　</w:t>
      </w:r>
      <w:r>
        <w:rPr>
          <w:rFonts w:ascii="Times New Roman" w:hAnsi="Times New Roman" w:eastAsia="宋体"/>
          <w:color w:val="auto"/>
          <w:highlight w:val="none"/>
        </w:rPr>
        <w:t>一般规定</w:t>
      </w:r>
      <w:bookmarkEnd w:id="227"/>
      <w:bookmarkEnd w:id="228"/>
      <w:bookmarkEnd w:id="229"/>
    </w:p>
    <w:bookmarkEnd w:id="230"/>
    <w:p>
      <w:pPr>
        <w:spacing w:line="360" w:lineRule="auto"/>
        <w:jc w:val="left"/>
        <w:rPr>
          <w:color w:val="auto"/>
          <w:kern w:val="0"/>
          <w:highlight w:val="none"/>
        </w:rPr>
      </w:pPr>
      <w:r>
        <w:rPr>
          <w:rFonts w:hint="eastAsia"/>
          <w:b/>
          <w:bCs/>
          <w:color w:val="auto"/>
          <w:kern w:val="0"/>
          <w:highlight w:val="none"/>
        </w:rPr>
        <w:t>13.</w:t>
      </w:r>
      <w:r>
        <w:rPr>
          <w:b/>
          <w:bCs/>
          <w:color w:val="auto"/>
          <w:kern w:val="0"/>
          <w:highlight w:val="none"/>
        </w:rPr>
        <w:t>1.1</w:t>
      </w:r>
      <w:r>
        <w:rPr>
          <w:rFonts w:hint="eastAsia"/>
          <w:b/>
          <w:bCs/>
          <w:color w:val="auto"/>
          <w:kern w:val="0"/>
          <w:highlight w:val="none"/>
        </w:rPr>
        <w:t>　</w:t>
      </w:r>
      <w:r>
        <w:rPr>
          <w:color w:val="auto"/>
          <w:kern w:val="0"/>
          <w:highlight w:val="none"/>
        </w:rPr>
        <w:t>本章适用于</w:t>
      </w:r>
      <w:r>
        <w:rPr>
          <w:rFonts w:hint="eastAsia"/>
          <w:color w:val="auto"/>
          <w:kern w:val="0"/>
          <w:highlight w:val="none"/>
        </w:rPr>
        <w:t>城市</w:t>
      </w:r>
      <w:r>
        <w:rPr>
          <w:color w:val="auto"/>
          <w:kern w:val="0"/>
          <w:highlight w:val="none"/>
        </w:rPr>
        <w:t>江、河、湖、海等堤岸工程的岩土工程勘察。</w:t>
      </w:r>
    </w:p>
    <w:p>
      <w:pPr>
        <w:spacing w:line="360" w:lineRule="auto"/>
        <w:jc w:val="left"/>
        <w:rPr>
          <w:color w:val="auto"/>
          <w:kern w:val="0"/>
          <w:highlight w:val="none"/>
        </w:rPr>
      </w:pPr>
      <w:r>
        <w:rPr>
          <w:rFonts w:hint="eastAsia"/>
          <w:b/>
          <w:bCs/>
          <w:color w:val="auto"/>
          <w:kern w:val="0"/>
          <w:highlight w:val="none"/>
        </w:rPr>
        <w:t>13.</w:t>
      </w:r>
      <w:r>
        <w:rPr>
          <w:b/>
          <w:bCs/>
          <w:color w:val="auto"/>
          <w:kern w:val="0"/>
          <w:highlight w:val="none"/>
        </w:rPr>
        <w:t>1.2</w:t>
      </w:r>
      <w:r>
        <w:rPr>
          <w:rFonts w:hint="eastAsia"/>
          <w:b/>
          <w:bCs/>
          <w:color w:val="auto"/>
          <w:kern w:val="0"/>
          <w:highlight w:val="none"/>
        </w:rPr>
        <w:t>　</w:t>
      </w:r>
      <w:r>
        <w:rPr>
          <w:color w:val="auto"/>
          <w:kern w:val="0"/>
          <w:highlight w:val="none"/>
        </w:rPr>
        <w:t>勘察前应根据</w:t>
      </w:r>
      <w:r>
        <w:rPr>
          <w:rFonts w:hint="eastAsia"/>
          <w:color w:val="auto"/>
          <w:kern w:val="0"/>
          <w:highlight w:val="none"/>
        </w:rPr>
        <w:t>不同勘察</w:t>
      </w:r>
      <w:r>
        <w:rPr>
          <w:color w:val="auto"/>
          <w:kern w:val="0"/>
          <w:highlight w:val="none"/>
        </w:rPr>
        <w:t>阶段的工作需要，取得下列图纸和资料：</w:t>
      </w:r>
    </w:p>
    <w:p>
      <w:pPr>
        <w:spacing w:line="360" w:lineRule="auto"/>
        <w:ind w:firstLine="422" w:firstLineChars="200"/>
        <w:jc w:val="left"/>
        <w:rPr>
          <w:color w:val="auto"/>
          <w:kern w:val="0"/>
          <w:highlight w:val="none"/>
        </w:rPr>
      </w:pPr>
      <w:r>
        <w:rPr>
          <w:b/>
          <w:bCs/>
          <w:color w:val="auto"/>
          <w:kern w:val="0"/>
          <w:highlight w:val="none"/>
        </w:rPr>
        <w:t>1</w:t>
      </w:r>
      <w:r>
        <w:rPr>
          <w:rFonts w:hint="eastAsia"/>
          <w:color w:val="auto"/>
          <w:kern w:val="0"/>
          <w:highlight w:val="none"/>
        </w:rPr>
        <w:t>　</w:t>
      </w:r>
      <w:r>
        <w:rPr>
          <w:color w:val="auto"/>
          <w:kern w:val="0"/>
          <w:highlight w:val="none"/>
        </w:rPr>
        <w:t>堤岸工程设计总平面布置图；</w:t>
      </w:r>
    </w:p>
    <w:p>
      <w:pPr>
        <w:spacing w:line="360" w:lineRule="auto"/>
        <w:ind w:firstLine="422" w:firstLineChars="200"/>
        <w:jc w:val="left"/>
        <w:rPr>
          <w:color w:val="auto"/>
          <w:kern w:val="0"/>
          <w:highlight w:val="none"/>
        </w:rPr>
      </w:pPr>
      <w:r>
        <w:rPr>
          <w:b/>
          <w:bCs/>
          <w:color w:val="auto"/>
          <w:kern w:val="0"/>
          <w:highlight w:val="none"/>
        </w:rPr>
        <w:t>2</w:t>
      </w:r>
      <w:r>
        <w:rPr>
          <w:rFonts w:hint="eastAsia"/>
          <w:color w:val="auto"/>
          <w:kern w:val="0"/>
          <w:highlight w:val="none"/>
        </w:rPr>
        <w:t>　</w:t>
      </w:r>
      <w:r>
        <w:rPr>
          <w:color w:val="auto"/>
          <w:highlight w:val="none"/>
        </w:rPr>
        <w:t>堤岸等级、起止位置</w:t>
      </w:r>
      <w:r>
        <w:rPr>
          <w:rFonts w:hint="eastAsia"/>
          <w:color w:val="auto"/>
          <w:highlight w:val="none"/>
        </w:rPr>
        <w:t>、</w:t>
      </w:r>
      <w:r>
        <w:rPr>
          <w:color w:val="auto"/>
          <w:kern w:val="0"/>
          <w:highlight w:val="none"/>
        </w:rPr>
        <w:t>堤岸设计标高、结构形式、</w:t>
      </w:r>
      <w:r>
        <w:rPr>
          <w:rFonts w:hint="eastAsia"/>
          <w:color w:val="auto"/>
          <w:kern w:val="0"/>
          <w:highlight w:val="none"/>
        </w:rPr>
        <w:t>剖面</w:t>
      </w:r>
      <w:r>
        <w:rPr>
          <w:color w:val="auto"/>
          <w:kern w:val="0"/>
          <w:highlight w:val="none"/>
        </w:rPr>
        <w:t>尺寸和基础形式</w:t>
      </w:r>
      <w:r>
        <w:rPr>
          <w:rFonts w:hint="eastAsia"/>
          <w:color w:val="auto"/>
          <w:kern w:val="0"/>
          <w:highlight w:val="none"/>
        </w:rPr>
        <w:t>、尺寸、预计埋藏深度</w:t>
      </w:r>
      <w:r>
        <w:rPr>
          <w:color w:val="auto"/>
          <w:highlight w:val="none"/>
        </w:rPr>
        <w:t>、与其他堤岸的连接关系</w:t>
      </w:r>
      <w:r>
        <w:rPr>
          <w:color w:val="auto"/>
          <w:kern w:val="0"/>
          <w:highlight w:val="none"/>
        </w:rPr>
        <w:t>、使用荷载</w:t>
      </w:r>
      <w:r>
        <w:rPr>
          <w:rFonts w:hint="eastAsia"/>
          <w:color w:val="auto"/>
          <w:kern w:val="0"/>
          <w:highlight w:val="none"/>
        </w:rPr>
        <w:t>等</w:t>
      </w:r>
      <w:r>
        <w:rPr>
          <w:color w:val="auto"/>
          <w:kern w:val="0"/>
          <w:highlight w:val="none"/>
        </w:rPr>
        <w:t>；</w:t>
      </w:r>
    </w:p>
    <w:p>
      <w:pPr>
        <w:autoSpaceDE w:val="0"/>
        <w:spacing w:line="360" w:lineRule="auto"/>
        <w:ind w:firstLine="422" w:firstLineChars="200"/>
        <w:jc w:val="left"/>
        <w:rPr>
          <w:color w:val="auto"/>
          <w:kern w:val="0"/>
          <w:highlight w:val="none"/>
        </w:rPr>
      </w:pPr>
      <w:r>
        <w:rPr>
          <w:b/>
          <w:bCs/>
          <w:color w:val="auto"/>
          <w:kern w:val="0"/>
          <w:highlight w:val="none"/>
        </w:rPr>
        <w:t>3</w:t>
      </w:r>
      <w:r>
        <w:rPr>
          <w:rFonts w:hint="eastAsia"/>
          <w:color w:val="auto"/>
          <w:kern w:val="0"/>
          <w:highlight w:val="none"/>
        </w:rPr>
        <w:t>　</w:t>
      </w:r>
      <w:r>
        <w:rPr>
          <w:color w:val="auto"/>
          <w:kern w:val="0"/>
          <w:highlight w:val="none"/>
        </w:rPr>
        <w:t>对于堤岸改造或加固工程，还应充分收集原堤岸的</w:t>
      </w:r>
      <w:r>
        <w:rPr>
          <w:color w:val="auto"/>
          <w:highlight w:val="none"/>
        </w:rPr>
        <w:t>结构形式和截面尺寸、基础形式</w:t>
      </w:r>
      <w:r>
        <w:rPr>
          <w:rFonts w:hint="eastAsia"/>
          <w:color w:val="auto"/>
          <w:highlight w:val="none"/>
        </w:rPr>
        <w:t>等</w:t>
      </w:r>
      <w:r>
        <w:rPr>
          <w:color w:val="auto"/>
          <w:kern w:val="0"/>
          <w:highlight w:val="none"/>
        </w:rPr>
        <w:t>勘察设计资料</w:t>
      </w:r>
      <w:r>
        <w:rPr>
          <w:rFonts w:hint="eastAsia"/>
          <w:color w:val="auto"/>
          <w:kern w:val="0"/>
          <w:highlight w:val="none"/>
        </w:rPr>
        <w:t>，堤身和堤基的历史险情和隐患的类型、规模、危害程度及抢险处理措施与效果</w:t>
      </w:r>
      <w:r>
        <w:rPr>
          <w:color w:val="auto"/>
          <w:kern w:val="0"/>
          <w:highlight w:val="none"/>
        </w:rPr>
        <w:t>。</w:t>
      </w:r>
    </w:p>
    <w:p>
      <w:pPr>
        <w:spacing w:line="360" w:lineRule="auto"/>
        <w:rPr>
          <w:b/>
          <w:color w:val="auto"/>
          <w:highlight w:val="none"/>
        </w:rPr>
      </w:pPr>
      <w:r>
        <w:rPr>
          <w:rFonts w:hint="eastAsia"/>
          <w:b/>
          <w:color w:val="auto"/>
          <w:highlight w:val="none"/>
        </w:rPr>
        <w:t>13.</w:t>
      </w:r>
      <w:r>
        <w:rPr>
          <w:b/>
          <w:color w:val="auto"/>
          <w:highlight w:val="none"/>
        </w:rPr>
        <w:t>1.3</w:t>
      </w:r>
      <w:r>
        <w:rPr>
          <w:rFonts w:hint="eastAsia"/>
          <w:b/>
          <w:color w:val="auto"/>
          <w:highlight w:val="none"/>
        </w:rPr>
        <w:t>　</w:t>
      </w:r>
      <w:r>
        <w:rPr>
          <w:rFonts w:hint="eastAsia"/>
          <w:color w:val="auto"/>
          <w:kern w:val="0"/>
          <w:highlight w:val="none"/>
        </w:rPr>
        <w:t>城市</w:t>
      </w:r>
      <w:r>
        <w:rPr>
          <w:color w:val="auto"/>
          <w:kern w:val="0"/>
          <w:highlight w:val="none"/>
        </w:rPr>
        <w:t>堤岸工程勘察宜根据地质条件和场地条件综合选用</w:t>
      </w:r>
      <w:r>
        <w:rPr>
          <w:rFonts w:hint="eastAsia"/>
          <w:color w:val="auto"/>
          <w:kern w:val="0"/>
          <w:highlight w:val="none"/>
        </w:rPr>
        <w:t>钻探</w:t>
      </w:r>
      <w:r>
        <w:rPr>
          <w:color w:val="auto"/>
          <w:kern w:val="0"/>
          <w:highlight w:val="none"/>
        </w:rPr>
        <w:t>、物探和原位测试、室内试验等方法，</w:t>
      </w:r>
      <w:r>
        <w:rPr>
          <w:rFonts w:hint="eastAsia"/>
          <w:color w:val="auto"/>
          <w:kern w:val="0"/>
          <w:highlight w:val="none"/>
        </w:rPr>
        <w:t>勘探孔</w:t>
      </w:r>
      <w:r>
        <w:rPr>
          <w:color w:val="auto"/>
          <w:kern w:val="0"/>
          <w:highlight w:val="none"/>
        </w:rPr>
        <w:t>施工完成后应</w:t>
      </w:r>
      <w:r>
        <w:rPr>
          <w:rFonts w:hint="eastAsia"/>
          <w:color w:val="auto"/>
          <w:kern w:val="0"/>
          <w:highlight w:val="none"/>
        </w:rPr>
        <w:t>按要求</w:t>
      </w:r>
      <w:r>
        <w:rPr>
          <w:color w:val="auto"/>
          <w:kern w:val="0"/>
          <w:highlight w:val="none"/>
        </w:rPr>
        <w:t>封填并压实。</w:t>
      </w:r>
    </w:p>
    <w:p>
      <w:pPr>
        <w:spacing w:line="360" w:lineRule="auto"/>
        <w:rPr>
          <w:color w:val="auto"/>
          <w:highlight w:val="none"/>
        </w:rPr>
      </w:pPr>
      <w:r>
        <w:rPr>
          <w:rFonts w:hint="eastAsia"/>
          <w:b/>
          <w:color w:val="auto"/>
          <w:highlight w:val="none"/>
        </w:rPr>
        <w:t>13.</w:t>
      </w:r>
      <w:r>
        <w:rPr>
          <w:b/>
          <w:color w:val="auto"/>
          <w:highlight w:val="none"/>
        </w:rPr>
        <w:t>1.4</w:t>
      </w:r>
      <w:r>
        <w:rPr>
          <w:rFonts w:hint="eastAsia"/>
          <w:b/>
          <w:color w:val="auto"/>
          <w:highlight w:val="none"/>
        </w:rPr>
        <w:t>　</w:t>
      </w:r>
      <w:r>
        <w:rPr>
          <w:rFonts w:hint="eastAsia"/>
          <w:color w:val="auto"/>
          <w:kern w:val="0"/>
          <w:highlight w:val="none"/>
        </w:rPr>
        <w:t>城市</w:t>
      </w:r>
      <w:r>
        <w:rPr>
          <w:color w:val="auto"/>
          <w:kern w:val="0"/>
          <w:highlight w:val="none"/>
        </w:rPr>
        <w:t>堤岸工程勘察</w:t>
      </w:r>
      <w:r>
        <w:rPr>
          <w:color w:val="auto"/>
          <w:highlight w:val="none"/>
        </w:rPr>
        <w:t>宜沿堤岸中心线布置</w:t>
      </w:r>
      <w:r>
        <w:rPr>
          <w:rFonts w:hint="eastAsia"/>
          <w:color w:val="auto"/>
          <w:highlight w:val="none"/>
        </w:rPr>
        <w:t>纵勘探线，并布置适当的横勘探线。</w:t>
      </w:r>
    </w:p>
    <w:p>
      <w:pPr>
        <w:spacing w:line="360" w:lineRule="auto"/>
        <w:rPr>
          <w:color w:val="auto"/>
          <w:highlight w:val="none"/>
        </w:rPr>
      </w:pPr>
      <w:r>
        <w:rPr>
          <w:rFonts w:hint="eastAsia"/>
          <w:b/>
          <w:bCs/>
          <w:color w:val="auto"/>
          <w:kern w:val="0"/>
          <w:highlight w:val="none"/>
        </w:rPr>
        <w:t>13.</w:t>
      </w:r>
      <w:r>
        <w:rPr>
          <w:b/>
          <w:bCs/>
          <w:color w:val="auto"/>
          <w:kern w:val="0"/>
          <w:highlight w:val="none"/>
        </w:rPr>
        <w:t>1.5</w:t>
      </w:r>
      <w:r>
        <w:rPr>
          <w:rFonts w:hint="eastAsia"/>
          <w:b/>
          <w:bCs/>
          <w:color w:val="auto"/>
          <w:kern w:val="0"/>
          <w:highlight w:val="none"/>
        </w:rPr>
        <w:t>　</w:t>
      </w:r>
      <w:r>
        <w:rPr>
          <w:color w:val="auto"/>
          <w:kern w:val="0"/>
          <w:highlight w:val="none"/>
        </w:rPr>
        <w:t>取样和原位测试</w:t>
      </w:r>
      <w:r>
        <w:rPr>
          <w:rFonts w:hint="eastAsia"/>
          <w:color w:val="auto"/>
          <w:kern w:val="0"/>
          <w:highlight w:val="none"/>
        </w:rPr>
        <w:t>工作</w:t>
      </w:r>
      <w:r>
        <w:rPr>
          <w:rFonts w:hint="eastAsia"/>
          <w:color w:val="auto"/>
          <w:highlight w:val="none"/>
        </w:rPr>
        <w:t>除符合第3.0.7、3.0.9条的规定外，尚</w:t>
      </w:r>
      <w:r>
        <w:rPr>
          <w:color w:val="auto"/>
          <w:highlight w:val="none"/>
        </w:rPr>
        <w:t>应符合下列规定：</w:t>
      </w:r>
    </w:p>
    <w:p>
      <w:pPr>
        <w:spacing w:line="360" w:lineRule="auto"/>
        <w:ind w:firstLine="422" w:firstLineChars="200"/>
        <w:rPr>
          <w:color w:val="auto"/>
          <w:highlight w:val="none"/>
        </w:rPr>
      </w:pPr>
      <w:r>
        <w:rPr>
          <w:rFonts w:hint="eastAsia"/>
          <w:b/>
          <w:bCs/>
          <w:color w:val="auto"/>
          <w:kern w:val="0"/>
          <w:highlight w:val="none"/>
        </w:rPr>
        <w:t>1　</w:t>
      </w:r>
      <w:r>
        <w:rPr>
          <w:color w:val="auto"/>
          <w:highlight w:val="none"/>
        </w:rPr>
        <w:t>软土应进行</w:t>
      </w:r>
      <w:r>
        <w:rPr>
          <w:color w:val="auto"/>
          <w:kern w:val="0"/>
          <w:highlight w:val="none"/>
        </w:rPr>
        <w:t>固结</w:t>
      </w:r>
      <w:r>
        <w:rPr>
          <w:rFonts w:hint="eastAsia"/>
          <w:color w:val="auto"/>
          <w:kern w:val="0"/>
          <w:highlight w:val="none"/>
        </w:rPr>
        <w:t>试验</w:t>
      </w:r>
      <w:r>
        <w:rPr>
          <w:color w:val="auto"/>
          <w:kern w:val="0"/>
          <w:highlight w:val="none"/>
        </w:rPr>
        <w:t>、有机质</w:t>
      </w:r>
      <w:r>
        <w:rPr>
          <w:rFonts w:hint="eastAsia"/>
          <w:color w:val="auto"/>
          <w:kern w:val="0"/>
          <w:highlight w:val="none"/>
        </w:rPr>
        <w:t>含量试验</w:t>
      </w:r>
      <w:r>
        <w:rPr>
          <w:color w:val="auto"/>
          <w:kern w:val="0"/>
          <w:highlight w:val="none"/>
        </w:rPr>
        <w:t>和</w:t>
      </w:r>
      <w:r>
        <w:rPr>
          <w:color w:val="auto"/>
          <w:highlight w:val="none"/>
        </w:rPr>
        <w:t>无侧限抗压强度试验，并根据需要</w:t>
      </w:r>
      <w:r>
        <w:rPr>
          <w:color w:val="auto"/>
          <w:kern w:val="0"/>
          <w:highlight w:val="none"/>
        </w:rPr>
        <w:t>选做三轴</w:t>
      </w:r>
      <w:r>
        <w:rPr>
          <w:color w:val="auto"/>
          <w:highlight w:val="none"/>
        </w:rPr>
        <w:t>固结</w:t>
      </w:r>
      <w:r>
        <w:rPr>
          <w:rFonts w:hint="eastAsia"/>
          <w:color w:val="auto"/>
          <w:highlight w:val="none"/>
        </w:rPr>
        <w:t>不排水</w:t>
      </w:r>
      <w:r>
        <w:rPr>
          <w:rFonts w:hint="eastAsia"/>
          <w:color w:val="auto"/>
          <w:kern w:val="0"/>
          <w:highlight w:val="none"/>
        </w:rPr>
        <w:t>剪</w:t>
      </w:r>
      <w:r>
        <w:rPr>
          <w:color w:val="auto"/>
          <w:highlight w:val="none"/>
        </w:rPr>
        <w:t>试验</w:t>
      </w:r>
      <w:r>
        <w:rPr>
          <w:rFonts w:hint="eastAsia"/>
          <w:color w:val="auto"/>
          <w:highlight w:val="none"/>
        </w:rPr>
        <w:t>；</w:t>
      </w:r>
    </w:p>
    <w:p>
      <w:pPr>
        <w:spacing w:line="360" w:lineRule="auto"/>
        <w:ind w:firstLine="422" w:firstLineChars="200"/>
        <w:rPr>
          <w:color w:val="auto"/>
          <w:kern w:val="0"/>
          <w:highlight w:val="none"/>
        </w:rPr>
      </w:pPr>
      <w:r>
        <w:rPr>
          <w:rFonts w:hint="eastAsia"/>
          <w:b/>
          <w:bCs/>
          <w:color w:val="auto"/>
          <w:kern w:val="0"/>
          <w:highlight w:val="none"/>
        </w:rPr>
        <w:t>2　</w:t>
      </w:r>
      <w:r>
        <w:rPr>
          <w:color w:val="auto"/>
          <w:kern w:val="0"/>
          <w:highlight w:val="none"/>
        </w:rPr>
        <w:t>软土宜进行静力触探试验和</w:t>
      </w:r>
      <w:r>
        <w:rPr>
          <w:color w:val="auto"/>
          <w:highlight w:val="none"/>
        </w:rPr>
        <w:t>十字板剪切试验</w:t>
      </w:r>
      <w:r>
        <w:rPr>
          <w:color w:val="auto"/>
          <w:kern w:val="0"/>
          <w:highlight w:val="none"/>
        </w:rPr>
        <w:t>。</w:t>
      </w:r>
    </w:p>
    <w:p>
      <w:pPr>
        <w:pStyle w:val="3"/>
        <w:rPr>
          <w:rFonts w:ascii="Times New Roman" w:hAnsi="Times New Roman" w:eastAsia="宋体"/>
          <w:color w:val="auto"/>
          <w:highlight w:val="none"/>
        </w:rPr>
      </w:pPr>
      <w:bookmarkStart w:id="231" w:name="_Toc30232"/>
      <w:bookmarkStart w:id="232" w:name="_Toc27892"/>
      <w:bookmarkStart w:id="233" w:name="_Toc22388"/>
      <w:bookmarkStart w:id="234" w:name="_13.2　可行性研究勘察"/>
      <w:r>
        <w:rPr>
          <w:rFonts w:hint="eastAsia" w:ascii="Times New Roman" w:hAnsi="Times New Roman" w:eastAsia="宋体"/>
          <w:color w:val="auto"/>
          <w:highlight w:val="none"/>
        </w:rPr>
        <w:t>13.</w:t>
      </w:r>
      <w:r>
        <w:rPr>
          <w:rFonts w:ascii="Times New Roman" w:hAnsi="Times New Roman" w:eastAsia="宋体"/>
          <w:color w:val="auto"/>
          <w:highlight w:val="none"/>
        </w:rPr>
        <w:t>2</w:t>
      </w:r>
      <w:r>
        <w:rPr>
          <w:rFonts w:hint="eastAsia" w:ascii="Times New Roman" w:hAnsi="Times New Roman" w:eastAsia="宋体"/>
          <w:color w:val="auto"/>
          <w:highlight w:val="none"/>
        </w:rPr>
        <w:t>　</w:t>
      </w:r>
      <w:r>
        <w:rPr>
          <w:rFonts w:ascii="Times New Roman" w:hAnsi="Times New Roman" w:eastAsia="宋体"/>
          <w:color w:val="auto"/>
          <w:highlight w:val="none"/>
        </w:rPr>
        <w:t>可行性研究勘察</w:t>
      </w:r>
      <w:bookmarkEnd w:id="231"/>
      <w:bookmarkEnd w:id="232"/>
      <w:bookmarkEnd w:id="233"/>
    </w:p>
    <w:bookmarkEnd w:id="234"/>
    <w:p>
      <w:pPr>
        <w:autoSpaceDE w:val="0"/>
        <w:spacing w:line="360" w:lineRule="auto"/>
        <w:jc w:val="left"/>
        <w:rPr>
          <w:color w:val="auto"/>
          <w:kern w:val="0"/>
          <w:highlight w:val="none"/>
        </w:rPr>
      </w:pPr>
      <w:r>
        <w:rPr>
          <w:rFonts w:hint="eastAsia"/>
          <w:b/>
          <w:bCs/>
          <w:color w:val="auto"/>
          <w:kern w:val="0"/>
          <w:highlight w:val="none"/>
        </w:rPr>
        <w:t>13.</w:t>
      </w:r>
      <w:r>
        <w:rPr>
          <w:b/>
          <w:bCs/>
          <w:color w:val="auto"/>
          <w:kern w:val="0"/>
          <w:highlight w:val="none"/>
        </w:rPr>
        <w:t>2.1</w:t>
      </w:r>
      <w:r>
        <w:rPr>
          <w:rFonts w:hint="eastAsia"/>
          <w:b/>
          <w:bCs/>
          <w:color w:val="auto"/>
          <w:kern w:val="0"/>
          <w:highlight w:val="none"/>
        </w:rPr>
        <w:t>　</w:t>
      </w:r>
      <w:r>
        <w:rPr>
          <w:color w:val="auto"/>
          <w:kern w:val="0"/>
          <w:highlight w:val="none"/>
        </w:rPr>
        <w:t>可行性研究</w:t>
      </w:r>
      <w:r>
        <w:rPr>
          <w:rFonts w:hint="eastAsia"/>
          <w:color w:val="auto"/>
          <w:kern w:val="0"/>
          <w:highlight w:val="none"/>
        </w:rPr>
        <w:t>勘察</w:t>
      </w:r>
      <w:r>
        <w:rPr>
          <w:color w:val="auto"/>
          <w:kern w:val="0"/>
          <w:highlight w:val="none"/>
        </w:rPr>
        <w:t>应以搜集资料、工程地质</w:t>
      </w:r>
      <w:r>
        <w:rPr>
          <w:rFonts w:hint="eastAsia"/>
          <w:color w:val="auto"/>
          <w:kern w:val="0"/>
          <w:highlight w:val="none"/>
        </w:rPr>
        <w:t>调查与测绘</w:t>
      </w:r>
      <w:r>
        <w:rPr>
          <w:color w:val="auto"/>
          <w:kern w:val="0"/>
          <w:highlight w:val="none"/>
        </w:rPr>
        <w:t>为主，以</w:t>
      </w:r>
      <w:r>
        <w:rPr>
          <w:rFonts w:hint="eastAsia"/>
          <w:color w:val="auto"/>
          <w:kern w:val="0"/>
          <w:highlight w:val="none"/>
        </w:rPr>
        <w:t>钻探</w:t>
      </w:r>
      <w:r>
        <w:rPr>
          <w:color w:val="auto"/>
          <w:kern w:val="0"/>
          <w:highlight w:val="none"/>
        </w:rPr>
        <w:t>、物探为辅。</w:t>
      </w:r>
    </w:p>
    <w:p>
      <w:pPr>
        <w:autoSpaceDE w:val="0"/>
        <w:spacing w:line="360" w:lineRule="auto"/>
        <w:jc w:val="left"/>
        <w:rPr>
          <w:color w:val="auto"/>
          <w:kern w:val="0"/>
          <w:highlight w:val="none"/>
        </w:rPr>
      </w:pPr>
      <w:r>
        <w:rPr>
          <w:rFonts w:hint="eastAsia"/>
          <w:b/>
          <w:bCs/>
          <w:color w:val="auto"/>
          <w:kern w:val="0"/>
          <w:highlight w:val="none"/>
        </w:rPr>
        <w:t>13.</w:t>
      </w:r>
      <w:r>
        <w:rPr>
          <w:b/>
          <w:bCs/>
          <w:color w:val="auto"/>
          <w:kern w:val="0"/>
          <w:highlight w:val="none"/>
        </w:rPr>
        <w:t>2.2</w:t>
      </w:r>
      <w:r>
        <w:rPr>
          <w:rFonts w:hint="eastAsia"/>
          <w:b/>
          <w:bCs/>
          <w:color w:val="auto"/>
          <w:kern w:val="0"/>
          <w:highlight w:val="none"/>
        </w:rPr>
        <w:t>　</w:t>
      </w:r>
      <w:r>
        <w:rPr>
          <w:color w:val="auto"/>
          <w:kern w:val="0"/>
          <w:highlight w:val="none"/>
        </w:rPr>
        <w:t>当新建堤岸附近无</w:t>
      </w:r>
      <w:r>
        <w:rPr>
          <w:rFonts w:hint="eastAsia"/>
          <w:color w:val="auto"/>
          <w:kern w:val="0"/>
          <w:highlight w:val="none"/>
        </w:rPr>
        <w:t>勘探</w:t>
      </w:r>
      <w:r>
        <w:rPr>
          <w:color w:val="auto"/>
          <w:kern w:val="0"/>
          <w:highlight w:val="none"/>
        </w:rPr>
        <w:t>资料时，可沿堤岸中心线布置纵</w:t>
      </w:r>
      <w:r>
        <w:rPr>
          <w:rFonts w:hint="eastAsia"/>
          <w:color w:val="auto"/>
          <w:kern w:val="0"/>
          <w:highlight w:val="none"/>
        </w:rPr>
        <w:t>剖面</w:t>
      </w:r>
      <w:r>
        <w:rPr>
          <w:color w:val="auto"/>
          <w:kern w:val="0"/>
          <w:highlight w:val="none"/>
        </w:rPr>
        <w:t>勘探点，勘探点间距宜为500m～1000m。</w:t>
      </w:r>
    </w:p>
    <w:p>
      <w:pPr>
        <w:autoSpaceDE w:val="0"/>
        <w:spacing w:line="360" w:lineRule="auto"/>
        <w:jc w:val="left"/>
        <w:rPr>
          <w:color w:val="auto"/>
          <w:kern w:val="0"/>
          <w:highlight w:val="none"/>
        </w:rPr>
      </w:pPr>
      <w:r>
        <w:rPr>
          <w:rFonts w:hint="eastAsia"/>
          <w:b/>
          <w:bCs/>
          <w:color w:val="auto"/>
          <w:kern w:val="0"/>
          <w:highlight w:val="none"/>
        </w:rPr>
        <w:t>13.</w:t>
      </w:r>
      <w:r>
        <w:rPr>
          <w:b/>
          <w:bCs/>
          <w:color w:val="auto"/>
          <w:kern w:val="0"/>
          <w:highlight w:val="none"/>
        </w:rPr>
        <w:t>2.3</w:t>
      </w:r>
      <w:r>
        <w:rPr>
          <w:rFonts w:hint="eastAsia"/>
          <w:b/>
          <w:bCs/>
          <w:color w:val="auto"/>
          <w:kern w:val="0"/>
          <w:highlight w:val="none"/>
        </w:rPr>
        <w:t>　</w:t>
      </w:r>
      <w:r>
        <w:rPr>
          <w:color w:val="auto"/>
          <w:kern w:val="0"/>
          <w:highlight w:val="none"/>
        </w:rPr>
        <w:t>勘探</w:t>
      </w:r>
      <w:r>
        <w:rPr>
          <w:rFonts w:hint="eastAsia"/>
          <w:color w:val="auto"/>
          <w:kern w:val="0"/>
          <w:highlight w:val="none"/>
        </w:rPr>
        <w:t>孔</w:t>
      </w:r>
      <w:r>
        <w:rPr>
          <w:color w:val="auto"/>
          <w:kern w:val="0"/>
          <w:highlight w:val="none"/>
        </w:rPr>
        <w:t>深度宜深入河床以下</w:t>
      </w:r>
      <w:r>
        <w:rPr>
          <w:rFonts w:hint="eastAsia"/>
          <w:color w:val="auto"/>
          <w:kern w:val="0"/>
          <w:highlight w:val="none"/>
        </w:rPr>
        <w:t>10</w:t>
      </w:r>
      <w:r>
        <w:rPr>
          <w:color w:val="auto"/>
          <w:kern w:val="0"/>
          <w:highlight w:val="none"/>
        </w:rPr>
        <w:t>m～2</w:t>
      </w:r>
      <w:r>
        <w:rPr>
          <w:rFonts w:hint="eastAsia"/>
          <w:color w:val="auto"/>
          <w:kern w:val="0"/>
          <w:highlight w:val="none"/>
        </w:rPr>
        <w:t>0</w:t>
      </w:r>
      <w:r>
        <w:rPr>
          <w:color w:val="auto"/>
          <w:kern w:val="0"/>
          <w:highlight w:val="none"/>
        </w:rPr>
        <w:t>m，</w:t>
      </w:r>
      <w:r>
        <w:rPr>
          <w:rFonts w:hint="eastAsia"/>
          <w:color w:val="auto"/>
          <w:kern w:val="0"/>
          <w:highlight w:val="none"/>
        </w:rPr>
        <w:t>且不小于2.0倍堤高；</w:t>
      </w:r>
      <w:r>
        <w:rPr>
          <w:color w:val="auto"/>
          <w:kern w:val="0"/>
          <w:highlight w:val="none"/>
        </w:rPr>
        <w:t>在预定勘探深度内遇软土层或砂层时，勘探</w:t>
      </w:r>
      <w:r>
        <w:rPr>
          <w:rFonts w:hint="eastAsia"/>
          <w:color w:val="auto"/>
          <w:kern w:val="0"/>
          <w:highlight w:val="none"/>
        </w:rPr>
        <w:t>孔</w:t>
      </w:r>
      <w:r>
        <w:rPr>
          <w:color w:val="auto"/>
          <w:kern w:val="0"/>
          <w:highlight w:val="none"/>
        </w:rPr>
        <w:t>应穿过软土层</w:t>
      </w:r>
      <w:r>
        <w:rPr>
          <w:rFonts w:hint="eastAsia"/>
          <w:color w:val="auto"/>
          <w:kern w:val="0"/>
          <w:highlight w:val="none"/>
          <w:lang w:eastAsia="zh-CN"/>
        </w:rPr>
        <w:t>、</w:t>
      </w:r>
      <w:r>
        <w:rPr>
          <w:color w:val="auto"/>
          <w:kern w:val="0"/>
          <w:highlight w:val="none"/>
        </w:rPr>
        <w:t>砂层一定深度。</w:t>
      </w:r>
    </w:p>
    <w:p>
      <w:pPr>
        <w:autoSpaceDE w:val="0"/>
        <w:spacing w:line="360" w:lineRule="auto"/>
        <w:jc w:val="left"/>
        <w:rPr>
          <w:color w:val="auto"/>
          <w:kern w:val="0"/>
          <w:highlight w:val="none"/>
        </w:rPr>
      </w:pPr>
      <w:r>
        <w:rPr>
          <w:rFonts w:hint="eastAsia"/>
          <w:b/>
          <w:bCs/>
          <w:color w:val="auto"/>
          <w:kern w:val="0"/>
          <w:highlight w:val="none"/>
        </w:rPr>
        <w:t>13.</w:t>
      </w:r>
      <w:r>
        <w:rPr>
          <w:b/>
          <w:bCs/>
          <w:color w:val="auto"/>
          <w:kern w:val="0"/>
          <w:highlight w:val="none"/>
        </w:rPr>
        <w:t>2.4</w:t>
      </w:r>
      <w:r>
        <w:rPr>
          <w:rFonts w:hint="eastAsia"/>
          <w:b/>
          <w:bCs/>
          <w:color w:val="auto"/>
          <w:kern w:val="0"/>
          <w:highlight w:val="none"/>
        </w:rPr>
        <w:t>　</w:t>
      </w:r>
      <w:r>
        <w:rPr>
          <w:color w:val="auto"/>
          <w:kern w:val="0"/>
          <w:highlight w:val="none"/>
        </w:rPr>
        <w:t>可行性研究阶段可根据需要，采用物探方法初步查明下列内容：</w:t>
      </w:r>
    </w:p>
    <w:p>
      <w:pPr>
        <w:autoSpaceDE w:val="0"/>
        <w:spacing w:line="360" w:lineRule="auto"/>
        <w:ind w:firstLine="405"/>
        <w:jc w:val="left"/>
        <w:rPr>
          <w:color w:val="auto"/>
          <w:kern w:val="0"/>
          <w:highlight w:val="none"/>
        </w:rPr>
      </w:pPr>
      <w:r>
        <w:rPr>
          <w:b/>
          <w:bCs/>
          <w:color w:val="auto"/>
          <w:kern w:val="0"/>
          <w:highlight w:val="none"/>
        </w:rPr>
        <w:t>1</w:t>
      </w:r>
      <w:r>
        <w:rPr>
          <w:rFonts w:hint="eastAsia"/>
          <w:b/>
          <w:bCs/>
          <w:color w:val="auto"/>
          <w:kern w:val="0"/>
          <w:highlight w:val="none"/>
        </w:rPr>
        <w:t>　</w:t>
      </w:r>
      <w:r>
        <w:rPr>
          <w:color w:val="auto"/>
          <w:kern w:val="0"/>
          <w:highlight w:val="none"/>
        </w:rPr>
        <w:t>探测基岩埋藏深度、断层破碎带位置及岩溶发育情况；</w:t>
      </w:r>
    </w:p>
    <w:p>
      <w:pPr>
        <w:autoSpaceDE w:val="0"/>
        <w:spacing w:line="360" w:lineRule="auto"/>
        <w:ind w:firstLine="405"/>
        <w:jc w:val="left"/>
        <w:rPr>
          <w:color w:val="auto"/>
          <w:kern w:val="0"/>
          <w:highlight w:val="none"/>
        </w:rPr>
      </w:pPr>
      <w:r>
        <w:rPr>
          <w:b/>
          <w:bCs/>
          <w:color w:val="auto"/>
          <w:kern w:val="0"/>
          <w:highlight w:val="none"/>
        </w:rPr>
        <w:t>2</w:t>
      </w:r>
      <w:r>
        <w:rPr>
          <w:rFonts w:hint="eastAsia"/>
          <w:b/>
          <w:bCs/>
          <w:color w:val="auto"/>
          <w:kern w:val="0"/>
          <w:highlight w:val="none"/>
        </w:rPr>
        <w:t>　</w:t>
      </w:r>
      <w:r>
        <w:rPr>
          <w:color w:val="auto"/>
          <w:kern w:val="0"/>
          <w:highlight w:val="none"/>
        </w:rPr>
        <w:t>探测透水层及相对隔水层分布及厚度、地下水位；</w:t>
      </w:r>
    </w:p>
    <w:p>
      <w:pPr>
        <w:autoSpaceDE w:val="0"/>
        <w:spacing w:line="360" w:lineRule="auto"/>
        <w:ind w:firstLine="405"/>
        <w:jc w:val="left"/>
        <w:rPr>
          <w:color w:val="auto"/>
          <w:kern w:val="0"/>
          <w:highlight w:val="none"/>
        </w:rPr>
      </w:pPr>
      <w:r>
        <w:rPr>
          <w:b/>
          <w:bCs/>
          <w:color w:val="auto"/>
          <w:kern w:val="0"/>
          <w:highlight w:val="none"/>
        </w:rPr>
        <w:t>3</w:t>
      </w:r>
      <w:r>
        <w:rPr>
          <w:rFonts w:hint="eastAsia"/>
          <w:b/>
          <w:bCs/>
          <w:color w:val="auto"/>
          <w:kern w:val="0"/>
          <w:highlight w:val="none"/>
        </w:rPr>
        <w:t>　</w:t>
      </w:r>
      <w:r>
        <w:rPr>
          <w:color w:val="auto"/>
          <w:kern w:val="0"/>
          <w:highlight w:val="none"/>
        </w:rPr>
        <w:t>测定岩土层的电阻率、波速等参数；</w:t>
      </w:r>
    </w:p>
    <w:p>
      <w:pPr>
        <w:autoSpaceDE w:val="0"/>
        <w:spacing w:line="360" w:lineRule="auto"/>
        <w:ind w:firstLine="405"/>
        <w:jc w:val="left"/>
        <w:rPr>
          <w:color w:val="auto"/>
          <w:kern w:val="0"/>
          <w:highlight w:val="none"/>
        </w:rPr>
      </w:pPr>
      <w:r>
        <w:rPr>
          <w:b/>
          <w:bCs/>
          <w:color w:val="auto"/>
          <w:kern w:val="0"/>
          <w:highlight w:val="none"/>
        </w:rPr>
        <w:t>4</w:t>
      </w:r>
      <w:r>
        <w:rPr>
          <w:rFonts w:hint="eastAsia"/>
          <w:b/>
          <w:bCs/>
          <w:color w:val="auto"/>
          <w:kern w:val="0"/>
          <w:highlight w:val="none"/>
        </w:rPr>
        <w:t>　</w:t>
      </w:r>
      <w:r>
        <w:rPr>
          <w:color w:val="auto"/>
          <w:kern w:val="0"/>
          <w:highlight w:val="none"/>
        </w:rPr>
        <w:t>探测已建堤防的洞穴、决口口门及其冲积扇、古河道、渗漏段等隐患部位。</w:t>
      </w:r>
    </w:p>
    <w:p>
      <w:pPr>
        <w:spacing w:line="360" w:lineRule="auto"/>
        <w:jc w:val="left"/>
        <w:rPr>
          <w:color w:val="auto"/>
          <w:kern w:val="0"/>
          <w:highlight w:val="none"/>
        </w:rPr>
      </w:pPr>
      <w:r>
        <w:rPr>
          <w:rFonts w:hint="eastAsia"/>
          <w:b/>
          <w:bCs/>
          <w:color w:val="auto"/>
          <w:kern w:val="0"/>
          <w:highlight w:val="none"/>
        </w:rPr>
        <w:t>13.</w:t>
      </w:r>
      <w:r>
        <w:rPr>
          <w:b/>
          <w:bCs/>
          <w:color w:val="auto"/>
          <w:kern w:val="0"/>
          <w:highlight w:val="none"/>
        </w:rPr>
        <w:t>2.5</w:t>
      </w:r>
      <w:r>
        <w:rPr>
          <w:rFonts w:hint="eastAsia"/>
          <w:b/>
          <w:bCs/>
          <w:color w:val="auto"/>
          <w:kern w:val="0"/>
          <w:highlight w:val="none"/>
        </w:rPr>
        <w:t>　</w:t>
      </w:r>
      <w:r>
        <w:rPr>
          <w:color w:val="auto"/>
          <w:kern w:val="0"/>
          <w:highlight w:val="none"/>
        </w:rPr>
        <w:t>可行性研究勘察应重点分析评价下列内容：</w:t>
      </w:r>
    </w:p>
    <w:p>
      <w:pPr>
        <w:spacing w:line="360" w:lineRule="auto"/>
        <w:ind w:firstLine="405"/>
        <w:jc w:val="left"/>
        <w:rPr>
          <w:color w:val="auto"/>
          <w:kern w:val="0"/>
          <w:highlight w:val="none"/>
        </w:rPr>
      </w:pPr>
      <w:r>
        <w:rPr>
          <w:b/>
          <w:bCs/>
          <w:color w:val="auto"/>
          <w:kern w:val="0"/>
          <w:highlight w:val="none"/>
        </w:rPr>
        <w:t>1</w:t>
      </w:r>
      <w:r>
        <w:rPr>
          <w:rFonts w:hint="eastAsia"/>
          <w:color w:val="auto"/>
          <w:kern w:val="0"/>
          <w:highlight w:val="none"/>
        </w:rPr>
        <w:t>　</w:t>
      </w:r>
      <w:r>
        <w:rPr>
          <w:color w:val="auto"/>
          <w:kern w:val="0"/>
          <w:highlight w:val="none"/>
        </w:rPr>
        <w:t>场地的稳定性和</w:t>
      </w:r>
      <w:r>
        <w:rPr>
          <w:rFonts w:hint="eastAsia"/>
          <w:color w:val="auto"/>
          <w:kern w:val="0"/>
          <w:highlight w:val="none"/>
        </w:rPr>
        <w:t>工程建设的</w:t>
      </w:r>
      <w:r>
        <w:rPr>
          <w:color w:val="auto"/>
          <w:kern w:val="0"/>
          <w:highlight w:val="none"/>
        </w:rPr>
        <w:t>适宜性；</w:t>
      </w:r>
    </w:p>
    <w:p>
      <w:pPr>
        <w:spacing w:line="360" w:lineRule="auto"/>
        <w:ind w:firstLine="405"/>
        <w:jc w:val="left"/>
        <w:rPr>
          <w:color w:val="auto"/>
          <w:kern w:val="0"/>
          <w:highlight w:val="none"/>
        </w:rPr>
      </w:pPr>
      <w:r>
        <w:rPr>
          <w:b/>
          <w:bCs/>
          <w:color w:val="auto"/>
          <w:kern w:val="0"/>
          <w:highlight w:val="none"/>
        </w:rPr>
        <w:t>2</w:t>
      </w:r>
      <w:r>
        <w:rPr>
          <w:rFonts w:hint="eastAsia"/>
          <w:color w:val="auto"/>
          <w:kern w:val="0"/>
          <w:highlight w:val="none"/>
        </w:rPr>
        <w:t>　</w:t>
      </w:r>
      <w:r>
        <w:rPr>
          <w:color w:val="auto"/>
          <w:kern w:val="0"/>
          <w:highlight w:val="none"/>
        </w:rPr>
        <w:t>场地存在不良地质作用时，应初步了解其分布的范围；</w:t>
      </w:r>
    </w:p>
    <w:p>
      <w:pPr>
        <w:spacing w:line="360" w:lineRule="auto"/>
        <w:ind w:firstLine="405"/>
        <w:jc w:val="left"/>
        <w:rPr>
          <w:color w:val="auto"/>
          <w:kern w:val="0"/>
          <w:highlight w:val="none"/>
        </w:rPr>
      </w:pPr>
      <w:r>
        <w:rPr>
          <w:b/>
          <w:bCs/>
          <w:color w:val="auto"/>
          <w:kern w:val="0"/>
          <w:highlight w:val="none"/>
        </w:rPr>
        <w:t>3</w:t>
      </w:r>
      <w:r>
        <w:rPr>
          <w:rFonts w:hint="eastAsia"/>
          <w:color w:val="auto"/>
          <w:kern w:val="0"/>
          <w:highlight w:val="none"/>
        </w:rPr>
        <w:t>　</w:t>
      </w:r>
      <w:r>
        <w:rPr>
          <w:color w:val="auto"/>
          <w:kern w:val="0"/>
          <w:highlight w:val="none"/>
        </w:rPr>
        <w:t>场地分布特殊性岩土时，应了解其工程特性，分析评价可能造成的不利影响。</w:t>
      </w:r>
    </w:p>
    <w:p>
      <w:pPr>
        <w:pStyle w:val="3"/>
        <w:rPr>
          <w:rFonts w:ascii="Times New Roman" w:hAnsi="Times New Roman" w:eastAsia="宋体"/>
          <w:color w:val="auto"/>
          <w:highlight w:val="none"/>
        </w:rPr>
      </w:pPr>
      <w:bookmarkStart w:id="235" w:name="_Toc9165"/>
      <w:bookmarkStart w:id="236" w:name="_Toc11525"/>
      <w:bookmarkStart w:id="237" w:name="_Toc27407"/>
      <w:bookmarkStart w:id="238" w:name="_13.3　初步勘察"/>
      <w:r>
        <w:rPr>
          <w:rFonts w:hint="eastAsia" w:ascii="Times New Roman" w:hAnsi="Times New Roman" w:eastAsia="宋体"/>
          <w:color w:val="auto"/>
          <w:highlight w:val="none"/>
        </w:rPr>
        <w:t>13.</w:t>
      </w:r>
      <w:r>
        <w:rPr>
          <w:rFonts w:ascii="Times New Roman" w:hAnsi="Times New Roman" w:eastAsia="宋体"/>
          <w:color w:val="auto"/>
          <w:highlight w:val="none"/>
        </w:rPr>
        <w:t>3</w:t>
      </w:r>
      <w:r>
        <w:rPr>
          <w:rFonts w:hint="eastAsia" w:ascii="Times New Roman" w:hAnsi="Times New Roman" w:eastAsia="宋体"/>
          <w:color w:val="auto"/>
          <w:highlight w:val="none"/>
        </w:rPr>
        <w:t>　</w:t>
      </w:r>
      <w:r>
        <w:rPr>
          <w:rFonts w:ascii="Times New Roman" w:hAnsi="Times New Roman" w:eastAsia="宋体"/>
          <w:color w:val="auto"/>
          <w:highlight w:val="none"/>
        </w:rPr>
        <w:t>初步勘察</w:t>
      </w:r>
      <w:bookmarkEnd w:id="235"/>
      <w:bookmarkEnd w:id="236"/>
      <w:bookmarkEnd w:id="237"/>
    </w:p>
    <w:bookmarkEnd w:id="238"/>
    <w:p>
      <w:pPr>
        <w:autoSpaceDE w:val="0"/>
        <w:autoSpaceDN w:val="0"/>
        <w:adjustRightInd w:val="0"/>
        <w:spacing w:line="360" w:lineRule="auto"/>
        <w:jc w:val="left"/>
        <w:rPr>
          <w:color w:val="auto"/>
          <w:kern w:val="0"/>
          <w:highlight w:val="none"/>
        </w:rPr>
      </w:pPr>
      <w:r>
        <w:rPr>
          <w:rFonts w:hint="eastAsia"/>
          <w:b/>
          <w:bCs/>
          <w:color w:val="auto"/>
          <w:kern w:val="0"/>
          <w:highlight w:val="none"/>
        </w:rPr>
        <w:t>13.</w:t>
      </w:r>
      <w:r>
        <w:rPr>
          <w:b/>
          <w:bCs/>
          <w:color w:val="auto"/>
          <w:kern w:val="0"/>
          <w:highlight w:val="none"/>
        </w:rPr>
        <w:t>3.1</w:t>
      </w:r>
      <w:r>
        <w:rPr>
          <w:rFonts w:hint="eastAsia"/>
          <w:color w:val="auto"/>
          <w:highlight w:val="none"/>
        </w:rPr>
        <w:t>　</w:t>
      </w:r>
      <w:r>
        <w:rPr>
          <w:color w:val="auto"/>
          <w:kern w:val="0"/>
          <w:highlight w:val="none"/>
        </w:rPr>
        <w:t>初步勘察应</w:t>
      </w:r>
      <w:r>
        <w:rPr>
          <w:rFonts w:hint="eastAsia"/>
          <w:color w:val="auto"/>
          <w:kern w:val="0"/>
          <w:highlight w:val="none"/>
        </w:rPr>
        <w:t>初步</w:t>
      </w:r>
      <w:r>
        <w:rPr>
          <w:color w:val="auto"/>
          <w:kern w:val="0"/>
          <w:highlight w:val="none"/>
        </w:rPr>
        <w:t>查明以下内容：</w:t>
      </w:r>
    </w:p>
    <w:p>
      <w:pPr>
        <w:autoSpaceDE w:val="0"/>
        <w:autoSpaceDN w:val="0"/>
        <w:adjustRightInd w:val="0"/>
        <w:spacing w:line="360" w:lineRule="auto"/>
        <w:ind w:firstLine="422" w:firstLineChars="200"/>
        <w:jc w:val="left"/>
        <w:rPr>
          <w:rFonts w:hint="default" w:eastAsia="宋体"/>
          <w:b w:val="0"/>
          <w:bCs w:val="0"/>
          <w:color w:val="auto"/>
          <w:kern w:val="0"/>
          <w:highlight w:val="none"/>
          <w:lang w:val="en-US" w:eastAsia="zh-CN"/>
        </w:rPr>
      </w:pPr>
      <w:r>
        <w:rPr>
          <w:rFonts w:hint="eastAsia"/>
          <w:b/>
          <w:bCs/>
          <w:color w:val="auto"/>
          <w:kern w:val="0"/>
          <w:highlight w:val="none"/>
          <w:lang w:val="en-US" w:eastAsia="zh-CN"/>
        </w:rPr>
        <w:t>1</w:t>
      </w:r>
      <w:r>
        <w:rPr>
          <w:rFonts w:hint="eastAsia"/>
          <w:b w:val="0"/>
          <w:bCs w:val="0"/>
          <w:color w:val="auto"/>
          <w:kern w:val="0"/>
          <w:highlight w:val="none"/>
          <w:lang w:val="en-US" w:eastAsia="zh-CN"/>
        </w:rPr>
        <w:t xml:space="preserve">   场地的</w:t>
      </w:r>
      <w:r>
        <w:rPr>
          <w:color w:val="auto"/>
          <w:kern w:val="0"/>
          <w:highlight w:val="none"/>
        </w:rPr>
        <w:t>地貌类型、</w:t>
      </w:r>
      <w:r>
        <w:rPr>
          <w:rFonts w:hint="eastAsia"/>
          <w:color w:val="auto"/>
          <w:highlight w:val="none"/>
          <w:lang w:val="en-US" w:eastAsia="zh-CN"/>
        </w:rPr>
        <w:t>场地类别</w:t>
      </w:r>
      <w:r>
        <w:rPr>
          <w:color w:val="auto"/>
          <w:kern w:val="0"/>
          <w:highlight w:val="none"/>
        </w:rPr>
        <w:t>及</w:t>
      </w:r>
      <w:r>
        <w:rPr>
          <w:rFonts w:hint="eastAsia"/>
          <w:b w:val="0"/>
          <w:bCs w:val="0"/>
          <w:color w:val="auto"/>
          <w:kern w:val="0"/>
          <w:highlight w:val="none"/>
          <w:lang w:val="en-US" w:eastAsia="zh-CN"/>
        </w:rPr>
        <w:t>地震动参数；</w:t>
      </w:r>
    </w:p>
    <w:p>
      <w:pPr>
        <w:autoSpaceDE w:val="0"/>
        <w:spacing w:line="360" w:lineRule="auto"/>
        <w:ind w:firstLine="422" w:firstLineChars="200"/>
        <w:rPr>
          <w:color w:val="auto"/>
          <w:highlight w:val="none"/>
        </w:rPr>
      </w:pPr>
      <w:r>
        <w:rPr>
          <w:rFonts w:hint="eastAsia"/>
          <w:b/>
          <w:bCs/>
          <w:color w:val="auto"/>
          <w:highlight w:val="none"/>
          <w:lang w:val="en-US" w:eastAsia="zh-CN"/>
        </w:rPr>
        <w:t>2</w:t>
      </w:r>
      <w:r>
        <w:rPr>
          <w:rFonts w:hint="eastAsia"/>
          <w:color w:val="auto"/>
          <w:highlight w:val="none"/>
        </w:rPr>
        <w:t>　堤岸防护段的水文地质和工程地质条件；</w:t>
      </w:r>
    </w:p>
    <w:p>
      <w:pPr>
        <w:autoSpaceDE w:val="0"/>
        <w:spacing w:line="360" w:lineRule="auto"/>
        <w:ind w:firstLine="422" w:firstLineChars="200"/>
        <w:rPr>
          <w:color w:val="auto"/>
          <w:highlight w:val="none"/>
        </w:rPr>
      </w:pPr>
      <w:r>
        <w:rPr>
          <w:rFonts w:hint="eastAsia"/>
          <w:b/>
          <w:bCs/>
          <w:color w:val="auto"/>
          <w:highlight w:val="none"/>
          <w:lang w:val="en-US" w:eastAsia="zh-CN"/>
        </w:rPr>
        <w:t>3</w:t>
      </w:r>
      <w:r>
        <w:rPr>
          <w:rFonts w:hint="eastAsia"/>
          <w:color w:val="auto"/>
          <w:highlight w:val="none"/>
        </w:rPr>
        <w:t>　堤线附近埋藏的古河道、古冲沟、旧塘等的分布情况；</w:t>
      </w:r>
    </w:p>
    <w:p>
      <w:pPr>
        <w:autoSpaceDE w:val="0"/>
        <w:spacing w:line="360" w:lineRule="auto"/>
        <w:ind w:firstLine="422" w:firstLineChars="200"/>
        <w:rPr>
          <w:color w:val="auto"/>
          <w:highlight w:val="none"/>
        </w:rPr>
      </w:pPr>
      <w:r>
        <w:rPr>
          <w:rFonts w:hint="eastAsia"/>
          <w:b/>
          <w:bCs/>
          <w:color w:val="auto"/>
          <w:highlight w:val="none"/>
          <w:lang w:val="en-US" w:eastAsia="zh-CN"/>
        </w:rPr>
        <w:t>4</w:t>
      </w:r>
      <w:r>
        <w:rPr>
          <w:rFonts w:hint="eastAsia"/>
          <w:color w:val="auto"/>
          <w:highlight w:val="none"/>
        </w:rPr>
        <w:t xml:space="preserve">　堤基溶洞、土洞发育及充填情况。 </w:t>
      </w:r>
    </w:p>
    <w:p>
      <w:pPr>
        <w:autoSpaceDE w:val="0"/>
        <w:spacing w:line="360" w:lineRule="auto"/>
        <w:jc w:val="left"/>
        <w:rPr>
          <w:color w:val="auto"/>
          <w:kern w:val="0"/>
          <w:highlight w:val="none"/>
        </w:rPr>
      </w:pPr>
      <w:r>
        <w:rPr>
          <w:rFonts w:hint="eastAsia"/>
          <w:b/>
          <w:bCs/>
          <w:color w:val="auto"/>
          <w:kern w:val="0"/>
          <w:highlight w:val="none"/>
        </w:rPr>
        <w:t>13.</w:t>
      </w:r>
      <w:r>
        <w:rPr>
          <w:b/>
          <w:bCs/>
          <w:color w:val="auto"/>
          <w:kern w:val="0"/>
          <w:highlight w:val="none"/>
        </w:rPr>
        <w:t>3.</w:t>
      </w:r>
      <w:r>
        <w:rPr>
          <w:rFonts w:hint="eastAsia"/>
          <w:b/>
          <w:bCs/>
          <w:color w:val="auto"/>
          <w:kern w:val="0"/>
          <w:highlight w:val="none"/>
        </w:rPr>
        <w:t>2　</w:t>
      </w:r>
      <w:r>
        <w:rPr>
          <w:rFonts w:hint="eastAsia"/>
          <w:color w:val="auto"/>
          <w:kern w:val="0"/>
          <w:highlight w:val="none"/>
        </w:rPr>
        <w:t>初步勘察的</w:t>
      </w:r>
      <w:r>
        <w:rPr>
          <w:color w:val="auto"/>
          <w:kern w:val="0"/>
          <w:highlight w:val="none"/>
        </w:rPr>
        <w:t>勘探点布置除满足第</w:t>
      </w:r>
      <w:r>
        <w:rPr>
          <w:rFonts w:hint="eastAsia"/>
          <w:color w:val="auto"/>
          <w:kern w:val="0"/>
          <w:highlight w:val="none"/>
        </w:rPr>
        <w:t>13.</w:t>
      </w:r>
      <w:r>
        <w:rPr>
          <w:color w:val="auto"/>
          <w:kern w:val="0"/>
          <w:highlight w:val="none"/>
        </w:rPr>
        <w:t>1.4要求外，还应符合下列规定：</w:t>
      </w:r>
    </w:p>
    <w:p>
      <w:pPr>
        <w:autoSpaceDE w:val="0"/>
        <w:spacing w:line="360" w:lineRule="auto"/>
        <w:ind w:firstLine="422" w:firstLineChars="200"/>
        <w:jc w:val="left"/>
        <w:rPr>
          <w:color w:val="auto"/>
          <w:kern w:val="0"/>
          <w:highlight w:val="none"/>
        </w:rPr>
      </w:pPr>
      <w:r>
        <w:rPr>
          <w:b/>
          <w:bCs/>
          <w:color w:val="auto"/>
          <w:kern w:val="0"/>
          <w:highlight w:val="none"/>
        </w:rPr>
        <w:t>1</w:t>
      </w:r>
      <w:r>
        <w:rPr>
          <w:rFonts w:hint="eastAsia"/>
          <w:b/>
          <w:bCs/>
          <w:color w:val="auto"/>
          <w:kern w:val="0"/>
          <w:highlight w:val="none"/>
        </w:rPr>
        <w:t>　</w:t>
      </w:r>
      <w:r>
        <w:rPr>
          <w:color w:val="auto"/>
          <w:kern w:val="0"/>
          <w:highlight w:val="none"/>
        </w:rPr>
        <w:t>勘探纵剖面勘探点间距宜根据</w:t>
      </w:r>
      <w:r>
        <w:rPr>
          <w:rFonts w:hint="eastAsia"/>
          <w:color w:val="auto"/>
          <w:kern w:val="0"/>
          <w:highlight w:val="none"/>
        </w:rPr>
        <w:t>工程</w:t>
      </w:r>
      <w:r>
        <w:rPr>
          <w:color w:val="auto"/>
          <w:kern w:val="0"/>
          <w:highlight w:val="none"/>
        </w:rPr>
        <w:t>重要性</w:t>
      </w:r>
      <w:r>
        <w:rPr>
          <w:rFonts w:hint="eastAsia"/>
          <w:color w:val="auto"/>
          <w:kern w:val="0"/>
          <w:highlight w:val="none"/>
        </w:rPr>
        <w:t>等级、</w:t>
      </w:r>
      <w:r>
        <w:rPr>
          <w:color w:val="auto"/>
          <w:highlight w:val="none"/>
        </w:rPr>
        <w:t>场地</w:t>
      </w:r>
      <w:r>
        <w:rPr>
          <w:rFonts w:hint="eastAsia"/>
          <w:color w:val="auto"/>
          <w:highlight w:val="none"/>
        </w:rPr>
        <w:t>和</w:t>
      </w:r>
      <w:r>
        <w:rPr>
          <w:color w:val="auto"/>
          <w:highlight w:val="none"/>
        </w:rPr>
        <w:t>岩土条件复杂程度</w:t>
      </w:r>
      <w:r>
        <w:rPr>
          <w:rFonts w:hint="eastAsia"/>
          <w:color w:val="auto"/>
          <w:highlight w:val="none"/>
        </w:rPr>
        <w:t>等级</w:t>
      </w:r>
      <w:r>
        <w:rPr>
          <w:color w:val="auto"/>
          <w:kern w:val="0"/>
          <w:highlight w:val="none"/>
        </w:rPr>
        <w:t>按表</w:t>
      </w:r>
      <w:r>
        <w:rPr>
          <w:rFonts w:hint="eastAsia"/>
          <w:color w:val="auto"/>
          <w:kern w:val="0"/>
          <w:highlight w:val="none"/>
        </w:rPr>
        <w:t>13.</w:t>
      </w:r>
      <w:r>
        <w:rPr>
          <w:color w:val="auto"/>
          <w:kern w:val="0"/>
          <w:highlight w:val="none"/>
        </w:rPr>
        <w:t>3.</w:t>
      </w:r>
      <w:r>
        <w:rPr>
          <w:rFonts w:hint="eastAsia"/>
          <w:color w:val="auto"/>
          <w:kern w:val="0"/>
          <w:highlight w:val="none"/>
        </w:rPr>
        <w:t>2</w:t>
      </w:r>
      <w:r>
        <w:rPr>
          <w:color w:val="auto"/>
          <w:kern w:val="0"/>
          <w:highlight w:val="none"/>
        </w:rPr>
        <w:t>确定；</w:t>
      </w:r>
    </w:p>
    <w:p>
      <w:pPr>
        <w:autoSpaceDE w:val="0"/>
        <w:autoSpaceDN w:val="0"/>
        <w:adjustRightInd w:val="0"/>
        <w:spacing w:line="360" w:lineRule="auto"/>
        <w:jc w:val="center"/>
        <w:rPr>
          <w:b/>
          <w:bCs/>
          <w:color w:val="auto"/>
          <w:kern w:val="0"/>
          <w:highlight w:val="none"/>
        </w:rPr>
      </w:pPr>
      <w:r>
        <w:rPr>
          <w:b/>
          <w:bCs/>
          <w:color w:val="auto"/>
          <w:kern w:val="0"/>
          <w:highlight w:val="none"/>
        </w:rPr>
        <w:t>表</w:t>
      </w:r>
      <w:r>
        <w:rPr>
          <w:rFonts w:hint="eastAsia"/>
          <w:b/>
          <w:bCs/>
          <w:color w:val="auto"/>
          <w:kern w:val="0"/>
          <w:highlight w:val="none"/>
        </w:rPr>
        <w:t>13.</w:t>
      </w:r>
      <w:r>
        <w:rPr>
          <w:b/>
          <w:bCs/>
          <w:color w:val="auto"/>
          <w:kern w:val="0"/>
          <w:highlight w:val="none"/>
        </w:rPr>
        <w:t>3.</w:t>
      </w:r>
      <w:r>
        <w:rPr>
          <w:rFonts w:hint="eastAsia"/>
          <w:b/>
          <w:bCs/>
          <w:color w:val="auto"/>
          <w:kern w:val="0"/>
          <w:highlight w:val="none"/>
        </w:rPr>
        <w:t>2</w:t>
      </w:r>
      <w:r>
        <w:rPr>
          <w:b/>
          <w:bCs/>
          <w:color w:val="auto"/>
          <w:kern w:val="0"/>
          <w:highlight w:val="none"/>
        </w:rPr>
        <w:t xml:space="preserve"> 初步勘察勘探点间距（m）</w:t>
      </w:r>
    </w:p>
    <w:tbl>
      <w:tblPr>
        <w:tblStyle w:val="22"/>
        <w:tblW w:w="82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20"/>
        <w:gridCol w:w="1817"/>
        <w:gridCol w:w="1817"/>
        <w:gridCol w:w="18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20" w:type="dxa"/>
            <w:tcBorders>
              <w:top w:val="single" w:color="000000" w:sz="12" w:space="0"/>
              <w:left w:val="single" w:color="000000" w:sz="12" w:space="0"/>
              <w:bottom w:val="single" w:color="000000" w:sz="4" w:space="0"/>
              <w:right w:val="single" w:color="000000" w:sz="4" w:space="0"/>
              <w:tl2br w:val="single" w:color="auto" w:sz="4" w:space="0"/>
            </w:tcBorders>
            <w:vAlign w:val="center"/>
          </w:tcPr>
          <w:p>
            <w:pPr>
              <w:spacing w:before="62" w:beforeLines="20" w:line="0" w:lineRule="atLeast"/>
              <w:jc w:val="right"/>
              <w:rPr>
                <w:rFonts w:hint="eastAsia" w:eastAsia="宋体"/>
                <w:color w:val="auto"/>
                <w:sz w:val="20"/>
                <w:szCs w:val="20"/>
                <w:highlight w:val="none"/>
                <w:lang w:val="en-US" w:eastAsia="zh-CN"/>
              </w:rPr>
            </w:pPr>
            <w:r>
              <w:rPr>
                <w:rFonts w:hint="eastAsia"/>
                <w:color w:val="auto"/>
                <w:sz w:val="20"/>
                <w:szCs w:val="20"/>
                <w:highlight w:val="none"/>
              </w:rPr>
              <w:t>工程重要性</w:t>
            </w:r>
            <w:r>
              <w:rPr>
                <w:rFonts w:hint="eastAsia"/>
                <w:color w:val="auto"/>
                <w:sz w:val="20"/>
                <w:szCs w:val="20"/>
                <w:highlight w:val="none"/>
                <w:lang w:val="en-US" w:eastAsia="zh-CN"/>
              </w:rPr>
              <w:t>等级</w:t>
            </w:r>
          </w:p>
          <w:p>
            <w:pPr>
              <w:spacing w:line="0" w:lineRule="atLeast"/>
              <w:jc w:val="left"/>
              <w:rPr>
                <w:color w:val="auto"/>
                <w:sz w:val="20"/>
                <w:szCs w:val="20"/>
                <w:highlight w:val="none"/>
              </w:rPr>
            </w:pPr>
            <w:r>
              <w:rPr>
                <w:color w:val="auto"/>
                <w:sz w:val="20"/>
                <w:szCs w:val="20"/>
                <w:highlight w:val="none"/>
              </w:rPr>
              <w:t>场地</w:t>
            </w:r>
            <w:r>
              <w:rPr>
                <w:rFonts w:hint="eastAsia"/>
                <w:color w:val="auto"/>
                <w:sz w:val="20"/>
                <w:szCs w:val="20"/>
                <w:highlight w:val="none"/>
              </w:rPr>
              <w:t>和岩土</w:t>
            </w:r>
          </w:p>
          <w:p>
            <w:pPr>
              <w:autoSpaceDE w:val="0"/>
              <w:autoSpaceDN w:val="0"/>
              <w:adjustRightInd w:val="0"/>
              <w:jc w:val="left"/>
              <w:rPr>
                <w:color w:val="auto"/>
                <w:kern w:val="0"/>
                <w:sz w:val="20"/>
                <w:szCs w:val="21"/>
                <w:highlight w:val="none"/>
              </w:rPr>
            </w:pPr>
            <w:r>
              <w:rPr>
                <w:rFonts w:hint="eastAsia"/>
                <w:color w:val="auto"/>
                <w:sz w:val="20"/>
                <w:szCs w:val="20"/>
                <w:highlight w:val="none"/>
              </w:rPr>
              <w:t>条件</w:t>
            </w:r>
            <w:r>
              <w:rPr>
                <w:color w:val="auto"/>
                <w:sz w:val="20"/>
                <w:szCs w:val="20"/>
                <w:highlight w:val="none"/>
              </w:rPr>
              <w:t>复杂程度等级</w:t>
            </w:r>
          </w:p>
        </w:tc>
        <w:tc>
          <w:tcPr>
            <w:tcW w:w="1817" w:type="dxa"/>
            <w:tcBorders>
              <w:top w:val="single" w:color="000000" w:sz="12" w:space="0"/>
              <w:left w:val="nil"/>
              <w:bottom w:val="single" w:color="000000" w:sz="4" w:space="0"/>
              <w:right w:val="single" w:color="000000" w:sz="4" w:space="0"/>
            </w:tcBorders>
            <w:vAlign w:val="center"/>
          </w:tcPr>
          <w:p>
            <w:pPr>
              <w:autoSpaceDE w:val="0"/>
              <w:autoSpaceDN w:val="0"/>
              <w:adjustRightInd w:val="0"/>
              <w:spacing w:before="62" w:beforeLines="20" w:after="62" w:afterLines="20"/>
              <w:jc w:val="center"/>
              <w:rPr>
                <w:color w:val="auto"/>
                <w:kern w:val="0"/>
                <w:sz w:val="20"/>
                <w:szCs w:val="21"/>
                <w:highlight w:val="none"/>
              </w:rPr>
            </w:pPr>
            <w:r>
              <w:rPr>
                <w:color w:val="auto"/>
                <w:kern w:val="0"/>
                <w:sz w:val="20"/>
                <w:szCs w:val="21"/>
                <w:highlight w:val="none"/>
              </w:rPr>
              <w:t>一级</w:t>
            </w:r>
          </w:p>
        </w:tc>
        <w:tc>
          <w:tcPr>
            <w:tcW w:w="1817" w:type="dxa"/>
            <w:tcBorders>
              <w:top w:val="single" w:color="000000" w:sz="12" w:space="0"/>
              <w:left w:val="nil"/>
              <w:bottom w:val="single" w:color="000000" w:sz="4" w:space="0"/>
              <w:right w:val="single" w:color="000000" w:sz="4" w:space="0"/>
            </w:tcBorders>
            <w:vAlign w:val="center"/>
          </w:tcPr>
          <w:p>
            <w:pPr>
              <w:autoSpaceDE w:val="0"/>
              <w:autoSpaceDN w:val="0"/>
              <w:adjustRightInd w:val="0"/>
              <w:spacing w:before="62" w:beforeLines="20" w:after="62" w:afterLines="20"/>
              <w:jc w:val="center"/>
              <w:rPr>
                <w:color w:val="auto"/>
                <w:kern w:val="0"/>
                <w:sz w:val="20"/>
                <w:szCs w:val="21"/>
                <w:highlight w:val="none"/>
              </w:rPr>
            </w:pPr>
            <w:r>
              <w:rPr>
                <w:color w:val="auto"/>
                <w:kern w:val="0"/>
                <w:sz w:val="20"/>
                <w:szCs w:val="21"/>
                <w:highlight w:val="none"/>
              </w:rPr>
              <w:t>二级</w:t>
            </w:r>
          </w:p>
        </w:tc>
        <w:tc>
          <w:tcPr>
            <w:tcW w:w="1817" w:type="dxa"/>
            <w:tcBorders>
              <w:top w:val="single" w:color="000000" w:sz="12" w:space="0"/>
              <w:left w:val="nil"/>
              <w:bottom w:val="single" w:color="000000" w:sz="4" w:space="0"/>
              <w:right w:val="single" w:color="000000" w:sz="12" w:space="0"/>
            </w:tcBorders>
            <w:vAlign w:val="center"/>
          </w:tcPr>
          <w:p>
            <w:pPr>
              <w:autoSpaceDE w:val="0"/>
              <w:autoSpaceDN w:val="0"/>
              <w:adjustRightInd w:val="0"/>
              <w:spacing w:before="62" w:beforeLines="20" w:after="62" w:afterLines="20"/>
              <w:jc w:val="center"/>
              <w:rPr>
                <w:color w:val="auto"/>
                <w:kern w:val="0"/>
                <w:sz w:val="20"/>
                <w:szCs w:val="21"/>
                <w:highlight w:val="none"/>
              </w:rPr>
            </w:pPr>
            <w:r>
              <w:rPr>
                <w:color w:val="auto"/>
                <w:kern w:val="0"/>
                <w:sz w:val="20"/>
                <w:szCs w:val="21"/>
                <w:highlight w:val="none"/>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20" w:type="dxa"/>
            <w:tcBorders>
              <w:top w:val="single" w:color="000000" w:sz="4" w:space="0"/>
              <w:left w:val="single" w:color="000000" w:sz="12" w:space="0"/>
              <w:bottom w:val="single" w:color="000000" w:sz="4" w:space="0"/>
              <w:right w:val="single" w:color="000000" w:sz="4" w:space="0"/>
            </w:tcBorders>
            <w:vAlign w:val="center"/>
          </w:tcPr>
          <w:p>
            <w:pPr>
              <w:autoSpaceDE w:val="0"/>
              <w:autoSpaceDN w:val="0"/>
              <w:adjustRightInd w:val="0"/>
              <w:jc w:val="center"/>
              <w:rPr>
                <w:color w:val="auto"/>
                <w:kern w:val="0"/>
                <w:sz w:val="20"/>
                <w:szCs w:val="21"/>
                <w:highlight w:val="none"/>
              </w:rPr>
            </w:pPr>
            <w:r>
              <w:rPr>
                <w:rFonts w:hint="eastAsia"/>
                <w:color w:val="auto"/>
                <w:kern w:val="0"/>
                <w:sz w:val="20"/>
                <w:szCs w:val="21"/>
                <w:highlight w:val="none"/>
              </w:rPr>
              <w:t>一级</w:t>
            </w:r>
          </w:p>
        </w:tc>
        <w:tc>
          <w:tcPr>
            <w:tcW w:w="1817"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before="62" w:beforeLines="20" w:after="62" w:afterLines="20"/>
              <w:jc w:val="center"/>
              <w:rPr>
                <w:color w:val="auto"/>
                <w:kern w:val="0"/>
                <w:sz w:val="20"/>
                <w:szCs w:val="21"/>
                <w:highlight w:val="none"/>
              </w:rPr>
            </w:pPr>
            <w:r>
              <w:rPr>
                <w:color w:val="auto"/>
                <w:kern w:val="0"/>
                <w:sz w:val="20"/>
                <w:szCs w:val="21"/>
                <w:highlight w:val="none"/>
              </w:rPr>
              <w:t>50～7</w:t>
            </w:r>
            <w:r>
              <w:rPr>
                <w:rFonts w:hint="eastAsia"/>
                <w:color w:val="auto"/>
                <w:kern w:val="0"/>
                <w:sz w:val="20"/>
                <w:szCs w:val="21"/>
                <w:highlight w:val="none"/>
              </w:rPr>
              <w:t>0</w:t>
            </w:r>
          </w:p>
        </w:tc>
        <w:tc>
          <w:tcPr>
            <w:tcW w:w="1817"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before="62" w:beforeLines="20" w:after="62" w:afterLines="20"/>
              <w:jc w:val="center"/>
              <w:rPr>
                <w:color w:val="auto"/>
                <w:kern w:val="0"/>
                <w:sz w:val="20"/>
                <w:szCs w:val="21"/>
                <w:highlight w:val="none"/>
              </w:rPr>
            </w:pPr>
            <w:r>
              <w:rPr>
                <w:color w:val="auto"/>
                <w:kern w:val="0"/>
                <w:sz w:val="20"/>
                <w:szCs w:val="21"/>
                <w:highlight w:val="none"/>
              </w:rPr>
              <w:t>7</w:t>
            </w:r>
            <w:r>
              <w:rPr>
                <w:rFonts w:hint="eastAsia"/>
                <w:color w:val="auto"/>
                <w:kern w:val="0"/>
                <w:sz w:val="20"/>
                <w:szCs w:val="21"/>
                <w:highlight w:val="none"/>
              </w:rPr>
              <w:t>0</w:t>
            </w:r>
            <w:r>
              <w:rPr>
                <w:color w:val="auto"/>
                <w:kern w:val="0"/>
                <w:sz w:val="20"/>
                <w:szCs w:val="21"/>
                <w:highlight w:val="none"/>
              </w:rPr>
              <w:t>～100</w:t>
            </w:r>
          </w:p>
        </w:tc>
        <w:tc>
          <w:tcPr>
            <w:tcW w:w="1817" w:type="dxa"/>
            <w:tcBorders>
              <w:top w:val="single" w:color="000000" w:sz="4" w:space="0"/>
              <w:left w:val="nil"/>
              <w:bottom w:val="single" w:color="000000" w:sz="4" w:space="0"/>
              <w:right w:val="single" w:color="000000" w:sz="12" w:space="0"/>
            </w:tcBorders>
            <w:vAlign w:val="center"/>
          </w:tcPr>
          <w:p>
            <w:pPr>
              <w:autoSpaceDE w:val="0"/>
              <w:autoSpaceDN w:val="0"/>
              <w:adjustRightInd w:val="0"/>
              <w:spacing w:before="62" w:beforeLines="20" w:after="62" w:afterLines="20"/>
              <w:jc w:val="center"/>
              <w:rPr>
                <w:color w:val="auto"/>
                <w:kern w:val="0"/>
                <w:sz w:val="20"/>
                <w:szCs w:val="21"/>
                <w:highlight w:val="none"/>
              </w:rPr>
            </w:pPr>
            <w:r>
              <w:rPr>
                <w:color w:val="auto"/>
                <w:kern w:val="0"/>
                <w:sz w:val="20"/>
                <w:szCs w:val="21"/>
                <w:highlight w:val="none"/>
              </w:rPr>
              <w:t>100～150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20" w:type="dxa"/>
            <w:tcBorders>
              <w:top w:val="single" w:color="000000" w:sz="4" w:space="0"/>
              <w:left w:val="single" w:color="000000" w:sz="12" w:space="0"/>
              <w:bottom w:val="single" w:color="000000" w:sz="4" w:space="0"/>
              <w:right w:val="single" w:color="000000" w:sz="4" w:space="0"/>
            </w:tcBorders>
            <w:vAlign w:val="center"/>
          </w:tcPr>
          <w:p>
            <w:pPr>
              <w:autoSpaceDE w:val="0"/>
              <w:autoSpaceDN w:val="0"/>
              <w:adjustRightInd w:val="0"/>
              <w:jc w:val="center"/>
              <w:rPr>
                <w:color w:val="auto"/>
                <w:kern w:val="0"/>
                <w:sz w:val="20"/>
                <w:szCs w:val="21"/>
                <w:highlight w:val="none"/>
              </w:rPr>
            </w:pPr>
            <w:r>
              <w:rPr>
                <w:rFonts w:hint="eastAsia"/>
                <w:color w:val="auto"/>
                <w:kern w:val="0"/>
                <w:sz w:val="20"/>
                <w:szCs w:val="21"/>
                <w:highlight w:val="none"/>
              </w:rPr>
              <w:t>二级</w:t>
            </w:r>
          </w:p>
        </w:tc>
        <w:tc>
          <w:tcPr>
            <w:tcW w:w="1817"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before="62" w:beforeLines="20" w:after="62" w:afterLines="20"/>
              <w:jc w:val="center"/>
              <w:rPr>
                <w:color w:val="auto"/>
                <w:kern w:val="0"/>
                <w:sz w:val="20"/>
                <w:szCs w:val="21"/>
                <w:highlight w:val="none"/>
              </w:rPr>
            </w:pPr>
            <w:r>
              <w:rPr>
                <w:color w:val="auto"/>
                <w:kern w:val="0"/>
                <w:sz w:val="20"/>
                <w:szCs w:val="21"/>
                <w:highlight w:val="none"/>
              </w:rPr>
              <w:t>7</w:t>
            </w:r>
            <w:r>
              <w:rPr>
                <w:rFonts w:hint="eastAsia"/>
                <w:color w:val="auto"/>
                <w:kern w:val="0"/>
                <w:sz w:val="20"/>
                <w:szCs w:val="21"/>
                <w:highlight w:val="none"/>
              </w:rPr>
              <w:t>0</w:t>
            </w:r>
            <w:r>
              <w:rPr>
                <w:color w:val="auto"/>
                <w:kern w:val="0"/>
                <w:sz w:val="20"/>
                <w:szCs w:val="21"/>
                <w:highlight w:val="none"/>
              </w:rPr>
              <w:t>～100</w:t>
            </w:r>
          </w:p>
        </w:tc>
        <w:tc>
          <w:tcPr>
            <w:tcW w:w="1817"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before="62" w:beforeLines="20" w:after="62" w:afterLines="20"/>
              <w:jc w:val="center"/>
              <w:rPr>
                <w:color w:val="auto"/>
                <w:kern w:val="0"/>
                <w:sz w:val="20"/>
                <w:szCs w:val="21"/>
                <w:highlight w:val="none"/>
              </w:rPr>
            </w:pPr>
            <w:r>
              <w:rPr>
                <w:color w:val="auto"/>
                <w:kern w:val="0"/>
                <w:sz w:val="20"/>
                <w:szCs w:val="21"/>
                <w:highlight w:val="none"/>
              </w:rPr>
              <w:t>100～150</w:t>
            </w:r>
          </w:p>
        </w:tc>
        <w:tc>
          <w:tcPr>
            <w:tcW w:w="1817" w:type="dxa"/>
            <w:tcBorders>
              <w:top w:val="single" w:color="000000" w:sz="4" w:space="0"/>
              <w:left w:val="nil"/>
              <w:bottom w:val="single" w:color="000000" w:sz="4" w:space="0"/>
              <w:right w:val="single" w:color="000000" w:sz="12" w:space="0"/>
            </w:tcBorders>
            <w:vAlign w:val="center"/>
          </w:tcPr>
          <w:p>
            <w:pPr>
              <w:autoSpaceDE w:val="0"/>
              <w:autoSpaceDN w:val="0"/>
              <w:adjustRightInd w:val="0"/>
              <w:spacing w:before="62" w:beforeLines="20" w:after="62" w:afterLines="20"/>
              <w:jc w:val="center"/>
              <w:rPr>
                <w:color w:val="auto"/>
                <w:kern w:val="0"/>
                <w:sz w:val="20"/>
                <w:szCs w:val="21"/>
                <w:highlight w:val="none"/>
              </w:rPr>
            </w:pPr>
            <w:r>
              <w:rPr>
                <w:color w:val="auto"/>
                <w:kern w:val="0"/>
                <w:sz w:val="20"/>
                <w:szCs w:val="21"/>
                <w:highlight w:val="none"/>
              </w:rPr>
              <w:t>150～200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20" w:type="dxa"/>
            <w:tcBorders>
              <w:top w:val="single" w:color="000000" w:sz="4" w:space="0"/>
              <w:left w:val="single" w:color="000000" w:sz="12" w:space="0"/>
              <w:bottom w:val="single" w:color="000000" w:sz="12" w:space="0"/>
              <w:right w:val="single" w:color="000000" w:sz="4" w:space="0"/>
            </w:tcBorders>
            <w:vAlign w:val="center"/>
          </w:tcPr>
          <w:p>
            <w:pPr>
              <w:autoSpaceDE w:val="0"/>
              <w:autoSpaceDN w:val="0"/>
              <w:adjustRightInd w:val="0"/>
              <w:jc w:val="center"/>
              <w:rPr>
                <w:color w:val="auto"/>
                <w:kern w:val="0"/>
                <w:sz w:val="20"/>
                <w:szCs w:val="21"/>
                <w:highlight w:val="none"/>
              </w:rPr>
            </w:pPr>
            <w:r>
              <w:rPr>
                <w:rFonts w:hint="eastAsia"/>
                <w:color w:val="auto"/>
                <w:kern w:val="0"/>
                <w:sz w:val="20"/>
                <w:szCs w:val="21"/>
                <w:highlight w:val="none"/>
              </w:rPr>
              <w:t>三级</w:t>
            </w:r>
          </w:p>
        </w:tc>
        <w:tc>
          <w:tcPr>
            <w:tcW w:w="1817" w:type="dxa"/>
            <w:tcBorders>
              <w:top w:val="single" w:color="000000" w:sz="4" w:space="0"/>
              <w:left w:val="nil"/>
              <w:bottom w:val="single" w:color="000000" w:sz="12" w:space="0"/>
              <w:right w:val="single" w:color="000000" w:sz="4" w:space="0"/>
            </w:tcBorders>
            <w:vAlign w:val="center"/>
          </w:tcPr>
          <w:p>
            <w:pPr>
              <w:autoSpaceDE w:val="0"/>
              <w:autoSpaceDN w:val="0"/>
              <w:adjustRightInd w:val="0"/>
              <w:spacing w:before="62" w:beforeLines="20" w:after="62" w:afterLines="20"/>
              <w:jc w:val="center"/>
              <w:rPr>
                <w:color w:val="auto"/>
                <w:kern w:val="0"/>
                <w:sz w:val="20"/>
                <w:szCs w:val="21"/>
                <w:highlight w:val="none"/>
              </w:rPr>
            </w:pPr>
            <w:r>
              <w:rPr>
                <w:color w:val="auto"/>
                <w:kern w:val="0"/>
                <w:sz w:val="20"/>
                <w:szCs w:val="21"/>
                <w:highlight w:val="none"/>
              </w:rPr>
              <w:t>100～150</w:t>
            </w:r>
          </w:p>
        </w:tc>
        <w:tc>
          <w:tcPr>
            <w:tcW w:w="1817" w:type="dxa"/>
            <w:tcBorders>
              <w:top w:val="single" w:color="000000" w:sz="4" w:space="0"/>
              <w:left w:val="nil"/>
              <w:bottom w:val="single" w:color="000000" w:sz="12" w:space="0"/>
              <w:right w:val="single" w:color="000000" w:sz="4" w:space="0"/>
            </w:tcBorders>
            <w:vAlign w:val="center"/>
          </w:tcPr>
          <w:p>
            <w:pPr>
              <w:autoSpaceDE w:val="0"/>
              <w:autoSpaceDN w:val="0"/>
              <w:adjustRightInd w:val="0"/>
              <w:spacing w:before="62" w:beforeLines="20" w:after="62" w:afterLines="20"/>
              <w:jc w:val="center"/>
              <w:rPr>
                <w:color w:val="auto"/>
                <w:kern w:val="0"/>
                <w:sz w:val="20"/>
                <w:szCs w:val="21"/>
                <w:highlight w:val="none"/>
              </w:rPr>
            </w:pPr>
            <w:r>
              <w:rPr>
                <w:color w:val="auto"/>
                <w:kern w:val="0"/>
                <w:sz w:val="20"/>
                <w:szCs w:val="21"/>
                <w:highlight w:val="none"/>
              </w:rPr>
              <w:t>150～200</w:t>
            </w:r>
          </w:p>
        </w:tc>
        <w:tc>
          <w:tcPr>
            <w:tcW w:w="1817" w:type="dxa"/>
            <w:tcBorders>
              <w:top w:val="single" w:color="000000" w:sz="4" w:space="0"/>
              <w:left w:val="nil"/>
              <w:bottom w:val="single" w:color="000000" w:sz="12" w:space="0"/>
              <w:right w:val="single" w:color="000000" w:sz="12" w:space="0"/>
            </w:tcBorders>
            <w:vAlign w:val="center"/>
          </w:tcPr>
          <w:p>
            <w:pPr>
              <w:autoSpaceDE w:val="0"/>
              <w:autoSpaceDN w:val="0"/>
              <w:adjustRightInd w:val="0"/>
              <w:spacing w:before="62" w:beforeLines="20" w:after="62" w:afterLines="20"/>
              <w:jc w:val="center"/>
              <w:rPr>
                <w:color w:val="auto"/>
                <w:kern w:val="0"/>
                <w:sz w:val="20"/>
                <w:szCs w:val="21"/>
                <w:highlight w:val="none"/>
              </w:rPr>
            </w:pPr>
            <w:r>
              <w:rPr>
                <w:color w:val="auto"/>
                <w:kern w:val="0"/>
                <w:sz w:val="20"/>
                <w:szCs w:val="21"/>
                <w:highlight w:val="none"/>
              </w:rPr>
              <w:t>200～250</w:t>
            </w:r>
          </w:p>
        </w:tc>
      </w:tr>
    </w:tbl>
    <w:p>
      <w:pPr>
        <w:autoSpaceDE w:val="0"/>
        <w:spacing w:line="360" w:lineRule="auto"/>
        <w:ind w:firstLine="422" w:firstLineChars="200"/>
        <w:jc w:val="left"/>
        <w:rPr>
          <w:color w:val="auto"/>
          <w:kern w:val="0"/>
          <w:highlight w:val="none"/>
        </w:rPr>
      </w:pPr>
      <w:r>
        <w:rPr>
          <w:b/>
          <w:bCs/>
          <w:color w:val="auto"/>
          <w:kern w:val="0"/>
          <w:highlight w:val="none"/>
        </w:rPr>
        <w:t>2</w:t>
      </w:r>
      <w:r>
        <w:rPr>
          <w:rFonts w:hint="eastAsia"/>
          <w:b/>
          <w:bCs/>
          <w:color w:val="auto"/>
          <w:kern w:val="0"/>
          <w:highlight w:val="none"/>
        </w:rPr>
        <w:t>　</w:t>
      </w:r>
      <w:r>
        <w:rPr>
          <w:color w:val="auto"/>
          <w:kern w:val="0"/>
          <w:highlight w:val="none"/>
        </w:rPr>
        <w:t>对于堤岸改造或加固工程，勘探点应避开原有堤岸支护结构布置。</w:t>
      </w:r>
    </w:p>
    <w:p>
      <w:pPr>
        <w:spacing w:line="360" w:lineRule="auto"/>
        <w:jc w:val="left"/>
        <w:rPr>
          <w:color w:val="auto"/>
          <w:kern w:val="0"/>
          <w:highlight w:val="none"/>
        </w:rPr>
      </w:pPr>
      <w:r>
        <w:rPr>
          <w:rFonts w:hint="eastAsia"/>
          <w:b/>
          <w:bCs/>
          <w:color w:val="auto"/>
          <w:kern w:val="0"/>
          <w:highlight w:val="none"/>
        </w:rPr>
        <w:t>13.</w:t>
      </w:r>
      <w:r>
        <w:rPr>
          <w:b/>
          <w:bCs/>
          <w:color w:val="auto"/>
          <w:kern w:val="0"/>
          <w:highlight w:val="none"/>
        </w:rPr>
        <w:t>3.</w:t>
      </w:r>
      <w:r>
        <w:rPr>
          <w:rFonts w:hint="eastAsia"/>
          <w:b/>
          <w:bCs/>
          <w:color w:val="auto"/>
          <w:kern w:val="0"/>
          <w:highlight w:val="none"/>
        </w:rPr>
        <w:t>3</w:t>
      </w:r>
      <w:r>
        <w:rPr>
          <w:b/>
          <w:bCs/>
          <w:color w:val="auto"/>
          <w:kern w:val="0"/>
          <w:highlight w:val="none"/>
        </w:rPr>
        <w:t xml:space="preserve"> </w:t>
      </w:r>
      <w:r>
        <w:rPr>
          <w:rFonts w:hint="eastAsia"/>
          <w:color w:val="auto"/>
          <w:kern w:val="0"/>
          <w:highlight w:val="none"/>
        </w:rPr>
        <w:t>初步勘察的勘探孔深度</w:t>
      </w:r>
      <w:r>
        <w:rPr>
          <w:color w:val="auto"/>
          <w:kern w:val="0"/>
          <w:highlight w:val="none"/>
        </w:rPr>
        <w:t>应符合下列规定：</w:t>
      </w:r>
    </w:p>
    <w:p>
      <w:pPr>
        <w:autoSpaceDE w:val="0"/>
        <w:spacing w:line="360" w:lineRule="auto"/>
        <w:ind w:firstLine="422" w:firstLineChars="200"/>
        <w:jc w:val="left"/>
        <w:rPr>
          <w:color w:val="auto"/>
          <w:kern w:val="0"/>
          <w:highlight w:val="none"/>
        </w:rPr>
      </w:pPr>
      <w:r>
        <w:rPr>
          <w:b/>
          <w:bCs/>
          <w:color w:val="auto"/>
          <w:kern w:val="0"/>
          <w:highlight w:val="none"/>
        </w:rPr>
        <w:t>1</w:t>
      </w:r>
      <w:r>
        <w:rPr>
          <w:rFonts w:hint="eastAsia"/>
          <w:b/>
          <w:bCs/>
          <w:color w:val="auto"/>
          <w:kern w:val="0"/>
          <w:highlight w:val="none"/>
        </w:rPr>
        <w:t>　</w:t>
      </w:r>
      <w:r>
        <w:rPr>
          <w:color w:val="auto"/>
          <w:kern w:val="0"/>
          <w:highlight w:val="none"/>
        </w:rPr>
        <w:t>一般性勘探孔应深入河床以下6</w:t>
      </w:r>
      <w:r>
        <w:rPr>
          <w:rFonts w:hint="eastAsia"/>
          <w:color w:val="auto"/>
          <w:kern w:val="0"/>
          <w:highlight w:val="none"/>
        </w:rPr>
        <w:t>m</w:t>
      </w:r>
      <w:r>
        <w:rPr>
          <w:color w:val="auto"/>
          <w:kern w:val="0"/>
          <w:highlight w:val="none"/>
        </w:rPr>
        <w:t>～8m</w:t>
      </w:r>
      <w:r>
        <w:rPr>
          <w:rFonts w:hint="eastAsia"/>
          <w:color w:val="auto"/>
          <w:kern w:val="0"/>
          <w:highlight w:val="none"/>
        </w:rPr>
        <w:t>；</w:t>
      </w:r>
      <w:r>
        <w:rPr>
          <w:color w:val="auto"/>
          <w:kern w:val="0"/>
          <w:highlight w:val="none"/>
        </w:rPr>
        <w:t>控制性勘探孔深度应深入河床以下8</w:t>
      </w:r>
      <w:r>
        <w:rPr>
          <w:rFonts w:hint="eastAsia"/>
          <w:color w:val="auto"/>
          <w:kern w:val="0"/>
          <w:highlight w:val="none"/>
        </w:rPr>
        <w:t>m</w:t>
      </w:r>
      <w:r>
        <w:rPr>
          <w:color w:val="auto"/>
          <w:kern w:val="0"/>
          <w:highlight w:val="none"/>
        </w:rPr>
        <w:t>～12m，并应满足稳定性验算、变形验算、抗冲刷验算及渗流稳定性分析等要求；在预定勘探深度内遇软土层或砂层时，勘探孔深度应穿过软土层或砂层一定深度；</w:t>
      </w:r>
    </w:p>
    <w:p>
      <w:pPr>
        <w:autoSpaceDE w:val="0"/>
        <w:spacing w:line="360" w:lineRule="auto"/>
        <w:ind w:firstLine="422" w:firstLineChars="200"/>
        <w:jc w:val="left"/>
        <w:rPr>
          <w:color w:val="auto"/>
          <w:kern w:val="0"/>
          <w:highlight w:val="none"/>
        </w:rPr>
      </w:pPr>
      <w:r>
        <w:rPr>
          <w:b/>
          <w:bCs/>
          <w:color w:val="auto"/>
          <w:kern w:val="0"/>
          <w:highlight w:val="none"/>
        </w:rPr>
        <w:t>2</w:t>
      </w:r>
      <w:r>
        <w:rPr>
          <w:rFonts w:hint="eastAsia"/>
          <w:b/>
          <w:bCs/>
          <w:color w:val="auto"/>
          <w:kern w:val="0"/>
          <w:highlight w:val="none"/>
        </w:rPr>
        <w:t>　</w:t>
      </w:r>
      <w:r>
        <w:rPr>
          <w:color w:val="auto"/>
          <w:kern w:val="0"/>
          <w:highlight w:val="none"/>
        </w:rPr>
        <w:t>当存在滑动面时，一般性勘探孔应进入潜在滑动面以下3</w:t>
      </w:r>
      <w:r>
        <w:rPr>
          <w:rFonts w:hint="eastAsia"/>
          <w:color w:val="auto"/>
          <w:kern w:val="0"/>
          <w:highlight w:val="none"/>
        </w:rPr>
        <w:t>m</w:t>
      </w:r>
      <w:r>
        <w:rPr>
          <w:color w:val="auto"/>
          <w:kern w:val="0"/>
          <w:highlight w:val="none"/>
        </w:rPr>
        <w:t>～5m，控制性勘探孔应进入潜在滑动面以下5</w:t>
      </w:r>
      <w:r>
        <w:rPr>
          <w:rFonts w:hint="eastAsia"/>
          <w:color w:val="auto"/>
          <w:kern w:val="0"/>
          <w:highlight w:val="none"/>
        </w:rPr>
        <w:t>m</w:t>
      </w:r>
      <w:r>
        <w:rPr>
          <w:color w:val="auto"/>
          <w:kern w:val="0"/>
          <w:highlight w:val="none"/>
        </w:rPr>
        <w:t>～8m；</w:t>
      </w:r>
    </w:p>
    <w:p>
      <w:pPr>
        <w:autoSpaceDE w:val="0"/>
        <w:spacing w:line="360" w:lineRule="auto"/>
        <w:ind w:firstLine="422" w:firstLineChars="200"/>
        <w:jc w:val="left"/>
        <w:rPr>
          <w:color w:val="auto"/>
          <w:kern w:val="0"/>
          <w:highlight w:val="none"/>
        </w:rPr>
      </w:pPr>
      <w:r>
        <w:rPr>
          <w:b/>
          <w:bCs/>
          <w:color w:val="auto"/>
          <w:kern w:val="0"/>
          <w:highlight w:val="none"/>
        </w:rPr>
        <w:t>3</w:t>
      </w:r>
      <w:r>
        <w:rPr>
          <w:rFonts w:hint="eastAsia"/>
          <w:b/>
          <w:bCs/>
          <w:color w:val="auto"/>
          <w:kern w:val="0"/>
          <w:highlight w:val="none"/>
        </w:rPr>
        <w:t>　</w:t>
      </w:r>
      <w:r>
        <w:rPr>
          <w:color w:val="auto"/>
          <w:kern w:val="0"/>
          <w:highlight w:val="none"/>
        </w:rPr>
        <w:t>在预计勘探深度内遇基岩时，控制性勘探孔应钻入中等风化基岩不小于3m，其余勘探孔应钻至中等风化基岩面。</w:t>
      </w:r>
    </w:p>
    <w:p>
      <w:pPr>
        <w:spacing w:line="360" w:lineRule="auto"/>
        <w:jc w:val="left"/>
        <w:rPr>
          <w:color w:val="auto"/>
          <w:kern w:val="0"/>
          <w:highlight w:val="none"/>
        </w:rPr>
      </w:pPr>
      <w:r>
        <w:rPr>
          <w:rFonts w:hint="eastAsia"/>
          <w:b/>
          <w:bCs/>
          <w:color w:val="auto"/>
          <w:kern w:val="0"/>
          <w:highlight w:val="none"/>
        </w:rPr>
        <w:t>13.</w:t>
      </w:r>
      <w:r>
        <w:rPr>
          <w:b/>
          <w:bCs/>
          <w:color w:val="auto"/>
          <w:kern w:val="0"/>
          <w:highlight w:val="none"/>
        </w:rPr>
        <w:t>3.</w:t>
      </w:r>
      <w:r>
        <w:rPr>
          <w:rFonts w:hint="eastAsia"/>
          <w:b/>
          <w:bCs/>
          <w:color w:val="auto"/>
          <w:kern w:val="0"/>
          <w:highlight w:val="none"/>
        </w:rPr>
        <w:t>4　</w:t>
      </w:r>
      <w:r>
        <w:rPr>
          <w:rFonts w:hint="eastAsia"/>
          <w:color w:val="auto"/>
          <w:kern w:val="0"/>
          <w:highlight w:val="none"/>
        </w:rPr>
        <w:t>必要时可设置地下水长期观测孔</w:t>
      </w:r>
      <w:r>
        <w:rPr>
          <w:color w:val="auto"/>
          <w:kern w:val="0"/>
          <w:highlight w:val="none"/>
        </w:rPr>
        <w:t>，对地下水位、水质动态变化进行监测，监测周期不宜少于3个水文年。</w:t>
      </w:r>
    </w:p>
    <w:p>
      <w:pPr>
        <w:autoSpaceDE w:val="0"/>
        <w:spacing w:line="360" w:lineRule="auto"/>
        <w:jc w:val="left"/>
        <w:rPr>
          <w:color w:val="auto"/>
          <w:kern w:val="0"/>
          <w:highlight w:val="none"/>
        </w:rPr>
      </w:pPr>
      <w:r>
        <w:rPr>
          <w:rFonts w:hint="eastAsia"/>
          <w:b/>
          <w:bCs/>
          <w:color w:val="auto"/>
          <w:kern w:val="0"/>
          <w:highlight w:val="none"/>
        </w:rPr>
        <w:t>13.</w:t>
      </w:r>
      <w:r>
        <w:rPr>
          <w:b/>
          <w:bCs/>
          <w:color w:val="auto"/>
          <w:kern w:val="0"/>
          <w:highlight w:val="none"/>
        </w:rPr>
        <w:t>3.</w:t>
      </w:r>
      <w:r>
        <w:rPr>
          <w:rFonts w:hint="eastAsia"/>
          <w:b/>
          <w:bCs/>
          <w:color w:val="auto"/>
          <w:kern w:val="0"/>
          <w:highlight w:val="none"/>
        </w:rPr>
        <w:t>5　</w:t>
      </w:r>
      <w:r>
        <w:rPr>
          <w:rFonts w:hint="eastAsia"/>
          <w:color w:val="auto"/>
          <w:highlight w:val="none"/>
        </w:rPr>
        <w:t>初步勘察应分区段评价</w:t>
      </w:r>
      <w:r>
        <w:rPr>
          <w:color w:val="auto"/>
          <w:kern w:val="0"/>
          <w:highlight w:val="none"/>
        </w:rPr>
        <w:t>场地的稳定性和</w:t>
      </w:r>
      <w:r>
        <w:rPr>
          <w:rFonts w:hint="eastAsia"/>
          <w:color w:val="auto"/>
          <w:kern w:val="0"/>
          <w:highlight w:val="none"/>
        </w:rPr>
        <w:t>工程建设的</w:t>
      </w:r>
      <w:r>
        <w:rPr>
          <w:color w:val="auto"/>
          <w:kern w:val="0"/>
          <w:highlight w:val="none"/>
        </w:rPr>
        <w:t>适宜性</w:t>
      </w:r>
      <w:r>
        <w:rPr>
          <w:rFonts w:hint="eastAsia"/>
          <w:color w:val="auto"/>
          <w:highlight w:val="none"/>
        </w:rPr>
        <w:t>，并初步</w:t>
      </w:r>
      <w:r>
        <w:rPr>
          <w:color w:val="auto"/>
          <w:highlight w:val="none"/>
        </w:rPr>
        <w:t>分析评价下列内容：</w:t>
      </w:r>
    </w:p>
    <w:p>
      <w:pPr>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评价场地与地基的地震效应；</w:t>
      </w:r>
    </w:p>
    <w:p>
      <w:pPr>
        <w:autoSpaceDE w:val="0"/>
        <w:spacing w:line="360" w:lineRule="auto"/>
        <w:ind w:firstLine="422" w:firstLineChars="200"/>
        <w:jc w:val="left"/>
        <w:rPr>
          <w:color w:val="auto"/>
          <w:kern w:val="0"/>
          <w:highlight w:val="none"/>
        </w:rPr>
      </w:pPr>
      <w:r>
        <w:rPr>
          <w:rFonts w:hint="eastAsia"/>
          <w:b/>
          <w:bCs/>
          <w:color w:val="auto"/>
          <w:kern w:val="0"/>
          <w:highlight w:val="none"/>
        </w:rPr>
        <w:t>2</w:t>
      </w:r>
      <w:r>
        <w:rPr>
          <w:rFonts w:hint="eastAsia"/>
          <w:color w:val="auto"/>
          <w:kern w:val="0"/>
          <w:highlight w:val="none"/>
        </w:rPr>
        <w:t>　</w:t>
      </w:r>
      <w:r>
        <w:rPr>
          <w:rFonts w:hint="eastAsia"/>
          <w:color w:val="auto"/>
          <w:szCs w:val="21"/>
          <w:highlight w:val="none"/>
        </w:rPr>
        <w:t>分析</w:t>
      </w:r>
      <w:r>
        <w:rPr>
          <w:color w:val="auto"/>
          <w:kern w:val="0"/>
          <w:highlight w:val="none"/>
        </w:rPr>
        <w:t>堤岸工程地质条件及工程地质问题</w:t>
      </w:r>
      <w:r>
        <w:rPr>
          <w:rFonts w:hint="eastAsia"/>
          <w:color w:val="auto"/>
          <w:kern w:val="0"/>
          <w:highlight w:val="none"/>
        </w:rPr>
        <w:t>，提出相关措施建议</w:t>
      </w:r>
      <w:r>
        <w:rPr>
          <w:color w:val="auto"/>
          <w:kern w:val="0"/>
          <w:highlight w:val="none"/>
        </w:rPr>
        <w:t>；</w:t>
      </w:r>
    </w:p>
    <w:p>
      <w:pPr>
        <w:autoSpaceDE w:val="0"/>
        <w:spacing w:line="360" w:lineRule="auto"/>
        <w:ind w:firstLine="422" w:firstLineChars="200"/>
        <w:jc w:val="left"/>
        <w:rPr>
          <w:color w:val="auto"/>
          <w:kern w:val="0"/>
          <w:highlight w:val="none"/>
        </w:rPr>
      </w:pPr>
      <w:r>
        <w:rPr>
          <w:rFonts w:hint="eastAsia"/>
          <w:b/>
          <w:bCs/>
          <w:color w:val="auto"/>
          <w:kern w:val="0"/>
          <w:highlight w:val="none"/>
        </w:rPr>
        <w:t>3</w:t>
      </w:r>
      <w:r>
        <w:rPr>
          <w:rFonts w:hint="eastAsia"/>
          <w:color w:val="auto"/>
          <w:kern w:val="0"/>
          <w:highlight w:val="none"/>
        </w:rPr>
        <w:t>　</w:t>
      </w:r>
      <w:r>
        <w:rPr>
          <w:color w:val="auto"/>
          <w:kern w:val="0"/>
          <w:highlight w:val="none"/>
        </w:rPr>
        <w:t>提出堤岸选型、基础形式和地基处理初步建议，</w:t>
      </w:r>
      <w:r>
        <w:rPr>
          <w:rFonts w:hint="eastAsia"/>
          <w:color w:val="auto"/>
          <w:kern w:val="0"/>
          <w:highlight w:val="none"/>
        </w:rPr>
        <w:t>提供</w:t>
      </w:r>
      <w:r>
        <w:rPr>
          <w:color w:val="auto"/>
          <w:kern w:val="0"/>
          <w:highlight w:val="none"/>
        </w:rPr>
        <w:t>设计所需的岩土参数；</w:t>
      </w:r>
    </w:p>
    <w:p>
      <w:pPr>
        <w:autoSpaceDE w:val="0"/>
        <w:spacing w:line="360" w:lineRule="auto"/>
        <w:ind w:firstLine="422" w:firstLineChars="200"/>
        <w:jc w:val="left"/>
        <w:rPr>
          <w:color w:val="auto"/>
          <w:kern w:val="0"/>
          <w:highlight w:val="none"/>
        </w:rPr>
      </w:pPr>
      <w:r>
        <w:rPr>
          <w:rFonts w:hint="eastAsia"/>
          <w:b/>
          <w:bCs/>
          <w:color w:val="auto"/>
          <w:kern w:val="0"/>
          <w:highlight w:val="none"/>
        </w:rPr>
        <w:t>4</w:t>
      </w:r>
      <w:r>
        <w:rPr>
          <w:rFonts w:hint="eastAsia"/>
          <w:color w:val="auto"/>
          <w:kern w:val="0"/>
          <w:highlight w:val="none"/>
        </w:rPr>
        <w:t>　</w:t>
      </w:r>
      <w:r>
        <w:rPr>
          <w:color w:val="auto"/>
          <w:kern w:val="0"/>
          <w:highlight w:val="none"/>
        </w:rPr>
        <w:t>根据河势情况、河道冲淤变化、水流侧向侵蚀和岸坡的形态、防护及失稳情况对堤岸稳定性进行初步评价。堤岸稳定性分类应符合表</w:t>
      </w:r>
      <w:r>
        <w:rPr>
          <w:rFonts w:hint="eastAsia"/>
          <w:color w:val="auto"/>
          <w:kern w:val="0"/>
          <w:highlight w:val="none"/>
        </w:rPr>
        <w:t>13.</w:t>
      </w:r>
      <w:r>
        <w:rPr>
          <w:color w:val="auto"/>
          <w:kern w:val="0"/>
          <w:highlight w:val="none"/>
        </w:rPr>
        <w:t>3.</w:t>
      </w:r>
      <w:r>
        <w:rPr>
          <w:rFonts w:hint="eastAsia"/>
          <w:color w:val="auto"/>
          <w:kern w:val="0"/>
          <w:highlight w:val="none"/>
        </w:rPr>
        <w:t>5</w:t>
      </w:r>
      <w:r>
        <w:rPr>
          <w:color w:val="auto"/>
          <w:kern w:val="0"/>
          <w:highlight w:val="none"/>
        </w:rPr>
        <w:t>的规定。</w:t>
      </w:r>
    </w:p>
    <w:p>
      <w:pPr>
        <w:spacing w:line="360" w:lineRule="auto"/>
        <w:jc w:val="center"/>
        <w:rPr>
          <w:b/>
          <w:bCs/>
          <w:color w:val="auto"/>
          <w:highlight w:val="none"/>
        </w:rPr>
      </w:pPr>
      <w:r>
        <w:rPr>
          <w:b/>
          <w:bCs/>
          <w:color w:val="auto"/>
          <w:kern w:val="0"/>
          <w:highlight w:val="none"/>
        </w:rPr>
        <w:t>表</w:t>
      </w:r>
      <w:r>
        <w:rPr>
          <w:rFonts w:hint="eastAsia"/>
          <w:b/>
          <w:bCs/>
          <w:color w:val="auto"/>
          <w:kern w:val="0"/>
          <w:highlight w:val="none"/>
        </w:rPr>
        <w:t>13.</w:t>
      </w:r>
      <w:r>
        <w:rPr>
          <w:b/>
          <w:bCs/>
          <w:color w:val="auto"/>
          <w:kern w:val="0"/>
          <w:highlight w:val="none"/>
        </w:rPr>
        <w:t>3.</w:t>
      </w:r>
      <w:r>
        <w:rPr>
          <w:rFonts w:hint="eastAsia"/>
          <w:b/>
          <w:bCs/>
          <w:color w:val="auto"/>
          <w:kern w:val="0"/>
          <w:highlight w:val="none"/>
        </w:rPr>
        <w:t>5　</w:t>
      </w:r>
      <w:r>
        <w:rPr>
          <w:b/>
          <w:bCs/>
          <w:color w:val="auto"/>
          <w:kern w:val="0"/>
          <w:highlight w:val="none"/>
        </w:rPr>
        <w:t>堤岸稳定性分类</w:t>
      </w:r>
    </w:p>
    <w:tbl>
      <w:tblPr>
        <w:tblStyle w:val="22"/>
        <w:tblW w:w="8205" w:type="dxa"/>
        <w:tblInd w:w="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99"/>
        <w:gridCol w:w="66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99" w:type="dxa"/>
            <w:tcBorders>
              <w:top w:val="single" w:color="000000" w:sz="12" w:space="0"/>
              <w:left w:val="single" w:color="000000" w:sz="12" w:space="0"/>
            </w:tcBorders>
            <w:vAlign w:val="center"/>
          </w:tcPr>
          <w:p>
            <w:pPr>
              <w:jc w:val="center"/>
              <w:rPr>
                <w:color w:val="auto"/>
                <w:sz w:val="18"/>
                <w:szCs w:val="18"/>
                <w:highlight w:val="none"/>
              </w:rPr>
            </w:pPr>
            <w:r>
              <w:rPr>
                <w:color w:val="auto"/>
                <w:sz w:val="18"/>
                <w:szCs w:val="18"/>
                <w:highlight w:val="none"/>
              </w:rPr>
              <w:t>类别</w:t>
            </w:r>
          </w:p>
        </w:tc>
        <w:tc>
          <w:tcPr>
            <w:tcW w:w="6606" w:type="dxa"/>
            <w:tcBorders>
              <w:top w:val="single" w:color="000000" w:sz="12" w:space="0"/>
              <w:right w:val="single" w:color="000000" w:sz="12" w:space="0"/>
            </w:tcBorders>
            <w:vAlign w:val="center"/>
          </w:tcPr>
          <w:p>
            <w:pPr>
              <w:jc w:val="center"/>
              <w:rPr>
                <w:color w:val="auto"/>
                <w:sz w:val="18"/>
                <w:szCs w:val="18"/>
                <w:highlight w:val="none"/>
              </w:rPr>
            </w:pPr>
            <w:r>
              <w:rPr>
                <w:color w:val="auto"/>
                <w:sz w:val="18"/>
                <w:szCs w:val="18"/>
                <w:highlight w:val="none"/>
              </w:rPr>
              <w:t>划分条件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99" w:type="dxa"/>
            <w:tcBorders>
              <w:left w:val="single" w:color="000000" w:sz="12" w:space="0"/>
            </w:tcBorders>
            <w:vAlign w:val="center"/>
          </w:tcPr>
          <w:p>
            <w:pPr>
              <w:jc w:val="center"/>
              <w:rPr>
                <w:color w:val="auto"/>
                <w:sz w:val="18"/>
                <w:szCs w:val="18"/>
                <w:highlight w:val="none"/>
              </w:rPr>
            </w:pPr>
            <w:r>
              <w:rPr>
                <w:color w:val="auto"/>
                <w:sz w:val="18"/>
                <w:szCs w:val="18"/>
                <w:highlight w:val="none"/>
              </w:rPr>
              <w:t>稳定堤岸</w:t>
            </w:r>
          </w:p>
        </w:tc>
        <w:tc>
          <w:tcPr>
            <w:tcW w:w="6606" w:type="dxa"/>
            <w:tcBorders>
              <w:right w:val="single" w:color="000000" w:sz="12" w:space="0"/>
            </w:tcBorders>
            <w:vAlign w:val="center"/>
          </w:tcPr>
          <w:p>
            <w:pPr>
              <w:jc w:val="left"/>
              <w:rPr>
                <w:color w:val="auto"/>
                <w:sz w:val="18"/>
                <w:szCs w:val="18"/>
                <w:highlight w:val="none"/>
              </w:rPr>
            </w:pPr>
            <w:r>
              <w:rPr>
                <w:color w:val="auto"/>
                <w:sz w:val="18"/>
                <w:szCs w:val="18"/>
                <w:highlight w:val="none"/>
              </w:rPr>
              <w:t>堤岸岩土体抗冲刷能力强，无堤岸失稳迹象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99" w:type="dxa"/>
            <w:tcBorders>
              <w:left w:val="single" w:color="000000" w:sz="12" w:space="0"/>
            </w:tcBorders>
            <w:vAlign w:val="center"/>
          </w:tcPr>
          <w:p>
            <w:pPr>
              <w:jc w:val="center"/>
              <w:rPr>
                <w:color w:val="auto"/>
                <w:sz w:val="18"/>
                <w:szCs w:val="18"/>
                <w:highlight w:val="none"/>
              </w:rPr>
            </w:pPr>
            <w:r>
              <w:rPr>
                <w:color w:val="auto"/>
                <w:sz w:val="18"/>
                <w:szCs w:val="18"/>
                <w:highlight w:val="none"/>
              </w:rPr>
              <w:t>基本稳定堤岸</w:t>
            </w:r>
          </w:p>
        </w:tc>
        <w:tc>
          <w:tcPr>
            <w:tcW w:w="6606" w:type="dxa"/>
            <w:tcBorders>
              <w:right w:val="single" w:color="000000" w:sz="12" w:space="0"/>
            </w:tcBorders>
            <w:vAlign w:val="center"/>
          </w:tcPr>
          <w:p>
            <w:pPr>
              <w:jc w:val="left"/>
              <w:rPr>
                <w:color w:val="auto"/>
                <w:sz w:val="18"/>
                <w:szCs w:val="18"/>
                <w:highlight w:val="none"/>
              </w:rPr>
            </w:pPr>
            <w:r>
              <w:rPr>
                <w:color w:val="auto"/>
                <w:sz w:val="18"/>
                <w:szCs w:val="18"/>
                <w:highlight w:val="none"/>
              </w:rPr>
              <w:t>堤岸岩土体抗冲刷能力较强，历史上基本未发生堤岸失稳事件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99" w:type="dxa"/>
            <w:tcBorders>
              <w:left w:val="single" w:color="000000" w:sz="12" w:space="0"/>
            </w:tcBorders>
            <w:vAlign w:val="center"/>
          </w:tcPr>
          <w:p>
            <w:pPr>
              <w:jc w:val="center"/>
              <w:rPr>
                <w:color w:val="auto"/>
                <w:sz w:val="18"/>
                <w:szCs w:val="18"/>
                <w:highlight w:val="none"/>
              </w:rPr>
            </w:pPr>
            <w:r>
              <w:rPr>
                <w:color w:val="auto"/>
                <w:sz w:val="18"/>
                <w:szCs w:val="18"/>
                <w:highlight w:val="none"/>
              </w:rPr>
              <w:t>稳定性较差堤岸</w:t>
            </w:r>
          </w:p>
        </w:tc>
        <w:tc>
          <w:tcPr>
            <w:tcW w:w="6606" w:type="dxa"/>
            <w:tcBorders>
              <w:right w:val="single" w:color="000000" w:sz="12" w:space="0"/>
            </w:tcBorders>
            <w:vAlign w:val="center"/>
          </w:tcPr>
          <w:p>
            <w:pPr>
              <w:jc w:val="left"/>
              <w:rPr>
                <w:color w:val="auto"/>
                <w:sz w:val="18"/>
                <w:szCs w:val="18"/>
                <w:highlight w:val="none"/>
              </w:rPr>
            </w:pPr>
            <w:r>
              <w:rPr>
                <w:color w:val="auto"/>
                <w:sz w:val="18"/>
                <w:szCs w:val="18"/>
                <w:highlight w:val="none"/>
              </w:rPr>
              <w:t>堤岸岩土体抗冲刷能力较差，历史上曾发生小规模堤岸失稳事件，危害性不大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99" w:type="dxa"/>
            <w:tcBorders>
              <w:left w:val="single" w:color="000000" w:sz="12" w:space="0"/>
              <w:bottom w:val="single" w:color="000000" w:sz="12" w:space="0"/>
            </w:tcBorders>
            <w:vAlign w:val="center"/>
          </w:tcPr>
          <w:p>
            <w:pPr>
              <w:jc w:val="center"/>
              <w:rPr>
                <w:color w:val="auto"/>
                <w:sz w:val="18"/>
                <w:szCs w:val="18"/>
                <w:highlight w:val="none"/>
              </w:rPr>
            </w:pPr>
            <w:r>
              <w:rPr>
                <w:color w:val="auto"/>
                <w:sz w:val="18"/>
                <w:szCs w:val="18"/>
                <w:highlight w:val="none"/>
              </w:rPr>
              <w:t>稳定性差堤岸</w:t>
            </w:r>
          </w:p>
        </w:tc>
        <w:tc>
          <w:tcPr>
            <w:tcW w:w="6606" w:type="dxa"/>
            <w:tcBorders>
              <w:bottom w:val="single" w:color="000000" w:sz="12" w:space="0"/>
              <w:right w:val="single" w:color="000000" w:sz="12" w:space="0"/>
            </w:tcBorders>
            <w:vAlign w:val="center"/>
          </w:tcPr>
          <w:p>
            <w:pPr>
              <w:jc w:val="left"/>
              <w:rPr>
                <w:color w:val="auto"/>
                <w:sz w:val="18"/>
                <w:szCs w:val="18"/>
                <w:highlight w:val="none"/>
              </w:rPr>
            </w:pPr>
            <w:r>
              <w:rPr>
                <w:color w:val="auto"/>
                <w:sz w:val="18"/>
                <w:szCs w:val="18"/>
                <w:highlight w:val="none"/>
              </w:rPr>
              <w:t>堤岸岩土体抗冲刷能力差，历史上曾发生堤岸失稳事件，具严重危害性</w:t>
            </w:r>
          </w:p>
        </w:tc>
      </w:tr>
    </w:tbl>
    <w:p>
      <w:pPr>
        <w:pStyle w:val="3"/>
        <w:rPr>
          <w:rFonts w:ascii="Times New Roman" w:hAnsi="Times New Roman" w:eastAsia="宋体"/>
          <w:color w:val="auto"/>
          <w:highlight w:val="none"/>
        </w:rPr>
      </w:pPr>
      <w:bookmarkStart w:id="239" w:name="_Toc31045"/>
      <w:bookmarkStart w:id="240" w:name="_Toc3139"/>
      <w:bookmarkStart w:id="241" w:name="_Toc8712"/>
      <w:bookmarkStart w:id="242" w:name="_13.4　详细勘察"/>
      <w:r>
        <w:rPr>
          <w:rFonts w:hint="eastAsia" w:ascii="Times New Roman" w:hAnsi="Times New Roman" w:eastAsia="宋体"/>
          <w:color w:val="auto"/>
          <w:highlight w:val="none"/>
        </w:rPr>
        <w:t>13.</w:t>
      </w:r>
      <w:r>
        <w:rPr>
          <w:rFonts w:ascii="Times New Roman" w:hAnsi="Times New Roman" w:eastAsia="宋体"/>
          <w:color w:val="auto"/>
          <w:highlight w:val="none"/>
        </w:rPr>
        <w:t>4</w:t>
      </w:r>
      <w:r>
        <w:rPr>
          <w:rFonts w:hint="eastAsia" w:ascii="Times New Roman" w:hAnsi="Times New Roman" w:eastAsia="宋体"/>
          <w:color w:val="auto"/>
          <w:highlight w:val="none"/>
        </w:rPr>
        <w:t>　</w:t>
      </w:r>
      <w:r>
        <w:rPr>
          <w:rFonts w:ascii="Times New Roman" w:hAnsi="Times New Roman" w:eastAsia="宋体"/>
          <w:color w:val="auto"/>
          <w:highlight w:val="none"/>
        </w:rPr>
        <w:t>详细勘察</w:t>
      </w:r>
      <w:bookmarkEnd w:id="239"/>
      <w:bookmarkEnd w:id="240"/>
      <w:bookmarkEnd w:id="241"/>
    </w:p>
    <w:bookmarkEnd w:id="242"/>
    <w:p>
      <w:pPr>
        <w:spacing w:line="360" w:lineRule="auto"/>
        <w:rPr>
          <w:color w:val="auto"/>
          <w:kern w:val="0"/>
          <w:highlight w:val="none"/>
        </w:rPr>
      </w:pPr>
      <w:r>
        <w:rPr>
          <w:rFonts w:hint="eastAsia"/>
          <w:b/>
          <w:bCs/>
          <w:color w:val="auto"/>
          <w:kern w:val="0"/>
          <w:highlight w:val="none"/>
        </w:rPr>
        <w:t>13.</w:t>
      </w:r>
      <w:r>
        <w:rPr>
          <w:b/>
          <w:bCs/>
          <w:color w:val="auto"/>
          <w:kern w:val="0"/>
          <w:highlight w:val="none"/>
        </w:rPr>
        <w:t>4.1</w:t>
      </w:r>
      <w:r>
        <w:rPr>
          <w:rFonts w:hint="eastAsia"/>
          <w:b/>
          <w:bCs/>
          <w:color w:val="auto"/>
          <w:kern w:val="0"/>
          <w:highlight w:val="none"/>
        </w:rPr>
        <w:t>　</w:t>
      </w:r>
      <w:r>
        <w:rPr>
          <w:color w:val="auto"/>
          <w:kern w:val="0"/>
          <w:highlight w:val="none"/>
        </w:rPr>
        <w:t>详细勘察</w:t>
      </w:r>
      <w:r>
        <w:rPr>
          <w:rFonts w:hint="eastAsia"/>
          <w:color w:val="auto"/>
          <w:kern w:val="0"/>
          <w:highlight w:val="none"/>
        </w:rPr>
        <w:t>除应查明13.3.1内容外，尚</w:t>
      </w:r>
      <w:r>
        <w:rPr>
          <w:color w:val="auto"/>
          <w:kern w:val="0"/>
          <w:highlight w:val="none"/>
        </w:rPr>
        <w:t>应重点查明以下内容：</w:t>
      </w:r>
    </w:p>
    <w:p>
      <w:pPr>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堤基的地质结构、地层岩性；</w:t>
      </w:r>
    </w:p>
    <w:p>
      <w:pPr>
        <w:spacing w:line="360" w:lineRule="auto"/>
        <w:ind w:firstLine="422" w:firstLineChars="200"/>
        <w:rPr>
          <w:color w:val="auto"/>
          <w:highlight w:val="none"/>
        </w:rPr>
      </w:pPr>
      <w:r>
        <w:rPr>
          <w:rFonts w:hint="eastAsia"/>
          <w:b/>
          <w:bCs/>
          <w:color w:val="auto"/>
          <w:highlight w:val="none"/>
        </w:rPr>
        <w:t>2　</w:t>
      </w:r>
      <w:r>
        <w:rPr>
          <w:rFonts w:hint="eastAsia"/>
          <w:color w:val="auto"/>
          <w:highlight w:val="none"/>
        </w:rPr>
        <w:t>基岩区断层破碎带、裂隙密集带的发育特征</w:t>
      </w:r>
      <w:r>
        <w:rPr>
          <w:color w:val="auto"/>
          <w:highlight w:val="none"/>
        </w:rPr>
        <w:t>；</w:t>
      </w:r>
    </w:p>
    <w:p>
      <w:pPr>
        <w:spacing w:line="360" w:lineRule="auto"/>
        <w:ind w:firstLine="422" w:firstLineChars="200"/>
        <w:rPr>
          <w:color w:val="auto"/>
          <w:highlight w:val="none"/>
        </w:rPr>
      </w:pPr>
      <w:r>
        <w:rPr>
          <w:rFonts w:hint="eastAsia"/>
          <w:b/>
          <w:bCs/>
          <w:color w:val="auto"/>
          <w:highlight w:val="none"/>
        </w:rPr>
        <w:t>3</w:t>
      </w:r>
      <w:r>
        <w:rPr>
          <w:rFonts w:hint="eastAsia"/>
          <w:color w:val="auto"/>
          <w:highlight w:val="none"/>
        </w:rPr>
        <w:t>　岩土体透水性，堤基相对隔水层和透水层的埋深、厚度、特性及其与地表水的水力联系；</w:t>
      </w:r>
    </w:p>
    <w:p>
      <w:pPr>
        <w:spacing w:line="360" w:lineRule="auto"/>
        <w:ind w:firstLine="422" w:firstLineChars="200"/>
        <w:rPr>
          <w:color w:val="auto"/>
          <w:highlight w:val="none"/>
        </w:rPr>
      </w:pPr>
      <w:r>
        <w:rPr>
          <w:rFonts w:hint="eastAsia"/>
          <w:b/>
          <w:bCs/>
          <w:color w:val="auto"/>
          <w:highlight w:val="none"/>
        </w:rPr>
        <w:t>4</w:t>
      </w:r>
      <w:r>
        <w:rPr>
          <w:rFonts w:hint="eastAsia"/>
          <w:color w:val="auto"/>
          <w:highlight w:val="none"/>
        </w:rPr>
        <w:t>　地下水补给、径流、排泄条件，地下水位及其动态变化规律；</w:t>
      </w:r>
    </w:p>
    <w:p>
      <w:pPr>
        <w:spacing w:line="360" w:lineRule="auto"/>
        <w:ind w:firstLine="422" w:firstLineChars="200"/>
        <w:rPr>
          <w:color w:val="auto"/>
          <w:highlight w:val="none"/>
        </w:rPr>
      </w:pPr>
      <w:r>
        <w:rPr>
          <w:rFonts w:hint="eastAsia"/>
          <w:b/>
          <w:bCs/>
          <w:color w:val="auto"/>
          <w:highlight w:val="none"/>
        </w:rPr>
        <w:t>5</w:t>
      </w:r>
      <w:r>
        <w:rPr>
          <w:rFonts w:hint="eastAsia"/>
          <w:color w:val="auto"/>
          <w:highlight w:val="none"/>
        </w:rPr>
        <w:t>　地下水、地表水对结构材料的腐蚀性。</w:t>
      </w:r>
    </w:p>
    <w:p>
      <w:pPr>
        <w:autoSpaceDE w:val="0"/>
        <w:spacing w:line="360" w:lineRule="auto"/>
        <w:jc w:val="left"/>
        <w:rPr>
          <w:color w:val="auto"/>
          <w:kern w:val="0"/>
          <w:highlight w:val="none"/>
        </w:rPr>
      </w:pPr>
      <w:r>
        <w:rPr>
          <w:rFonts w:hint="eastAsia"/>
          <w:b/>
          <w:bCs/>
          <w:color w:val="auto"/>
          <w:kern w:val="0"/>
          <w:highlight w:val="none"/>
        </w:rPr>
        <w:t>13.</w:t>
      </w:r>
      <w:r>
        <w:rPr>
          <w:b/>
          <w:bCs/>
          <w:color w:val="auto"/>
          <w:kern w:val="0"/>
          <w:highlight w:val="none"/>
        </w:rPr>
        <w:t>4.</w:t>
      </w:r>
      <w:r>
        <w:rPr>
          <w:rFonts w:hint="eastAsia"/>
          <w:b/>
          <w:bCs/>
          <w:color w:val="auto"/>
          <w:kern w:val="0"/>
          <w:highlight w:val="none"/>
        </w:rPr>
        <w:t>2　</w:t>
      </w:r>
      <w:r>
        <w:rPr>
          <w:color w:val="auto"/>
          <w:kern w:val="0"/>
          <w:highlight w:val="none"/>
        </w:rPr>
        <w:t>详细勘察勘探点布置除满足第</w:t>
      </w:r>
      <w:r>
        <w:rPr>
          <w:rFonts w:hint="eastAsia"/>
          <w:color w:val="auto"/>
          <w:kern w:val="0"/>
          <w:highlight w:val="none"/>
        </w:rPr>
        <w:t>13.</w:t>
      </w:r>
      <w:r>
        <w:rPr>
          <w:color w:val="auto"/>
          <w:kern w:val="0"/>
          <w:highlight w:val="none"/>
        </w:rPr>
        <w:t>1.4要求外，还应符合下列规定：</w:t>
      </w:r>
    </w:p>
    <w:p>
      <w:pPr>
        <w:autoSpaceDE w:val="0"/>
        <w:spacing w:line="360" w:lineRule="auto"/>
        <w:ind w:firstLine="422" w:firstLineChars="200"/>
        <w:jc w:val="left"/>
        <w:rPr>
          <w:color w:val="auto"/>
          <w:kern w:val="0"/>
          <w:highlight w:val="none"/>
        </w:rPr>
      </w:pPr>
      <w:r>
        <w:rPr>
          <w:b/>
          <w:bCs/>
          <w:color w:val="auto"/>
          <w:kern w:val="0"/>
          <w:highlight w:val="none"/>
        </w:rPr>
        <w:t>1</w:t>
      </w:r>
      <w:r>
        <w:rPr>
          <w:rFonts w:hint="eastAsia"/>
          <w:b/>
          <w:bCs/>
          <w:color w:val="auto"/>
          <w:kern w:val="0"/>
          <w:highlight w:val="none"/>
        </w:rPr>
        <w:t>　</w:t>
      </w:r>
      <w:r>
        <w:rPr>
          <w:color w:val="auto"/>
          <w:kern w:val="0"/>
          <w:highlight w:val="none"/>
        </w:rPr>
        <w:t>勘探纵</w:t>
      </w:r>
      <w:r>
        <w:rPr>
          <w:rFonts w:hint="eastAsia" w:cs="Times New Roman"/>
          <w:color w:val="auto"/>
          <w:kern w:val="0"/>
          <w:highlight w:val="none"/>
          <w:lang w:val="en-US" w:eastAsia="zh-CN"/>
        </w:rPr>
        <w:t>勘探线</w:t>
      </w:r>
      <w:r>
        <w:rPr>
          <w:color w:val="auto"/>
          <w:kern w:val="0"/>
          <w:highlight w:val="none"/>
        </w:rPr>
        <w:t>勘探点间距宜根据</w:t>
      </w:r>
      <w:r>
        <w:rPr>
          <w:rFonts w:hint="eastAsia"/>
          <w:color w:val="auto"/>
          <w:kern w:val="0"/>
          <w:highlight w:val="none"/>
        </w:rPr>
        <w:t>工程</w:t>
      </w:r>
      <w:r>
        <w:rPr>
          <w:color w:val="auto"/>
          <w:kern w:val="0"/>
          <w:highlight w:val="none"/>
        </w:rPr>
        <w:t>重要性</w:t>
      </w:r>
      <w:r>
        <w:rPr>
          <w:rFonts w:hint="eastAsia"/>
          <w:color w:val="auto"/>
          <w:kern w:val="0"/>
          <w:highlight w:val="none"/>
        </w:rPr>
        <w:t>等级、</w:t>
      </w:r>
      <w:r>
        <w:rPr>
          <w:color w:val="auto"/>
          <w:highlight w:val="none"/>
        </w:rPr>
        <w:t>场地</w:t>
      </w:r>
      <w:r>
        <w:rPr>
          <w:rFonts w:hint="eastAsia"/>
          <w:color w:val="auto"/>
          <w:highlight w:val="none"/>
        </w:rPr>
        <w:t>和</w:t>
      </w:r>
      <w:r>
        <w:rPr>
          <w:color w:val="auto"/>
          <w:highlight w:val="none"/>
        </w:rPr>
        <w:t>岩土条件复杂程度</w:t>
      </w:r>
      <w:r>
        <w:rPr>
          <w:rFonts w:hint="eastAsia"/>
          <w:color w:val="auto"/>
          <w:highlight w:val="none"/>
        </w:rPr>
        <w:t>等级</w:t>
      </w:r>
      <w:r>
        <w:rPr>
          <w:color w:val="auto"/>
          <w:kern w:val="0"/>
          <w:highlight w:val="none"/>
        </w:rPr>
        <w:t>按表</w:t>
      </w:r>
      <w:r>
        <w:rPr>
          <w:rFonts w:hint="eastAsia"/>
          <w:color w:val="auto"/>
          <w:kern w:val="0"/>
          <w:highlight w:val="none"/>
        </w:rPr>
        <w:t>13.</w:t>
      </w:r>
      <w:r>
        <w:rPr>
          <w:color w:val="auto"/>
          <w:kern w:val="0"/>
          <w:highlight w:val="none"/>
        </w:rPr>
        <w:t>4.</w:t>
      </w:r>
      <w:r>
        <w:rPr>
          <w:rFonts w:hint="eastAsia"/>
          <w:color w:val="auto"/>
          <w:kern w:val="0"/>
          <w:highlight w:val="none"/>
        </w:rPr>
        <w:t>2</w:t>
      </w:r>
      <w:r>
        <w:rPr>
          <w:color w:val="auto"/>
          <w:kern w:val="0"/>
          <w:highlight w:val="none"/>
        </w:rPr>
        <w:t>确定；</w:t>
      </w:r>
    </w:p>
    <w:p>
      <w:pPr>
        <w:autoSpaceDE w:val="0"/>
        <w:autoSpaceDN w:val="0"/>
        <w:adjustRightInd w:val="0"/>
        <w:spacing w:line="360" w:lineRule="auto"/>
        <w:jc w:val="center"/>
        <w:rPr>
          <w:b/>
          <w:bCs/>
          <w:color w:val="auto"/>
          <w:kern w:val="0"/>
          <w:highlight w:val="none"/>
        </w:rPr>
      </w:pPr>
      <w:r>
        <w:rPr>
          <w:b/>
          <w:bCs/>
          <w:color w:val="auto"/>
          <w:kern w:val="0"/>
          <w:highlight w:val="none"/>
        </w:rPr>
        <w:t>表</w:t>
      </w:r>
      <w:r>
        <w:rPr>
          <w:rFonts w:hint="eastAsia"/>
          <w:b/>
          <w:bCs/>
          <w:color w:val="auto"/>
          <w:kern w:val="0"/>
          <w:highlight w:val="none"/>
        </w:rPr>
        <w:t>13.</w:t>
      </w:r>
      <w:r>
        <w:rPr>
          <w:b/>
          <w:bCs/>
          <w:color w:val="auto"/>
          <w:kern w:val="0"/>
          <w:highlight w:val="none"/>
        </w:rPr>
        <w:t>4.</w:t>
      </w:r>
      <w:r>
        <w:rPr>
          <w:rFonts w:hint="eastAsia"/>
          <w:b/>
          <w:bCs/>
          <w:color w:val="auto"/>
          <w:kern w:val="0"/>
          <w:highlight w:val="none"/>
        </w:rPr>
        <w:t>2</w:t>
      </w:r>
      <w:r>
        <w:rPr>
          <w:b/>
          <w:bCs/>
          <w:color w:val="auto"/>
          <w:kern w:val="0"/>
          <w:highlight w:val="none"/>
        </w:rPr>
        <w:t xml:space="preserve"> 详细勘察勘探点间距（m）</w:t>
      </w:r>
    </w:p>
    <w:tbl>
      <w:tblPr>
        <w:tblStyle w:val="22"/>
        <w:tblW w:w="81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56"/>
        <w:gridCol w:w="1688"/>
        <w:gridCol w:w="1688"/>
        <w:gridCol w:w="16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7" w:hRule="atLeast"/>
          <w:jc w:val="center"/>
        </w:trPr>
        <w:tc>
          <w:tcPr>
            <w:tcW w:w="3056" w:type="dxa"/>
            <w:tcBorders>
              <w:top w:val="single" w:color="000000" w:sz="12" w:space="0"/>
              <w:left w:val="single" w:color="000000" w:sz="12" w:space="0"/>
              <w:bottom w:val="single" w:color="000000" w:sz="4" w:space="0"/>
              <w:right w:val="single" w:color="000000" w:sz="4" w:space="0"/>
              <w:tl2br w:val="single" w:color="000000" w:sz="4" w:space="0"/>
            </w:tcBorders>
            <w:vAlign w:val="center"/>
          </w:tcPr>
          <w:p>
            <w:pPr>
              <w:spacing w:line="240" w:lineRule="atLeast"/>
              <w:jc w:val="right"/>
              <w:rPr>
                <w:color w:val="auto"/>
                <w:sz w:val="20"/>
                <w:szCs w:val="20"/>
                <w:highlight w:val="none"/>
              </w:rPr>
            </w:pPr>
            <w:r>
              <w:rPr>
                <w:color w:val="auto"/>
                <w:kern w:val="0"/>
                <w:sz w:val="20"/>
                <w:szCs w:val="21"/>
                <w:highlight w:val="none"/>
              </w:rPr>
              <w:t>工程重要性等级</w:t>
            </w:r>
          </w:p>
          <w:p>
            <w:pPr>
              <w:spacing w:line="240" w:lineRule="atLeast"/>
              <w:jc w:val="left"/>
              <w:rPr>
                <w:color w:val="auto"/>
                <w:sz w:val="20"/>
                <w:szCs w:val="20"/>
                <w:highlight w:val="none"/>
              </w:rPr>
            </w:pPr>
            <w:r>
              <w:rPr>
                <w:color w:val="auto"/>
                <w:sz w:val="20"/>
                <w:szCs w:val="20"/>
                <w:highlight w:val="none"/>
              </w:rPr>
              <w:t>场地</w:t>
            </w:r>
            <w:r>
              <w:rPr>
                <w:rFonts w:hint="eastAsia"/>
                <w:color w:val="auto"/>
                <w:sz w:val="20"/>
                <w:szCs w:val="20"/>
                <w:highlight w:val="none"/>
              </w:rPr>
              <w:t>和</w:t>
            </w:r>
          </w:p>
          <w:p>
            <w:pPr>
              <w:spacing w:line="240" w:lineRule="atLeast"/>
              <w:jc w:val="left"/>
              <w:rPr>
                <w:color w:val="auto"/>
                <w:kern w:val="0"/>
                <w:sz w:val="20"/>
                <w:szCs w:val="21"/>
                <w:highlight w:val="none"/>
              </w:rPr>
            </w:pPr>
            <w:r>
              <w:rPr>
                <w:color w:val="auto"/>
                <w:sz w:val="20"/>
                <w:szCs w:val="20"/>
                <w:highlight w:val="none"/>
              </w:rPr>
              <w:t>岩土</w:t>
            </w:r>
            <w:r>
              <w:rPr>
                <w:rFonts w:hint="eastAsia"/>
                <w:color w:val="auto"/>
                <w:sz w:val="20"/>
                <w:szCs w:val="20"/>
                <w:highlight w:val="none"/>
              </w:rPr>
              <w:t>条件</w:t>
            </w:r>
            <w:r>
              <w:rPr>
                <w:color w:val="auto"/>
                <w:sz w:val="20"/>
                <w:szCs w:val="20"/>
                <w:highlight w:val="none"/>
              </w:rPr>
              <w:t>复杂程度等级</w:t>
            </w:r>
          </w:p>
        </w:tc>
        <w:tc>
          <w:tcPr>
            <w:tcW w:w="1688" w:type="dxa"/>
            <w:tcBorders>
              <w:top w:val="single" w:color="000000" w:sz="12" w:space="0"/>
              <w:left w:val="single" w:color="000000" w:sz="4" w:space="0"/>
              <w:right w:val="single" w:color="000000" w:sz="4" w:space="0"/>
            </w:tcBorders>
            <w:vAlign w:val="center"/>
          </w:tcPr>
          <w:p>
            <w:pPr>
              <w:autoSpaceDE w:val="0"/>
              <w:autoSpaceDN w:val="0"/>
              <w:adjustRightInd w:val="0"/>
              <w:spacing w:before="62" w:beforeLines="20" w:after="62" w:afterLines="20"/>
              <w:jc w:val="center"/>
              <w:rPr>
                <w:color w:val="auto"/>
                <w:kern w:val="0"/>
                <w:sz w:val="20"/>
                <w:szCs w:val="21"/>
                <w:highlight w:val="none"/>
              </w:rPr>
            </w:pPr>
            <w:r>
              <w:rPr>
                <w:color w:val="auto"/>
                <w:kern w:val="0"/>
                <w:sz w:val="20"/>
                <w:szCs w:val="21"/>
                <w:highlight w:val="none"/>
              </w:rPr>
              <w:t>一级</w:t>
            </w:r>
          </w:p>
        </w:tc>
        <w:tc>
          <w:tcPr>
            <w:tcW w:w="1688" w:type="dxa"/>
            <w:tcBorders>
              <w:top w:val="single" w:color="000000" w:sz="12" w:space="0"/>
              <w:left w:val="single" w:color="000000" w:sz="4" w:space="0"/>
              <w:right w:val="single" w:color="000000" w:sz="4" w:space="0"/>
            </w:tcBorders>
            <w:vAlign w:val="center"/>
          </w:tcPr>
          <w:p>
            <w:pPr>
              <w:autoSpaceDE w:val="0"/>
              <w:autoSpaceDN w:val="0"/>
              <w:adjustRightInd w:val="0"/>
              <w:spacing w:before="62" w:beforeLines="20" w:after="62" w:afterLines="20"/>
              <w:jc w:val="center"/>
              <w:rPr>
                <w:color w:val="auto"/>
                <w:kern w:val="0"/>
                <w:sz w:val="20"/>
                <w:szCs w:val="21"/>
                <w:highlight w:val="none"/>
              </w:rPr>
            </w:pPr>
            <w:r>
              <w:rPr>
                <w:color w:val="auto"/>
                <w:kern w:val="0"/>
                <w:sz w:val="20"/>
                <w:szCs w:val="21"/>
                <w:highlight w:val="none"/>
              </w:rPr>
              <w:t>二级</w:t>
            </w:r>
          </w:p>
        </w:tc>
        <w:tc>
          <w:tcPr>
            <w:tcW w:w="1689" w:type="dxa"/>
            <w:tcBorders>
              <w:top w:val="single" w:color="000000" w:sz="12" w:space="0"/>
              <w:left w:val="single" w:color="000000" w:sz="4" w:space="0"/>
              <w:bottom w:val="single" w:color="000000" w:sz="4" w:space="0"/>
              <w:right w:val="single" w:color="000000" w:sz="12" w:space="0"/>
            </w:tcBorders>
            <w:vAlign w:val="center"/>
          </w:tcPr>
          <w:p>
            <w:pPr>
              <w:autoSpaceDE w:val="0"/>
              <w:autoSpaceDN w:val="0"/>
              <w:adjustRightInd w:val="0"/>
              <w:spacing w:before="62" w:beforeLines="20" w:after="62" w:afterLines="20"/>
              <w:jc w:val="center"/>
              <w:rPr>
                <w:color w:val="auto"/>
                <w:kern w:val="0"/>
                <w:sz w:val="20"/>
                <w:szCs w:val="21"/>
                <w:highlight w:val="none"/>
              </w:rPr>
            </w:pPr>
            <w:r>
              <w:rPr>
                <w:color w:val="auto"/>
                <w:kern w:val="0"/>
                <w:sz w:val="20"/>
                <w:szCs w:val="21"/>
                <w:highlight w:val="none"/>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056" w:type="dxa"/>
            <w:tcBorders>
              <w:top w:val="single" w:color="000000" w:sz="4" w:space="0"/>
              <w:left w:val="single" w:color="000000" w:sz="12" w:space="0"/>
              <w:bottom w:val="single" w:color="000000" w:sz="4" w:space="0"/>
              <w:right w:val="single" w:color="000000" w:sz="4" w:space="0"/>
            </w:tcBorders>
            <w:vAlign w:val="center"/>
          </w:tcPr>
          <w:p>
            <w:pPr>
              <w:spacing w:before="62" w:beforeLines="20" w:after="62" w:afterLines="20"/>
              <w:jc w:val="center"/>
              <w:rPr>
                <w:color w:val="auto"/>
                <w:kern w:val="0"/>
                <w:sz w:val="20"/>
                <w:szCs w:val="21"/>
                <w:highlight w:val="none"/>
              </w:rPr>
            </w:pPr>
            <w:r>
              <w:rPr>
                <w:color w:val="auto"/>
                <w:sz w:val="20"/>
                <w:szCs w:val="20"/>
                <w:highlight w:val="none"/>
              </w:rPr>
              <w:t>一级</w:t>
            </w:r>
          </w:p>
        </w:tc>
        <w:tc>
          <w:tcPr>
            <w:tcW w:w="1688"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before="62" w:beforeLines="20" w:after="62" w:afterLines="20"/>
              <w:jc w:val="center"/>
              <w:rPr>
                <w:color w:val="auto"/>
                <w:kern w:val="0"/>
                <w:sz w:val="20"/>
                <w:szCs w:val="21"/>
                <w:highlight w:val="none"/>
              </w:rPr>
            </w:pPr>
            <w:r>
              <w:rPr>
                <w:color w:val="auto"/>
                <w:kern w:val="0"/>
                <w:sz w:val="20"/>
                <w:szCs w:val="21"/>
                <w:highlight w:val="none"/>
              </w:rPr>
              <w:t>25～35</w:t>
            </w:r>
          </w:p>
        </w:tc>
        <w:tc>
          <w:tcPr>
            <w:tcW w:w="1688"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before="62" w:beforeLines="20" w:after="62" w:afterLines="20"/>
              <w:jc w:val="center"/>
              <w:rPr>
                <w:color w:val="auto"/>
                <w:kern w:val="0"/>
                <w:sz w:val="20"/>
                <w:szCs w:val="21"/>
                <w:highlight w:val="none"/>
              </w:rPr>
            </w:pPr>
            <w:r>
              <w:rPr>
                <w:color w:val="auto"/>
                <w:kern w:val="0"/>
                <w:sz w:val="20"/>
                <w:szCs w:val="21"/>
                <w:highlight w:val="none"/>
              </w:rPr>
              <w:t>35～50</w:t>
            </w:r>
          </w:p>
        </w:tc>
        <w:tc>
          <w:tcPr>
            <w:tcW w:w="1689" w:type="dxa"/>
            <w:tcBorders>
              <w:top w:val="single" w:color="000000" w:sz="4" w:space="0"/>
              <w:left w:val="nil"/>
              <w:bottom w:val="single" w:color="000000" w:sz="4" w:space="0"/>
              <w:right w:val="single" w:color="000000" w:sz="12" w:space="0"/>
            </w:tcBorders>
            <w:vAlign w:val="center"/>
          </w:tcPr>
          <w:p>
            <w:pPr>
              <w:autoSpaceDE w:val="0"/>
              <w:autoSpaceDN w:val="0"/>
              <w:adjustRightInd w:val="0"/>
              <w:spacing w:before="62" w:beforeLines="20" w:after="62" w:afterLines="20"/>
              <w:jc w:val="center"/>
              <w:rPr>
                <w:color w:val="auto"/>
                <w:kern w:val="0"/>
                <w:sz w:val="20"/>
                <w:szCs w:val="21"/>
                <w:highlight w:val="none"/>
              </w:rPr>
            </w:pPr>
            <w:r>
              <w:rPr>
                <w:color w:val="auto"/>
                <w:kern w:val="0"/>
                <w:sz w:val="20"/>
                <w:szCs w:val="21"/>
                <w:highlight w:val="none"/>
              </w:rPr>
              <w:t>50～75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056" w:type="dxa"/>
            <w:tcBorders>
              <w:top w:val="single" w:color="000000" w:sz="4" w:space="0"/>
              <w:left w:val="single" w:color="000000" w:sz="12" w:space="0"/>
              <w:bottom w:val="single" w:color="000000" w:sz="4" w:space="0"/>
              <w:right w:val="single" w:color="000000" w:sz="4" w:space="0"/>
            </w:tcBorders>
            <w:vAlign w:val="center"/>
          </w:tcPr>
          <w:p>
            <w:pPr>
              <w:spacing w:before="62" w:beforeLines="20" w:after="62" w:afterLines="20"/>
              <w:jc w:val="center"/>
              <w:rPr>
                <w:color w:val="auto"/>
                <w:kern w:val="0"/>
                <w:sz w:val="20"/>
                <w:szCs w:val="21"/>
                <w:highlight w:val="none"/>
              </w:rPr>
            </w:pPr>
            <w:r>
              <w:rPr>
                <w:color w:val="auto"/>
                <w:sz w:val="20"/>
                <w:szCs w:val="20"/>
                <w:highlight w:val="none"/>
              </w:rPr>
              <w:t>二级</w:t>
            </w:r>
          </w:p>
        </w:tc>
        <w:tc>
          <w:tcPr>
            <w:tcW w:w="1688"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before="62" w:beforeLines="20" w:after="62" w:afterLines="20"/>
              <w:jc w:val="center"/>
              <w:rPr>
                <w:color w:val="auto"/>
                <w:kern w:val="0"/>
                <w:sz w:val="20"/>
                <w:szCs w:val="21"/>
                <w:highlight w:val="none"/>
              </w:rPr>
            </w:pPr>
            <w:r>
              <w:rPr>
                <w:color w:val="auto"/>
                <w:kern w:val="0"/>
                <w:sz w:val="20"/>
                <w:szCs w:val="21"/>
                <w:highlight w:val="none"/>
              </w:rPr>
              <w:t>35～50</w:t>
            </w:r>
          </w:p>
        </w:tc>
        <w:tc>
          <w:tcPr>
            <w:tcW w:w="1688" w:type="dxa"/>
            <w:tcBorders>
              <w:top w:val="single" w:color="000000" w:sz="4" w:space="0"/>
              <w:left w:val="nil"/>
              <w:bottom w:val="single" w:color="000000" w:sz="4" w:space="0"/>
              <w:right w:val="single" w:color="000000" w:sz="4" w:space="0"/>
            </w:tcBorders>
            <w:vAlign w:val="center"/>
          </w:tcPr>
          <w:p>
            <w:pPr>
              <w:autoSpaceDE w:val="0"/>
              <w:autoSpaceDN w:val="0"/>
              <w:adjustRightInd w:val="0"/>
              <w:spacing w:before="62" w:beforeLines="20" w:after="62" w:afterLines="20"/>
              <w:jc w:val="center"/>
              <w:rPr>
                <w:color w:val="auto"/>
                <w:kern w:val="0"/>
                <w:sz w:val="20"/>
                <w:szCs w:val="21"/>
                <w:highlight w:val="none"/>
              </w:rPr>
            </w:pPr>
            <w:r>
              <w:rPr>
                <w:color w:val="auto"/>
                <w:kern w:val="0"/>
                <w:sz w:val="20"/>
                <w:szCs w:val="21"/>
                <w:highlight w:val="none"/>
              </w:rPr>
              <w:t>50～75</w:t>
            </w:r>
          </w:p>
        </w:tc>
        <w:tc>
          <w:tcPr>
            <w:tcW w:w="1689" w:type="dxa"/>
            <w:tcBorders>
              <w:top w:val="single" w:color="000000" w:sz="4" w:space="0"/>
              <w:left w:val="nil"/>
              <w:bottom w:val="single" w:color="000000" w:sz="4" w:space="0"/>
              <w:right w:val="single" w:color="000000" w:sz="12" w:space="0"/>
            </w:tcBorders>
            <w:vAlign w:val="center"/>
          </w:tcPr>
          <w:p>
            <w:pPr>
              <w:autoSpaceDE w:val="0"/>
              <w:autoSpaceDN w:val="0"/>
              <w:adjustRightInd w:val="0"/>
              <w:spacing w:before="62" w:beforeLines="20" w:after="62" w:afterLines="20"/>
              <w:jc w:val="center"/>
              <w:rPr>
                <w:color w:val="auto"/>
                <w:kern w:val="0"/>
                <w:sz w:val="20"/>
                <w:szCs w:val="21"/>
                <w:highlight w:val="none"/>
              </w:rPr>
            </w:pPr>
            <w:r>
              <w:rPr>
                <w:color w:val="auto"/>
                <w:kern w:val="0"/>
                <w:sz w:val="20"/>
                <w:szCs w:val="21"/>
                <w:highlight w:val="none"/>
              </w:rPr>
              <w:t>75～100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056" w:type="dxa"/>
            <w:tcBorders>
              <w:top w:val="single" w:color="000000" w:sz="4" w:space="0"/>
              <w:left w:val="single" w:color="000000" w:sz="12" w:space="0"/>
              <w:bottom w:val="single" w:color="000000" w:sz="12" w:space="0"/>
              <w:right w:val="single" w:color="000000" w:sz="4" w:space="0"/>
            </w:tcBorders>
            <w:vAlign w:val="center"/>
          </w:tcPr>
          <w:p>
            <w:pPr>
              <w:spacing w:before="62" w:beforeLines="20" w:after="62" w:afterLines="20"/>
              <w:jc w:val="center"/>
              <w:rPr>
                <w:color w:val="auto"/>
                <w:kern w:val="0"/>
                <w:sz w:val="20"/>
                <w:szCs w:val="21"/>
                <w:highlight w:val="none"/>
              </w:rPr>
            </w:pPr>
            <w:r>
              <w:rPr>
                <w:color w:val="auto"/>
                <w:sz w:val="20"/>
                <w:szCs w:val="20"/>
                <w:highlight w:val="none"/>
              </w:rPr>
              <w:t>三级</w:t>
            </w:r>
          </w:p>
        </w:tc>
        <w:tc>
          <w:tcPr>
            <w:tcW w:w="1688" w:type="dxa"/>
            <w:tcBorders>
              <w:top w:val="single" w:color="000000" w:sz="4" w:space="0"/>
              <w:left w:val="nil"/>
              <w:bottom w:val="single" w:color="000000" w:sz="12" w:space="0"/>
              <w:right w:val="single" w:color="000000" w:sz="4" w:space="0"/>
            </w:tcBorders>
            <w:vAlign w:val="center"/>
          </w:tcPr>
          <w:p>
            <w:pPr>
              <w:autoSpaceDE w:val="0"/>
              <w:autoSpaceDN w:val="0"/>
              <w:adjustRightInd w:val="0"/>
              <w:spacing w:before="62" w:beforeLines="20" w:after="62" w:afterLines="20"/>
              <w:jc w:val="center"/>
              <w:rPr>
                <w:color w:val="auto"/>
                <w:kern w:val="0"/>
                <w:sz w:val="20"/>
                <w:szCs w:val="21"/>
                <w:highlight w:val="none"/>
              </w:rPr>
            </w:pPr>
            <w:r>
              <w:rPr>
                <w:color w:val="auto"/>
                <w:kern w:val="0"/>
                <w:sz w:val="20"/>
                <w:szCs w:val="21"/>
                <w:highlight w:val="none"/>
              </w:rPr>
              <w:t>50～75</w:t>
            </w:r>
          </w:p>
        </w:tc>
        <w:tc>
          <w:tcPr>
            <w:tcW w:w="1688" w:type="dxa"/>
            <w:tcBorders>
              <w:top w:val="single" w:color="000000" w:sz="4" w:space="0"/>
              <w:left w:val="nil"/>
              <w:bottom w:val="single" w:color="000000" w:sz="12" w:space="0"/>
              <w:right w:val="single" w:color="000000" w:sz="4" w:space="0"/>
            </w:tcBorders>
            <w:vAlign w:val="center"/>
          </w:tcPr>
          <w:p>
            <w:pPr>
              <w:autoSpaceDE w:val="0"/>
              <w:autoSpaceDN w:val="0"/>
              <w:adjustRightInd w:val="0"/>
              <w:spacing w:before="62" w:beforeLines="20" w:after="62" w:afterLines="20"/>
              <w:jc w:val="center"/>
              <w:rPr>
                <w:color w:val="auto"/>
                <w:kern w:val="0"/>
                <w:sz w:val="20"/>
                <w:szCs w:val="21"/>
                <w:highlight w:val="none"/>
              </w:rPr>
            </w:pPr>
            <w:r>
              <w:rPr>
                <w:color w:val="auto"/>
                <w:kern w:val="0"/>
                <w:sz w:val="20"/>
                <w:szCs w:val="21"/>
                <w:highlight w:val="none"/>
              </w:rPr>
              <w:t>75～100</w:t>
            </w:r>
          </w:p>
        </w:tc>
        <w:tc>
          <w:tcPr>
            <w:tcW w:w="1689" w:type="dxa"/>
            <w:tcBorders>
              <w:top w:val="single" w:color="000000" w:sz="4" w:space="0"/>
              <w:left w:val="nil"/>
              <w:bottom w:val="single" w:color="000000" w:sz="12" w:space="0"/>
              <w:right w:val="single" w:color="000000" w:sz="12" w:space="0"/>
            </w:tcBorders>
            <w:vAlign w:val="center"/>
          </w:tcPr>
          <w:p>
            <w:pPr>
              <w:autoSpaceDE w:val="0"/>
              <w:autoSpaceDN w:val="0"/>
              <w:adjustRightInd w:val="0"/>
              <w:spacing w:before="62" w:beforeLines="20" w:after="62" w:afterLines="20"/>
              <w:jc w:val="center"/>
              <w:rPr>
                <w:color w:val="auto"/>
                <w:kern w:val="0"/>
                <w:sz w:val="20"/>
                <w:szCs w:val="21"/>
                <w:highlight w:val="none"/>
              </w:rPr>
            </w:pPr>
            <w:r>
              <w:rPr>
                <w:color w:val="auto"/>
                <w:kern w:val="0"/>
                <w:sz w:val="20"/>
                <w:szCs w:val="21"/>
                <w:highlight w:val="none"/>
              </w:rPr>
              <w:t>100～150</w:t>
            </w:r>
          </w:p>
        </w:tc>
      </w:tr>
    </w:tbl>
    <w:p>
      <w:pPr>
        <w:spacing w:line="360" w:lineRule="auto"/>
        <w:ind w:firstLine="422" w:firstLineChars="200"/>
        <w:rPr>
          <w:color w:val="auto"/>
          <w:highlight w:val="none"/>
        </w:rPr>
      </w:pPr>
      <w:r>
        <w:rPr>
          <w:b/>
          <w:bCs/>
          <w:color w:val="auto"/>
          <w:kern w:val="0"/>
          <w:highlight w:val="none"/>
        </w:rPr>
        <w:t>2</w:t>
      </w:r>
      <w:r>
        <w:rPr>
          <w:rFonts w:hint="eastAsia"/>
          <w:b/>
          <w:bCs/>
          <w:color w:val="auto"/>
          <w:kern w:val="0"/>
          <w:highlight w:val="none"/>
        </w:rPr>
        <w:t>　</w:t>
      </w:r>
      <w:r>
        <w:rPr>
          <w:color w:val="auto"/>
          <w:highlight w:val="none"/>
        </w:rPr>
        <w:t>宜按勘探纵</w:t>
      </w:r>
      <w:r>
        <w:rPr>
          <w:rFonts w:hint="eastAsia" w:cs="Times New Roman"/>
          <w:color w:val="auto"/>
          <w:kern w:val="0"/>
          <w:highlight w:val="none"/>
          <w:lang w:val="en-US" w:eastAsia="zh-CN"/>
        </w:rPr>
        <w:t>勘探线</w:t>
      </w:r>
      <w:r>
        <w:rPr>
          <w:color w:val="auto"/>
          <w:highlight w:val="none"/>
        </w:rPr>
        <w:t>勘探点间距的2</w:t>
      </w:r>
      <w:r>
        <w:rPr>
          <w:color w:val="auto"/>
          <w:kern w:val="0"/>
          <w:highlight w:val="none"/>
        </w:rPr>
        <w:t>～</w:t>
      </w:r>
      <w:r>
        <w:rPr>
          <w:color w:val="auto"/>
          <w:highlight w:val="none"/>
        </w:rPr>
        <w:t>4倍布置</w:t>
      </w:r>
      <w:r>
        <w:rPr>
          <w:rFonts w:hint="eastAsia"/>
          <w:color w:val="auto"/>
          <w:highlight w:val="none"/>
        </w:rPr>
        <w:t>横勘探线</w:t>
      </w:r>
      <w:r>
        <w:rPr>
          <w:color w:val="auto"/>
          <w:highlight w:val="none"/>
        </w:rPr>
        <w:t>，在下列特殊地段、部位应布置</w:t>
      </w:r>
      <w:r>
        <w:rPr>
          <w:rFonts w:hint="eastAsia"/>
          <w:color w:val="auto"/>
          <w:highlight w:val="none"/>
        </w:rPr>
        <w:t>横勘探线</w:t>
      </w:r>
      <w:r>
        <w:rPr>
          <w:color w:val="auto"/>
          <w:highlight w:val="none"/>
        </w:rPr>
        <w:t>：</w:t>
      </w:r>
    </w:p>
    <w:p>
      <w:pPr>
        <w:spacing w:line="360" w:lineRule="auto"/>
        <w:ind w:left="210" w:leftChars="100" w:firstLine="422" w:firstLineChars="200"/>
        <w:rPr>
          <w:color w:val="auto"/>
          <w:highlight w:val="none"/>
        </w:rPr>
      </w:pPr>
      <w:r>
        <w:rPr>
          <w:b/>
          <w:bCs/>
          <w:color w:val="auto"/>
          <w:highlight w:val="none"/>
        </w:rPr>
        <w:t>1）</w:t>
      </w:r>
      <w:r>
        <w:rPr>
          <w:color w:val="auto"/>
          <w:highlight w:val="none"/>
        </w:rPr>
        <w:t>渊、潭、塘、沟、渠等微地貌变化较大的地段及</w:t>
      </w:r>
      <w:r>
        <w:rPr>
          <w:color w:val="auto"/>
          <w:kern w:val="0"/>
          <w:highlight w:val="none"/>
        </w:rPr>
        <w:t>不同地貌单元交界部位</w:t>
      </w:r>
      <w:r>
        <w:rPr>
          <w:color w:val="auto"/>
          <w:highlight w:val="none"/>
        </w:rPr>
        <w:t>；</w:t>
      </w:r>
    </w:p>
    <w:p>
      <w:pPr>
        <w:spacing w:line="360" w:lineRule="auto"/>
        <w:ind w:left="210" w:leftChars="100" w:firstLine="422" w:firstLineChars="200"/>
        <w:rPr>
          <w:color w:val="auto"/>
          <w:highlight w:val="none"/>
        </w:rPr>
      </w:pPr>
      <w:r>
        <w:rPr>
          <w:b/>
          <w:bCs/>
          <w:color w:val="auto"/>
          <w:highlight w:val="none"/>
        </w:rPr>
        <w:t>2）</w:t>
      </w:r>
      <w:r>
        <w:rPr>
          <w:color w:val="auto"/>
          <w:highlight w:val="none"/>
        </w:rPr>
        <w:t>堤岸走向转折部位和扒口分洪部位；</w:t>
      </w:r>
    </w:p>
    <w:p>
      <w:pPr>
        <w:spacing w:line="360" w:lineRule="auto"/>
        <w:ind w:left="210" w:leftChars="100" w:firstLine="422" w:firstLineChars="200"/>
        <w:rPr>
          <w:color w:val="auto"/>
          <w:highlight w:val="none"/>
        </w:rPr>
      </w:pPr>
      <w:r>
        <w:rPr>
          <w:b/>
          <w:bCs/>
          <w:color w:val="auto"/>
          <w:highlight w:val="none"/>
        </w:rPr>
        <w:t>3）</w:t>
      </w:r>
      <w:r>
        <w:rPr>
          <w:color w:val="auto"/>
          <w:kern w:val="0"/>
          <w:highlight w:val="none"/>
        </w:rPr>
        <w:t>结构形式发生变化的部位；</w:t>
      </w:r>
    </w:p>
    <w:p>
      <w:pPr>
        <w:spacing w:line="360" w:lineRule="auto"/>
        <w:ind w:left="210" w:leftChars="100" w:firstLine="422" w:firstLineChars="200"/>
        <w:rPr>
          <w:color w:val="auto"/>
          <w:kern w:val="0"/>
          <w:highlight w:val="none"/>
        </w:rPr>
      </w:pPr>
      <w:r>
        <w:rPr>
          <w:b/>
          <w:bCs/>
          <w:color w:val="auto"/>
          <w:highlight w:val="none"/>
        </w:rPr>
        <w:t>4）</w:t>
      </w:r>
      <w:r>
        <w:rPr>
          <w:color w:val="auto"/>
          <w:highlight w:val="none"/>
        </w:rPr>
        <w:t>紧邻既有或拟新建建（构）筑物的部位；</w:t>
      </w:r>
    </w:p>
    <w:p>
      <w:pPr>
        <w:spacing w:line="360" w:lineRule="auto"/>
        <w:ind w:left="210" w:leftChars="100" w:firstLine="422" w:firstLineChars="200"/>
        <w:rPr>
          <w:color w:val="auto"/>
          <w:highlight w:val="none"/>
        </w:rPr>
      </w:pPr>
      <w:r>
        <w:rPr>
          <w:b/>
          <w:bCs/>
          <w:color w:val="auto"/>
          <w:highlight w:val="none"/>
        </w:rPr>
        <w:t>5）</w:t>
      </w:r>
      <w:r>
        <w:rPr>
          <w:color w:val="auto"/>
          <w:highlight w:val="none"/>
        </w:rPr>
        <w:t>堤岸险情地段。</w:t>
      </w:r>
    </w:p>
    <w:p>
      <w:pPr>
        <w:autoSpaceDE w:val="0"/>
        <w:spacing w:line="360" w:lineRule="auto"/>
        <w:ind w:firstLine="422" w:firstLineChars="200"/>
        <w:jc w:val="left"/>
        <w:rPr>
          <w:color w:val="auto"/>
          <w:highlight w:val="none"/>
        </w:rPr>
      </w:pPr>
      <w:r>
        <w:rPr>
          <w:rFonts w:hint="eastAsia"/>
          <w:b/>
          <w:bCs/>
          <w:color w:val="auto"/>
          <w:kern w:val="0"/>
          <w:highlight w:val="none"/>
        </w:rPr>
        <w:t>3　</w:t>
      </w:r>
      <w:r>
        <w:rPr>
          <w:rFonts w:hint="eastAsia"/>
          <w:color w:val="auto"/>
          <w:highlight w:val="none"/>
        </w:rPr>
        <w:t>横勘探线</w:t>
      </w:r>
      <w:r>
        <w:rPr>
          <w:color w:val="auto"/>
          <w:highlight w:val="none"/>
        </w:rPr>
        <w:t>的勘探点不宜少于3个，且堤岸中心、堤内和堤外均应布置勘探点</w:t>
      </w:r>
      <w:r>
        <w:rPr>
          <w:rFonts w:hint="eastAsia"/>
          <w:color w:val="auto"/>
          <w:highlight w:val="none"/>
        </w:rPr>
        <w:t>，</w:t>
      </w:r>
      <w:r>
        <w:rPr>
          <w:color w:val="auto"/>
          <w:kern w:val="0"/>
          <w:highlight w:val="none"/>
        </w:rPr>
        <w:t>勘探点间距宜为20m～50m；</w:t>
      </w:r>
    </w:p>
    <w:p>
      <w:pPr>
        <w:spacing w:line="360" w:lineRule="auto"/>
        <w:ind w:firstLine="422" w:firstLineChars="200"/>
        <w:rPr>
          <w:color w:val="auto"/>
          <w:highlight w:val="none"/>
        </w:rPr>
      </w:pPr>
      <w:r>
        <w:rPr>
          <w:rFonts w:hint="eastAsia"/>
          <w:b/>
          <w:bCs/>
          <w:color w:val="auto"/>
          <w:kern w:val="0"/>
          <w:highlight w:val="none"/>
        </w:rPr>
        <w:t>4　</w:t>
      </w:r>
      <w:r>
        <w:rPr>
          <w:color w:val="auto"/>
          <w:highlight w:val="none"/>
        </w:rPr>
        <w:t>对于地质条件复杂地段和历史险情多发地段，应</w:t>
      </w:r>
      <w:r>
        <w:rPr>
          <w:rFonts w:hint="eastAsia"/>
          <w:color w:val="auto"/>
          <w:highlight w:val="none"/>
        </w:rPr>
        <w:t>适当加密勘探点；</w:t>
      </w:r>
    </w:p>
    <w:p>
      <w:pPr>
        <w:autoSpaceDE w:val="0"/>
        <w:spacing w:line="360" w:lineRule="auto"/>
        <w:ind w:firstLine="422" w:firstLineChars="200"/>
        <w:jc w:val="left"/>
        <w:rPr>
          <w:color w:val="auto"/>
          <w:kern w:val="0"/>
          <w:highlight w:val="none"/>
        </w:rPr>
      </w:pPr>
      <w:r>
        <w:rPr>
          <w:rFonts w:hint="eastAsia"/>
          <w:b/>
          <w:bCs/>
          <w:color w:val="auto"/>
          <w:kern w:val="0"/>
          <w:highlight w:val="none"/>
        </w:rPr>
        <w:t>5　</w:t>
      </w:r>
      <w:r>
        <w:rPr>
          <w:color w:val="auto"/>
          <w:kern w:val="0"/>
          <w:highlight w:val="none"/>
        </w:rPr>
        <w:t>每条</w:t>
      </w:r>
      <w:r>
        <w:rPr>
          <w:rFonts w:hint="eastAsia"/>
          <w:color w:val="auto"/>
          <w:kern w:val="0"/>
          <w:highlight w:val="none"/>
        </w:rPr>
        <w:t>横勘探线</w:t>
      </w:r>
      <w:r>
        <w:rPr>
          <w:color w:val="auto"/>
          <w:kern w:val="0"/>
          <w:highlight w:val="none"/>
        </w:rPr>
        <w:t>应有控制性勘探点。</w:t>
      </w:r>
    </w:p>
    <w:p>
      <w:pPr>
        <w:autoSpaceDE w:val="0"/>
        <w:spacing w:line="360" w:lineRule="auto"/>
        <w:jc w:val="left"/>
        <w:rPr>
          <w:color w:val="auto"/>
          <w:kern w:val="0"/>
          <w:highlight w:val="none"/>
        </w:rPr>
      </w:pPr>
      <w:r>
        <w:rPr>
          <w:rFonts w:hint="eastAsia"/>
          <w:b/>
          <w:bCs/>
          <w:color w:val="auto"/>
          <w:kern w:val="0"/>
          <w:highlight w:val="none"/>
        </w:rPr>
        <w:t>13.</w:t>
      </w:r>
      <w:r>
        <w:rPr>
          <w:b/>
          <w:bCs/>
          <w:color w:val="auto"/>
          <w:kern w:val="0"/>
          <w:highlight w:val="none"/>
        </w:rPr>
        <w:t>4.</w:t>
      </w:r>
      <w:r>
        <w:rPr>
          <w:rFonts w:hint="eastAsia"/>
          <w:b/>
          <w:bCs/>
          <w:color w:val="auto"/>
          <w:kern w:val="0"/>
          <w:highlight w:val="none"/>
        </w:rPr>
        <w:t>3　</w:t>
      </w:r>
      <w:r>
        <w:rPr>
          <w:color w:val="auto"/>
          <w:kern w:val="0"/>
          <w:highlight w:val="none"/>
        </w:rPr>
        <w:t>详细勘察勘探孔深度除满足</w:t>
      </w:r>
      <w:r>
        <w:rPr>
          <w:rFonts w:hint="eastAsia"/>
          <w:color w:val="auto"/>
          <w:kern w:val="0"/>
          <w:highlight w:val="none"/>
        </w:rPr>
        <w:t>本规范第13.</w:t>
      </w:r>
      <w:r>
        <w:rPr>
          <w:color w:val="auto"/>
          <w:kern w:val="0"/>
          <w:highlight w:val="none"/>
        </w:rPr>
        <w:t>3.</w:t>
      </w:r>
      <w:r>
        <w:rPr>
          <w:rFonts w:hint="eastAsia"/>
          <w:color w:val="auto"/>
          <w:kern w:val="0"/>
          <w:highlight w:val="none"/>
        </w:rPr>
        <w:t>3条的规定</w:t>
      </w:r>
      <w:r>
        <w:rPr>
          <w:color w:val="auto"/>
          <w:kern w:val="0"/>
          <w:highlight w:val="none"/>
        </w:rPr>
        <w:t>外，还应符合下列规定：</w:t>
      </w:r>
    </w:p>
    <w:p>
      <w:pPr>
        <w:autoSpaceDE w:val="0"/>
        <w:spacing w:line="360" w:lineRule="auto"/>
        <w:ind w:firstLine="422" w:firstLineChars="200"/>
        <w:jc w:val="left"/>
        <w:rPr>
          <w:color w:val="auto"/>
          <w:kern w:val="0"/>
          <w:highlight w:val="none"/>
        </w:rPr>
      </w:pPr>
      <w:r>
        <w:rPr>
          <w:b/>
          <w:bCs/>
          <w:color w:val="auto"/>
          <w:kern w:val="0"/>
          <w:highlight w:val="none"/>
        </w:rPr>
        <w:t>1</w:t>
      </w:r>
      <w:r>
        <w:rPr>
          <w:rFonts w:hint="eastAsia"/>
          <w:color w:val="auto"/>
          <w:kern w:val="0"/>
          <w:highlight w:val="none"/>
        </w:rPr>
        <w:t>　</w:t>
      </w:r>
      <w:r>
        <w:rPr>
          <w:color w:val="auto"/>
          <w:kern w:val="0"/>
          <w:highlight w:val="none"/>
        </w:rPr>
        <w:t>桩式堤岸应达到桩端以下3m～5m，对桩基加固的混合式堤岸，应达到桩端以下1.5倍～2.0倍基础底面宽度；圬工结构或钢筋混凝土结构天然地基堤岸应进入基底以下持力层3m～5m；土堤应达到1.5倍～2.0倍土堤高度；</w:t>
      </w:r>
    </w:p>
    <w:p>
      <w:pPr>
        <w:autoSpaceDE w:val="0"/>
        <w:spacing w:line="360" w:lineRule="auto"/>
        <w:ind w:firstLine="422" w:firstLineChars="200"/>
        <w:jc w:val="left"/>
        <w:rPr>
          <w:color w:val="auto"/>
          <w:kern w:val="0"/>
          <w:highlight w:val="none"/>
        </w:rPr>
      </w:pPr>
      <w:r>
        <w:rPr>
          <w:b/>
          <w:bCs/>
          <w:color w:val="auto"/>
          <w:kern w:val="0"/>
          <w:highlight w:val="none"/>
        </w:rPr>
        <w:t>2</w:t>
      </w:r>
      <w:r>
        <w:rPr>
          <w:rFonts w:hint="eastAsia"/>
          <w:b/>
          <w:bCs/>
          <w:color w:val="auto"/>
          <w:kern w:val="0"/>
          <w:highlight w:val="none"/>
        </w:rPr>
        <w:t>　</w:t>
      </w:r>
      <w:r>
        <w:rPr>
          <w:color w:val="auto"/>
          <w:kern w:val="0"/>
          <w:highlight w:val="none"/>
        </w:rPr>
        <w:t>当堤岸内侧需填方或堤岸附近存在大面积地面堆载的影响时，勘探孔深度还应满足填方或地面堆载对堤岸稳定性评价要求。</w:t>
      </w:r>
    </w:p>
    <w:p>
      <w:pPr>
        <w:autoSpaceDE w:val="0"/>
        <w:spacing w:line="360" w:lineRule="auto"/>
        <w:jc w:val="left"/>
        <w:rPr>
          <w:color w:val="auto"/>
          <w:kern w:val="0"/>
          <w:highlight w:val="none"/>
        </w:rPr>
      </w:pPr>
      <w:r>
        <w:rPr>
          <w:rFonts w:hint="eastAsia"/>
          <w:b/>
          <w:bCs/>
          <w:color w:val="auto"/>
          <w:kern w:val="0"/>
          <w:highlight w:val="none"/>
        </w:rPr>
        <w:t>13.</w:t>
      </w:r>
      <w:r>
        <w:rPr>
          <w:b/>
          <w:bCs/>
          <w:color w:val="auto"/>
          <w:kern w:val="0"/>
          <w:highlight w:val="none"/>
        </w:rPr>
        <w:t>4.</w:t>
      </w:r>
      <w:r>
        <w:rPr>
          <w:rFonts w:hint="eastAsia"/>
          <w:b/>
          <w:bCs/>
          <w:color w:val="auto"/>
          <w:kern w:val="0"/>
          <w:highlight w:val="none"/>
        </w:rPr>
        <w:t>4　</w:t>
      </w:r>
      <w:r>
        <w:rPr>
          <w:color w:val="auto"/>
          <w:kern w:val="0"/>
          <w:highlight w:val="none"/>
        </w:rPr>
        <w:t>详细勘察取样和原位测试</w:t>
      </w:r>
      <w:r>
        <w:rPr>
          <w:rFonts w:hint="eastAsia"/>
          <w:color w:val="auto"/>
          <w:kern w:val="0"/>
          <w:highlight w:val="none"/>
        </w:rPr>
        <w:t>工作</w:t>
      </w:r>
      <w:r>
        <w:rPr>
          <w:color w:val="auto"/>
          <w:kern w:val="0"/>
          <w:highlight w:val="none"/>
        </w:rPr>
        <w:t>应满足堤岸地基稳定性评价要求，</w:t>
      </w:r>
      <w:r>
        <w:rPr>
          <w:rFonts w:hint="eastAsia"/>
          <w:color w:val="auto"/>
          <w:kern w:val="0"/>
          <w:highlight w:val="none"/>
        </w:rPr>
        <w:t>除</w:t>
      </w:r>
      <w:r>
        <w:rPr>
          <w:rFonts w:hint="eastAsia"/>
          <w:color w:val="auto"/>
          <w:highlight w:val="none"/>
          <w:lang w:val="en-US" w:eastAsia="zh-CN"/>
        </w:rPr>
        <w:t>应</w:t>
      </w:r>
      <w:r>
        <w:rPr>
          <w:rFonts w:hint="eastAsia"/>
          <w:color w:val="auto"/>
          <w:highlight w:val="none"/>
        </w:rPr>
        <w:t>符合</w:t>
      </w:r>
      <w:r>
        <w:rPr>
          <w:rFonts w:hint="eastAsia"/>
          <w:color w:val="auto"/>
          <w:highlight w:val="none"/>
          <w:lang w:val="en-US" w:eastAsia="zh-CN"/>
        </w:rPr>
        <w:t>3.0.9条的</w:t>
      </w:r>
      <w:r>
        <w:rPr>
          <w:rFonts w:hint="eastAsia"/>
          <w:color w:val="auto"/>
          <w:highlight w:val="none"/>
        </w:rPr>
        <w:t>规定外</w:t>
      </w:r>
      <w:r>
        <w:rPr>
          <w:rFonts w:hint="eastAsia"/>
          <w:color w:val="auto"/>
          <w:kern w:val="0"/>
          <w:highlight w:val="none"/>
        </w:rPr>
        <w:t>，尚应符合下列规定</w:t>
      </w:r>
      <w:r>
        <w:rPr>
          <w:color w:val="auto"/>
          <w:kern w:val="0"/>
          <w:highlight w:val="none"/>
        </w:rPr>
        <w:t>：</w:t>
      </w:r>
    </w:p>
    <w:p>
      <w:pPr>
        <w:spacing w:line="360" w:lineRule="auto"/>
        <w:ind w:firstLine="422" w:firstLineChars="200"/>
        <w:rPr>
          <w:color w:val="auto"/>
          <w:kern w:val="0"/>
          <w:highlight w:val="none"/>
        </w:rPr>
      </w:pPr>
      <w:r>
        <w:rPr>
          <w:rFonts w:hint="eastAsia"/>
          <w:b/>
          <w:bCs/>
          <w:color w:val="auto"/>
          <w:kern w:val="0"/>
          <w:highlight w:val="none"/>
        </w:rPr>
        <w:t>1</w:t>
      </w:r>
      <w:r>
        <w:rPr>
          <w:rFonts w:hint="eastAsia"/>
          <w:color w:val="auto"/>
          <w:highlight w:val="none"/>
        </w:rPr>
        <w:t>　应根据水文地质条件</w:t>
      </w:r>
      <w:r>
        <w:rPr>
          <w:color w:val="auto"/>
          <w:kern w:val="0"/>
          <w:highlight w:val="none"/>
        </w:rPr>
        <w:t>选择进行</w:t>
      </w:r>
      <w:r>
        <w:rPr>
          <w:rFonts w:hint="eastAsia"/>
          <w:color w:val="auto"/>
          <w:kern w:val="0"/>
          <w:highlight w:val="none"/>
        </w:rPr>
        <w:t>勘探孔</w:t>
      </w:r>
      <w:r>
        <w:rPr>
          <w:color w:val="auto"/>
          <w:kern w:val="0"/>
          <w:highlight w:val="none"/>
        </w:rPr>
        <w:t>抽水试验、</w:t>
      </w:r>
      <w:r>
        <w:rPr>
          <w:rFonts w:hint="eastAsia"/>
          <w:color w:val="auto"/>
          <w:kern w:val="0"/>
          <w:highlight w:val="none"/>
        </w:rPr>
        <w:t>勘探孔</w:t>
      </w:r>
      <w:r>
        <w:rPr>
          <w:color w:val="auto"/>
          <w:kern w:val="0"/>
          <w:highlight w:val="none"/>
        </w:rPr>
        <w:t>注水试验或试坑注水试验</w:t>
      </w:r>
      <w:r>
        <w:rPr>
          <w:rFonts w:hint="eastAsia"/>
          <w:color w:val="auto"/>
          <w:kern w:val="0"/>
          <w:highlight w:val="none"/>
        </w:rPr>
        <w:t>；</w:t>
      </w:r>
    </w:p>
    <w:p>
      <w:pPr>
        <w:spacing w:line="360" w:lineRule="auto"/>
        <w:ind w:firstLine="422" w:firstLineChars="200"/>
        <w:rPr>
          <w:color w:val="auto"/>
          <w:highlight w:val="none"/>
        </w:rPr>
      </w:pPr>
      <w:r>
        <w:rPr>
          <w:rFonts w:hint="eastAsia"/>
          <w:b/>
          <w:bCs/>
          <w:color w:val="auto"/>
          <w:kern w:val="0"/>
          <w:highlight w:val="none"/>
        </w:rPr>
        <w:t>2</w:t>
      </w:r>
      <w:r>
        <w:rPr>
          <w:rFonts w:hint="eastAsia"/>
          <w:color w:val="auto"/>
          <w:highlight w:val="none"/>
        </w:rPr>
        <w:t>　应在主要透水层采取不少于6组试样进行室内渗透试验</w:t>
      </w:r>
      <w:r>
        <w:rPr>
          <w:color w:val="auto"/>
          <w:highlight w:val="none"/>
        </w:rPr>
        <w:t>；</w:t>
      </w:r>
      <w:r>
        <w:rPr>
          <w:color w:val="auto"/>
          <w:kern w:val="0"/>
          <w:highlight w:val="none"/>
        </w:rPr>
        <w:t>渗透破坏试验土样应在渗透稳定计算剖面上或在渗透稳定计算剖面附近采取</w:t>
      </w:r>
      <w:r>
        <w:rPr>
          <w:rFonts w:hint="eastAsia"/>
          <w:color w:val="auto"/>
          <w:kern w:val="0"/>
          <w:highlight w:val="none"/>
        </w:rPr>
        <w:t>；</w:t>
      </w:r>
    </w:p>
    <w:p>
      <w:pPr>
        <w:spacing w:line="360" w:lineRule="auto"/>
        <w:ind w:firstLine="422" w:firstLineChars="200"/>
        <w:rPr>
          <w:color w:val="auto"/>
          <w:kern w:val="0"/>
          <w:highlight w:val="none"/>
        </w:rPr>
      </w:pPr>
      <w:r>
        <w:rPr>
          <w:rFonts w:hint="eastAsia"/>
          <w:b/>
          <w:bCs/>
          <w:color w:val="auto"/>
          <w:highlight w:val="none"/>
        </w:rPr>
        <w:t>3</w:t>
      </w:r>
      <w:r>
        <w:rPr>
          <w:rFonts w:hint="eastAsia"/>
          <w:color w:val="auto"/>
          <w:highlight w:val="none"/>
        </w:rPr>
        <w:t>　地下水和地表水试样各不应少于2组。</w:t>
      </w:r>
    </w:p>
    <w:p>
      <w:pPr>
        <w:autoSpaceDE w:val="0"/>
        <w:spacing w:line="360" w:lineRule="auto"/>
        <w:jc w:val="left"/>
        <w:rPr>
          <w:color w:val="auto"/>
          <w:kern w:val="0"/>
          <w:highlight w:val="none"/>
        </w:rPr>
      </w:pPr>
      <w:r>
        <w:rPr>
          <w:rFonts w:hint="eastAsia"/>
          <w:b/>
          <w:bCs/>
          <w:color w:val="auto"/>
          <w:kern w:val="0"/>
          <w:highlight w:val="none"/>
        </w:rPr>
        <w:t>13.</w:t>
      </w:r>
      <w:r>
        <w:rPr>
          <w:b/>
          <w:bCs/>
          <w:color w:val="auto"/>
          <w:kern w:val="0"/>
          <w:highlight w:val="none"/>
        </w:rPr>
        <w:t>4.</w:t>
      </w:r>
      <w:r>
        <w:rPr>
          <w:rFonts w:hint="eastAsia"/>
          <w:b/>
          <w:bCs/>
          <w:color w:val="auto"/>
          <w:kern w:val="0"/>
          <w:highlight w:val="none"/>
        </w:rPr>
        <w:t>5　</w:t>
      </w:r>
      <w:r>
        <w:rPr>
          <w:color w:val="auto"/>
          <w:kern w:val="0"/>
          <w:highlight w:val="none"/>
        </w:rPr>
        <w:t>详细</w:t>
      </w:r>
      <w:r>
        <w:rPr>
          <w:rFonts w:hint="eastAsia"/>
          <w:color w:val="auto"/>
          <w:kern w:val="0"/>
          <w:highlight w:val="none"/>
        </w:rPr>
        <w:t>勘察</w:t>
      </w:r>
      <w:r>
        <w:rPr>
          <w:color w:val="auto"/>
          <w:kern w:val="0"/>
          <w:highlight w:val="none"/>
        </w:rPr>
        <w:t>应重点分析评价下列内容：</w:t>
      </w:r>
    </w:p>
    <w:p>
      <w:pPr>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评价场地与地基的地震效应；</w:t>
      </w:r>
    </w:p>
    <w:p>
      <w:pPr>
        <w:autoSpaceDE w:val="0"/>
        <w:spacing w:line="360" w:lineRule="auto"/>
        <w:ind w:firstLine="405"/>
        <w:jc w:val="left"/>
        <w:rPr>
          <w:color w:val="auto"/>
          <w:kern w:val="0"/>
          <w:highlight w:val="none"/>
        </w:rPr>
      </w:pPr>
      <w:r>
        <w:rPr>
          <w:rFonts w:hint="eastAsia"/>
          <w:b/>
          <w:bCs/>
          <w:color w:val="auto"/>
          <w:kern w:val="0"/>
          <w:highlight w:val="none"/>
        </w:rPr>
        <w:t>2</w:t>
      </w:r>
      <w:r>
        <w:rPr>
          <w:rFonts w:hint="eastAsia"/>
          <w:color w:val="auto"/>
          <w:kern w:val="0"/>
          <w:highlight w:val="none"/>
        </w:rPr>
        <w:t>　</w:t>
      </w:r>
      <w:r>
        <w:rPr>
          <w:color w:val="auto"/>
          <w:kern w:val="0"/>
          <w:highlight w:val="none"/>
        </w:rPr>
        <w:t>不良地质作用和特殊性岩土对堤岸稳定性的影响，提出防治措施建议；</w:t>
      </w:r>
    </w:p>
    <w:p>
      <w:pPr>
        <w:autoSpaceDE w:val="0"/>
        <w:spacing w:line="360" w:lineRule="auto"/>
        <w:ind w:firstLine="405"/>
        <w:jc w:val="left"/>
        <w:rPr>
          <w:color w:val="auto"/>
          <w:kern w:val="0"/>
          <w:highlight w:val="none"/>
        </w:rPr>
      </w:pPr>
      <w:r>
        <w:rPr>
          <w:rFonts w:hint="eastAsia"/>
          <w:b/>
          <w:bCs/>
          <w:color w:val="auto"/>
          <w:kern w:val="0"/>
          <w:highlight w:val="none"/>
        </w:rPr>
        <w:t>3</w:t>
      </w:r>
      <w:r>
        <w:rPr>
          <w:rFonts w:hint="eastAsia"/>
          <w:color w:val="auto"/>
          <w:kern w:val="0"/>
          <w:highlight w:val="none"/>
        </w:rPr>
        <w:t>　分段评价堤基的工程地质条件、抗滑稳定性和沉降变形，提出处理措施建议；</w:t>
      </w:r>
    </w:p>
    <w:p>
      <w:pPr>
        <w:autoSpaceDE w:val="0"/>
        <w:spacing w:line="360" w:lineRule="auto"/>
        <w:ind w:firstLine="405"/>
        <w:jc w:val="left"/>
        <w:rPr>
          <w:color w:val="auto"/>
          <w:kern w:val="0"/>
          <w:highlight w:val="none"/>
        </w:rPr>
      </w:pPr>
      <w:r>
        <w:rPr>
          <w:rFonts w:hint="eastAsia"/>
          <w:b/>
          <w:bCs/>
          <w:color w:val="auto"/>
          <w:kern w:val="0"/>
          <w:highlight w:val="none"/>
        </w:rPr>
        <w:t>4</w:t>
      </w:r>
      <w:r>
        <w:rPr>
          <w:rFonts w:hint="eastAsia"/>
          <w:color w:val="auto"/>
          <w:kern w:val="0"/>
          <w:highlight w:val="none"/>
        </w:rPr>
        <w:t>　</w:t>
      </w:r>
      <w:r>
        <w:rPr>
          <w:color w:val="auto"/>
          <w:kern w:val="0"/>
          <w:highlight w:val="none"/>
        </w:rPr>
        <w:t>分析地表水与地下水补排关系，评价地下水对堤岸稳定性的影响，进行地基渗透变形分析；</w:t>
      </w:r>
    </w:p>
    <w:p>
      <w:pPr>
        <w:spacing w:line="360" w:lineRule="auto"/>
        <w:ind w:firstLine="422" w:firstLineChars="200"/>
        <w:rPr>
          <w:color w:val="auto"/>
          <w:kern w:val="0"/>
          <w:highlight w:val="none"/>
        </w:rPr>
      </w:pPr>
      <w:r>
        <w:rPr>
          <w:rFonts w:hint="eastAsia"/>
          <w:b/>
          <w:bCs/>
          <w:color w:val="auto"/>
          <w:kern w:val="0"/>
          <w:highlight w:val="none"/>
        </w:rPr>
        <w:t>5</w:t>
      </w:r>
      <w:r>
        <w:rPr>
          <w:rFonts w:hint="eastAsia"/>
          <w:color w:val="auto"/>
          <w:kern w:val="0"/>
          <w:highlight w:val="none"/>
        </w:rPr>
        <w:t>　</w:t>
      </w:r>
      <w:r>
        <w:rPr>
          <w:color w:val="auto"/>
          <w:kern w:val="0"/>
          <w:highlight w:val="none"/>
        </w:rPr>
        <w:t>根据堤岸的类别，提出合理的基础方案和地基处理建议，提供设计所需的岩土参数；</w:t>
      </w:r>
    </w:p>
    <w:p>
      <w:pPr>
        <w:spacing w:line="360" w:lineRule="auto"/>
        <w:ind w:firstLine="422" w:firstLineChars="200"/>
        <w:rPr>
          <w:color w:val="auto"/>
          <w:highlight w:val="none"/>
        </w:rPr>
      </w:pPr>
      <w:r>
        <w:rPr>
          <w:rFonts w:hint="eastAsia"/>
          <w:b/>
          <w:bCs/>
          <w:color w:val="auto"/>
          <w:kern w:val="0"/>
          <w:highlight w:val="none"/>
        </w:rPr>
        <w:t>6</w:t>
      </w:r>
      <w:r>
        <w:rPr>
          <w:rFonts w:hint="eastAsia"/>
          <w:color w:val="auto"/>
          <w:kern w:val="0"/>
          <w:highlight w:val="none"/>
        </w:rPr>
        <w:t>　</w:t>
      </w:r>
      <w:r>
        <w:rPr>
          <w:color w:val="auto"/>
          <w:highlight w:val="none"/>
        </w:rPr>
        <w:t>提出堤岸工程施工</w:t>
      </w:r>
      <w:r>
        <w:rPr>
          <w:rFonts w:hint="eastAsia"/>
          <w:color w:val="auto"/>
          <w:highlight w:val="none"/>
        </w:rPr>
        <w:t>和</w:t>
      </w:r>
      <w:r>
        <w:rPr>
          <w:color w:val="auto"/>
          <w:highlight w:val="none"/>
        </w:rPr>
        <w:t>监测</w:t>
      </w:r>
      <w:r>
        <w:rPr>
          <w:rFonts w:hint="eastAsia"/>
          <w:color w:val="auto"/>
          <w:highlight w:val="none"/>
        </w:rPr>
        <w:t>的</w:t>
      </w:r>
      <w:r>
        <w:rPr>
          <w:color w:val="auto"/>
          <w:highlight w:val="none"/>
        </w:rPr>
        <w:t>相关建议。</w:t>
      </w:r>
    </w:p>
    <w:p>
      <w:pPr>
        <w:spacing w:line="360" w:lineRule="auto"/>
        <w:ind w:firstLine="422" w:firstLineChars="200"/>
        <w:rPr>
          <w:color w:val="auto"/>
          <w:highlight w:val="none"/>
        </w:rPr>
      </w:pPr>
      <w:r>
        <w:rPr>
          <w:rFonts w:hint="eastAsia"/>
          <w:b/>
          <w:bCs/>
          <w:color w:val="auto"/>
          <w:highlight w:val="none"/>
        </w:rPr>
        <w:t>7</w:t>
      </w:r>
      <w:r>
        <w:rPr>
          <w:rFonts w:hint="eastAsia"/>
          <w:color w:val="auto"/>
          <w:highlight w:val="none"/>
        </w:rPr>
        <w:t>　分析工程建设</w:t>
      </w:r>
      <w:r>
        <w:rPr>
          <w:color w:val="auto"/>
          <w:highlight w:val="none"/>
        </w:rPr>
        <w:t>过程可能</w:t>
      </w:r>
      <w:r>
        <w:rPr>
          <w:rFonts w:hint="eastAsia"/>
          <w:color w:val="auto"/>
          <w:highlight w:val="none"/>
        </w:rPr>
        <w:t>引发或</w:t>
      </w:r>
      <w:r>
        <w:rPr>
          <w:color w:val="auto"/>
          <w:highlight w:val="none"/>
        </w:rPr>
        <w:t>遭遇的地质风险</w:t>
      </w:r>
      <w:r>
        <w:rPr>
          <w:rFonts w:hint="eastAsia"/>
          <w:color w:val="auto"/>
          <w:highlight w:val="none"/>
        </w:rPr>
        <w:t>，并提出</w:t>
      </w:r>
      <w:r>
        <w:rPr>
          <w:color w:val="auto"/>
          <w:highlight w:val="none"/>
        </w:rPr>
        <w:t>应对措施</w:t>
      </w:r>
      <w:r>
        <w:rPr>
          <w:rFonts w:hint="eastAsia"/>
          <w:color w:val="auto"/>
          <w:highlight w:val="none"/>
        </w:rPr>
        <w:t>建议。</w:t>
      </w:r>
    </w:p>
    <w:p>
      <w:pPr>
        <w:widowControl/>
        <w:jc w:val="left"/>
        <w:rPr>
          <w:color w:val="auto"/>
          <w:kern w:val="0"/>
          <w:highlight w:val="none"/>
        </w:rPr>
      </w:pPr>
      <w:r>
        <w:rPr>
          <w:color w:val="auto"/>
          <w:kern w:val="0"/>
          <w:highlight w:val="none"/>
        </w:rPr>
        <w:br w:type="page"/>
      </w:r>
    </w:p>
    <w:p>
      <w:pPr>
        <w:rPr>
          <w:color w:val="auto"/>
          <w:sz w:val="10"/>
          <w:szCs w:val="10"/>
          <w:highlight w:val="none"/>
        </w:rPr>
      </w:pPr>
    </w:p>
    <w:p>
      <w:pPr>
        <w:pStyle w:val="2"/>
        <w:spacing w:before="480" w:after="480" w:line="240" w:lineRule="auto"/>
        <w:rPr>
          <w:color w:val="auto"/>
          <w:highlight w:val="none"/>
        </w:rPr>
      </w:pPr>
      <w:bookmarkStart w:id="243" w:name="_Toc11823"/>
      <w:bookmarkStart w:id="244" w:name="_Toc30923"/>
      <w:bookmarkStart w:id="245" w:name="_Toc24201"/>
      <w:bookmarkStart w:id="246" w:name="_Toc31560"/>
      <w:bookmarkStart w:id="247" w:name="_14　施工勘察"/>
      <w:r>
        <w:rPr>
          <w:rFonts w:hint="eastAsia"/>
          <w:color w:val="auto"/>
          <w:highlight w:val="none"/>
        </w:rPr>
        <w:t>14　</w:t>
      </w:r>
      <w:r>
        <w:rPr>
          <w:color w:val="auto"/>
          <w:highlight w:val="none"/>
        </w:rPr>
        <w:t>施工勘察</w:t>
      </w:r>
      <w:bookmarkEnd w:id="243"/>
      <w:bookmarkEnd w:id="244"/>
      <w:bookmarkEnd w:id="245"/>
      <w:bookmarkEnd w:id="246"/>
    </w:p>
    <w:bookmarkEnd w:id="247"/>
    <w:p>
      <w:pPr>
        <w:pStyle w:val="3"/>
        <w:rPr>
          <w:rFonts w:ascii="Times New Roman" w:hAnsi="Times New Roman" w:eastAsia="宋体"/>
          <w:color w:val="auto"/>
          <w:highlight w:val="none"/>
        </w:rPr>
      </w:pPr>
      <w:bookmarkStart w:id="248" w:name="_Toc17063"/>
      <w:bookmarkStart w:id="249" w:name="_Toc14942"/>
      <w:bookmarkStart w:id="250" w:name="_Toc4472"/>
      <w:bookmarkStart w:id="251" w:name="_Toc18358"/>
      <w:bookmarkStart w:id="252" w:name="_14.1　一般规定"/>
      <w:r>
        <w:rPr>
          <w:rFonts w:hint="eastAsia" w:ascii="Times New Roman" w:hAnsi="Times New Roman" w:eastAsia="宋体"/>
          <w:color w:val="auto"/>
          <w:highlight w:val="none"/>
        </w:rPr>
        <w:t>14.</w:t>
      </w:r>
      <w:r>
        <w:rPr>
          <w:rFonts w:ascii="Times New Roman" w:hAnsi="Times New Roman" w:eastAsia="宋体"/>
          <w:color w:val="auto"/>
          <w:highlight w:val="none"/>
        </w:rPr>
        <w:t>1</w:t>
      </w:r>
      <w:r>
        <w:rPr>
          <w:rFonts w:hint="eastAsia" w:ascii="Times New Roman" w:hAnsi="Times New Roman" w:eastAsia="宋体"/>
          <w:color w:val="auto"/>
          <w:highlight w:val="none"/>
        </w:rPr>
        <w:t>　</w:t>
      </w:r>
      <w:r>
        <w:rPr>
          <w:rFonts w:ascii="Times New Roman" w:hAnsi="Times New Roman" w:eastAsia="宋体"/>
          <w:color w:val="auto"/>
          <w:highlight w:val="none"/>
        </w:rPr>
        <w:t>一般规定</w:t>
      </w:r>
      <w:bookmarkEnd w:id="248"/>
      <w:bookmarkEnd w:id="249"/>
      <w:bookmarkEnd w:id="250"/>
      <w:bookmarkEnd w:id="251"/>
    </w:p>
    <w:bookmarkEnd w:id="252"/>
    <w:p>
      <w:pPr>
        <w:spacing w:line="360" w:lineRule="auto"/>
        <w:rPr>
          <w:color w:val="auto"/>
          <w:szCs w:val="21"/>
          <w:highlight w:val="none"/>
          <w:shd w:val="clear" w:color="auto" w:fill="FFFFFF"/>
        </w:rPr>
      </w:pPr>
      <w:r>
        <w:rPr>
          <w:rFonts w:hint="eastAsia"/>
          <w:b/>
          <w:color w:val="auto"/>
          <w:szCs w:val="21"/>
          <w:highlight w:val="none"/>
          <w:shd w:val="clear" w:color="auto" w:fill="FFFFFF"/>
        </w:rPr>
        <w:t>14.</w:t>
      </w:r>
      <w:r>
        <w:rPr>
          <w:b/>
          <w:color w:val="auto"/>
          <w:szCs w:val="21"/>
          <w:highlight w:val="none"/>
          <w:shd w:val="clear" w:color="auto" w:fill="FFFFFF"/>
        </w:rPr>
        <w:t>1.1</w:t>
      </w:r>
      <w:r>
        <w:rPr>
          <w:rFonts w:hint="eastAsia"/>
          <w:b/>
          <w:color w:val="auto"/>
          <w:szCs w:val="21"/>
          <w:highlight w:val="none"/>
          <w:shd w:val="clear" w:color="auto" w:fill="FFFFFF"/>
        </w:rPr>
        <w:t>　</w:t>
      </w:r>
      <w:r>
        <w:rPr>
          <w:rFonts w:hint="eastAsia"/>
          <w:color w:val="auto"/>
          <w:szCs w:val="21"/>
          <w:highlight w:val="none"/>
          <w:shd w:val="clear" w:color="auto" w:fill="FFFFFF"/>
        </w:rPr>
        <w:t>本章适用于施工过程中为确认具体的施工工法、工程措施或工程量而针对细部地质条件开展的岩土工程勘察。</w:t>
      </w:r>
    </w:p>
    <w:p>
      <w:pPr>
        <w:spacing w:line="360" w:lineRule="auto"/>
        <w:rPr>
          <w:color w:val="auto"/>
          <w:szCs w:val="21"/>
          <w:highlight w:val="none"/>
          <w:shd w:val="clear" w:color="auto" w:fill="FFFFFF"/>
        </w:rPr>
      </w:pPr>
      <w:r>
        <w:rPr>
          <w:rFonts w:hint="eastAsia"/>
          <w:b/>
          <w:bCs/>
          <w:color w:val="auto"/>
          <w:szCs w:val="21"/>
          <w:highlight w:val="none"/>
          <w:shd w:val="clear" w:color="auto" w:fill="FFFFFF"/>
        </w:rPr>
        <w:t>14.</w:t>
      </w:r>
      <w:r>
        <w:rPr>
          <w:b/>
          <w:bCs/>
          <w:color w:val="auto"/>
          <w:szCs w:val="21"/>
          <w:highlight w:val="none"/>
          <w:shd w:val="clear" w:color="auto" w:fill="FFFFFF"/>
        </w:rPr>
        <w:t>1.2</w:t>
      </w:r>
      <w:r>
        <w:rPr>
          <w:rFonts w:hint="eastAsia"/>
          <w:color w:val="auto"/>
          <w:szCs w:val="21"/>
          <w:highlight w:val="none"/>
          <w:shd w:val="clear" w:color="auto" w:fill="FFFFFF"/>
        </w:rPr>
        <w:t>　</w:t>
      </w:r>
      <w:r>
        <w:rPr>
          <w:color w:val="auto"/>
          <w:szCs w:val="21"/>
          <w:highlight w:val="none"/>
          <w:shd w:val="clear" w:color="auto" w:fill="FFFFFF"/>
        </w:rPr>
        <w:t>施工勘察前应</w:t>
      </w:r>
      <w:r>
        <w:rPr>
          <w:rFonts w:hint="eastAsia"/>
          <w:color w:val="auto"/>
          <w:szCs w:val="21"/>
          <w:highlight w:val="none"/>
          <w:shd w:val="clear" w:color="auto" w:fill="FFFFFF"/>
        </w:rPr>
        <w:t>根据实际工程需要，取得</w:t>
      </w:r>
      <w:r>
        <w:rPr>
          <w:color w:val="auto"/>
          <w:szCs w:val="21"/>
          <w:highlight w:val="none"/>
          <w:shd w:val="clear" w:color="auto" w:fill="FFFFFF"/>
        </w:rPr>
        <w:t>下列资料：</w:t>
      </w:r>
    </w:p>
    <w:p>
      <w:pPr>
        <w:spacing w:line="360" w:lineRule="auto"/>
        <w:ind w:firstLine="422" w:firstLineChars="200"/>
        <w:rPr>
          <w:bCs/>
          <w:color w:val="auto"/>
          <w:szCs w:val="21"/>
          <w:highlight w:val="none"/>
        </w:rPr>
      </w:pPr>
      <w:r>
        <w:rPr>
          <w:b/>
          <w:bCs/>
          <w:color w:val="auto"/>
          <w:szCs w:val="21"/>
          <w:highlight w:val="none"/>
        </w:rPr>
        <w:t>1</w:t>
      </w:r>
      <w:r>
        <w:rPr>
          <w:rFonts w:hint="eastAsia"/>
          <w:b/>
          <w:bCs/>
          <w:color w:val="auto"/>
          <w:szCs w:val="21"/>
          <w:highlight w:val="none"/>
        </w:rPr>
        <w:t>　</w:t>
      </w:r>
      <w:r>
        <w:rPr>
          <w:rFonts w:hint="eastAsia"/>
          <w:bCs/>
          <w:color w:val="auto"/>
          <w:szCs w:val="21"/>
          <w:highlight w:val="none"/>
        </w:rPr>
        <w:t>场地及周边</w:t>
      </w:r>
      <w:r>
        <w:rPr>
          <w:bCs/>
          <w:color w:val="auto"/>
          <w:szCs w:val="21"/>
          <w:highlight w:val="none"/>
        </w:rPr>
        <w:t>已</w:t>
      </w:r>
      <w:r>
        <w:rPr>
          <w:rFonts w:hint="eastAsia"/>
          <w:bCs/>
          <w:color w:val="auto"/>
          <w:szCs w:val="21"/>
          <w:highlight w:val="none"/>
        </w:rPr>
        <w:t>有的</w:t>
      </w:r>
      <w:r>
        <w:rPr>
          <w:bCs/>
          <w:color w:val="auto"/>
          <w:szCs w:val="21"/>
          <w:highlight w:val="none"/>
        </w:rPr>
        <w:t>岩土工程勘察</w:t>
      </w:r>
      <w:r>
        <w:rPr>
          <w:rFonts w:hint="eastAsia"/>
          <w:bCs/>
          <w:color w:val="auto"/>
          <w:szCs w:val="21"/>
          <w:highlight w:val="none"/>
        </w:rPr>
        <w:t>和环境</w:t>
      </w:r>
      <w:r>
        <w:rPr>
          <w:bCs/>
          <w:color w:val="auto"/>
          <w:szCs w:val="21"/>
          <w:highlight w:val="none"/>
        </w:rPr>
        <w:t>资料；</w:t>
      </w:r>
    </w:p>
    <w:p>
      <w:pPr>
        <w:spacing w:line="360" w:lineRule="auto"/>
        <w:ind w:firstLine="422" w:firstLineChars="200"/>
        <w:rPr>
          <w:bCs/>
          <w:color w:val="auto"/>
          <w:szCs w:val="21"/>
          <w:highlight w:val="none"/>
        </w:rPr>
      </w:pPr>
      <w:r>
        <w:rPr>
          <w:b/>
          <w:bCs/>
          <w:color w:val="auto"/>
          <w:szCs w:val="21"/>
          <w:highlight w:val="none"/>
        </w:rPr>
        <w:t>2</w:t>
      </w:r>
      <w:r>
        <w:rPr>
          <w:rFonts w:hint="eastAsia"/>
          <w:b/>
          <w:bCs/>
          <w:color w:val="auto"/>
          <w:szCs w:val="21"/>
          <w:highlight w:val="none"/>
        </w:rPr>
        <w:t>　</w:t>
      </w:r>
      <w:r>
        <w:rPr>
          <w:bCs/>
          <w:color w:val="auto"/>
          <w:szCs w:val="21"/>
          <w:highlight w:val="none"/>
        </w:rPr>
        <w:t>施工图设计文件</w:t>
      </w:r>
      <w:r>
        <w:rPr>
          <w:rFonts w:hint="eastAsia"/>
          <w:bCs/>
          <w:color w:val="auto"/>
          <w:szCs w:val="21"/>
          <w:highlight w:val="none"/>
        </w:rPr>
        <w:t>，以</w:t>
      </w:r>
      <w:r>
        <w:rPr>
          <w:bCs/>
          <w:color w:val="auto"/>
          <w:szCs w:val="21"/>
          <w:highlight w:val="none"/>
        </w:rPr>
        <w:t>及设计</w:t>
      </w:r>
      <w:r>
        <w:rPr>
          <w:rFonts w:hint="eastAsia"/>
          <w:bCs/>
          <w:color w:val="auto"/>
          <w:szCs w:val="21"/>
          <w:highlight w:val="none"/>
        </w:rPr>
        <w:t>和</w:t>
      </w:r>
      <w:r>
        <w:rPr>
          <w:bCs/>
          <w:color w:val="auto"/>
          <w:szCs w:val="21"/>
          <w:highlight w:val="none"/>
        </w:rPr>
        <w:t>施工对于地基基础</w:t>
      </w:r>
      <w:r>
        <w:rPr>
          <w:rFonts w:hint="eastAsia"/>
          <w:bCs/>
          <w:color w:val="auto"/>
          <w:szCs w:val="21"/>
          <w:highlight w:val="none"/>
        </w:rPr>
        <w:t>、工程周边环境保护</w:t>
      </w:r>
      <w:r>
        <w:rPr>
          <w:bCs/>
          <w:color w:val="auto"/>
          <w:szCs w:val="21"/>
          <w:highlight w:val="none"/>
        </w:rPr>
        <w:t>相关要求；</w:t>
      </w:r>
    </w:p>
    <w:p>
      <w:pPr>
        <w:spacing w:line="360" w:lineRule="auto"/>
        <w:ind w:firstLine="422" w:firstLineChars="200"/>
        <w:rPr>
          <w:bCs/>
          <w:color w:val="auto"/>
          <w:szCs w:val="21"/>
          <w:highlight w:val="none"/>
        </w:rPr>
      </w:pPr>
      <w:r>
        <w:rPr>
          <w:b/>
          <w:bCs/>
          <w:color w:val="auto"/>
          <w:szCs w:val="21"/>
          <w:highlight w:val="none"/>
        </w:rPr>
        <w:t>3</w:t>
      </w:r>
      <w:r>
        <w:rPr>
          <w:rFonts w:hint="eastAsia"/>
          <w:b/>
          <w:bCs/>
          <w:color w:val="auto"/>
          <w:szCs w:val="21"/>
          <w:highlight w:val="none"/>
        </w:rPr>
        <w:t>　</w:t>
      </w:r>
      <w:r>
        <w:rPr>
          <w:bCs/>
          <w:color w:val="auto"/>
          <w:szCs w:val="21"/>
          <w:highlight w:val="none"/>
        </w:rPr>
        <w:t>地基与基础、</w:t>
      </w:r>
      <w:r>
        <w:rPr>
          <w:rFonts w:hint="eastAsia"/>
          <w:bCs/>
          <w:color w:val="auto"/>
          <w:szCs w:val="21"/>
          <w:highlight w:val="none"/>
        </w:rPr>
        <w:t>基坑支护与开挖、隧道掘进、</w:t>
      </w:r>
      <w:r>
        <w:rPr>
          <w:bCs/>
          <w:color w:val="auto"/>
          <w:szCs w:val="21"/>
          <w:highlight w:val="none"/>
        </w:rPr>
        <w:t>管道顶进</w:t>
      </w:r>
      <w:r>
        <w:rPr>
          <w:rFonts w:hint="eastAsia"/>
          <w:bCs/>
          <w:color w:val="auto"/>
          <w:szCs w:val="21"/>
          <w:highlight w:val="none"/>
        </w:rPr>
        <w:t>、支挡结构、地下水控制</w:t>
      </w:r>
      <w:r>
        <w:rPr>
          <w:bCs/>
          <w:color w:val="auto"/>
          <w:szCs w:val="21"/>
          <w:highlight w:val="none"/>
        </w:rPr>
        <w:t>等施工</w:t>
      </w:r>
      <w:r>
        <w:rPr>
          <w:rFonts w:hint="eastAsia"/>
          <w:bCs/>
          <w:color w:val="auto"/>
          <w:szCs w:val="21"/>
          <w:highlight w:val="none"/>
        </w:rPr>
        <w:t>资料和监测</w:t>
      </w:r>
      <w:r>
        <w:rPr>
          <w:bCs/>
          <w:color w:val="auto"/>
          <w:szCs w:val="21"/>
          <w:highlight w:val="none"/>
        </w:rPr>
        <w:t>资料；</w:t>
      </w:r>
    </w:p>
    <w:p>
      <w:pPr>
        <w:spacing w:line="360" w:lineRule="auto"/>
        <w:ind w:firstLine="422" w:firstLineChars="200"/>
        <w:rPr>
          <w:b/>
          <w:bCs/>
          <w:color w:val="auto"/>
          <w:szCs w:val="21"/>
          <w:highlight w:val="none"/>
        </w:rPr>
      </w:pPr>
      <w:r>
        <w:rPr>
          <w:b/>
          <w:bCs/>
          <w:color w:val="auto"/>
          <w:szCs w:val="21"/>
          <w:highlight w:val="none"/>
        </w:rPr>
        <w:t>4</w:t>
      </w:r>
      <w:r>
        <w:rPr>
          <w:rFonts w:hint="eastAsia"/>
          <w:b/>
          <w:bCs/>
          <w:color w:val="auto"/>
          <w:szCs w:val="21"/>
          <w:highlight w:val="none"/>
        </w:rPr>
        <w:t>　</w:t>
      </w:r>
      <w:r>
        <w:rPr>
          <w:bCs/>
          <w:color w:val="auto"/>
          <w:szCs w:val="21"/>
          <w:highlight w:val="none"/>
        </w:rPr>
        <w:t>施工过程中遇</w:t>
      </w:r>
      <w:r>
        <w:rPr>
          <w:rFonts w:hint="eastAsia"/>
          <w:bCs/>
          <w:color w:val="auto"/>
          <w:szCs w:val="21"/>
          <w:highlight w:val="none"/>
        </w:rPr>
        <w:t>到的</w:t>
      </w:r>
      <w:r>
        <w:rPr>
          <w:bCs/>
          <w:color w:val="auto"/>
          <w:szCs w:val="21"/>
          <w:highlight w:val="none"/>
        </w:rPr>
        <w:t>地质异常情况记录；</w:t>
      </w:r>
    </w:p>
    <w:p>
      <w:pPr>
        <w:spacing w:line="360" w:lineRule="auto"/>
        <w:ind w:firstLine="422" w:firstLineChars="200"/>
        <w:rPr>
          <w:bCs/>
          <w:color w:val="auto"/>
          <w:szCs w:val="21"/>
          <w:highlight w:val="none"/>
        </w:rPr>
      </w:pPr>
      <w:r>
        <w:rPr>
          <w:b/>
          <w:bCs/>
          <w:color w:val="auto"/>
          <w:szCs w:val="21"/>
          <w:highlight w:val="none"/>
        </w:rPr>
        <w:t>5</w:t>
      </w:r>
      <w:r>
        <w:rPr>
          <w:rFonts w:hint="eastAsia"/>
          <w:b/>
          <w:bCs/>
          <w:color w:val="auto"/>
          <w:szCs w:val="21"/>
          <w:highlight w:val="none"/>
        </w:rPr>
        <w:t>　</w:t>
      </w:r>
      <w:r>
        <w:rPr>
          <w:bCs/>
          <w:color w:val="auto"/>
          <w:szCs w:val="21"/>
          <w:highlight w:val="none"/>
        </w:rPr>
        <w:t>当地施工勘察</w:t>
      </w:r>
      <w:r>
        <w:rPr>
          <w:rFonts w:hint="eastAsia"/>
          <w:bCs/>
          <w:color w:val="auto"/>
          <w:szCs w:val="21"/>
          <w:highlight w:val="none"/>
        </w:rPr>
        <w:t>工作</w:t>
      </w:r>
      <w:r>
        <w:rPr>
          <w:bCs/>
          <w:color w:val="auto"/>
          <w:szCs w:val="21"/>
          <w:highlight w:val="none"/>
        </w:rPr>
        <w:t>经验</w:t>
      </w:r>
      <w:r>
        <w:rPr>
          <w:rFonts w:hint="eastAsia"/>
          <w:bCs/>
          <w:color w:val="auto"/>
          <w:szCs w:val="21"/>
          <w:highlight w:val="none"/>
        </w:rPr>
        <w:t>资料</w:t>
      </w:r>
      <w:r>
        <w:rPr>
          <w:bCs/>
          <w:color w:val="auto"/>
          <w:szCs w:val="21"/>
          <w:highlight w:val="none"/>
        </w:rPr>
        <w:t>。</w:t>
      </w:r>
    </w:p>
    <w:p>
      <w:pPr>
        <w:spacing w:line="360" w:lineRule="auto"/>
        <w:rPr>
          <w:bCs/>
          <w:color w:val="auto"/>
          <w:szCs w:val="21"/>
          <w:highlight w:val="none"/>
        </w:rPr>
      </w:pPr>
      <w:r>
        <w:rPr>
          <w:rFonts w:hint="eastAsia"/>
          <w:b/>
          <w:color w:val="auto"/>
          <w:szCs w:val="21"/>
          <w:highlight w:val="none"/>
          <w:shd w:val="clear" w:color="auto" w:fill="FFFFFF"/>
        </w:rPr>
        <w:t>14.</w:t>
      </w:r>
      <w:r>
        <w:rPr>
          <w:b/>
          <w:color w:val="auto"/>
          <w:szCs w:val="21"/>
          <w:highlight w:val="none"/>
          <w:shd w:val="clear" w:color="auto" w:fill="FFFFFF"/>
        </w:rPr>
        <w:t>1.3</w:t>
      </w:r>
      <w:r>
        <w:rPr>
          <w:rFonts w:hint="eastAsia"/>
          <w:b/>
          <w:color w:val="auto"/>
          <w:szCs w:val="21"/>
          <w:highlight w:val="none"/>
          <w:shd w:val="clear" w:color="auto" w:fill="FFFFFF"/>
        </w:rPr>
        <w:t>　</w:t>
      </w:r>
      <w:r>
        <w:rPr>
          <w:color w:val="auto"/>
          <w:szCs w:val="21"/>
          <w:highlight w:val="none"/>
          <w:shd w:val="clear" w:color="auto" w:fill="FFFFFF"/>
        </w:rPr>
        <w:t>施工勘察应在</w:t>
      </w:r>
      <w:r>
        <w:rPr>
          <w:rFonts w:hint="eastAsia"/>
          <w:color w:val="auto"/>
          <w:szCs w:val="21"/>
          <w:highlight w:val="none"/>
          <w:shd w:val="clear" w:color="auto" w:fill="FFFFFF"/>
        </w:rPr>
        <w:t>分析和利用</w:t>
      </w:r>
      <w:r>
        <w:rPr>
          <w:color w:val="auto"/>
          <w:szCs w:val="21"/>
          <w:highlight w:val="none"/>
          <w:shd w:val="clear" w:color="auto" w:fill="FFFFFF"/>
        </w:rPr>
        <w:t>详细勘察</w:t>
      </w:r>
      <w:r>
        <w:rPr>
          <w:rFonts w:hint="eastAsia"/>
          <w:color w:val="auto"/>
          <w:szCs w:val="21"/>
          <w:highlight w:val="none"/>
          <w:shd w:val="clear" w:color="auto" w:fill="FFFFFF"/>
        </w:rPr>
        <w:t>成果资料</w:t>
      </w:r>
      <w:r>
        <w:rPr>
          <w:color w:val="auto"/>
          <w:szCs w:val="21"/>
          <w:highlight w:val="none"/>
          <w:shd w:val="clear" w:color="auto" w:fill="FFFFFF"/>
        </w:rPr>
        <w:t>基础上，针对</w:t>
      </w:r>
      <w:r>
        <w:rPr>
          <w:rFonts w:hint="eastAsia"/>
          <w:color w:val="auto"/>
          <w:szCs w:val="21"/>
          <w:highlight w:val="none"/>
          <w:shd w:val="clear" w:color="auto" w:fill="FFFFFF"/>
        </w:rPr>
        <w:t>施工</w:t>
      </w:r>
      <w:r>
        <w:rPr>
          <w:color w:val="auto"/>
          <w:szCs w:val="21"/>
          <w:highlight w:val="none"/>
          <w:shd w:val="clear" w:color="auto" w:fill="FFFFFF"/>
        </w:rPr>
        <w:t>工法需要</w:t>
      </w:r>
      <w:r>
        <w:rPr>
          <w:rFonts w:hint="eastAsia"/>
          <w:color w:val="auto"/>
          <w:szCs w:val="21"/>
          <w:highlight w:val="none"/>
          <w:shd w:val="clear" w:color="auto" w:fill="FFFFFF"/>
        </w:rPr>
        <w:t>及具体的</w:t>
      </w:r>
      <w:r>
        <w:rPr>
          <w:color w:val="auto"/>
          <w:szCs w:val="21"/>
          <w:highlight w:val="none"/>
          <w:shd w:val="clear" w:color="auto" w:fill="FFFFFF"/>
        </w:rPr>
        <w:t>岩土工程问题</w:t>
      </w:r>
      <w:r>
        <w:rPr>
          <w:rFonts w:hint="eastAsia"/>
          <w:color w:val="auto"/>
          <w:szCs w:val="21"/>
          <w:highlight w:val="none"/>
          <w:shd w:val="clear" w:color="auto" w:fill="FFFFFF"/>
        </w:rPr>
        <w:t>，选择勘察方法和布置勘察工作量</w:t>
      </w:r>
      <w:r>
        <w:rPr>
          <w:bCs/>
          <w:color w:val="auto"/>
          <w:szCs w:val="21"/>
          <w:highlight w:val="none"/>
        </w:rPr>
        <w:t>。</w:t>
      </w:r>
    </w:p>
    <w:p>
      <w:pPr>
        <w:spacing w:line="360" w:lineRule="auto"/>
        <w:rPr>
          <w:color w:val="auto"/>
          <w:szCs w:val="21"/>
          <w:highlight w:val="none"/>
          <w:shd w:val="clear" w:color="auto" w:fill="FFFFFF"/>
        </w:rPr>
      </w:pPr>
      <w:r>
        <w:rPr>
          <w:rFonts w:hint="eastAsia"/>
          <w:b/>
          <w:color w:val="auto"/>
          <w:szCs w:val="21"/>
          <w:highlight w:val="none"/>
          <w:shd w:val="clear" w:color="auto" w:fill="FFFFFF"/>
        </w:rPr>
        <w:t>14.1</w:t>
      </w:r>
      <w:r>
        <w:rPr>
          <w:b/>
          <w:color w:val="auto"/>
          <w:szCs w:val="21"/>
          <w:highlight w:val="none"/>
          <w:shd w:val="clear" w:color="auto" w:fill="FFFFFF"/>
        </w:rPr>
        <w:t>.</w:t>
      </w:r>
      <w:r>
        <w:rPr>
          <w:rFonts w:hint="eastAsia"/>
          <w:b/>
          <w:color w:val="auto"/>
          <w:szCs w:val="21"/>
          <w:highlight w:val="none"/>
          <w:shd w:val="clear" w:color="auto" w:fill="FFFFFF"/>
        </w:rPr>
        <w:t>4　</w:t>
      </w:r>
      <w:r>
        <w:rPr>
          <w:color w:val="auto"/>
          <w:szCs w:val="21"/>
          <w:highlight w:val="none"/>
          <w:shd w:val="clear" w:color="auto" w:fill="FFFFFF"/>
        </w:rPr>
        <w:t>施工勘察</w:t>
      </w:r>
      <w:r>
        <w:rPr>
          <w:rFonts w:hint="eastAsia"/>
          <w:color w:val="auto"/>
          <w:szCs w:val="21"/>
          <w:highlight w:val="none"/>
          <w:shd w:val="clear" w:color="auto" w:fill="FFFFFF"/>
        </w:rPr>
        <w:t>成果</w:t>
      </w:r>
      <w:r>
        <w:rPr>
          <w:color w:val="auto"/>
          <w:szCs w:val="21"/>
          <w:highlight w:val="none"/>
        </w:rPr>
        <w:t>应针对</w:t>
      </w:r>
      <w:r>
        <w:rPr>
          <w:rFonts w:hint="eastAsia"/>
          <w:color w:val="auto"/>
          <w:szCs w:val="21"/>
          <w:highlight w:val="none"/>
        </w:rPr>
        <w:t>所需</w:t>
      </w:r>
      <w:r>
        <w:rPr>
          <w:color w:val="auto"/>
          <w:szCs w:val="21"/>
          <w:highlight w:val="none"/>
        </w:rPr>
        <w:t>解决的</w:t>
      </w:r>
      <w:r>
        <w:rPr>
          <w:rFonts w:hint="eastAsia"/>
          <w:color w:val="auto"/>
          <w:szCs w:val="21"/>
          <w:highlight w:val="none"/>
        </w:rPr>
        <w:t>岩土</w:t>
      </w:r>
      <w:r>
        <w:rPr>
          <w:color w:val="auto"/>
          <w:szCs w:val="21"/>
          <w:highlight w:val="none"/>
        </w:rPr>
        <w:t>工程问题</w:t>
      </w:r>
      <w:r>
        <w:rPr>
          <w:rFonts w:hint="eastAsia"/>
          <w:color w:val="auto"/>
          <w:szCs w:val="21"/>
          <w:highlight w:val="none"/>
        </w:rPr>
        <w:t>及施工要求</w:t>
      </w:r>
      <w:r>
        <w:rPr>
          <w:color w:val="auto"/>
          <w:szCs w:val="21"/>
          <w:highlight w:val="none"/>
        </w:rPr>
        <w:t>，</w:t>
      </w:r>
      <w:r>
        <w:rPr>
          <w:rFonts w:hint="eastAsia"/>
          <w:color w:val="auto"/>
          <w:szCs w:val="21"/>
          <w:highlight w:val="none"/>
        </w:rPr>
        <w:t>提出工程措施</w:t>
      </w:r>
      <w:r>
        <w:rPr>
          <w:color w:val="auto"/>
          <w:szCs w:val="21"/>
          <w:highlight w:val="none"/>
        </w:rPr>
        <w:t>建议</w:t>
      </w:r>
      <w:r>
        <w:rPr>
          <w:rFonts w:hint="eastAsia"/>
          <w:color w:val="auto"/>
          <w:szCs w:val="21"/>
          <w:highlight w:val="none"/>
        </w:rPr>
        <w:t>及岩土参数，并应</w:t>
      </w:r>
      <w:r>
        <w:rPr>
          <w:color w:val="auto"/>
          <w:szCs w:val="21"/>
          <w:highlight w:val="none"/>
          <w:shd w:val="clear" w:color="auto" w:fill="FFFFFF"/>
        </w:rPr>
        <w:t>满足</w:t>
      </w:r>
      <w:r>
        <w:rPr>
          <w:rFonts w:hint="eastAsia"/>
          <w:color w:val="auto"/>
          <w:szCs w:val="21"/>
          <w:highlight w:val="none"/>
          <w:shd w:val="clear" w:color="auto" w:fill="FFFFFF"/>
        </w:rPr>
        <w:t>施工阶段</w:t>
      </w:r>
      <w:r>
        <w:rPr>
          <w:color w:val="auto"/>
          <w:szCs w:val="21"/>
          <w:highlight w:val="none"/>
          <w:shd w:val="clear" w:color="auto" w:fill="FFFFFF"/>
        </w:rPr>
        <w:t>设计</w:t>
      </w:r>
      <w:r>
        <w:rPr>
          <w:rFonts w:hint="eastAsia"/>
          <w:color w:val="auto"/>
          <w:szCs w:val="21"/>
          <w:highlight w:val="none"/>
          <w:shd w:val="clear" w:color="auto" w:fill="FFFFFF"/>
        </w:rPr>
        <w:t>和</w:t>
      </w:r>
      <w:r>
        <w:rPr>
          <w:color w:val="auto"/>
          <w:szCs w:val="21"/>
          <w:highlight w:val="none"/>
          <w:shd w:val="clear" w:color="auto" w:fill="FFFFFF"/>
        </w:rPr>
        <w:t>施工方案</w:t>
      </w:r>
      <w:r>
        <w:rPr>
          <w:rFonts w:hint="eastAsia"/>
          <w:color w:val="auto"/>
          <w:szCs w:val="21"/>
          <w:highlight w:val="none"/>
          <w:shd w:val="clear" w:color="auto" w:fill="FFFFFF"/>
        </w:rPr>
        <w:t>优化、</w:t>
      </w:r>
      <w:r>
        <w:rPr>
          <w:color w:val="auto"/>
          <w:szCs w:val="21"/>
          <w:highlight w:val="none"/>
          <w:shd w:val="clear" w:color="auto" w:fill="FFFFFF"/>
        </w:rPr>
        <w:t>调整</w:t>
      </w:r>
      <w:r>
        <w:rPr>
          <w:rFonts w:hint="eastAsia"/>
          <w:color w:val="auto"/>
          <w:szCs w:val="21"/>
          <w:highlight w:val="none"/>
          <w:shd w:val="clear" w:color="auto" w:fill="FFFFFF"/>
        </w:rPr>
        <w:t>及</w:t>
      </w:r>
      <w:r>
        <w:rPr>
          <w:color w:val="auto"/>
          <w:szCs w:val="21"/>
          <w:highlight w:val="none"/>
          <w:shd w:val="clear" w:color="auto" w:fill="FFFFFF"/>
        </w:rPr>
        <w:t>工程风险</w:t>
      </w:r>
      <w:r>
        <w:rPr>
          <w:rFonts w:hint="eastAsia"/>
          <w:color w:val="auto"/>
          <w:szCs w:val="21"/>
          <w:highlight w:val="none"/>
          <w:shd w:val="clear" w:color="auto" w:fill="FFFFFF"/>
        </w:rPr>
        <w:t>防控要求</w:t>
      </w:r>
      <w:r>
        <w:rPr>
          <w:color w:val="auto"/>
          <w:szCs w:val="21"/>
          <w:highlight w:val="none"/>
          <w:shd w:val="clear" w:color="auto" w:fill="FFFFFF"/>
        </w:rPr>
        <w:t>。</w:t>
      </w:r>
    </w:p>
    <w:p>
      <w:pPr>
        <w:pStyle w:val="3"/>
        <w:rPr>
          <w:rFonts w:ascii="Times New Roman" w:hAnsi="Times New Roman" w:eastAsia="宋体"/>
          <w:color w:val="auto"/>
          <w:highlight w:val="none"/>
        </w:rPr>
      </w:pPr>
      <w:bookmarkStart w:id="253" w:name="_Toc13359"/>
      <w:bookmarkStart w:id="254" w:name="_Toc397"/>
      <w:bookmarkStart w:id="255" w:name="_Toc149"/>
      <w:bookmarkStart w:id="256" w:name="_Toc19388"/>
      <w:bookmarkStart w:id="257" w:name="_14.2　勘察要点"/>
      <w:r>
        <w:rPr>
          <w:rFonts w:hint="eastAsia" w:ascii="Times New Roman" w:hAnsi="Times New Roman" w:eastAsia="宋体"/>
          <w:color w:val="auto"/>
          <w:highlight w:val="none"/>
        </w:rPr>
        <w:t>14.</w:t>
      </w:r>
      <w:r>
        <w:rPr>
          <w:rFonts w:ascii="Times New Roman" w:hAnsi="Times New Roman" w:eastAsia="宋体"/>
          <w:color w:val="auto"/>
          <w:highlight w:val="none"/>
        </w:rPr>
        <w:t>2</w:t>
      </w:r>
      <w:bookmarkEnd w:id="253"/>
      <w:r>
        <w:rPr>
          <w:rFonts w:hint="eastAsia" w:ascii="Times New Roman" w:hAnsi="Times New Roman" w:eastAsia="宋体"/>
          <w:color w:val="auto"/>
          <w:highlight w:val="none"/>
        </w:rPr>
        <w:t>　勘察要点</w:t>
      </w:r>
      <w:bookmarkEnd w:id="254"/>
      <w:bookmarkEnd w:id="255"/>
      <w:bookmarkEnd w:id="256"/>
    </w:p>
    <w:bookmarkEnd w:id="257"/>
    <w:p>
      <w:pPr>
        <w:spacing w:line="360" w:lineRule="auto"/>
        <w:rPr>
          <w:color w:val="auto"/>
          <w:szCs w:val="21"/>
          <w:highlight w:val="none"/>
          <w:shd w:val="clear" w:color="auto" w:fill="FFFFFF"/>
        </w:rPr>
      </w:pPr>
      <w:bookmarkStart w:id="258" w:name="OLE_LINK11"/>
      <w:r>
        <w:rPr>
          <w:rFonts w:hint="eastAsia"/>
          <w:b/>
          <w:color w:val="auto"/>
          <w:szCs w:val="21"/>
          <w:highlight w:val="none"/>
          <w:shd w:val="clear" w:color="auto" w:fill="FFFFFF"/>
        </w:rPr>
        <w:t>14.</w:t>
      </w:r>
      <w:r>
        <w:rPr>
          <w:b/>
          <w:color w:val="auto"/>
          <w:szCs w:val="21"/>
          <w:highlight w:val="none"/>
          <w:shd w:val="clear" w:color="auto" w:fill="FFFFFF"/>
        </w:rPr>
        <w:t>2.</w:t>
      </w:r>
      <w:r>
        <w:rPr>
          <w:rFonts w:hint="eastAsia"/>
          <w:b/>
          <w:color w:val="auto"/>
          <w:szCs w:val="21"/>
          <w:highlight w:val="none"/>
          <w:shd w:val="clear" w:color="auto" w:fill="FFFFFF"/>
        </w:rPr>
        <w:t>1　</w:t>
      </w:r>
      <w:r>
        <w:rPr>
          <w:rFonts w:hint="eastAsia"/>
          <w:bCs/>
          <w:color w:val="auto"/>
          <w:kern w:val="0"/>
          <w:szCs w:val="21"/>
          <w:highlight w:val="none"/>
        </w:rPr>
        <w:t>浅基础</w:t>
      </w:r>
      <w:bookmarkEnd w:id="258"/>
      <w:r>
        <w:rPr>
          <w:rFonts w:hint="eastAsia"/>
          <w:color w:val="auto"/>
          <w:kern w:val="0"/>
          <w:szCs w:val="24"/>
          <w:highlight w:val="none"/>
        </w:rPr>
        <w:t>遇</w:t>
      </w:r>
      <w:r>
        <w:rPr>
          <w:color w:val="auto"/>
          <w:kern w:val="0"/>
          <w:szCs w:val="24"/>
          <w:highlight w:val="none"/>
        </w:rPr>
        <w:t>中等</w:t>
      </w:r>
      <w:r>
        <w:rPr>
          <w:rFonts w:hint="eastAsia"/>
          <w:color w:val="auto"/>
          <w:kern w:val="0"/>
          <w:szCs w:val="24"/>
          <w:highlight w:val="none"/>
        </w:rPr>
        <w:t>或</w:t>
      </w:r>
      <w:r>
        <w:rPr>
          <w:rFonts w:hint="eastAsia"/>
          <w:color w:val="auto"/>
          <w:szCs w:val="24"/>
          <w:highlight w:val="none"/>
        </w:rPr>
        <w:t>强烈发育岩溶</w:t>
      </w:r>
      <w:r>
        <w:rPr>
          <w:rFonts w:hint="eastAsia"/>
          <w:color w:val="auto"/>
          <w:kern w:val="0"/>
          <w:szCs w:val="24"/>
          <w:highlight w:val="none"/>
        </w:rPr>
        <w:t>地质条件时</w:t>
      </w:r>
      <w:r>
        <w:rPr>
          <w:rFonts w:hint="eastAsia"/>
          <w:bCs/>
          <w:color w:val="auto"/>
          <w:kern w:val="0"/>
          <w:szCs w:val="21"/>
          <w:highlight w:val="none"/>
        </w:rPr>
        <w:t>，施工勘察勘探孔宜</w:t>
      </w:r>
      <w:r>
        <w:rPr>
          <w:bCs/>
          <w:color w:val="auto"/>
          <w:kern w:val="0"/>
          <w:szCs w:val="21"/>
          <w:highlight w:val="none"/>
        </w:rPr>
        <w:t>符合下列规定：</w:t>
      </w:r>
    </w:p>
    <w:p>
      <w:pPr>
        <w:spacing w:line="360" w:lineRule="auto"/>
        <w:ind w:firstLine="422" w:firstLineChars="200"/>
        <w:rPr>
          <w:color w:val="auto"/>
          <w:szCs w:val="21"/>
          <w:highlight w:val="none"/>
          <w:shd w:val="clear" w:color="auto" w:fill="FFFFFF"/>
        </w:rPr>
      </w:pPr>
      <w:r>
        <w:rPr>
          <w:b/>
          <w:color w:val="auto"/>
          <w:szCs w:val="21"/>
          <w:highlight w:val="none"/>
          <w:shd w:val="clear" w:color="auto" w:fill="FFFFFF"/>
        </w:rPr>
        <w:t>1</w:t>
      </w:r>
      <w:r>
        <w:rPr>
          <w:rFonts w:hint="eastAsia"/>
          <w:b/>
          <w:color w:val="auto"/>
          <w:szCs w:val="21"/>
          <w:highlight w:val="none"/>
          <w:shd w:val="clear" w:color="auto" w:fill="FFFFFF"/>
        </w:rPr>
        <w:t>　</w:t>
      </w:r>
      <w:r>
        <w:rPr>
          <w:color w:val="auto"/>
          <w:szCs w:val="21"/>
          <w:highlight w:val="none"/>
          <w:shd w:val="clear" w:color="auto" w:fill="FFFFFF"/>
        </w:rPr>
        <w:t>岩溶中等发育</w:t>
      </w:r>
      <w:r>
        <w:rPr>
          <w:rFonts w:hint="eastAsia"/>
          <w:color w:val="auto"/>
          <w:szCs w:val="21"/>
          <w:highlight w:val="none"/>
          <w:shd w:val="clear" w:color="auto" w:fill="FFFFFF"/>
        </w:rPr>
        <w:t>时</w:t>
      </w:r>
      <w:r>
        <w:rPr>
          <w:color w:val="auto"/>
          <w:szCs w:val="21"/>
          <w:highlight w:val="none"/>
          <w:shd w:val="clear" w:color="auto" w:fill="FFFFFF"/>
        </w:rPr>
        <w:t>，独立基础</w:t>
      </w:r>
      <w:r>
        <w:rPr>
          <w:rFonts w:hint="eastAsia"/>
          <w:color w:val="auto"/>
          <w:szCs w:val="21"/>
          <w:highlight w:val="none"/>
          <w:shd w:val="clear" w:color="auto" w:fill="FFFFFF"/>
        </w:rPr>
        <w:t>宜</w:t>
      </w:r>
      <w:r>
        <w:rPr>
          <w:color w:val="auto"/>
          <w:szCs w:val="21"/>
          <w:highlight w:val="none"/>
          <w:shd w:val="clear" w:color="auto" w:fill="FFFFFF"/>
        </w:rPr>
        <w:t>每柱布置1孔</w:t>
      </w:r>
      <w:r>
        <w:rPr>
          <w:rFonts w:hint="eastAsia"/>
          <w:color w:val="auto"/>
          <w:szCs w:val="21"/>
          <w:highlight w:val="none"/>
          <w:shd w:val="clear" w:color="auto" w:fill="FFFFFF"/>
        </w:rPr>
        <w:t>，</w:t>
      </w:r>
      <w:r>
        <w:rPr>
          <w:color w:val="auto"/>
          <w:szCs w:val="21"/>
          <w:highlight w:val="none"/>
          <w:shd w:val="clear" w:color="auto" w:fill="FFFFFF"/>
        </w:rPr>
        <w:t>条形基础</w:t>
      </w:r>
      <w:r>
        <w:rPr>
          <w:rFonts w:hint="eastAsia"/>
          <w:color w:val="auto"/>
          <w:szCs w:val="21"/>
          <w:highlight w:val="none"/>
          <w:shd w:val="clear" w:color="auto" w:fill="FFFFFF"/>
        </w:rPr>
        <w:t>宜</w:t>
      </w:r>
      <w:r>
        <w:rPr>
          <w:color w:val="auto"/>
          <w:szCs w:val="21"/>
          <w:highlight w:val="none"/>
          <w:shd w:val="clear" w:color="auto" w:fill="FFFFFF"/>
        </w:rPr>
        <w:t>每6m～12m布置1孔。</w:t>
      </w:r>
    </w:p>
    <w:p>
      <w:pPr>
        <w:spacing w:line="360" w:lineRule="auto"/>
        <w:ind w:firstLine="422" w:firstLineChars="200"/>
        <w:rPr>
          <w:color w:val="auto"/>
          <w:szCs w:val="21"/>
          <w:highlight w:val="none"/>
          <w:shd w:val="clear" w:color="auto" w:fill="FFFFFF"/>
        </w:rPr>
      </w:pPr>
      <w:r>
        <w:rPr>
          <w:b/>
          <w:color w:val="auto"/>
          <w:szCs w:val="21"/>
          <w:highlight w:val="none"/>
          <w:shd w:val="clear" w:color="auto" w:fill="FFFFFF"/>
        </w:rPr>
        <w:t>2</w:t>
      </w:r>
      <w:r>
        <w:rPr>
          <w:rFonts w:hint="eastAsia"/>
          <w:b/>
          <w:color w:val="auto"/>
          <w:szCs w:val="21"/>
          <w:highlight w:val="none"/>
          <w:shd w:val="clear" w:color="auto" w:fill="FFFFFF"/>
        </w:rPr>
        <w:t>　</w:t>
      </w:r>
      <w:r>
        <w:rPr>
          <w:color w:val="auto"/>
          <w:szCs w:val="21"/>
          <w:highlight w:val="none"/>
          <w:shd w:val="clear" w:color="auto" w:fill="FFFFFF"/>
        </w:rPr>
        <w:t>岩溶强烈发育</w:t>
      </w:r>
      <w:r>
        <w:rPr>
          <w:rFonts w:hint="eastAsia"/>
          <w:color w:val="auto"/>
          <w:szCs w:val="21"/>
          <w:highlight w:val="none"/>
          <w:shd w:val="clear" w:color="auto" w:fill="FFFFFF"/>
        </w:rPr>
        <w:t>时</w:t>
      </w:r>
      <w:r>
        <w:rPr>
          <w:color w:val="auto"/>
          <w:szCs w:val="21"/>
          <w:highlight w:val="none"/>
          <w:shd w:val="clear" w:color="auto" w:fill="FFFFFF"/>
        </w:rPr>
        <w:t>，独立基础的勘探孔</w:t>
      </w:r>
      <w:r>
        <w:rPr>
          <w:rFonts w:hint="eastAsia"/>
          <w:color w:val="auto"/>
          <w:szCs w:val="21"/>
          <w:highlight w:val="none"/>
          <w:shd w:val="clear" w:color="auto" w:fill="FFFFFF"/>
        </w:rPr>
        <w:t>宜根据其</w:t>
      </w:r>
      <w:r>
        <w:rPr>
          <w:color w:val="auto"/>
          <w:szCs w:val="21"/>
          <w:highlight w:val="none"/>
          <w:shd w:val="clear" w:color="auto" w:fill="FFFFFF"/>
        </w:rPr>
        <w:t>基础底面积</w:t>
      </w:r>
      <w:r>
        <w:rPr>
          <w:rFonts w:hint="eastAsia"/>
          <w:color w:val="auto"/>
          <w:szCs w:val="21"/>
          <w:highlight w:val="none"/>
          <w:shd w:val="clear" w:color="auto" w:fill="FFFFFF"/>
        </w:rPr>
        <w:t>大小按表14.2.1</w:t>
      </w:r>
      <w:r>
        <w:rPr>
          <w:color w:val="auto"/>
          <w:szCs w:val="21"/>
          <w:highlight w:val="none"/>
          <w:shd w:val="clear" w:color="auto" w:fill="FFFFFF"/>
        </w:rPr>
        <w:t>确定；条形基础</w:t>
      </w:r>
      <w:r>
        <w:rPr>
          <w:rFonts w:hint="eastAsia"/>
          <w:color w:val="auto"/>
          <w:szCs w:val="21"/>
          <w:highlight w:val="none"/>
          <w:shd w:val="clear" w:color="auto" w:fill="FFFFFF"/>
        </w:rPr>
        <w:t>宜</w:t>
      </w:r>
      <w:r>
        <w:rPr>
          <w:color w:val="auto"/>
          <w:szCs w:val="21"/>
          <w:highlight w:val="none"/>
          <w:shd w:val="clear" w:color="auto" w:fill="FFFFFF"/>
        </w:rPr>
        <w:t>沿基础中线每</w:t>
      </w:r>
      <w:r>
        <w:rPr>
          <w:rFonts w:hint="eastAsia"/>
          <w:color w:val="auto"/>
          <w:szCs w:val="21"/>
          <w:highlight w:val="none"/>
          <w:shd w:val="clear" w:color="auto" w:fill="FFFFFF"/>
        </w:rPr>
        <w:t>3m</w:t>
      </w:r>
      <w:r>
        <w:rPr>
          <w:color w:val="auto"/>
          <w:szCs w:val="21"/>
          <w:highlight w:val="none"/>
          <w:shd w:val="clear" w:color="auto" w:fill="FFFFFF"/>
        </w:rPr>
        <w:t>～4m布1个勘探孔。</w:t>
      </w:r>
    </w:p>
    <w:p>
      <w:pPr>
        <w:autoSpaceDE w:val="0"/>
        <w:autoSpaceDN w:val="0"/>
        <w:adjustRightInd w:val="0"/>
        <w:spacing w:line="360" w:lineRule="auto"/>
        <w:jc w:val="center"/>
        <w:rPr>
          <w:b/>
          <w:bCs/>
          <w:color w:val="auto"/>
          <w:kern w:val="0"/>
          <w:highlight w:val="none"/>
        </w:rPr>
      </w:pPr>
      <w:r>
        <w:rPr>
          <w:b/>
          <w:bCs/>
          <w:color w:val="auto"/>
          <w:kern w:val="0"/>
          <w:highlight w:val="none"/>
        </w:rPr>
        <w:t>表</w:t>
      </w:r>
      <w:r>
        <w:rPr>
          <w:rFonts w:hint="eastAsia"/>
          <w:b/>
          <w:bCs/>
          <w:color w:val="auto"/>
          <w:kern w:val="0"/>
          <w:highlight w:val="none"/>
        </w:rPr>
        <w:t>1</w:t>
      </w:r>
      <w:r>
        <w:rPr>
          <w:b/>
          <w:bCs/>
          <w:color w:val="auto"/>
          <w:kern w:val="0"/>
          <w:highlight w:val="none"/>
        </w:rPr>
        <w:t>4.</w:t>
      </w:r>
      <w:r>
        <w:rPr>
          <w:rFonts w:hint="eastAsia"/>
          <w:b/>
          <w:bCs/>
          <w:color w:val="auto"/>
          <w:kern w:val="0"/>
          <w:highlight w:val="none"/>
        </w:rPr>
        <w:t>2.1</w:t>
      </w:r>
      <w:r>
        <w:rPr>
          <w:b/>
          <w:bCs/>
          <w:color w:val="auto"/>
          <w:kern w:val="0"/>
          <w:highlight w:val="none"/>
        </w:rPr>
        <w:t xml:space="preserve"> </w:t>
      </w:r>
      <w:r>
        <w:rPr>
          <w:rFonts w:hint="eastAsia"/>
          <w:b/>
          <w:bCs/>
          <w:color w:val="auto"/>
          <w:kern w:val="0"/>
          <w:highlight w:val="none"/>
        </w:rPr>
        <w:t>岩溶强烈发育区独立基础施工</w:t>
      </w:r>
      <w:r>
        <w:rPr>
          <w:b/>
          <w:bCs/>
          <w:color w:val="auto"/>
          <w:kern w:val="0"/>
          <w:highlight w:val="none"/>
        </w:rPr>
        <w:t>勘察勘探点</w:t>
      </w:r>
      <w:r>
        <w:rPr>
          <w:rFonts w:hint="eastAsia"/>
          <w:b/>
          <w:bCs/>
          <w:color w:val="auto"/>
          <w:kern w:val="0"/>
          <w:highlight w:val="none"/>
        </w:rPr>
        <w:t>布置要求</w:t>
      </w:r>
    </w:p>
    <w:tbl>
      <w:tblPr>
        <w:tblStyle w:val="22"/>
        <w:tblW w:w="8205" w:type="dxa"/>
        <w:tblInd w:w="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70"/>
        <w:gridCol w:w="1558"/>
        <w:gridCol w:w="1558"/>
        <w:gridCol w:w="1558"/>
        <w:gridCol w:w="1561"/>
      </w:tblGrid>
      <w:tr>
        <w:tblPrEx>
          <w:tblCellMar>
            <w:top w:w="0" w:type="dxa"/>
            <w:left w:w="108" w:type="dxa"/>
            <w:bottom w:w="0" w:type="dxa"/>
            <w:right w:w="108" w:type="dxa"/>
          </w:tblCellMar>
        </w:tblPrEx>
        <w:trPr>
          <w:trHeight w:val="454" w:hRule="atLeast"/>
        </w:trPr>
        <w:tc>
          <w:tcPr>
            <w:tcW w:w="1970" w:type="dxa"/>
            <w:tcBorders>
              <w:top w:val="single" w:color="000000" w:sz="12" w:space="0"/>
              <w:left w:val="single" w:color="000000" w:sz="12" w:space="0"/>
              <w:right w:val="single" w:color="000000" w:sz="4" w:space="0"/>
            </w:tcBorders>
            <w:vAlign w:val="center"/>
          </w:tcPr>
          <w:p>
            <w:pPr>
              <w:jc w:val="center"/>
              <w:rPr>
                <w:color w:val="auto"/>
                <w:sz w:val="18"/>
                <w:szCs w:val="18"/>
                <w:highlight w:val="none"/>
              </w:rPr>
            </w:pPr>
            <w:r>
              <w:rPr>
                <w:color w:val="auto"/>
                <w:sz w:val="18"/>
                <w:szCs w:val="18"/>
                <w:highlight w:val="none"/>
                <w:shd w:val="clear" w:color="auto" w:fill="FFFFFF"/>
              </w:rPr>
              <w:t>基础底面积A</w:t>
            </w:r>
            <w:r>
              <w:rPr>
                <w:rFonts w:hint="eastAsia"/>
                <w:color w:val="auto"/>
                <w:sz w:val="18"/>
                <w:szCs w:val="18"/>
                <w:highlight w:val="none"/>
                <w:shd w:val="clear" w:color="auto" w:fill="FFFFFF"/>
              </w:rPr>
              <w:t>（</w:t>
            </w:r>
            <w:r>
              <w:rPr>
                <w:color w:val="auto"/>
                <w:sz w:val="18"/>
                <w:szCs w:val="18"/>
                <w:highlight w:val="none"/>
                <w:shd w:val="clear" w:color="auto" w:fill="FFFFFF"/>
              </w:rPr>
              <w:t>m</w:t>
            </w:r>
            <w:r>
              <w:rPr>
                <w:color w:val="auto"/>
                <w:sz w:val="18"/>
                <w:szCs w:val="18"/>
                <w:highlight w:val="none"/>
                <w:shd w:val="clear" w:color="auto" w:fill="FFFFFF"/>
                <w:vertAlign w:val="superscript"/>
              </w:rPr>
              <w:t>2</w:t>
            </w:r>
            <w:r>
              <w:rPr>
                <w:rFonts w:hint="eastAsia"/>
                <w:color w:val="auto"/>
                <w:sz w:val="18"/>
                <w:szCs w:val="18"/>
                <w:highlight w:val="none"/>
                <w:shd w:val="clear" w:color="auto" w:fill="FFFFFF"/>
              </w:rPr>
              <w:t>）</w:t>
            </w:r>
          </w:p>
        </w:tc>
        <w:tc>
          <w:tcPr>
            <w:tcW w:w="1558" w:type="dxa"/>
            <w:tcBorders>
              <w:top w:val="single" w:color="000000" w:sz="12" w:space="0"/>
              <w:left w:val="single" w:color="000000" w:sz="4" w:space="0"/>
              <w:right w:val="single" w:color="000000" w:sz="4" w:space="0"/>
            </w:tcBorders>
            <w:vAlign w:val="center"/>
          </w:tcPr>
          <w:p>
            <w:pPr>
              <w:jc w:val="center"/>
              <w:rPr>
                <w:color w:val="auto"/>
                <w:sz w:val="18"/>
                <w:szCs w:val="18"/>
                <w:highlight w:val="none"/>
              </w:rPr>
            </w:pPr>
            <w:r>
              <w:rPr>
                <w:color w:val="auto"/>
                <w:sz w:val="18"/>
                <w:szCs w:val="18"/>
                <w:highlight w:val="none"/>
                <w:shd w:val="clear" w:color="auto" w:fill="FFFFFF"/>
              </w:rPr>
              <w:t>A</w:t>
            </w:r>
            <w:r>
              <w:rPr>
                <w:rFonts w:hint="eastAsia" w:ascii="宋体" w:hAnsi="宋体" w:cs="宋体"/>
                <w:color w:val="auto"/>
                <w:sz w:val="18"/>
                <w:szCs w:val="18"/>
                <w:highlight w:val="none"/>
                <w:shd w:val="clear" w:color="auto" w:fill="FFFFFF"/>
              </w:rPr>
              <w:t>≤</w:t>
            </w:r>
            <w:r>
              <w:rPr>
                <w:color w:val="auto"/>
                <w:sz w:val="18"/>
                <w:szCs w:val="18"/>
                <w:highlight w:val="none"/>
                <w:shd w:val="clear" w:color="auto" w:fill="FFFFFF"/>
              </w:rPr>
              <w:t>1</w:t>
            </w:r>
          </w:p>
        </w:tc>
        <w:tc>
          <w:tcPr>
            <w:tcW w:w="1558" w:type="dxa"/>
            <w:tcBorders>
              <w:top w:val="single" w:color="000000" w:sz="12" w:space="0"/>
              <w:left w:val="single" w:color="000000" w:sz="4" w:space="0"/>
              <w:right w:val="single" w:color="000000" w:sz="4" w:space="0"/>
            </w:tcBorders>
            <w:vAlign w:val="center"/>
          </w:tcPr>
          <w:p>
            <w:pPr>
              <w:jc w:val="center"/>
              <w:rPr>
                <w:color w:val="auto"/>
                <w:sz w:val="18"/>
                <w:szCs w:val="18"/>
                <w:highlight w:val="none"/>
              </w:rPr>
            </w:pPr>
            <w:r>
              <w:rPr>
                <w:color w:val="auto"/>
                <w:sz w:val="18"/>
                <w:szCs w:val="18"/>
                <w:highlight w:val="none"/>
                <w:shd w:val="clear" w:color="auto" w:fill="FFFFFF"/>
              </w:rPr>
              <w:t>1＜A</w:t>
            </w:r>
            <w:r>
              <w:rPr>
                <w:rFonts w:hint="eastAsia" w:ascii="宋体" w:hAnsi="宋体" w:cs="宋体"/>
                <w:color w:val="auto"/>
                <w:sz w:val="18"/>
                <w:szCs w:val="18"/>
                <w:highlight w:val="none"/>
                <w:shd w:val="clear" w:color="auto" w:fill="FFFFFF"/>
              </w:rPr>
              <w:t>≤</w:t>
            </w:r>
            <w:r>
              <w:rPr>
                <w:color w:val="auto"/>
                <w:sz w:val="18"/>
                <w:szCs w:val="18"/>
                <w:highlight w:val="none"/>
                <w:shd w:val="clear" w:color="auto" w:fill="FFFFFF"/>
              </w:rPr>
              <w:t>3</w:t>
            </w:r>
          </w:p>
        </w:tc>
        <w:tc>
          <w:tcPr>
            <w:tcW w:w="1558" w:type="dxa"/>
            <w:tcBorders>
              <w:top w:val="single" w:color="000000" w:sz="12" w:space="0"/>
              <w:left w:val="single" w:color="000000" w:sz="4" w:space="0"/>
              <w:right w:val="single" w:color="000000" w:sz="4" w:space="0"/>
            </w:tcBorders>
            <w:vAlign w:val="center"/>
          </w:tcPr>
          <w:p>
            <w:pPr>
              <w:jc w:val="center"/>
              <w:rPr>
                <w:color w:val="auto"/>
                <w:sz w:val="18"/>
                <w:szCs w:val="18"/>
                <w:highlight w:val="none"/>
              </w:rPr>
            </w:pPr>
            <w:r>
              <w:rPr>
                <w:color w:val="auto"/>
                <w:sz w:val="18"/>
                <w:szCs w:val="18"/>
                <w:highlight w:val="none"/>
                <w:shd w:val="clear" w:color="auto" w:fill="FFFFFF"/>
              </w:rPr>
              <w:t>3＜A</w:t>
            </w:r>
            <w:r>
              <w:rPr>
                <w:rFonts w:hint="eastAsia" w:ascii="宋体" w:hAnsi="宋体" w:cs="宋体"/>
                <w:color w:val="auto"/>
                <w:sz w:val="18"/>
                <w:szCs w:val="18"/>
                <w:highlight w:val="none"/>
                <w:shd w:val="clear" w:color="auto" w:fill="FFFFFF"/>
              </w:rPr>
              <w:t>≤</w:t>
            </w:r>
            <w:r>
              <w:rPr>
                <w:color w:val="auto"/>
                <w:sz w:val="18"/>
                <w:szCs w:val="18"/>
                <w:highlight w:val="none"/>
                <w:shd w:val="clear" w:color="auto" w:fill="FFFFFF"/>
              </w:rPr>
              <w:t>5</w:t>
            </w:r>
          </w:p>
        </w:tc>
        <w:tc>
          <w:tcPr>
            <w:tcW w:w="1561" w:type="dxa"/>
            <w:tcBorders>
              <w:top w:val="single" w:color="000000" w:sz="12" w:space="0"/>
              <w:left w:val="single" w:color="000000" w:sz="4" w:space="0"/>
              <w:right w:val="single" w:color="000000" w:sz="12" w:space="0"/>
            </w:tcBorders>
            <w:vAlign w:val="center"/>
          </w:tcPr>
          <w:p>
            <w:pPr>
              <w:jc w:val="center"/>
              <w:rPr>
                <w:color w:val="auto"/>
                <w:sz w:val="18"/>
                <w:szCs w:val="18"/>
                <w:highlight w:val="none"/>
              </w:rPr>
            </w:pPr>
            <w:r>
              <w:rPr>
                <w:color w:val="auto"/>
                <w:sz w:val="18"/>
                <w:szCs w:val="18"/>
                <w:highlight w:val="none"/>
                <w:shd w:val="clear" w:color="auto" w:fill="FFFFFF"/>
              </w:rPr>
              <w:t>A＞5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970" w:type="dxa"/>
            <w:tcBorders>
              <w:left w:val="single" w:color="000000" w:sz="12" w:space="0"/>
              <w:bottom w:val="single" w:color="000000" w:sz="12" w:space="0"/>
              <w:right w:val="single" w:color="000000" w:sz="4" w:space="0"/>
            </w:tcBorders>
            <w:vAlign w:val="center"/>
          </w:tcPr>
          <w:p>
            <w:pPr>
              <w:jc w:val="center"/>
              <w:rPr>
                <w:color w:val="auto"/>
                <w:sz w:val="18"/>
                <w:szCs w:val="18"/>
                <w:highlight w:val="none"/>
              </w:rPr>
            </w:pPr>
            <w:r>
              <w:rPr>
                <w:rFonts w:hint="eastAsia"/>
                <w:color w:val="auto"/>
                <w:sz w:val="18"/>
                <w:szCs w:val="18"/>
                <w:highlight w:val="none"/>
              </w:rPr>
              <w:t>布置勘探孔数（个）</w:t>
            </w:r>
          </w:p>
        </w:tc>
        <w:tc>
          <w:tcPr>
            <w:tcW w:w="1558" w:type="dxa"/>
            <w:tcBorders>
              <w:left w:val="single" w:color="000000" w:sz="4" w:space="0"/>
              <w:bottom w:val="single" w:color="000000" w:sz="12" w:space="0"/>
              <w:right w:val="single" w:color="000000" w:sz="4" w:space="0"/>
            </w:tcBorders>
            <w:vAlign w:val="center"/>
          </w:tcPr>
          <w:p>
            <w:pPr>
              <w:jc w:val="center"/>
              <w:rPr>
                <w:color w:val="auto"/>
                <w:sz w:val="18"/>
                <w:szCs w:val="18"/>
                <w:highlight w:val="none"/>
              </w:rPr>
            </w:pPr>
            <w:r>
              <w:rPr>
                <w:rFonts w:hint="eastAsia"/>
                <w:color w:val="auto"/>
                <w:sz w:val="18"/>
                <w:szCs w:val="18"/>
                <w:highlight w:val="none"/>
              </w:rPr>
              <w:t>1</w:t>
            </w:r>
          </w:p>
        </w:tc>
        <w:tc>
          <w:tcPr>
            <w:tcW w:w="1558" w:type="dxa"/>
            <w:tcBorders>
              <w:left w:val="single" w:color="000000" w:sz="4" w:space="0"/>
              <w:bottom w:val="single" w:color="000000" w:sz="12" w:space="0"/>
              <w:right w:val="single" w:color="000000" w:sz="4" w:space="0"/>
            </w:tcBorders>
            <w:vAlign w:val="center"/>
          </w:tcPr>
          <w:p>
            <w:pPr>
              <w:jc w:val="center"/>
              <w:rPr>
                <w:color w:val="auto"/>
                <w:sz w:val="18"/>
                <w:szCs w:val="18"/>
                <w:highlight w:val="none"/>
              </w:rPr>
            </w:pPr>
            <w:r>
              <w:rPr>
                <w:rFonts w:hint="eastAsia"/>
                <w:color w:val="auto"/>
                <w:sz w:val="18"/>
                <w:szCs w:val="18"/>
                <w:highlight w:val="none"/>
              </w:rPr>
              <w:t>2</w:t>
            </w:r>
          </w:p>
        </w:tc>
        <w:tc>
          <w:tcPr>
            <w:tcW w:w="1558" w:type="dxa"/>
            <w:tcBorders>
              <w:left w:val="single" w:color="000000" w:sz="4" w:space="0"/>
              <w:bottom w:val="single" w:color="000000" w:sz="12" w:space="0"/>
              <w:right w:val="single" w:color="000000" w:sz="4" w:space="0"/>
            </w:tcBorders>
            <w:vAlign w:val="center"/>
          </w:tcPr>
          <w:p>
            <w:pPr>
              <w:jc w:val="center"/>
              <w:rPr>
                <w:color w:val="auto"/>
                <w:sz w:val="18"/>
                <w:szCs w:val="18"/>
                <w:highlight w:val="none"/>
              </w:rPr>
            </w:pPr>
            <w:r>
              <w:rPr>
                <w:rFonts w:hint="eastAsia"/>
                <w:color w:val="auto"/>
                <w:sz w:val="18"/>
                <w:szCs w:val="18"/>
                <w:highlight w:val="none"/>
              </w:rPr>
              <w:t>3</w:t>
            </w:r>
          </w:p>
        </w:tc>
        <w:tc>
          <w:tcPr>
            <w:tcW w:w="1561" w:type="dxa"/>
            <w:tcBorders>
              <w:left w:val="single" w:color="000000" w:sz="4" w:space="0"/>
              <w:bottom w:val="single" w:color="000000" w:sz="12" w:space="0"/>
              <w:right w:val="single" w:color="000000" w:sz="12" w:space="0"/>
            </w:tcBorders>
            <w:vAlign w:val="center"/>
          </w:tcPr>
          <w:p>
            <w:pPr>
              <w:jc w:val="center"/>
              <w:rPr>
                <w:color w:val="auto"/>
                <w:sz w:val="18"/>
                <w:szCs w:val="18"/>
                <w:highlight w:val="none"/>
              </w:rPr>
            </w:pPr>
            <w:r>
              <w:rPr>
                <w:rFonts w:hint="eastAsia"/>
                <w:color w:val="auto"/>
                <w:sz w:val="18"/>
                <w:szCs w:val="18"/>
                <w:highlight w:val="none"/>
              </w:rPr>
              <w:t>4~5</w:t>
            </w:r>
          </w:p>
        </w:tc>
      </w:tr>
    </w:tbl>
    <w:p>
      <w:pPr>
        <w:spacing w:line="360" w:lineRule="auto"/>
        <w:ind w:firstLine="422" w:firstLineChars="200"/>
        <w:rPr>
          <w:color w:val="auto"/>
          <w:szCs w:val="21"/>
          <w:highlight w:val="none"/>
          <w:shd w:val="clear" w:color="auto" w:fill="FFFFFF"/>
        </w:rPr>
      </w:pPr>
      <w:r>
        <w:rPr>
          <w:b/>
          <w:color w:val="auto"/>
          <w:szCs w:val="21"/>
          <w:highlight w:val="none"/>
          <w:shd w:val="clear" w:color="auto" w:fill="FFFFFF"/>
        </w:rPr>
        <w:t>3</w:t>
      </w:r>
      <w:r>
        <w:rPr>
          <w:rFonts w:hint="eastAsia"/>
          <w:b/>
          <w:color w:val="auto"/>
          <w:szCs w:val="21"/>
          <w:highlight w:val="none"/>
          <w:shd w:val="clear" w:color="auto" w:fill="FFFFFF"/>
        </w:rPr>
        <w:t>　</w:t>
      </w:r>
      <w:r>
        <w:rPr>
          <w:rFonts w:hint="eastAsia"/>
          <w:color w:val="auto"/>
          <w:szCs w:val="21"/>
          <w:highlight w:val="none"/>
          <w:shd w:val="clear" w:color="auto" w:fill="FFFFFF"/>
        </w:rPr>
        <w:t>当</w:t>
      </w:r>
      <w:r>
        <w:rPr>
          <w:color w:val="auto"/>
          <w:szCs w:val="21"/>
          <w:highlight w:val="none"/>
          <w:shd w:val="clear" w:color="auto" w:fill="FFFFFF"/>
        </w:rPr>
        <w:t>溶洞顶板可能利用作为地基持力层</w:t>
      </w:r>
      <w:r>
        <w:rPr>
          <w:rFonts w:hint="eastAsia"/>
          <w:color w:val="auto"/>
          <w:szCs w:val="21"/>
          <w:highlight w:val="none"/>
          <w:shd w:val="clear" w:color="auto" w:fill="FFFFFF"/>
        </w:rPr>
        <w:t>，或</w:t>
      </w:r>
      <w:r>
        <w:rPr>
          <w:color w:val="auto"/>
          <w:szCs w:val="21"/>
          <w:highlight w:val="none"/>
          <w:shd w:val="clear" w:color="auto" w:fill="FFFFFF"/>
        </w:rPr>
        <w:t>遇深溶槽</w:t>
      </w:r>
      <w:r>
        <w:rPr>
          <w:rFonts w:hint="eastAsia"/>
          <w:color w:val="auto"/>
          <w:szCs w:val="21"/>
          <w:highlight w:val="none"/>
          <w:shd w:val="clear" w:color="auto" w:fill="FFFFFF"/>
        </w:rPr>
        <w:t>、</w:t>
      </w:r>
      <w:r>
        <w:rPr>
          <w:color w:val="auto"/>
          <w:szCs w:val="21"/>
          <w:highlight w:val="none"/>
          <w:shd w:val="clear" w:color="auto" w:fill="FFFFFF"/>
        </w:rPr>
        <w:t>串珠状溶洞拟采取混凝土梁、板跨越并需查找稳定支点</w:t>
      </w:r>
      <w:r>
        <w:rPr>
          <w:rFonts w:hint="eastAsia"/>
          <w:color w:val="auto"/>
          <w:szCs w:val="21"/>
          <w:highlight w:val="none"/>
          <w:shd w:val="clear" w:color="auto" w:fill="FFFFFF"/>
        </w:rPr>
        <w:t>时，宜沿</w:t>
      </w:r>
      <w:r>
        <w:rPr>
          <w:color w:val="auto"/>
          <w:szCs w:val="21"/>
          <w:highlight w:val="none"/>
          <w:shd w:val="clear" w:color="auto" w:fill="FFFFFF"/>
        </w:rPr>
        <w:t>垂直岩溶发育方向适当加密</w:t>
      </w:r>
      <w:r>
        <w:rPr>
          <w:rFonts w:hint="eastAsia"/>
          <w:color w:val="auto"/>
          <w:szCs w:val="21"/>
          <w:highlight w:val="none"/>
          <w:shd w:val="clear" w:color="auto" w:fill="FFFFFF"/>
        </w:rPr>
        <w:t>勘探</w:t>
      </w:r>
      <w:r>
        <w:rPr>
          <w:color w:val="auto"/>
          <w:szCs w:val="21"/>
          <w:highlight w:val="none"/>
          <w:shd w:val="clear" w:color="auto" w:fill="FFFFFF"/>
        </w:rPr>
        <w:t>孔</w:t>
      </w:r>
      <w:r>
        <w:rPr>
          <w:rFonts w:hint="eastAsia"/>
          <w:color w:val="auto"/>
          <w:szCs w:val="21"/>
          <w:highlight w:val="none"/>
          <w:shd w:val="clear" w:color="auto" w:fill="FFFFFF"/>
        </w:rPr>
        <w:t>。</w:t>
      </w:r>
    </w:p>
    <w:p>
      <w:pPr>
        <w:spacing w:line="360" w:lineRule="auto"/>
        <w:ind w:firstLine="422" w:firstLineChars="200"/>
        <w:rPr>
          <w:color w:val="auto"/>
          <w:szCs w:val="21"/>
          <w:highlight w:val="none"/>
          <w:shd w:val="clear" w:color="auto" w:fill="FFFFFF"/>
        </w:rPr>
      </w:pPr>
      <w:r>
        <w:rPr>
          <w:rFonts w:hint="eastAsia"/>
          <w:b/>
          <w:color w:val="auto"/>
          <w:szCs w:val="21"/>
          <w:highlight w:val="none"/>
          <w:shd w:val="clear" w:color="auto" w:fill="FFFFFF"/>
        </w:rPr>
        <w:t>4　</w:t>
      </w:r>
      <w:r>
        <w:rPr>
          <w:rFonts w:hint="eastAsia"/>
          <w:color w:val="auto"/>
          <w:szCs w:val="21"/>
          <w:highlight w:val="none"/>
          <w:shd w:val="clear" w:color="auto" w:fill="FFFFFF"/>
        </w:rPr>
        <w:t>当基础底面以下土层厚度不大于独立基础宽度的3倍或条形基础的6倍时，勘探孔深度应进入基岩面不小于5m；当预计深度内有溶洞存在且可能影响地基稳定时，宜钻</w:t>
      </w:r>
      <w:r>
        <w:rPr>
          <w:rFonts w:hint="eastAsia"/>
          <w:bCs/>
          <w:color w:val="auto"/>
          <w:kern w:val="0"/>
          <w:szCs w:val="21"/>
          <w:highlight w:val="none"/>
        </w:rPr>
        <w:t>入洞底基岩面以下不小于5m。</w:t>
      </w:r>
    </w:p>
    <w:p>
      <w:pPr>
        <w:spacing w:line="360" w:lineRule="auto"/>
        <w:rPr>
          <w:color w:val="auto"/>
          <w:szCs w:val="21"/>
          <w:highlight w:val="none"/>
        </w:rPr>
      </w:pPr>
      <w:r>
        <w:rPr>
          <w:rFonts w:hint="eastAsia"/>
          <w:b/>
          <w:color w:val="auto"/>
          <w:szCs w:val="21"/>
          <w:highlight w:val="none"/>
          <w:shd w:val="clear" w:color="auto" w:fill="FFFFFF"/>
        </w:rPr>
        <w:t>14.</w:t>
      </w:r>
      <w:r>
        <w:rPr>
          <w:b/>
          <w:color w:val="auto"/>
          <w:szCs w:val="21"/>
          <w:highlight w:val="none"/>
          <w:shd w:val="clear" w:color="auto" w:fill="FFFFFF"/>
        </w:rPr>
        <w:t>2.2</w:t>
      </w:r>
      <w:r>
        <w:rPr>
          <w:rFonts w:hint="eastAsia"/>
          <w:b/>
          <w:color w:val="auto"/>
          <w:szCs w:val="21"/>
          <w:highlight w:val="none"/>
          <w:shd w:val="clear" w:color="auto" w:fill="FFFFFF"/>
        </w:rPr>
        <w:t>　</w:t>
      </w:r>
      <w:r>
        <w:rPr>
          <w:rFonts w:hint="eastAsia"/>
          <w:color w:val="auto"/>
          <w:szCs w:val="21"/>
          <w:highlight w:val="none"/>
        </w:rPr>
        <w:t>浅基础遇填土、软土和污染土时，施工勘察勘探孔宜符合下列规定：</w:t>
      </w:r>
    </w:p>
    <w:p>
      <w:pPr>
        <w:spacing w:line="360" w:lineRule="auto"/>
        <w:ind w:firstLine="422" w:firstLineChars="200"/>
        <w:rPr>
          <w:color w:val="auto"/>
          <w:szCs w:val="21"/>
          <w:highlight w:val="none"/>
        </w:rPr>
      </w:pPr>
      <w:r>
        <w:rPr>
          <w:b/>
          <w:bCs/>
          <w:color w:val="auto"/>
          <w:szCs w:val="21"/>
          <w:highlight w:val="none"/>
        </w:rPr>
        <w:t>1</w:t>
      </w:r>
      <w:r>
        <w:rPr>
          <w:rFonts w:hint="eastAsia"/>
          <w:b/>
          <w:bCs/>
          <w:color w:val="auto"/>
          <w:szCs w:val="21"/>
          <w:highlight w:val="none"/>
        </w:rPr>
        <w:t>　</w:t>
      </w:r>
      <w:r>
        <w:rPr>
          <w:rFonts w:hint="eastAsia"/>
          <w:color w:val="auto"/>
          <w:szCs w:val="21"/>
          <w:highlight w:val="none"/>
        </w:rPr>
        <w:t>勘探孔间</w:t>
      </w:r>
      <w:r>
        <w:rPr>
          <w:color w:val="auto"/>
          <w:szCs w:val="21"/>
          <w:highlight w:val="none"/>
        </w:rPr>
        <w:t>距宜为8m～15m；</w:t>
      </w:r>
    </w:p>
    <w:p>
      <w:pPr>
        <w:spacing w:line="360" w:lineRule="auto"/>
        <w:ind w:firstLine="422" w:firstLineChars="200"/>
        <w:rPr>
          <w:color w:val="auto"/>
          <w:szCs w:val="21"/>
          <w:highlight w:val="none"/>
        </w:rPr>
      </w:pPr>
      <w:r>
        <w:rPr>
          <w:b/>
          <w:bCs/>
          <w:color w:val="auto"/>
          <w:szCs w:val="21"/>
          <w:highlight w:val="none"/>
        </w:rPr>
        <w:t>2</w:t>
      </w:r>
      <w:r>
        <w:rPr>
          <w:rFonts w:hint="eastAsia"/>
          <w:b/>
          <w:bCs/>
          <w:color w:val="auto"/>
          <w:szCs w:val="21"/>
          <w:highlight w:val="none"/>
        </w:rPr>
        <w:t>　</w:t>
      </w:r>
      <w:r>
        <w:rPr>
          <w:rFonts w:hint="eastAsia"/>
          <w:color w:val="auto"/>
          <w:szCs w:val="21"/>
          <w:highlight w:val="none"/>
        </w:rPr>
        <w:t>勘探孔</w:t>
      </w:r>
      <w:r>
        <w:rPr>
          <w:color w:val="auto"/>
          <w:szCs w:val="21"/>
          <w:highlight w:val="none"/>
        </w:rPr>
        <w:t>深度</w:t>
      </w:r>
      <w:r>
        <w:rPr>
          <w:rFonts w:hint="eastAsia"/>
          <w:color w:val="auto"/>
          <w:szCs w:val="21"/>
          <w:highlight w:val="none"/>
        </w:rPr>
        <w:t>宜</w:t>
      </w:r>
      <w:r>
        <w:rPr>
          <w:color w:val="auto"/>
          <w:szCs w:val="21"/>
          <w:highlight w:val="none"/>
        </w:rPr>
        <w:t>穿过</w:t>
      </w:r>
      <w:r>
        <w:rPr>
          <w:rFonts w:hint="eastAsia"/>
          <w:color w:val="auto"/>
          <w:szCs w:val="21"/>
          <w:highlight w:val="none"/>
        </w:rPr>
        <w:t>填土、软土和污染土并</w:t>
      </w:r>
      <w:r>
        <w:rPr>
          <w:color w:val="auto"/>
          <w:szCs w:val="21"/>
          <w:highlight w:val="none"/>
        </w:rPr>
        <w:t>进入</w:t>
      </w:r>
      <w:r>
        <w:rPr>
          <w:rFonts w:hint="eastAsia"/>
          <w:color w:val="auto"/>
          <w:szCs w:val="21"/>
          <w:highlight w:val="none"/>
        </w:rPr>
        <w:t>下卧稳定地</w:t>
      </w:r>
      <w:r>
        <w:rPr>
          <w:color w:val="auto"/>
          <w:szCs w:val="21"/>
          <w:highlight w:val="none"/>
        </w:rPr>
        <w:t>层</w:t>
      </w:r>
      <w:r>
        <w:rPr>
          <w:rFonts w:hint="eastAsia"/>
          <w:color w:val="auto"/>
          <w:szCs w:val="21"/>
          <w:highlight w:val="none"/>
        </w:rPr>
        <w:t>不小于</w:t>
      </w:r>
      <w:r>
        <w:rPr>
          <w:color w:val="auto"/>
          <w:szCs w:val="21"/>
          <w:highlight w:val="none"/>
        </w:rPr>
        <w:t>0.5m。</w:t>
      </w:r>
    </w:p>
    <w:p>
      <w:pPr>
        <w:spacing w:line="360" w:lineRule="auto"/>
        <w:rPr>
          <w:color w:val="auto"/>
          <w:kern w:val="0"/>
          <w:szCs w:val="24"/>
          <w:highlight w:val="none"/>
        </w:rPr>
      </w:pPr>
      <w:r>
        <w:rPr>
          <w:rFonts w:hint="eastAsia"/>
          <w:b/>
          <w:color w:val="auto"/>
          <w:kern w:val="0"/>
          <w:szCs w:val="24"/>
          <w:highlight w:val="none"/>
        </w:rPr>
        <w:t>14.2</w:t>
      </w:r>
      <w:r>
        <w:rPr>
          <w:b/>
          <w:color w:val="auto"/>
          <w:kern w:val="0"/>
          <w:szCs w:val="24"/>
          <w:highlight w:val="none"/>
        </w:rPr>
        <w:t>.</w:t>
      </w:r>
      <w:r>
        <w:rPr>
          <w:rFonts w:hint="eastAsia"/>
          <w:b/>
          <w:color w:val="auto"/>
          <w:kern w:val="0"/>
          <w:szCs w:val="24"/>
          <w:highlight w:val="none"/>
        </w:rPr>
        <w:t>3　</w:t>
      </w:r>
      <w:r>
        <w:rPr>
          <w:rFonts w:hint="eastAsia"/>
          <w:color w:val="auto"/>
          <w:kern w:val="0"/>
          <w:szCs w:val="24"/>
          <w:highlight w:val="none"/>
        </w:rPr>
        <w:t>桩基础遇</w:t>
      </w:r>
      <w:r>
        <w:rPr>
          <w:rFonts w:hint="eastAsia"/>
          <w:color w:val="auto"/>
          <w:szCs w:val="24"/>
          <w:highlight w:val="none"/>
        </w:rPr>
        <w:t>岩溶</w:t>
      </w:r>
      <w:r>
        <w:rPr>
          <w:color w:val="auto"/>
          <w:kern w:val="0"/>
          <w:szCs w:val="24"/>
          <w:highlight w:val="none"/>
        </w:rPr>
        <w:t>中等</w:t>
      </w:r>
      <w:r>
        <w:rPr>
          <w:rFonts w:hint="eastAsia"/>
          <w:color w:val="auto"/>
          <w:kern w:val="0"/>
          <w:szCs w:val="24"/>
          <w:highlight w:val="none"/>
        </w:rPr>
        <w:t>或</w:t>
      </w:r>
      <w:r>
        <w:rPr>
          <w:rFonts w:hint="eastAsia"/>
          <w:color w:val="auto"/>
          <w:szCs w:val="24"/>
          <w:highlight w:val="none"/>
        </w:rPr>
        <w:t>强烈发育</w:t>
      </w:r>
      <w:r>
        <w:rPr>
          <w:rFonts w:hint="eastAsia"/>
          <w:color w:val="auto"/>
          <w:kern w:val="0"/>
          <w:szCs w:val="24"/>
          <w:highlight w:val="none"/>
        </w:rPr>
        <w:t>时，施工勘察勘探孔宜符合下列规定：</w:t>
      </w:r>
    </w:p>
    <w:p>
      <w:pPr>
        <w:spacing w:line="360" w:lineRule="auto"/>
        <w:ind w:firstLine="422" w:firstLineChars="200"/>
        <w:rPr>
          <w:color w:val="auto"/>
          <w:kern w:val="0"/>
          <w:szCs w:val="24"/>
          <w:highlight w:val="none"/>
        </w:rPr>
      </w:pPr>
      <w:r>
        <w:rPr>
          <w:rFonts w:hint="eastAsia"/>
          <w:b/>
          <w:bCs/>
          <w:color w:val="auto"/>
          <w:kern w:val="0"/>
          <w:szCs w:val="24"/>
          <w:highlight w:val="none"/>
        </w:rPr>
        <w:t>1　</w:t>
      </w:r>
      <w:r>
        <w:rPr>
          <w:color w:val="auto"/>
          <w:kern w:val="0"/>
          <w:szCs w:val="24"/>
          <w:highlight w:val="none"/>
        </w:rPr>
        <w:t>抗拔桩、基坑</w:t>
      </w:r>
      <w:r>
        <w:rPr>
          <w:color w:val="auto"/>
          <w:szCs w:val="21"/>
          <w:highlight w:val="none"/>
          <w:shd w:val="clear" w:color="auto" w:fill="FFFFFF"/>
        </w:rPr>
        <w:t>立柱</w:t>
      </w:r>
      <w:r>
        <w:rPr>
          <w:color w:val="auto"/>
          <w:kern w:val="0"/>
          <w:szCs w:val="24"/>
          <w:highlight w:val="none"/>
        </w:rPr>
        <w:t>桩施工勘察宜采用一桩一孔；</w:t>
      </w:r>
    </w:p>
    <w:p>
      <w:pPr>
        <w:spacing w:line="360" w:lineRule="auto"/>
        <w:ind w:firstLine="422" w:firstLineChars="200"/>
        <w:rPr>
          <w:color w:val="auto"/>
          <w:kern w:val="0"/>
          <w:szCs w:val="24"/>
          <w:highlight w:val="none"/>
        </w:rPr>
      </w:pPr>
      <w:r>
        <w:rPr>
          <w:rFonts w:hint="eastAsia"/>
          <w:b/>
          <w:bCs/>
          <w:color w:val="auto"/>
          <w:kern w:val="0"/>
          <w:szCs w:val="24"/>
          <w:highlight w:val="none"/>
        </w:rPr>
        <w:t>2　</w:t>
      </w:r>
      <w:r>
        <w:rPr>
          <w:color w:val="auto"/>
          <w:kern w:val="0"/>
          <w:szCs w:val="24"/>
          <w:highlight w:val="none"/>
        </w:rPr>
        <w:t>对于荷载较大的工程桩或大直径嵌岩桩，</w:t>
      </w:r>
      <w:r>
        <w:rPr>
          <w:rFonts w:hint="eastAsia"/>
          <w:color w:val="auto"/>
          <w:kern w:val="0"/>
          <w:szCs w:val="24"/>
          <w:highlight w:val="none"/>
        </w:rPr>
        <w:t>当</w:t>
      </w:r>
      <w:r>
        <w:rPr>
          <w:color w:val="auto"/>
          <w:kern w:val="0"/>
          <w:szCs w:val="24"/>
          <w:highlight w:val="none"/>
        </w:rPr>
        <w:t>采用一桩多孔</w:t>
      </w:r>
      <w:r>
        <w:rPr>
          <w:rFonts w:hint="eastAsia"/>
          <w:color w:val="auto"/>
          <w:kern w:val="0"/>
          <w:szCs w:val="24"/>
          <w:highlight w:val="none"/>
        </w:rPr>
        <w:t>方式</w:t>
      </w:r>
      <w:r>
        <w:rPr>
          <w:color w:val="auto"/>
          <w:kern w:val="0"/>
          <w:szCs w:val="24"/>
          <w:highlight w:val="none"/>
        </w:rPr>
        <w:t>确定持力层性状</w:t>
      </w:r>
      <w:r>
        <w:rPr>
          <w:rFonts w:hint="eastAsia"/>
          <w:color w:val="auto"/>
          <w:kern w:val="0"/>
          <w:szCs w:val="24"/>
          <w:highlight w:val="none"/>
        </w:rPr>
        <w:t>时</w:t>
      </w:r>
      <w:r>
        <w:rPr>
          <w:color w:val="auto"/>
          <w:kern w:val="0"/>
          <w:szCs w:val="24"/>
          <w:highlight w:val="none"/>
        </w:rPr>
        <w:t>，</w:t>
      </w:r>
      <w:r>
        <w:rPr>
          <w:rFonts w:hint="eastAsia"/>
          <w:color w:val="auto"/>
          <w:kern w:val="0"/>
          <w:szCs w:val="24"/>
          <w:highlight w:val="none"/>
        </w:rPr>
        <w:t>勘探孔</w:t>
      </w:r>
      <w:r>
        <w:rPr>
          <w:color w:val="auto"/>
          <w:kern w:val="0"/>
          <w:szCs w:val="24"/>
          <w:highlight w:val="none"/>
        </w:rPr>
        <w:t>数量宜符合表</w:t>
      </w:r>
      <w:r>
        <w:rPr>
          <w:rFonts w:hint="eastAsia"/>
          <w:color w:val="auto"/>
          <w:kern w:val="0"/>
          <w:szCs w:val="24"/>
          <w:highlight w:val="none"/>
        </w:rPr>
        <w:t>14.2.</w:t>
      </w:r>
      <w:r>
        <w:rPr>
          <w:color w:val="auto"/>
          <w:kern w:val="0"/>
          <w:szCs w:val="24"/>
          <w:highlight w:val="none"/>
        </w:rPr>
        <w:t>3</w:t>
      </w:r>
      <w:r>
        <w:rPr>
          <w:rFonts w:hint="eastAsia"/>
          <w:color w:val="auto"/>
          <w:kern w:val="0"/>
          <w:szCs w:val="24"/>
          <w:highlight w:val="none"/>
        </w:rPr>
        <w:t>-1</w:t>
      </w:r>
      <w:r>
        <w:rPr>
          <w:color w:val="auto"/>
          <w:kern w:val="0"/>
          <w:szCs w:val="24"/>
          <w:highlight w:val="none"/>
        </w:rPr>
        <w:t>规定</w:t>
      </w:r>
      <w:r>
        <w:rPr>
          <w:rFonts w:hint="eastAsia"/>
          <w:color w:val="auto"/>
          <w:kern w:val="0"/>
          <w:szCs w:val="24"/>
          <w:highlight w:val="none"/>
        </w:rPr>
        <w:t>；</w:t>
      </w:r>
    </w:p>
    <w:p>
      <w:pPr>
        <w:keepNext/>
        <w:spacing w:before="156" w:beforeLines="50" w:after="156" w:afterLines="50"/>
        <w:jc w:val="center"/>
        <w:rPr>
          <w:b/>
          <w:color w:val="auto"/>
          <w:kern w:val="0"/>
          <w:szCs w:val="24"/>
          <w:highlight w:val="none"/>
        </w:rPr>
      </w:pPr>
      <w:r>
        <w:rPr>
          <w:b/>
          <w:color w:val="auto"/>
          <w:kern w:val="0"/>
          <w:szCs w:val="24"/>
          <w:highlight w:val="none"/>
        </w:rPr>
        <w:t>表</w:t>
      </w:r>
      <w:r>
        <w:rPr>
          <w:rFonts w:hint="eastAsia"/>
          <w:b/>
          <w:color w:val="auto"/>
          <w:kern w:val="0"/>
          <w:szCs w:val="24"/>
          <w:highlight w:val="none"/>
        </w:rPr>
        <w:t>14.2.</w:t>
      </w:r>
      <w:r>
        <w:rPr>
          <w:b/>
          <w:color w:val="auto"/>
          <w:kern w:val="0"/>
          <w:szCs w:val="24"/>
          <w:highlight w:val="none"/>
        </w:rPr>
        <w:t>3</w:t>
      </w:r>
      <w:r>
        <w:rPr>
          <w:rFonts w:hint="eastAsia"/>
          <w:b/>
          <w:color w:val="auto"/>
          <w:kern w:val="0"/>
          <w:szCs w:val="24"/>
          <w:highlight w:val="none"/>
        </w:rPr>
        <w:t>-1　</w:t>
      </w:r>
      <w:r>
        <w:rPr>
          <w:b/>
          <w:color w:val="auto"/>
          <w:kern w:val="0"/>
          <w:szCs w:val="24"/>
          <w:highlight w:val="none"/>
        </w:rPr>
        <w:t>岩溶区</w:t>
      </w:r>
      <w:r>
        <w:rPr>
          <w:rFonts w:hint="eastAsia"/>
          <w:b/>
          <w:color w:val="auto"/>
          <w:kern w:val="0"/>
          <w:szCs w:val="24"/>
          <w:highlight w:val="none"/>
        </w:rPr>
        <w:t>不同桩径下勘探孔数量控制表</w:t>
      </w:r>
    </w:p>
    <w:tbl>
      <w:tblPr>
        <w:tblStyle w:val="22"/>
        <w:tblW w:w="828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645"/>
        <w:gridCol w:w="1419"/>
        <w:gridCol w:w="1419"/>
        <w:gridCol w:w="1419"/>
        <w:gridCol w:w="1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4" w:hRule="atLeast"/>
          <w:jc w:val="center"/>
        </w:trPr>
        <w:tc>
          <w:tcPr>
            <w:tcW w:w="2645" w:type="dxa"/>
            <w:tcBorders>
              <w:top w:val="single" w:color="000000" w:sz="12" w:space="0"/>
              <w:left w:val="single" w:color="000000" w:sz="12" w:space="0"/>
              <w:bottom w:val="single" w:color="000000" w:sz="4" w:space="0"/>
              <w:right w:val="single" w:color="000000" w:sz="4" w:space="0"/>
            </w:tcBorders>
            <w:vAlign w:val="center"/>
          </w:tcPr>
          <w:p>
            <w:pPr>
              <w:jc w:val="center"/>
              <w:textAlignment w:val="center"/>
              <w:rPr>
                <w:color w:val="auto"/>
                <w:sz w:val="20"/>
                <w:szCs w:val="20"/>
                <w:highlight w:val="none"/>
              </w:rPr>
            </w:pPr>
            <w:r>
              <w:rPr>
                <w:color w:val="auto"/>
                <w:sz w:val="20"/>
                <w:szCs w:val="20"/>
                <w:highlight w:val="none"/>
              </w:rPr>
              <w:t>桩径</w:t>
            </w:r>
            <w:r>
              <w:rPr>
                <w:i/>
                <w:color w:val="auto"/>
                <w:sz w:val="20"/>
                <w:szCs w:val="20"/>
                <w:highlight w:val="none"/>
              </w:rPr>
              <w:t>d</w:t>
            </w:r>
            <w:r>
              <w:rPr>
                <w:color w:val="auto"/>
                <w:sz w:val="20"/>
                <w:szCs w:val="20"/>
                <w:highlight w:val="none"/>
              </w:rPr>
              <w:t>（m）</w:t>
            </w:r>
          </w:p>
        </w:tc>
        <w:tc>
          <w:tcPr>
            <w:tcW w:w="1419"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color w:val="auto"/>
                <w:sz w:val="20"/>
                <w:szCs w:val="20"/>
                <w:highlight w:val="none"/>
              </w:rPr>
            </w:pPr>
            <w:r>
              <w:rPr>
                <w:i/>
                <w:color w:val="auto"/>
                <w:sz w:val="20"/>
                <w:szCs w:val="20"/>
                <w:highlight w:val="none"/>
              </w:rPr>
              <w:t>d</w:t>
            </w:r>
            <w:r>
              <w:rPr>
                <w:color w:val="auto"/>
                <w:sz w:val="20"/>
                <w:szCs w:val="20"/>
                <w:highlight w:val="none"/>
              </w:rPr>
              <w:t>&lt;1.0</w:t>
            </w:r>
          </w:p>
        </w:tc>
        <w:tc>
          <w:tcPr>
            <w:tcW w:w="1419"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color w:val="auto"/>
                <w:sz w:val="20"/>
                <w:szCs w:val="20"/>
                <w:highlight w:val="none"/>
              </w:rPr>
            </w:pPr>
            <w:r>
              <w:rPr>
                <w:color w:val="auto"/>
                <w:sz w:val="20"/>
                <w:szCs w:val="20"/>
                <w:highlight w:val="none"/>
              </w:rPr>
              <w:t>1.0</w:t>
            </w:r>
            <w:r>
              <w:rPr>
                <w:rFonts w:hint="eastAsia" w:ascii="宋体" w:hAnsi="宋体" w:cs="宋体"/>
                <w:color w:val="auto"/>
                <w:sz w:val="20"/>
                <w:szCs w:val="20"/>
                <w:highlight w:val="none"/>
              </w:rPr>
              <w:t>≤</w:t>
            </w:r>
            <w:r>
              <w:rPr>
                <w:i/>
                <w:color w:val="auto"/>
                <w:sz w:val="20"/>
                <w:szCs w:val="20"/>
                <w:highlight w:val="none"/>
              </w:rPr>
              <w:t>d</w:t>
            </w:r>
            <w:r>
              <w:rPr>
                <w:color w:val="auto"/>
                <w:sz w:val="20"/>
                <w:szCs w:val="20"/>
                <w:highlight w:val="none"/>
              </w:rPr>
              <w:t>&lt;1.2</w:t>
            </w:r>
          </w:p>
        </w:tc>
        <w:tc>
          <w:tcPr>
            <w:tcW w:w="1419"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color w:val="auto"/>
                <w:sz w:val="20"/>
                <w:szCs w:val="20"/>
                <w:highlight w:val="none"/>
              </w:rPr>
            </w:pPr>
            <w:r>
              <w:rPr>
                <w:color w:val="auto"/>
                <w:sz w:val="20"/>
                <w:szCs w:val="20"/>
                <w:highlight w:val="none"/>
              </w:rPr>
              <w:t>1.2</w:t>
            </w:r>
            <w:r>
              <w:rPr>
                <w:rFonts w:hint="eastAsia" w:ascii="宋体" w:hAnsi="宋体" w:cs="宋体"/>
                <w:color w:val="auto"/>
                <w:sz w:val="20"/>
                <w:szCs w:val="20"/>
                <w:highlight w:val="none"/>
              </w:rPr>
              <w:t>≤</w:t>
            </w:r>
            <w:r>
              <w:rPr>
                <w:i/>
                <w:color w:val="auto"/>
                <w:sz w:val="20"/>
                <w:szCs w:val="20"/>
                <w:highlight w:val="none"/>
              </w:rPr>
              <w:t>d</w:t>
            </w:r>
            <w:r>
              <w:rPr>
                <w:color w:val="auto"/>
                <w:sz w:val="20"/>
                <w:szCs w:val="20"/>
                <w:highlight w:val="none"/>
              </w:rPr>
              <w:t>&lt;1.6</w:t>
            </w:r>
          </w:p>
        </w:tc>
        <w:tc>
          <w:tcPr>
            <w:tcW w:w="1378" w:type="dxa"/>
            <w:tcBorders>
              <w:top w:val="single" w:color="000000" w:sz="12" w:space="0"/>
              <w:left w:val="single" w:color="000000" w:sz="4" w:space="0"/>
              <w:bottom w:val="single" w:color="000000" w:sz="4" w:space="0"/>
              <w:right w:val="single" w:color="000000" w:sz="12" w:space="0"/>
            </w:tcBorders>
            <w:vAlign w:val="center"/>
          </w:tcPr>
          <w:p>
            <w:pPr>
              <w:jc w:val="center"/>
              <w:textAlignment w:val="center"/>
              <w:rPr>
                <w:color w:val="auto"/>
                <w:sz w:val="20"/>
                <w:szCs w:val="20"/>
                <w:highlight w:val="none"/>
              </w:rPr>
            </w:pPr>
            <w:r>
              <w:rPr>
                <w:i/>
                <w:color w:val="auto"/>
                <w:sz w:val="20"/>
                <w:szCs w:val="20"/>
                <w:highlight w:val="none"/>
              </w:rPr>
              <w:t>d</w:t>
            </w:r>
            <w:r>
              <w:rPr>
                <w:rFonts w:hint="eastAsia" w:ascii="宋体" w:hAnsi="宋体" w:cs="宋体"/>
                <w:color w:val="auto"/>
                <w:sz w:val="20"/>
                <w:szCs w:val="20"/>
                <w:highlight w:val="none"/>
              </w:rPr>
              <w:t>≥</w:t>
            </w:r>
            <w:r>
              <w:rPr>
                <w:color w:val="auto"/>
                <w:sz w:val="20"/>
                <w:szCs w:val="20"/>
                <w:highlight w:val="none"/>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1" w:hRule="atLeast"/>
          <w:jc w:val="center"/>
        </w:trPr>
        <w:tc>
          <w:tcPr>
            <w:tcW w:w="2645" w:type="dxa"/>
            <w:tcBorders>
              <w:top w:val="single" w:color="000000" w:sz="4" w:space="0"/>
              <w:left w:val="single" w:color="000000" w:sz="12" w:space="0"/>
              <w:bottom w:val="single" w:color="000000" w:sz="12" w:space="0"/>
              <w:right w:val="single" w:color="000000" w:sz="4" w:space="0"/>
            </w:tcBorders>
            <w:vAlign w:val="center"/>
          </w:tcPr>
          <w:p>
            <w:pPr>
              <w:jc w:val="center"/>
              <w:textAlignment w:val="center"/>
              <w:rPr>
                <w:color w:val="auto"/>
                <w:sz w:val="20"/>
                <w:szCs w:val="20"/>
                <w:highlight w:val="none"/>
              </w:rPr>
            </w:pPr>
            <w:r>
              <w:rPr>
                <w:color w:val="auto"/>
                <w:sz w:val="20"/>
                <w:szCs w:val="20"/>
                <w:highlight w:val="none"/>
              </w:rPr>
              <w:t>每桩位布置</w:t>
            </w:r>
            <w:r>
              <w:rPr>
                <w:rFonts w:hint="eastAsia"/>
                <w:color w:val="auto"/>
                <w:sz w:val="20"/>
                <w:szCs w:val="20"/>
                <w:highlight w:val="none"/>
              </w:rPr>
              <w:t>勘探孔</w:t>
            </w:r>
            <w:r>
              <w:rPr>
                <w:color w:val="auto"/>
                <w:sz w:val="20"/>
                <w:szCs w:val="20"/>
                <w:highlight w:val="none"/>
              </w:rPr>
              <w:t>数（个）</w:t>
            </w:r>
          </w:p>
        </w:tc>
        <w:tc>
          <w:tcPr>
            <w:tcW w:w="1419" w:type="dxa"/>
            <w:tcBorders>
              <w:top w:val="single" w:color="000000" w:sz="4" w:space="0"/>
              <w:left w:val="single" w:color="000000" w:sz="4" w:space="0"/>
              <w:bottom w:val="single" w:color="000000" w:sz="12" w:space="0"/>
              <w:right w:val="single" w:color="000000" w:sz="4" w:space="0"/>
            </w:tcBorders>
            <w:vAlign w:val="center"/>
          </w:tcPr>
          <w:p>
            <w:pPr>
              <w:jc w:val="center"/>
              <w:textAlignment w:val="center"/>
              <w:rPr>
                <w:color w:val="auto"/>
                <w:sz w:val="20"/>
                <w:szCs w:val="20"/>
                <w:highlight w:val="none"/>
              </w:rPr>
            </w:pPr>
            <w:r>
              <w:rPr>
                <w:color w:val="auto"/>
                <w:sz w:val="20"/>
                <w:szCs w:val="20"/>
                <w:highlight w:val="none"/>
              </w:rPr>
              <w:t>1</w:t>
            </w:r>
          </w:p>
        </w:tc>
        <w:tc>
          <w:tcPr>
            <w:tcW w:w="1419" w:type="dxa"/>
            <w:tcBorders>
              <w:top w:val="single" w:color="000000" w:sz="4" w:space="0"/>
              <w:left w:val="single" w:color="000000" w:sz="4" w:space="0"/>
              <w:bottom w:val="single" w:color="000000" w:sz="12" w:space="0"/>
              <w:right w:val="single" w:color="000000" w:sz="4" w:space="0"/>
            </w:tcBorders>
            <w:vAlign w:val="center"/>
          </w:tcPr>
          <w:p>
            <w:pPr>
              <w:jc w:val="center"/>
              <w:textAlignment w:val="center"/>
              <w:rPr>
                <w:color w:val="auto"/>
                <w:sz w:val="20"/>
                <w:szCs w:val="20"/>
                <w:highlight w:val="none"/>
              </w:rPr>
            </w:pPr>
            <w:r>
              <w:rPr>
                <w:color w:val="auto"/>
                <w:sz w:val="20"/>
                <w:szCs w:val="20"/>
                <w:highlight w:val="none"/>
              </w:rPr>
              <w:t>2</w:t>
            </w:r>
          </w:p>
        </w:tc>
        <w:tc>
          <w:tcPr>
            <w:tcW w:w="1419" w:type="dxa"/>
            <w:tcBorders>
              <w:top w:val="single" w:color="000000" w:sz="4" w:space="0"/>
              <w:left w:val="single" w:color="000000" w:sz="4" w:space="0"/>
              <w:bottom w:val="single" w:color="000000" w:sz="12" w:space="0"/>
              <w:right w:val="single" w:color="000000" w:sz="4" w:space="0"/>
            </w:tcBorders>
            <w:vAlign w:val="center"/>
          </w:tcPr>
          <w:p>
            <w:pPr>
              <w:jc w:val="center"/>
              <w:textAlignment w:val="center"/>
              <w:rPr>
                <w:color w:val="auto"/>
                <w:sz w:val="20"/>
                <w:szCs w:val="20"/>
                <w:highlight w:val="none"/>
              </w:rPr>
            </w:pPr>
            <w:r>
              <w:rPr>
                <w:color w:val="auto"/>
                <w:sz w:val="20"/>
                <w:szCs w:val="20"/>
                <w:highlight w:val="none"/>
              </w:rPr>
              <w:t>3</w:t>
            </w:r>
          </w:p>
        </w:tc>
        <w:tc>
          <w:tcPr>
            <w:tcW w:w="1378" w:type="dxa"/>
            <w:tcBorders>
              <w:top w:val="single" w:color="000000" w:sz="4" w:space="0"/>
              <w:left w:val="single" w:color="000000" w:sz="4" w:space="0"/>
              <w:bottom w:val="single" w:color="000000" w:sz="12" w:space="0"/>
              <w:right w:val="single" w:color="000000" w:sz="12" w:space="0"/>
            </w:tcBorders>
            <w:vAlign w:val="center"/>
          </w:tcPr>
          <w:p>
            <w:pPr>
              <w:jc w:val="center"/>
              <w:textAlignment w:val="center"/>
              <w:rPr>
                <w:color w:val="auto"/>
                <w:sz w:val="20"/>
                <w:szCs w:val="20"/>
                <w:highlight w:val="none"/>
              </w:rPr>
            </w:pPr>
            <w:r>
              <w:rPr>
                <w:rFonts w:hint="eastAsia" w:ascii="宋体" w:hAnsi="宋体" w:cs="宋体"/>
                <w:color w:val="auto"/>
                <w:sz w:val="20"/>
                <w:szCs w:val="20"/>
                <w:highlight w:val="none"/>
              </w:rPr>
              <w:t>≥</w:t>
            </w:r>
            <w:r>
              <w:rPr>
                <w:color w:val="auto"/>
                <w:sz w:val="20"/>
                <w:szCs w:val="20"/>
                <w:highlight w:val="none"/>
              </w:rPr>
              <w:t>4</w:t>
            </w:r>
          </w:p>
        </w:tc>
      </w:tr>
    </w:tbl>
    <w:p>
      <w:pPr>
        <w:spacing w:line="360" w:lineRule="auto"/>
        <w:ind w:firstLine="422" w:firstLineChars="200"/>
        <w:rPr>
          <w:color w:val="auto"/>
          <w:kern w:val="0"/>
          <w:szCs w:val="24"/>
          <w:highlight w:val="none"/>
        </w:rPr>
      </w:pPr>
      <w:r>
        <w:rPr>
          <w:rFonts w:hint="eastAsia"/>
          <w:b/>
          <w:bCs/>
          <w:color w:val="auto"/>
          <w:kern w:val="0"/>
          <w:szCs w:val="24"/>
          <w:highlight w:val="none"/>
        </w:rPr>
        <w:t>3</w:t>
      </w:r>
      <w:r>
        <w:rPr>
          <w:rFonts w:hint="eastAsia"/>
          <w:color w:val="auto"/>
          <w:kern w:val="0"/>
          <w:szCs w:val="24"/>
          <w:highlight w:val="none"/>
        </w:rPr>
        <w:t>　嵌岩桩采用</w:t>
      </w:r>
      <w:r>
        <w:rPr>
          <w:color w:val="auto"/>
          <w:kern w:val="0"/>
          <w:szCs w:val="24"/>
          <w:highlight w:val="none"/>
        </w:rPr>
        <w:t>孔中物探方法</w:t>
      </w:r>
      <w:r>
        <w:rPr>
          <w:rFonts w:hint="eastAsia"/>
          <w:color w:val="auto"/>
          <w:kern w:val="0"/>
          <w:szCs w:val="24"/>
          <w:highlight w:val="none"/>
        </w:rPr>
        <w:t>确定持力层性状时，勘探孔</w:t>
      </w:r>
      <w:r>
        <w:rPr>
          <w:color w:val="auto"/>
          <w:kern w:val="0"/>
          <w:szCs w:val="24"/>
          <w:highlight w:val="none"/>
        </w:rPr>
        <w:t>数量宜符合表</w:t>
      </w:r>
      <w:r>
        <w:rPr>
          <w:rFonts w:hint="eastAsia"/>
          <w:color w:val="auto"/>
          <w:kern w:val="0"/>
          <w:szCs w:val="24"/>
          <w:highlight w:val="none"/>
        </w:rPr>
        <w:t>14.2.</w:t>
      </w:r>
      <w:r>
        <w:rPr>
          <w:color w:val="auto"/>
          <w:kern w:val="0"/>
          <w:szCs w:val="24"/>
          <w:highlight w:val="none"/>
        </w:rPr>
        <w:t>3</w:t>
      </w:r>
      <w:r>
        <w:rPr>
          <w:rFonts w:hint="eastAsia"/>
          <w:color w:val="auto"/>
          <w:kern w:val="0"/>
          <w:szCs w:val="24"/>
          <w:highlight w:val="none"/>
        </w:rPr>
        <w:t>-2</w:t>
      </w:r>
      <w:r>
        <w:rPr>
          <w:color w:val="auto"/>
          <w:kern w:val="0"/>
          <w:szCs w:val="24"/>
          <w:highlight w:val="none"/>
        </w:rPr>
        <w:t>规定</w:t>
      </w:r>
      <w:r>
        <w:rPr>
          <w:rFonts w:hint="eastAsia"/>
          <w:color w:val="auto"/>
          <w:kern w:val="0"/>
          <w:szCs w:val="24"/>
          <w:highlight w:val="none"/>
        </w:rPr>
        <w:t>。</w:t>
      </w:r>
    </w:p>
    <w:p>
      <w:pPr>
        <w:keepNext/>
        <w:spacing w:before="156" w:beforeLines="50" w:after="156" w:afterLines="50"/>
        <w:jc w:val="center"/>
        <w:rPr>
          <w:b/>
          <w:color w:val="auto"/>
          <w:kern w:val="0"/>
          <w:szCs w:val="24"/>
          <w:highlight w:val="none"/>
        </w:rPr>
      </w:pPr>
      <w:r>
        <w:rPr>
          <w:b/>
          <w:color w:val="auto"/>
          <w:kern w:val="0"/>
          <w:szCs w:val="24"/>
          <w:highlight w:val="none"/>
        </w:rPr>
        <w:t>表</w:t>
      </w:r>
      <w:r>
        <w:rPr>
          <w:rFonts w:hint="eastAsia"/>
          <w:b/>
          <w:color w:val="auto"/>
          <w:kern w:val="0"/>
          <w:szCs w:val="24"/>
          <w:highlight w:val="none"/>
        </w:rPr>
        <w:t>14.2.</w:t>
      </w:r>
      <w:r>
        <w:rPr>
          <w:b/>
          <w:color w:val="auto"/>
          <w:kern w:val="0"/>
          <w:szCs w:val="24"/>
          <w:highlight w:val="none"/>
        </w:rPr>
        <w:t>3</w:t>
      </w:r>
      <w:r>
        <w:rPr>
          <w:rFonts w:hint="eastAsia"/>
          <w:b/>
          <w:color w:val="auto"/>
          <w:kern w:val="0"/>
          <w:szCs w:val="24"/>
          <w:highlight w:val="none"/>
        </w:rPr>
        <w:t>-2　</w:t>
      </w:r>
      <w:r>
        <w:rPr>
          <w:b/>
          <w:color w:val="auto"/>
          <w:kern w:val="0"/>
          <w:szCs w:val="24"/>
          <w:highlight w:val="none"/>
        </w:rPr>
        <w:t>岩溶区</w:t>
      </w:r>
      <w:r>
        <w:rPr>
          <w:rFonts w:hint="eastAsia"/>
          <w:b/>
          <w:color w:val="auto"/>
          <w:kern w:val="0"/>
          <w:szCs w:val="24"/>
          <w:highlight w:val="none"/>
        </w:rPr>
        <w:t>嵌岩桩孔中物探法勘探孔数量控制表</w:t>
      </w:r>
    </w:p>
    <w:tbl>
      <w:tblPr>
        <w:tblStyle w:val="22"/>
        <w:tblW w:w="828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671"/>
        <w:gridCol w:w="1872"/>
        <w:gridCol w:w="1872"/>
        <w:gridCol w:w="18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14" w:hRule="atLeast"/>
          <w:jc w:val="center"/>
        </w:trPr>
        <w:tc>
          <w:tcPr>
            <w:tcW w:w="2671" w:type="dxa"/>
            <w:tcBorders>
              <w:top w:val="single" w:color="000000" w:sz="12" w:space="0"/>
              <w:left w:val="single" w:color="000000" w:sz="12" w:space="0"/>
              <w:bottom w:val="single" w:color="000000" w:sz="4" w:space="0"/>
              <w:right w:val="single" w:color="000000" w:sz="4" w:space="0"/>
            </w:tcBorders>
            <w:vAlign w:val="center"/>
          </w:tcPr>
          <w:p>
            <w:pPr>
              <w:jc w:val="center"/>
              <w:textAlignment w:val="center"/>
              <w:rPr>
                <w:color w:val="auto"/>
                <w:sz w:val="20"/>
                <w:szCs w:val="20"/>
                <w:highlight w:val="none"/>
              </w:rPr>
            </w:pPr>
            <w:r>
              <w:rPr>
                <w:color w:val="auto"/>
                <w:sz w:val="20"/>
                <w:szCs w:val="20"/>
                <w:highlight w:val="none"/>
              </w:rPr>
              <w:t>桩径</w:t>
            </w:r>
            <w:r>
              <w:rPr>
                <w:i/>
                <w:color w:val="auto"/>
                <w:sz w:val="20"/>
                <w:szCs w:val="20"/>
                <w:highlight w:val="none"/>
              </w:rPr>
              <w:t>d</w:t>
            </w:r>
            <w:r>
              <w:rPr>
                <w:color w:val="auto"/>
                <w:sz w:val="20"/>
                <w:szCs w:val="20"/>
                <w:highlight w:val="none"/>
              </w:rPr>
              <w:t>（m）</w:t>
            </w:r>
          </w:p>
        </w:tc>
        <w:tc>
          <w:tcPr>
            <w:tcW w:w="1872"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color w:val="auto"/>
                <w:sz w:val="20"/>
                <w:szCs w:val="20"/>
                <w:highlight w:val="none"/>
              </w:rPr>
            </w:pPr>
            <w:r>
              <w:rPr>
                <w:i/>
                <w:color w:val="auto"/>
                <w:sz w:val="20"/>
                <w:szCs w:val="20"/>
                <w:highlight w:val="none"/>
              </w:rPr>
              <w:t>d</w:t>
            </w:r>
            <w:r>
              <w:rPr>
                <w:color w:val="auto"/>
                <w:sz w:val="20"/>
                <w:szCs w:val="20"/>
                <w:highlight w:val="none"/>
              </w:rPr>
              <w:t>&lt;1.</w:t>
            </w:r>
            <w:r>
              <w:rPr>
                <w:rFonts w:hint="eastAsia"/>
                <w:color w:val="auto"/>
                <w:sz w:val="20"/>
                <w:szCs w:val="20"/>
                <w:highlight w:val="none"/>
              </w:rPr>
              <w:t>8</w:t>
            </w:r>
          </w:p>
        </w:tc>
        <w:tc>
          <w:tcPr>
            <w:tcW w:w="1872"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color w:val="auto"/>
                <w:sz w:val="20"/>
                <w:szCs w:val="20"/>
                <w:highlight w:val="none"/>
              </w:rPr>
            </w:pPr>
            <w:r>
              <w:rPr>
                <w:color w:val="auto"/>
                <w:sz w:val="20"/>
                <w:szCs w:val="20"/>
                <w:highlight w:val="none"/>
              </w:rPr>
              <w:t>1.</w:t>
            </w:r>
            <w:r>
              <w:rPr>
                <w:rFonts w:hint="eastAsia"/>
                <w:color w:val="auto"/>
                <w:sz w:val="20"/>
                <w:szCs w:val="20"/>
                <w:highlight w:val="none"/>
              </w:rPr>
              <w:t>8</w:t>
            </w:r>
            <w:r>
              <w:rPr>
                <w:rFonts w:hint="eastAsia" w:ascii="宋体" w:hAnsi="宋体" w:cs="宋体"/>
                <w:color w:val="auto"/>
                <w:sz w:val="20"/>
                <w:szCs w:val="20"/>
                <w:highlight w:val="none"/>
              </w:rPr>
              <w:t>≤</w:t>
            </w:r>
            <w:r>
              <w:rPr>
                <w:i/>
                <w:color w:val="auto"/>
                <w:sz w:val="20"/>
                <w:szCs w:val="20"/>
                <w:highlight w:val="none"/>
              </w:rPr>
              <w:t>d</w:t>
            </w:r>
            <w:r>
              <w:rPr>
                <w:color w:val="auto"/>
                <w:sz w:val="20"/>
                <w:szCs w:val="20"/>
                <w:highlight w:val="none"/>
              </w:rPr>
              <w:t>&lt;</w:t>
            </w:r>
            <w:r>
              <w:rPr>
                <w:rFonts w:hint="eastAsia"/>
                <w:color w:val="auto"/>
                <w:sz w:val="20"/>
                <w:szCs w:val="20"/>
                <w:highlight w:val="none"/>
              </w:rPr>
              <w:t>2.1</w:t>
            </w:r>
          </w:p>
        </w:tc>
        <w:tc>
          <w:tcPr>
            <w:tcW w:w="1872" w:type="dxa"/>
            <w:tcBorders>
              <w:top w:val="single" w:color="000000" w:sz="12" w:space="0"/>
              <w:left w:val="single" w:color="000000" w:sz="4" w:space="0"/>
              <w:bottom w:val="single" w:color="000000" w:sz="4" w:space="0"/>
              <w:right w:val="single" w:color="000000" w:sz="12" w:space="0"/>
            </w:tcBorders>
            <w:vAlign w:val="center"/>
          </w:tcPr>
          <w:p>
            <w:pPr>
              <w:jc w:val="center"/>
              <w:textAlignment w:val="center"/>
              <w:rPr>
                <w:color w:val="auto"/>
                <w:sz w:val="20"/>
                <w:szCs w:val="20"/>
                <w:highlight w:val="none"/>
              </w:rPr>
            </w:pPr>
            <w:r>
              <w:rPr>
                <w:i/>
                <w:color w:val="auto"/>
                <w:sz w:val="20"/>
                <w:szCs w:val="20"/>
                <w:highlight w:val="none"/>
              </w:rPr>
              <w:t>d</w:t>
            </w:r>
            <w:r>
              <w:rPr>
                <w:rFonts w:hint="eastAsia" w:ascii="宋体" w:hAnsi="宋体" w:cs="宋体"/>
                <w:color w:val="auto"/>
                <w:sz w:val="20"/>
                <w:szCs w:val="20"/>
                <w:highlight w:val="none"/>
              </w:rPr>
              <w:t>≥</w:t>
            </w:r>
            <w:r>
              <w:rPr>
                <w:rFonts w:hint="eastAsia"/>
                <w:color w:val="auto"/>
                <w:sz w:val="20"/>
                <w:szCs w:val="20"/>
                <w:highlight w:val="none"/>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11" w:hRule="atLeast"/>
          <w:jc w:val="center"/>
        </w:trPr>
        <w:tc>
          <w:tcPr>
            <w:tcW w:w="2671" w:type="dxa"/>
            <w:tcBorders>
              <w:top w:val="single" w:color="000000" w:sz="4" w:space="0"/>
              <w:left w:val="single" w:color="000000" w:sz="12" w:space="0"/>
              <w:bottom w:val="single" w:color="000000" w:sz="12" w:space="0"/>
              <w:right w:val="single" w:color="000000" w:sz="4" w:space="0"/>
            </w:tcBorders>
            <w:vAlign w:val="center"/>
          </w:tcPr>
          <w:p>
            <w:pPr>
              <w:jc w:val="center"/>
              <w:textAlignment w:val="center"/>
              <w:rPr>
                <w:color w:val="auto"/>
                <w:sz w:val="20"/>
                <w:szCs w:val="20"/>
                <w:highlight w:val="none"/>
              </w:rPr>
            </w:pPr>
            <w:r>
              <w:rPr>
                <w:color w:val="auto"/>
                <w:sz w:val="20"/>
                <w:szCs w:val="20"/>
                <w:highlight w:val="none"/>
              </w:rPr>
              <w:t>每桩位布置</w:t>
            </w:r>
            <w:r>
              <w:rPr>
                <w:rFonts w:hint="eastAsia"/>
                <w:color w:val="auto"/>
                <w:sz w:val="20"/>
                <w:szCs w:val="20"/>
                <w:highlight w:val="none"/>
              </w:rPr>
              <w:t>勘探孔</w:t>
            </w:r>
            <w:r>
              <w:rPr>
                <w:color w:val="auto"/>
                <w:sz w:val="20"/>
                <w:szCs w:val="20"/>
                <w:highlight w:val="none"/>
              </w:rPr>
              <w:t>数（个）</w:t>
            </w:r>
          </w:p>
        </w:tc>
        <w:tc>
          <w:tcPr>
            <w:tcW w:w="1872" w:type="dxa"/>
            <w:tcBorders>
              <w:top w:val="single" w:color="000000" w:sz="4" w:space="0"/>
              <w:left w:val="single" w:color="000000" w:sz="4" w:space="0"/>
              <w:bottom w:val="single" w:color="000000" w:sz="12" w:space="0"/>
              <w:right w:val="single" w:color="000000" w:sz="4" w:space="0"/>
            </w:tcBorders>
            <w:vAlign w:val="center"/>
          </w:tcPr>
          <w:p>
            <w:pPr>
              <w:jc w:val="center"/>
              <w:textAlignment w:val="center"/>
              <w:rPr>
                <w:color w:val="auto"/>
                <w:sz w:val="20"/>
                <w:szCs w:val="20"/>
                <w:highlight w:val="none"/>
              </w:rPr>
            </w:pPr>
            <w:r>
              <w:rPr>
                <w:color w:val="auto"/>
                <w:sz w:val="20"/>
                <w:szCs w:val="20"/>
                <w:highlight w:val="none"/>
              </w:rPr>
              <w:t>1</w:t>
            </w:r>
          </w:p>
        </w:tc>
        <w:tc>
          <w:tcPr>
            <w:tcW w:w="1872" w:type="dxa"/>
            <w:tcBorders>
              <w:top w:val="single" w:color="000000" w:sz="4" w:space="0"/>
              <w:left w:val="single" w:color="000000" w:sz="4" w:space="0"/>
              <w:bottom w:val="single" w:color="000000" w:sz="12" w:space="0"/>
              <w:right w:val="single" w:color="000000" w:sz="4" w:space="0"/>
            </w:tcBorders>
            <w:vAlign w:val="center"/>
          </w:tcPr>
          <w:p>
            <w:pPr>
              <w:jc w:val="center"/>
              <w:textAlignment w:val="center"/>
              <w:rPr>
                <w:color w:val="auto"/>
                <w:sz w:val="20"/>
                <w:szCs w:val="20"/>
                <w:highlight w:val="none"/>
              </w:rPr>
            </w:pPr>
            <w:r>
              <w:rPr>
                <w:color w:val="auto"/>
                <w:sz w:val="20"/>
                <w:szCs w:val="20"/>
                <w:highlight w:val="none"/>
              </w:rPr>
              <w:t>2</w:t>
            </w:r>
          </w:p>
        </w:tc>
        <w:tc>
          <w:tcPr>
            <w:tcW w:w="1872" w:type="dxa"/>
            <w:tcBorders>
              <w:top w:val="single" w:color="000000" w:sz="4" w:space="0"/>
              <w:left w:val="single" w:color="000000" w:sz="4" w:space="0"/>
              <w:bottom w:val="single" w:color="000000" w:sz="12" w:space="0"/>
              <w:right w:val="single" w:color="000000" w:sz="12" w:space="0"/>
            </w:tcBorders>
            <w:vAlign w:val="center"/>
          </w:tcPr>
          <w:p>
            <w:pPr>
              <w:jc w:val="center"/>
              <w:textAlignment w:val="center"/>
              <w:rPr>
                <w:color w:val="auto"/>
                <w:sz w:val="20"/>
                <w:szCs w:val="20"/>
                <w:highlight w:val="none"/>
              </w:rPr>
            </w:pPr>
            <w:r>
              <w:rPr>
                <w:rFonts w:hint="eastAsia" w:ascii="宋体" w:hAnsi="宋体" w:cs="宋体"/>
                <w:color w:val="auto"/>
                <w:sz w:val="20"/>
                <w:szCs w:val="20"/>
                <w:highlight w:val="none"/>
              </w:rPr>
              <w:t>≥</w:t>
            </w:r>
            <w:r>
              <w:rPr>
                <w:rFonts w:hint="eastAsia"/>
                <w:color w:val="auto"/>
                <w:sz w:val="20"/>
                <w:szCs w:val="20"/>
                <w:highlight w:val="none"/>
              </w:rPr>
              <w:t>3</w:t>
            </w:r>
          </w:p>
        </w:tc>
      </w:tr>
    </w:tbl>
    <w:p>
      <w:pPr>
        <w:spacing w:line="360" w:lineRule="auto"/>
        <w:ind w:firstLine="422" w:firstLineChars="200"/>
        <w:rPr>
          <w:rFonts w:hint="eastAsia" w:eastAsia="宋体"/>
          <w:color w:val="auto"/>
          <w:kern w:val="0"/>
          <w:szCs w:val="24"/>
          <w:highlight w:val="none"/>
          <w:lang w:eastAsia="zh-CN"/>
        </w:rPr>
      </w:pPr>
      <w:r>
        <w:rPr>
          <w:rFonts w:hint="eastAsia"/>
          <w:b/>
          <w:bCs/>
          <w:color w:val="auto"/>
          <w:kern w:val="0"/>
          <w:szCs w:val="24"/>
          <w:highlight w:val="none"/>
        </w:rPr>
        <w:t>4</w:t>
      </w:r>
      <w:r>
        <w:rPr>
          <w:rFonts w:hint="eastAsia"/>
          <w:color w:val="auto"/>
          <w:highlight w:val="none"/>
        </w:rPr>
        <w:t>　</w:t>
      </w:r>
      <w:r>
        <w:rPr>
          <w:rFonts w:hint="eastAsia"/>
          <w:color w:val="auto"/>
          <w:kern w:val="0"/>
          <w:szCs w:val="24"/>
          <w:highlight w:val="none"/>
        </w:rPr>
        <w:t>一桩一</w:t>
      </w:r>
      <w:r>
        <w:rPr>
          <w:color w:val="auto"/>
          <w:kern w:val="0"/>
          <w:szCs w:val="24"/>
          <w:highlight w:val="none"/>
        </w:rPr>
        <w:t>孔时，宜在距桩中心15cm范围内布孔；</w:t>
      </w:r>
      <w:r>
        <w:rPr>
          <w:rFonts w:hint="eastAsia"/>
          <w:color w:val="auto"/>
          <w:kern w:val="0"/>
          <w:szCs w:val="24"/>
          <w:highlight w:val="none"/>
        </w:rPr>
        <w:t>一桩多孔</w:t>
      </w:r>
      <w:r>
        <w:rPr>
          <w:color w:val="auto"/>
          <w:kern w:val="0"/>
          <w:szCs w:val="24"/>
          <w:highlight w:val="none"/>
        </w:rPr>
        <w:t>时，宜在距桩中心1/4~1/3桩径范围内均匀对称布置</w:t>
      </w:r>
      <w:r>
        <w:rPr>
          <w:rFonts w:hint="eastAsia"/>
          <w:color w:val="auto"/>
          <w:kern w:val="0"/>
          <w:szCs w:val="24"/>
          <w:highlight w:val="none"/>
          <w:lang w:eastAsia="zh-CN"/>
        </w:rPr>
        <w:t>；</w:t>
      </w:r>
    </w:p>
    <w:p>
      <w:pPr>
        <w:spacing w:line="360" w:lineRule="auto"/>
        <w:ind w:firstLine="422" w:firstLineChars="200"/>
        <w:rPr>
          <w:color w:val="auto"/>
          <w:kern w:val="0"/>
          <w:szCs w:val="21"/>
          <w:highlight w:val="none"/>
        </w:rPr>
      </w:pPr>
      <w:r>
        <w:rPr>
          <w:rFonts w:hint="eastAsia"/>
          <w:b/>
          <w:bCs/>
          <w:color w:val="auto"/>
          <w:kern w:val="0"/>
          <w:szCs w:val="24"/>
          <w:highlight w:val="none"/>
        </w:rPr>
        <w:t>5　</w:t>
      </w:r>
      <w:r>
        <w:rPr>
          <w:rFonts w:hint="eastAsia"/>
          <w:color w:val="auto"/>
          <w:kern w:val="0"/>
          <w:szCs w:val="24"/>
          <w:highlight w:val="none"/>
        </w:rPr>
        <w:t>勘探孔</w:t>
      </w:r>
      <w:r>
        <w:rPr>
          <w:color w:val="auto"/>
          <w:kern w:val="0"/>
          <w:szCs w:val="21"/>
          <w:highlight w:val="none"/>
        </w:rPr>
        <w:t>深度应钻入预计桩端以下连续</w:t>
      </w:r>
      <w:r>
        <w:rPr>
          <w:rFonts w:hint="eastAsia"/>
          <w:color w:val="auto"/>
          <w:kern w:val="0"/>
          <w:szCs w:val="21"/>
          <w:highlight w:val="none"/>
        </w:rPr>
        <w:t>稳定的</w:t>
      </w:r>
      <w:r>
        <w:rPr>
          <w:rFonts w:hint="eastAsia"/>
          <w:bCs/>
          <w:color w:val="auto"/>
          <w:kern w:val="0"/>
          <w:szCs w:val="21"/>
          <w:highlight w:val="none"/>
        </w:rPr>
        <w:t>中等风化</w:t>
      </w:r>
      <w:r>
        <w:rPr>
          <w:color w:val="auto"/>
          <w:szCs w:val="21"/>
          <w:highlight w:val="none"/>
        </w:rPr>
        <w:t>～</w:t>
      </w:r>
      <w:r>
        <w:rPr>
          <w:rFonts w:hint="eastAsia"/>
          <w:color w:val="auto"/>
          <w:szCs w:val="21"/>
          <w:highlight w:val="none"/>
        </w:rPr>
        <w:t>微风化</w:t>
      </w:r>
      <w:r>
        <w:rPr>
          <w:color w:val="auto"/>
          <w:kern w:val="0"/>
          <w:szCs w:val="21"/>
          <w:highlight w:val="none"/>
        </w:rPr>
        <w:t>岩层4倍桩径且</w:t>
      </w:r>
      <w:r>
        <w:rPr>
          <w:rFonts w:hint="eastAsia"/>
          <w:color w:val="auto"/>
          <w:kern w:val="0"/>
          <w:szCs w:val="21"/>
          <w:highlight w:val="none"/>
        </w:rPr>
        <w:t>不小于</w:t>
      </w:r>
      <w:r>
        <w:rPr>
          <w:color w:val="auto"/>
          <w:kern w:val="0"/>
          <w:szCs w:val="21"/>
          <w:highlight w:val="none"/>
        </w:rPr>
        <w:t>8m；当采用孔中物探</w:t>
      </w:r>
      <w:r>
        <w:rPr>
          <w:rFonts w:hint="eastAsia"/>
          <w:color w:val="auto"/>
          <w:kern w:val="0"/>
          <w:szCs w:val="21"/>
          <w:highlight w:val="none"/>
        </w:rPr>
        <w:t>方法</w:t>
      </w:r>
      <w:r>
        <w:rPr>
          <w:color w:val="auto"/>
          <w:szCs w:val="21"/>
          <w:highlight w:val="none"/>
        </w:rPr>
        <w:t>时，</w:t>
      </w:r>
      <w:r>
        <w:rPr>
          <w:rFonts w:hint="eastAsia"/>
          <w:color w:val="auto"/>
          <w:szCs w:val="21"/>
          <w:highlight w:val="none"/>
        </w:rPr>
        <w:t>勘探孔</w:t>
      </w:r>
      <w:r>
        <w:rPr>
          <w:color w:val="auto"/>
          <w:szCs w:val="21"/>
          <w:highlight w:val="none"/>
        </w:rPr>
        <w:t>深度还应满足物探</w:t>
      </w:r>
      <w:r>
        <w:rPr>
          <w:rFonts w:hint="eastAsia"/>
          <w:color w:val="auto"/>
          <w:szCs w:val="21"/>
          <w:highlight w:val="none"/>
        </w:rPr>
        <w:t>实施的</w:t>
      </w:r>
      <w:r>
        <w:rPr>
          <w:color w:val="auto"/>
          <w:szCs w:val="21"/>
          <w:highlight w:val="none"/>
        </w:rPr>
        <w:t>要求</w:t>
      </w:r>
      <w:r>
        <w:rPr>
          <w:color w:val="auto"/>
          <w:kern w:val="0"/>
          <w:szCs w:val="21"/>
          <w:highlight w:val="none"/>
        </w:rPr>
        <w:t>。</w:t>
      </w:r>
    </w:p>
    <w:p>
      <w:pPr>
        <w:spacing w:line="360" w:lineRule="auto"/>
        <w:rPr>
          <w:color w:val="auto"/>
          <w:kern w:val="0"/>
          <w:szCs w:val="24"/>
          <w:highlight w:val="none"/>
        </w:rPr>
      </w:pPr>
      <w:r>
        <w:rPr>
          <w:rFonts w:hint="eastAsia"/>
          <w:b/>
          <w:color w:val="auto"/>
          <w:kern w:val="0"/>
          <w:szCs w:val="21"/>
          <w:highlight w:val="none"/>
        </w:rPr>
        <w:t>14.2.4　</w:t>
      </w:r>
      <w:r>
        <w:rPr>
          <w:rFonts w:hint="eastAsia"/>
          <w:color w:val="auto"/>
          <w:szCs w:val="21"/>
          <w:highlight w:val="none"/>
          <w:shd w:val="clear" w:color="auto" w:fill="FFFFFF"/>
        </w:rPr>
        <w:t>嵌岩桩遇</w:t>
      </w:r>
      <w:r>
        <w:rPr>
          <w:rFonts w:hint="eastAsia"/>
          <w:color w:val="auto"/>
          <w:kern w:val="0"/>
          <w:szCs w:val="24"/>
          <w:highlight w:val="none"/>
        </w:rPr>
        <w:t>碎屑岩</w:t>
      </w:r>
      <w:r>
        <w:rPr>
          <w:color w:val="auto"/>
          <w:kern w:val="0"/>
          <w:szCs w:val="24"/>
          <w:highlight w:val="none"/>
        </w:rPr>
        <w:t>软硬互层</w:t>
      </w:r>
      <w:r>
        <w:rPr>
          <w:rFonts w:hint="eastAsia"/>
          <w:color w:val="auto"/>
          <w:kern w:val="0"/>
          <w:szCs w:val="24"/>
          <w:highlight w:val="none"/>
        </w:rPr>
        <w:t>、</w:t>
      </w:r>
      <w:r>
        <w:rPr>
          <w:rFonts w:hint="eastAsia"/>
          <w:color w:val="auto"/>
          <w:szCs w:val="21"/>
          <w:highlight w:val="none"/>
          <w:shd w:val="clear" w:color="auto" w:fill="FFFFFF"/>
        </w:rPr>
        <w:t>孤石、岩面凸起、风化深槽时，</w:t>
      </w:r>
      <w:r>
        <w:rPr>
          <w:rFonts w:hint="eastAsia"/>
          <w:color w:val="auto"/>
          <w:kern w:val="0"/>
          <w:szCs w:val="24"/>
          <w:highlight w:val="none"/>
        </w:rPr>
        <w:t>施工勘察勘探孔宜符合下列规定：</w:t>
      </w:r>
    </w:p>
    <w:p>
      <w:pPr>
        <w:spacing w:line="360" w:lineRule="auto"/>
        <w:ind w:firstLine="422" w:firstLineChars="200"/>
        <w:rPr>
          <w:color w:val="auto"/>
          <w:kern w:val="0"/>
          <w:szCs w:val="24"/>
          <w:highlight w:val="none"/>
        </w:rPr>
      </w:pPr>
      <w:r>
        <w:rPr>
          <w:rFonts w:hint="eastAsia"/>
          <w:b/>
          <w:bCs/>
          <w:color w:val="auto"/>
          <w:kern w:val="0"/>
          <w:szCs w:val="24"/>
          <w:highlight w:val="none"/>
        </w:rPr>
        <w:t>1　</w:t>
      </w:r>
      <w:r>
        <w:rPr>
          <w:color w:val="auto"/>
          <w:kern w:val="0"/>
          <w:szCs w:val="24"/>
          <w:highlight w:val="none"/>
        </w:rPr>
        <w:t>宜采用一桩一孔</w:t>
      </w:r>
      <w:r>
        <w:rPr>
          <w:rFonts w:hint="eastAsia"/>
          <w:color w:val="auto"/>
          <w:kern w:val="0"/>
          <w:szCs w:val="24"/>
          <w:highlight w:val="none"/>
        </w:rPr>
        <w:t>，对于荷载较大的大直径嵌岩桩，宜采用一桩多孔或勘探孔结合孔中物探方法确定持力层性状。一桩多孔法的勘探孔数量宜符合表14.2.4规定。</w:t>
      </w:r>
    </w:p>
    <w:p>
      <w:pPr>
        <w:keepNext/>
        <w:spacing w:before="156" w:beforeLines="50" w:after="156" w:afterLines="50"/>
        <w:jc w:val="center"/>
        <w:rPr>
          <w:b/>
          <w:color w:val="auto"/>
          <w:kern w:val="0"/>
          <w:szCs w:val="24"/>
          <w:highlight w:val="none"/>
        </w:rPr>
      </w:pPr>
      <w:r>
        <w:rPr>
          <w:b/>
          <w:color w:val="auto"/>
          <w:kern w:val="0"/>
          <w:szCs w:val="24"/>
          <w:highlight w:val="none"/>
        </w:rPr>
        <w:t>表</w:t>
      </w:r>
      <w:r>
        <w:rPr>
          <w:rFonts w:hint="eastAsia"/>
          <w:b/>
          <w:color w:val="auto"/>
          <w:kern w:val="0"/>
          <w:szCs w:val="24"/>
          <w:highlight w:val="none"/>
        </w:rPr>
        <w:t>14.2</w:t>
      </w:r>
      <w:r>
        <w:rPr>
          <w:b/>
          <w:color w:val="auto"/>
          <w:kern w:val="0"/>
          <w:szCs w:val="24"/>
          <w:highlight w:val="none"/>
        </w:rPr>
        <w:t>.</w:t>
      </w:r>
      <w:r>
        <w:rPr>
          <w:rFonts w:hint="eastAsia"/>
          <w:b/>
          <w:color w:val="auto"/>
          <w:kern w:val="0"/>
          <w:szCs w:val="24"/>
          <w:highlight w:val="none"/>
        </w:rPr>
        <w:t>4　碎屑岩软硬互层等发育区不同桩径下勘探孔数量布置表</w:t>
      </w:r>
    </w:p>
    <w:tbl>
      <w:tblPr>
        <w:tblStyle w:val="22"/>
        <w:tblW w:w="852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03"/>
        <w:gridCol w:w="1736"/>
        <w:gridCol w:w="1847"/>
        <w:gridCol w:w="17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4" w:hRule="atLeast"/>
          <w:jc w:val="center"/>
        </w:trPr>
        <w:tc>
          <w:tcPr>
            <w:tcW w:w="3203" w:type="dxa"/>
            <w:tcBorders>
              <w:top w:val="single" w:color="000000" w:sz="12" w:space="0"/>
              <w:left w:val="single" w:color="000000" w:sz="12" w:space="0"/>
              <w:bottom w:val="single" w:color="000000" w:sz="4" w:space="0"/>
              <w:right w:val="single" w:color="000000" w:sz="4" w:space="0"/>
            </w:tcBorders>
            <w:vAlign w:val="center"/>
          </w:tcPr>
          <w:p>
            <w:pPr>
              <w:jc w:val="center"/>
              <w:textAlignment w:val="center"/>
              <w:rPr>
                <w:color w:val="auto"/>
                <w:szCs w:val="24"/>
                <w:highlight w:val="none"/>
              </w:rPr>
            </w:pPr>
            <w:r>
              <w:rPr>
                <w:color w:val="auto"/>
                <w:szCs w:val="24"/>
                <w:highlight w:val="none"/>
              </w:rPr>
              <w:t>桩径</w:t>
            </w:r>
            <w:r>
              <w:rPr>
                <w:i/>
                <w:color w:val="auto"/>
                <w:szCs w:val="24"/>
                <w:highlight w:val="none"/>
              </w:rPr>
              <w:t>d</w:t>
            </w:r>
            <w:r>
              <w:rPr>
                <w:color w:val="auto"/>
                <w:szCs w:val="24"/>
                <w:highlight w:val="none"/>
              </w:rPr>
              <w:t>（m）</w:t>
            </w:r>
          </w:p>
        </w:tc>
        <w:tc>
          <w:tcPr>
            <w:tcW w:w="1736"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color w:val="auto"/>
                <w:szCs w:val="24"/>
                <w:highlight w:val="none"/>
              </w:rPr>
            </w:pPr>
            <w:r>
              <w:rPr>
                <w:i/>
                <w:color w:val="auto"/>
                <w:szCs w:val="24"/>
                <w:highlight w:val="none"/>
              </w:rPr>
              <w:t>d</w:t>
            </w:r>
            <w:r>
              <w:rPr>
                <w:color w:val="auto"/>
                <w:szCs w:val="24"/>
                <w:highlight w:val="none"/>
              </w:rPr>
              <w:t>&lt;1.</w:t>
            </w:r>
            <w:r>
              <w:rPr>
                <w:rFonts w:hint="eastAsia"/>
                <w:color w:val="auto"/>
                <w:szCs w:val="24"/>
                <w:highlight w:val="none"/>
              </w:rPr>
              <w:t>4</w:t>
            </w:r>
          </w:p>
        </w:tc>
        <w:tc>
          <w:tcPr>
            <w:tcW w:w="1847"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color w:val="auto"/>
                <w:szCs w:val="24"/>
                <w:highlight w:val="none"/>
              </w:rPr>
            </w:pPr>
            <w:r>
              <w:rPr>
                <w:color w:val="auto"/>
                <w:szCs w:val="24"/>
                <w:highlight w:val="none"/>
              </w:rPr>
              <w:t>1.</w:t>
            </w:r>
            <w:r>
              <w:rPr>
                <w:rFonts w:hint="eastAsia"/>
                <w:color w:val="auto"/>
                <w:szCs w:val="24"/>
                <w:highlight w:val="none"/>
              </w:rPr>
              <w:t>4</w:t>
            </w:r>
            <w:r>
              <w:rPr>
                <w:rFonts w:hint="eastAsia" w:ascii="宋体" w:hAnsi="宋体" w:cs="宋体"/>
                <w:color w:val="auto"/>
                <w:szCs w:val="24"/>
                <w:highlight w:val="none"/>
              </w:rPr>
              <w:t>≤</w:t>
            </w:r>
            <w:r>
              <w:rPr>
                <w:i/>
                <w:color w:val="auto"/>
                <w:szCs w:val="24"/>
                <w:highlight w:val="none"/>
              </w:rPr>
              <w:t>d</w:t>
            </w:r>
            <w:r>
              <w:rPr>
                <w:color w:val="auto"/>
                <w:szCs w:val="24"/>
                <w:highlight w:val="none"/>
              </w:rPr>
              <w:t>&lt;</w:t>
            </w:r>
            <w:r>
              <w:rPr>
                <w:rFonts w:hint="eastAsia"/>
                <w:color w:val="auto"/>
                <w:szCs w:val="24"/>
                <w:highlight w:val="none"/>
              </w:rPr>
              <w:t>2</w:t>
            </w:r>
            <w:r>
              <w:rPr>
                <w:color w:val="auto"/>
                <w:szCs w:val="24"/>
                <w:highlight w:val="none"/>
              </w:rPr>
              <w:t>.</w:t>
            </w:r>
            <w:r>
              <w:rPr>
                <w:rFonts w:hint="eastAsia"/>
                <w:color w:val="auto"/>
                <w:szCs w:val="24"/>
                <w:highlight w:val="none"/>
              </w:rPr>
              <w:t>0</w:t>
            </w:r>
          </w:p>
        </w:tc>
        <w:tc>
          <w:tcPr>
            <w:tcW w:w="1736" w:type="dxa"/>
            <w:tcBorders>
              <w:top w:val="single" w:color="000000" w:sz="12" w:space="0"/>
              <w:left w:val="single" w:color="000000" w:sz="4" w:space="0"/>
              <w:bottom w:val="single" w:color="000000" w:sz="4" w:space="0"/>
              <w:right w:val="single" w:color="000000" w:sz="12" w:space="0"/>
            </w:tcBorders>
            <w:vAlign w:val="center"/>
          </w:tcPr>
          <w:p>
            <w:pPr>
              <w:jc w:val="center"/>
              <w:textAlignment w:val="center"/>
              <w:rPr>
                <w:color w:val="auto"/>
                <w:szCs w:val="24"/>
                <w:highlight w:val="none"/>
              </w:rPr>
            </w:pPr>
            <w:r>
              <w:rPr>
                <w:i/>
                <w:color w:val="auto"/>
                <w:szCs w:val="24"/>
                <w:highlight w:val="none"/>
              </w:rPr>
              <w:t>d</w:t>
            </w:r>
            <w:r>
              <w:rPr>
                <w:rFonts w:hint="eastAsia" w:ascii="宋体" w:hAnsi="宋体" w:cs="宋体"/>
                <w:color w:val="auto"/>
                <w:szCs w:val="24"/>
                <w:highlight w:val="none"/>
              </w:rPr>
              <w:t>≥</w:t>
            </w:r>
            <w:r>
              <w:rPr>
                <w:rFonts w:hint="eastAsia"/>
                <w:color w:val="auto"/>
                <w:szCs w:val="24"/>
                <w:highlight w:val="none"/>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1" w:hRule="atLeast"/>
          <w:jc w:val="center"/>
        </w:trPr>
        <w:tc>
          <w:tcPr>
            <w:tcW w:w="3203" w:type="dxa"/>
            <w:tcBorders>
              <w:top w:val="single" w:color="000000" w:sz="4" w:space="0"/>
              <w:left w:val="single" w:color="000000" w:sz="12" w:space="0"/>
              <w:bottom w:val="single" w:color="000000" w:sz="12" w:space="0"/>
              <w:right w:val="single" w:color="000000" w:sz="4" w:space="0"/>
            </w:tcBorders>
            <w:vAlign w:val="center"/>
          </w:tcPr>
          <w:p>
            <w:pPr>
              <w:jc w:val="center"/>
              <w:textAlignment w:val="center"/>
              <w:rPr>
                <w:color w:val="auto"/>
                <w:szCs w:val="24"/>
                <w:highlight w:val="none"/>
              </w:rPr>
            </w:pPr>
            <w:r>
              <w:rPr>
                <w:color w:val="auto"/>
                <w:szCs w:val="24"/>
                <w:highlight w:val="none"/>
              </w:rPr>
              <w:t>每桩位布置</w:t>
            </w:r>
            <w:r>
              <w:rPr>
                <w:rFonts w:hint="eastAsia"/>
                <w:color w:val="auto"/>
                <w:szCs w:val="24"/>
                <w:highlight w:val="none"/>
              </w:rPr>
              <w:t>勘探孔</w:t>
            </w:r>
            <w:r>
              <w:rPr>
                <w:color w:val="auto"/>
                <w:szCs w:val="24"/>
                <w:highlight w:val="none"/>
              </w:rPr>
              <w:t>数（个）</w:t>
            </w:r>
          </w:p>
        </w:tc>
        <w:tc>
          <w:tcPr>
            <w:tcW w:w="1736" w:type="dxa"/>
            <w:tcBorders>
              <w:top w:val="single" w:color="000000" w:sz="4" w:space="0"/>
              <w:left w:val="single" w:color="000000" w:sz="4" w:space="0"/>
              <w:bottom w:val="single" w:color="000000" w:sz="12" w:space="0"/>
              <w:right w:val="single" w:color="000000" w:sz="4" w:space="0"/>
            </w:tcBorders>
            <w:vAlign w:val="center"/>
          </w:tcPr>
          <w:p>
            <w:pPr>
              <w:jc w:val="center"/>
              <w:textAlignment w:val="center"/>
              <w:rPr>
                <w:color w:val="auto"/>
                <w:szCs w:val="24"/>
                <w:highlight w:val="none"/>
              </w:rPr>
            </w:pPr>
            <w:r>
              <w:rPr>
                <w:color w:val="auto"/>
                <w:szCs w:val="24"/>
                <w:highlight w:val="none"/>
              </w:rPr>
              <w:t>1</w:t>
            </w:r>
          </w:p>
        </w:tc>
        <w:tc>
          <w:tcPr>
            <w:tcW w:w="1847" w:type="dxa"/>
            <w:tcBorders>
              <w:top w:val="single" w:color="000000" w:sz="4" w:space="0"/>
              <w:left w:val="single" w:color="000000" w:sz="4" w:space="0"/>
              <w:bottom w:val="single" w:color="000000" w:sz="12" w:space="0"/>
              <w:right w:val="single" w:color="000000" w:sz="4" w:space="0"/>
            </w:tcBorders>
            <w:vAlign w:val="center"/>
          </w:tcPr>
          <w:p>
            <w:pPr>
              <w:jc w:val="center"/>
              <w:textAlignment w:val="center"/>
              <w:rPr>
                <w:color w:val="auto"/>
                <w:szCs w:val="24"/>
                <w:highlight w:val="none"/>
              </w:rPr>
            </w:pPr>
            <w:r>
              <w:rPr>
                <w:color w:val="auto"/>
                <w:szCs w:val="24"/>
                <w:highlight w:val="none"/>
              </w:rPr>
              <w:t>2</w:t>
            </w:r>
          </w:p>
        </w:tc>
        <w:tc>
          <w:tcPr>
            <w:tcW w:w="1736" w:type="dxa"/>
            <w:tcBorders>
              <w:top w:val="single" w:color="000000" w:sz="4" w:space="0"/>
              <w:left w:val="single" w:color="000000" w:sz="4" w:space="0"/>
              <w:bottom w:val="single" w:color="000000" w:sz="12" w:space="0"/>
              <w:right w:val="single" w:color="000000" w:sz="12" w:space="0"/>
            </w:tcBorders>
            <w:vAlign w:val="center"/>
          </w:tcPr>
          <w:p>
            <w:pPr>
              <w:jc w:val="center"/>
              <w:textAlignment w:val="center"/>
              <w:rPr>
                <w:color w:val="auto"/>
                <w:szCs w:val="24"/>
                <w:highlight w:val="none"/>
              </w:rPr>
            </w:pPr>
            <w:r>
              <w:rPr>
                <w:rFonts w:hint="eastAsia" w:ascii="宋体" w:hAnsi="宋体" w:cs="宋体"/>
                <w:color w:val="auto"/>
                <w:szCs w:val="24"/>
                <w:highlight w:val="none"/>
              </w:rPr>
              <w:t>≥</w:t>
            </w:r>
            <w:r>
              <w:rPr>
                <w:rFonts w:hint="eastAsia"/>
                <w:color w:val="auto"/>
                <w:szCs w:val="24"/>
                <w:highlight w:val="none"/>
              </w:rPr>
              <w:t>3</w:t>
            </w:r>
          </w:p>
        </w:tc>
      </w:tr>
    </w:tbl>
    <w:p>
      <w:pPr>
        <w:spacing w:line="360" w:lineRule="auto"/>
        <w:ind w:firstLine="422" w:firstLineChars="200"/>
        <w:rPr>
          <w:color w:val="auto"/>
          <w:kern w:val="0"/>
          <w:szCs w:val="24"/>
          <w:highlight w:val="none"/>
        </w:rPr>
      </w:pPr>
      <w:r>
        <w:rPr>
          <w:rFonts w:hint="eastAsia"/>
          <w:b/>
          <w:bCs/>
          <w:color w:val="auto"/>
          <w:kern w:val="0"/>
          <w:szCs w:val="24"/>
          <w:highlight w:val="none"/>
        </w:rPr>
        <w:t>2　</w:t>
      </w:r>
      <w:r>
        <w:rPr>
          <w:rFonts w:hint="eastAsia"/>
          <w:color w:val="auto"/>
          <w:kern w:val="0"/>
          <w:szCs w:val="24"/>
          <w:highlight w:val="none"/>
        </w:rPr>
        <w:t>嵌岩桩采用</w:t>
      </w:r>
      <w:r>
        <w:rPr>
          <w:color w:val="auto"/>
          <w:kern w:val="0"/>
          <w:szCs w:val="24"/>
          <w:highlight w:val="none"/>
        </w:rPr>
        <w:t>孔中物探方法</w:t>
      </w:r>
      <w:r>
        <w:rPr>
          <w:rFonts w:hint="eastAsia"/>
          <w:color w:val="auto"/>
          <w:kern w:val="0"/>
          <w:szCs w:val="24"/>
          <w:highlight w:val="none"/>
        </w:rPr>
        <w:t>确定持力层性状时，勘探孔</w:t>
      </w:r>
      <w:r>
        <w:rPr>
          <w:color w:val="auto"/>
          <w:kern w:val="0"/>
          <w:szCs w:val="24"/>
          <w:highlight w:val="none"/>
        </w:rPr>
        <w:t>数量宜符合表</w:t>
      </w:r>
      <w:r>
        <w:rPr>
          <w:rFonts w:hint="eastAsia"/>
          <w:color w:val="auto"/>
          <w:kern w:val="0"/>
          <w:szCs w:val="24"/>
          <w:highlight w:val="none"/>
        </w:rPr>
        <w:t>14.2.</w:t>
      </w:r>
      <w:r>
        <w:rPr>
          <w:color w:val="auto"/>
          <w:kern w:val="0"/>
          <w:szCs w:val="24"/>
          <w:highlight w:val="none"/>
        </w:rPr>
        <w:t>3</w:t>
      </w:r>
      <w:r>
        <w:rPr>
          <w:rFonts w:hint="eastAsia"/>
          <w:color w:val="auto"/>
          <w:kern w:val="0"/>
          <w:szCs w:val="24"/>
          <w:highlight w:val="none"/>
        </w:rPr>
        <w:t>-2</w:t>
      </w:r>
      <w:r>
        <w:rPr>
          <w:color w:val="auto"/>
          <w:kern w:val="0"/>
          <w:szCs w:val="24"/>
          <w:highlight w:val="none"/>
        </w:rPr>
        <w:t>规定</w:t>
      </w:r>
      <w:r>
        <w:rPr>
          <w:rFonts w:hint="eastAsia"/>
          <w:color w:val="auto"/>
          <w:kern w:val="0"/>
          <w:szCs w:val="24"/>
          <w:highlight w:val="none"/>
        </w:rPr>
        <w:t>。</w:t>
      </w:r>
    </w:p>
    <w:p>
      <w:pPr>
        <w:spacing w:line="360" w:lineRule="auto"/>
        <w:ind w:firstLine="422" w:firstLineChars="200"/>
        <w:rPr>
          <w:color w:val="auto"/>
          <w:kern w:val="0"/>
          <w:szCs w:val="24"/>
          <w:highlight w:val="none"/>
        </w:rPr>
      </w:pPr>
      <w:r>
        <w:rPr>
          <w:rFonts w:hint="eastAsia"/>
          <w:b/>
          <w:bCs/>
          <w:color w:val="auto"/>
          <w:kern w:val="0"/>
          <w:szCs w:val="24"/>
          <w:highlight w:val="none"/>
        </w:rPr>
        <w:t>3</w:t>
      </w:r>
      <w:r>
        <w:rPr>
          <w:rFonts w:hint="eastAsia"/>
          <w:color w:val="auto"/>
          <w:kern w:val="0"/>
          <w:szCs w:val="24"/>
          <w:highlight w:val="none"/>
        </w:rPr>
        <w:t>　一桩一</w:t>
      </w:r>
      <w:r>
        <w:rPr>
          <w:color w:val="auto"/>
          <w:kern w:val="0"/>
          <w:szCs w:val="24"/>
          <w:highlight w:val="none"/>
        </w:rPr>
        <w:t>孔时，宜在距桩中心15cm范围内布孔；</w:t>
      </w:r>
      <w:r>
        <w:rPr>
          <w:rFonts w:hint="eastAsia"/>
          <w:color w:val="auto"/>
          <w:kern w:val="0"/>
          <w:szCs w:val="24"/>
          <w:highlight w:val="none"/>
        </w:rPr>
        <w:t>一桩多孔</w:t>
      </w:r>
      <w:r>
        <w:rPr>
          <w:color w:val="auto"/>
          <w:kern w:val="0"/>
          <w:szCs w:val="24"/>
          <w:highlight w:val="none"/>
        </w:rPr>
        <w:t>时，宜在距桩中心1/4~1/3桩径范围内均匀对称布置。</w:t>
      </w:r>
    </w:p>
    <w:p>
      <w:pPr>
        <w:spacing w:line="360" w:lineRule="auto"/>
        <w:ind w:firstLine="422" w:firstLineChars="200"/>
        <w:rPr>
          <w:color w:val="auto"/>
          <w:kern w:val="0"/>
          <w:szCs w:val="21"/>
          <w:highlight w:val="none"/>
        </w:rPr>
      </w:pPr>
      <w:r>
        <w:rPr>
          <w:rFonts w:hint="eastAsia"/>
          <w:b/>
          <w:bCs/>
          <w:color w:val="auto"/>
          <w:kern w:val="0"/>
          <w:szCs w:val="24"/>
          <w:highlight w:val="none"/>
        </w:rPr>
        <w:t>4</w:t>
      </w:r>
      <w:r>
        <w:rPr>
          <w:rFonts w:hint="eastAsia"/>
          <w:b/>
          <w:color w:val="auto"/>
          <w:kern w:val="0"/>
          <w:szCs w:val="21"/>
          <w:highlight w:val="none"/>
        </w:rPr>
        <w:t>　</w:t>
      </w:r>
      <w:r>
        <w:rPr>
          <w:rFonts w:hint="eastAsia"/>
          <w:color w:val="auto"/>
          <w:kern w:val="0"/>
          <w:szCs w:val="24"/>
          <w:highlight w:val="none"/>
        </w:rPr>
        <w:t>勘探孔深度应钻穿</w:t>
      </w:r>
      <w:r>
        <w:rPr>
          <w:color w:val="auto"/>
          <w:kern w:val="0"/>
          <w:szCs w:val="21"/>
          <w:highlight w:val="none"/>
        </w:rPr>
        <w:t>断裂破碎带、</w:t>
      </w:r>
      <w:r>
        <w:rPr>
          <w:rFonts w:hint="eastAsia"/>
          <w:color w:val="auto"/>
          <w:kern w:val="0"/>
          <w:szCs w:val="24"/>
          <w:highlight w:val="none"/>
        </w:rPr>
        <w:t>碎屑岩</w:t>
      </w:r>
      <w:r>
        <w:rPr>
          <w:color w:val="auto"/>
          <w:kern w:val="0"/>
          <w:szCs w:val="21"/>
          <w:highlight w:val="none"/>
        </w:rPr>
        <w:t>软弱夹层</w:t>
      </w:r>
      <w:r>
        <w:rPr>
          <w:rFonts w:hint="eastAsia"/>
          <w:color w:val="auto"/>
          <w:kern w:val="0"/>
          <w:szCs w:val="21"/>
          <w:highlight w:val="none"/>
        </w:rPr>
        <w:t>、孤石和风化深槽，</w:t>
      </w:r>
      <w:r>
        <w:rPr>
          <w:color w:val="auto"/>
          <w:kern w:val="0"/>
          <w:szCs w:val="21"/>
          <w:highlight w:val="none"/>
        </w:rPr>
        <w:t>并进入稳定</w:t>
      </w:r>
      <w:r>
        <w:rPr>
          <w:rFonts w:hint="eastAsia"/>
          <w:bCs/>
          <w:color w:val="auto"/>
          <w:kern w:val="0"/>
          <w:szCs w:val="21"/>
          <w:highlight w:val="none"/>
        </w:rPr>
        <w:t>中等风化</w:t>
      </w:r>
      <w:r>
        <w:rPr>
          <w:color w:val="auto"/>
          <w:szCs w:val="21"/>
          <w:highlight w:val="none"/>
        </w:rPr>
        <w:t>～</w:t>
      </w:r>
      <w:r>
        <w:rPr>
          <w:rFonts w:hint="eastAsia"/>
          <w:color w:val="auto"/>
          <w:szCs w:val="21"/>
          <w:highlight w:val="none"/>
        </w:rPr>
        <w:t>微风化</w:t>
      </w:r>
      <w:r>
        <w:rPr>
          <w:color w:val="auto"/>
          <w:kern w:val="0"/>
          <w:szCs w:val="21"/>
          <w:highlight w:val="none"/>
        </w:rPr>
        <w:t>岩层，进入深度应符合本规范第6.</w:t>
      </w:r>
      <w:r>
        <w:rPr>
          <w:rFonts w:hint="eastAsia"/>
          <w:color w:val="auto"/>
          <w:kern w:val="0"/>
          <w:szCs w:val="21"/>
          <w:highlight w:val="none"/>
        </w:rPr>
        <w:t>4.3条规定</w:t>
      </w:r>
      <w:r>
        <w:rPr>
          <w:color w:val="auto"/>
          <w:kern w:val="0"/>
          <w:szCs w:val="21"/>
          <w:highlight w:val="none"/>
        </w:rPr>
        <w:t>。</w:t>
      </w:r>
    </w:p>
    <w:p>
      <w:pPr>
        <w:spacing w:line="360" w:lineRule="auto"/>
        <w:rPr>
          <w:color w:val="auto"/>
          <w:kern w:val="0"/>
          <w:szCs w:val="24"/>
          <w:highlight w:val="none"/>
        </w:rPr>
      </w:pPr>
      <w:r>
        <w:rPr>
          <w:rFonts w:hint="eastAsia"/>
          <w:b/>
          <w:color w:val="auto"/>
          <w:kern w:val="0"/>
          <w:szCs w:val="21"/>
          <w:highlight w:val="none"/>
        </w:rPr>
        <w:t>14.2</w:t>
      </w:r>
      <w:r>
        <w:rPr>
          <w:b/>
          <w:color w:val="auto"/>
          <w:kern w:val="0"/>
          <w:szCs w:val="21"/>
          <w:highlight w:val="none"/>
        </w:rPr>
        <w:t>.</w:t>
      </w:r>
      <w:r>
        <w:rPr>
          <w:rFonts w:hint="eastAsia"/>
          <w:b/>
          <w:color w:val="auto"/>
          <w:kern w:val="0"/>
          <w:szCs w:val="21"/>
          <w:highlight w:val="none"/>
        </w:rPr>
        <w:t>5　</w:t>
      </w:r>
      <w:r>
        <w:rPr>
          <w:rFonts w:hint="eastAsia"/>
          <w:color w:val="auto"/>
          <w:kern w:val="0"/>
          <w:szCs w:val="21"/>
          <w:highlight w:val="none"/>
        </w:rPr>
        <w:t>基坑围护结构</w:t>
      </w:r>
      <w:r>
        <w:rPr>
          <w:rFonts w:hint="eastAsia"/>
          <w:color w:val="auto"/>
          <w:kern w:val="0"/>
          <w:szCs w:val="24"/>
          <w:highlight w:val="none"/>
        </w:rPr>
        <w:t>遇</w:t>
      </w:r>
      <w:r>
        <w:rPr>
          <w:rFonts w:hint="eastAsia"/>
          <w:color w:val="auto"/>
          <w:szCs w:val="24"/>
          <w:highlight w:val="none"/>
        </w:rPr>
        <w:t>岩溶</w:t>
      </w:r>
      <w:r>
        <w:rPr>
          <w:color w:val="auto"/>
          <w:kern w:val="0"/>
          <w:szCs w:val="24"/>
          <w:highlight w:val="none"/>
        </w:rPr>
        <w:t>中等</w:t>
      </w:r>
      <w:r>
        <w:rPr>
          <w:rFonts w:hint="eastAsia"/>
          <w:color w:val="auto"/>
          <w:kern w:val="0"/>
          <w:szCs w:val="24"/>
          <w:highlight w:val="none"/>
        </w:rPr>
        <w:t>发育或</w:t>
      </w:r>
      <w:r>
        <w:rPr>
          <w:rFonts w:hint="eastAsia"/>
          <w:color w:val="auto"/>
          <w:szCs w:val="24"/>
          <w:highlight w:val="none"/>
        </w:rPr>
        <w:t>强烈发育</w:t>
      </w:r>
      <w:r>
        <w:rPr>
          <w:rFonts w:hint="eastAsia"/>
          <w:color w:val="auto"/>
          <w:kern w:val="0"/>
          <w:szCs w:val="24"/>
          <w:highlight w:val="none"/>
        </w:rPr>
        <w:t>时，</w:t>
      </w:r>
      <w:r>
        <w:rPr>
          <w:color w:val="auto"/>
          <w:kern w:val="0"/>
          <w:szCs w:val="24"/>
          <w:highlight w:val="none"/>
        </w:rPr>
        <w:t>施工勘察</w:t>
      </w:r>
      <w:r>
        <w:rPr>
          <w:rFonts w:hint="eastAsia"/>
          <w:color w:val="auto"/>
          <w:kern w:val="0"/>
          <w:szCs w:val="24"/>
          <w:highlight w:val="none"/>
        </w:rPr>
        <w:t>勘探孔宜符合下列规定：</w:t>
      </w:r>
    </w:p>
    <w:p>
      <w:pPr>
        <w:autoSpaceDE w:val="0"/>
        <w:autoSpaceDN w:val="0"/>
        <w:spacing w:before="100" w:beforeAutospacing="1" w:after="100" w:afterAutospacing="1" w:line="360" w:lineRule="auto"/>
        <w:ind w:firstLine="422" w:firstLineChars="200"/>
        <w:contextualSpacing/>
        <w:rPr>
          <w:color w:val="auto"/>
          <w:szCs w:val="21"/>
          <w:highlight w:val="none"/>
        </w:rPr>
      </w:pPr>
      <w:r>
        <w:rPr>
          <w:b/>
          <w:color w:val="auto"/>
          <w:szCs w:val="21"/>
          <w:highlight w:val="none"/>
        </w:rPr>
        <w:t>1</w:t>
      </w:r>
      <w:r>
        <w:rPr>
          <w:rFonts w:hint="eastAsia"/>
          <w:b/>
          <w:color w:val="auto"/>
          <w:szCs w:val="21"/>
          <w:highlight w:val="none"/>
        </w:rPr>
        <w:t>　</w:t>
      </w:r>
      <w:r>
        <w:rPr>
          <w:color w:val="auto"/>
          <w:szCs w:val="21"/>
          <w:highlight w:val="none"/>
        </w:rPr>
        <w:t>每幅地下连续墙宜布置不少于2个</w:t>
      </w:r>
      <w:r>
        <w:rPr>
          <w:rFonts w:hint="eastAsia"/>
          <w:color w:val="auto"/>
          <w:szCs w:val="21"/>
          <w:highlight w:val="none"/>
        </w:rPr>
        <w:t>勘探孔</w:t>
      </w:r>
      <w:r>
        <w:rPr>
          <w:color w:val="auto"/>
          <w:szCs w:val="21"/>
          <w:highlight w:val="none"/>
        </w:rPr>
        <w:t>，地下连续墙转角处宜布置勘探孔；支护桩宜隔桩布置勘探孔；有条件时宜采用井间层析成像法</w:t>
      </w:r>
      <w:r>
        <w:rPr>
          <w:rFonts w:hint="eastAsia"/>
          <w:color w:val="auto"/>
          <w:szCs w:val="21"/>
          <w:highlight w:val="none"/>
        </w:rPr>
        <w:t>辅助勘察</w:t>
      </w:r>
      <w:r>
        <w:rPr>
          <w:color w:val="auto"/>
          <w:szCs w:val="21"/>
          <w:highlight w:val="none"/>
        </w:rPr>
        <w:t>。</w:t>
      </w:r>
    </w:p>
    <w:p>
      <w:pPr>
        <w:autoSpaceDE w:val="0"/>
        <w:autoSpaceDN w:val="0"/>
        <w:spacing w:before="100" w:beforeAutospacing="1" w:after="100" w:afterAutospacing="1" w:line="360" w:lineRule="auto"/>
        <w:ind w:firstLine="422" w:firstLineChars="200"/>
        <w:contextualSpacing/>
        <w:rPr>
          <w:color w:val="auto"/>
          <w:szCs w:val="21"/>
          <w:highlight w:val="none"/>
        </w:rPr>
      </w:pPr>
      <w:r>
        <w:rPr>
          <w:rFonts w:hint="eastAsia"/>
          <w:b/>
          <w:color w:val="auto"/>
          <w:szCs w:val="21"/>
          <w:highlight w:val="none"/>
        </w:rPr>
        <w:t>2　</w:t>
      </w:r>
      <w:r>
        <w:rPr>
          <w:rFonts w:hint="eastAsia"/>
          <w:color w:val="auto"/>
          <w:szCs w:val="21"/>
          <w:highlight w:val="none"/>
        </w:rPr>
        <w:t>勘探孔</w:t>
      </w:r>
      <w:r>
        <w:rPr>
          <w:color w:val="auto"/>
          <w:szCs w:val="21"/>
          <w:highlight w:val="none"/>
        </w:rPr>
        <w:t>深度宜钻至墙底和桩底以下5m稳定相对不透水层或</w:t>
      </w:r>
      <w:r>
        <w:rPr>
          <w:bCs/>
          <w:color w:val="auto"/>
          <w:kern w:val="0"/>
          <w:szCs w:val="21"/>
          <w:highlight w:val="none"/>
        </w:rPr>
        <w:t>中等风化</w:t>
      </w:r>
      <w:r>
        <w:rPr>
          <w:color w:val="auto"/>
          <w:szCs w:val="21"/>
          <w:highlight w:val="none"/>
        </w:rPr>
        <w:t>～微风化</w:t>
      </w:r>
      <w:r>
        <w:rPr>
          <w:color w:val="auto"/>
          <w:kern w:val="0"/>
          <w:szCs w:val="21"/>
          <w:highlight w:val="none"/>
        </w:rPr>
        <w:t>岩层</w:t>
      </w:r>
      <w:r>
        <w:rPr>
          <w:color w:val="auto"/>
          <w:szCs w:val="21"/>
          <w:highlight w:val="none"/>
        </w:rPr>
        <w:t>；墙底或桩底下发育串珠状溶洞时宜钻穿溶洞，串珠状溶洞段</w:t>
      </w:r>
      <w:r>
        <w:rPr>
          <w:bCs/>
          <w:color w:val="auto"/>
          <w:kern w:val="0"/>
          <w:szCs w:val="21"/>
          <w:highlight w:val="none"/>
        </w:rPr>
        <w:t>中等风化</w:t>
      </w:r>
      <w:r>
        <w:rPr>
          <w:color w:val="auto"/>
          <w:szCs w:val="21"/>
          <w:highlight w:val="none"/>
        </w:rPr>
        <w:t>～微风化岩层累计钻进厚度达到5m时，可在钻入洞底</w:t>
      </w:r>
      <w:r>
        <w:rPr>
          <w:color w:val="auto"/>
          <w:kern w:val="0"/>
          <w:szCs w:val="21"/>
          <w:highlight w:val="none"/>
        </w:rPr>
        <w:t>稳定</w:t>
      </w:r>
      <w:r>
        <w:rPr>
          <w:bCs/>
          <w:color w:val="auto"/>
          <w:kern w:val="0"/>
          <w:szCs w:val="21"/>
          <w:highlight w:val="none"/>
        </w:rPr>
        <w:t>中等风化</w:t>
      </w:r>
      <w:r>
        <w:rPr>
          <w:color w:val="auto"/>
          <w:szCs w:val="21"/>
          <w:highlight w:val="none"/>
        </w:rPr>
        <w:t>～微风化</w:t>
      </w:r>
      <w:r>
        <w:rPr>
          <w:color w:val="auto"/>
          <w:kern w:val="0"/>
          <w:szCs w:val="21"/>
          <w:highlight w:val="none"/>
        </w:rPr>
        <w:t>岩层</w:t>
      </w:r>
      <w:r>
        <w:rPr>
          <w:color w:val="auto"/>
          <w:szCs w:val="21"/>
          <w:highlight w:val="none"/>
        </w:rPr>
        <w:t>2m后终孔。</w:t>
      </w:r>
    </w:p>
    <w:p>
      <w:pPr>
        <w:spacing w:line="360" w:lineRule="auto"/>
        <w:rPr>
          <w:b/>
          <w:color w:val="auto"/>
          <w:kern w:val="0"/>
          <w:szCs w:val="21"/>
          <w:highlight w:val="none"/>
        </w:rPr>
      </w:pPr>
      <w:bookmarkStart w:id="259" w:name="OLE_LINK12"/>
      <w:r>
        <w:rPr>
          <w:rFonts w:hint="eastAsia"/>
          <w:b/>
          <w:color w:val="auto"/>
          <w:kern w:val="0"/>
          <w:szCs w:val="21"/>
          <w:highlight w:val="none"/>
        </w:rPr>
        <w:t>14.2</w:t>
      </w:r>
      <w:r>
        <w:rPr>
          <w:b/>
          <w:color w:val="auto"/>
          <w:kern w:val="0"/>
          <w:szCs w:val="21"/>
          <w:highlight w:val="none"/>
        </w:rPr>
        <w:t>.</w:t>
      </w:r>
      <w:r>
        <w:rPr>
          <w:rFonts w:hint="eastAsia"/>
          <w:b/>
          <w:color w:val="auto"/>
          <w:kern w:val="0"/>
          <w:szCs w:val="21"/>
          <w:highlight w:val="none"/>
        </w:rPr>
        <w:t>6　</w:t>
      </w:r>
      <w:r>
        <w:rPr>
          <w:rFonts w:hint="eastAsia"/>
          <w:bCs/>
          <w:color w:val="auto"/>
          <w:kern w:val="0"/>
          <w:szCs w:val="21"/>
          <w:highlight w:val="none"/>
        </w:rPr>
        <w:t>隧道施工勘察勘探孔</w:t>
      </w:r>
      <w:bookmarkEnd w:id="259"/>
      <w:r>
        <w:rPr>
          <w:rFonts w:hint="eastAsia"/>
          <w:bCs/>
          <w:color w:val="auto"/>
          <w:kern w:val="0"/>
          <w:szCs w:val="21"/>
          <w:highlight w:val="none"/>
        </w:rPr>
        <w:t>应符合下列规定：</w:t>
      </w:r>
    </w:p>
    <w:p>
      <w:pPr>
        <w:autoSpaceDE w:val="0"/>
        <w:autoSpaceDN w:val="0"/>
        <w:spacing w:before="100" w:beforeAutospacing="1" w:after="100" w:afterAutospacing="1" w:line="360" w:lineRule="auto"/>
        <w:ind w:firstLine="422" w:firstLineChars="200"/>
        <w:contextualSpacing/>
        <w:rPr>
          <w:bCs/>
          <w:color w:val="auto"/>
          <w:kern w:val="0"/>
          <w:szCs w:val="21"/>
          <w:highlight w:val="none"/>
        </w:rPr>
      </w:pPr>
      <w:r>
        <w:rPr>
          <w:rFonts w:hint="eastAsia"/>
          <w:b/>
          <w:color w:val="auto"/>
          <w:kern w:val="0"/>
          <w:szCs w:val="21"/>
          <w:highlight w:val="none"/>
        </w:rPr>
        <w:t>1　</w:t>
      </w:r>
      <w:r>
        <w:rPr>
          <w:bCs/>
          <w:color w:val="auto"/>
          <w:kern w:val="0"/>
          <w:szCs w:val="21"/>
          <w:highlight w:val="none"/>
        </w:rPr>
        <w:t>隧道</w:t>
      </w:r>
      <w:r>
        <w:rPr>
          <w:rFonts w:hint="eastAsia"/>
          <w:bCs/>
          <w:color w:val="auto"/>
          <w:kern w:val="0"/>
          <w:szCs w:val="21"/>
          <w:highlight w:val="none"/>
        </w:rPr>
        <w:t>结构</w:t>
      </w:r>
      <w:r>
        <w:rPr>
          <w:bCs/>
          <w:color w:val="auto"/>
          <w:kern w:val="0"/>
          <w:szCs w:val="21"/>
          <w:highlight w:val="none"/>
        </w:rPr>
        <w:t>底</w:t>
      </w:r>
      <w:r>
        <w:rPr>
          <w:rFonts w:hint="eastAsia"/>
          <w:bCs/>
          <w:color w:val="auto"/>
          <w:kern w:val="0"/>
          <w:szCs w:val="21"/>
          <w:highlight w:val="none"/>
        </w:rPr>
        <w:t>板</w:t>
      </w:r>
      <w:r>
        <w:rPr>
          <w:bCs/>
          <w:color w:val="auto"/>
          <w:kern w:val="0"/>
          <w:szCs w:val="21"/>
          <w:highlight w:val="none"/>
        </w:rPr>
        <w:t>以下5m深度范围</w:t>
      </w:r>
      <w:r>
        <w:rPr>
          <w:rFonts w:hint="eastAsia"/>
          <w:bCs/>
          <w:color w:val="auto"/>
          <w:kern w:val="0"/>
          <w:szCs w:val="21"/>
          <w:highlight w:val="none"/>
        </w:rPr>
        <w:t>内</w:t>
      </w:r>
      <w:r>
        <w:rPr>
          <w:bCs/>
          <w:color w:val="auto"/>
          <w:kern w:val="0"/>
          <w:szCs w:val="21"/>
          <w:highlight w:val="none"/>
        </w:rPr>
        <w:t>可能发育</w:t>
      </w:r>
      <w:r>
        <w:rPr>
          <w:rFonts w:hint="eastAsia"/>
          <w:bCs/>
          <w:color w:val="auto"/>
          <w:kern w:val="0"/>
          <w:szCs w:val="21"/>
          <w:highlight w:val="none"/>
        </w:rPr>
        <w:t>岩溶时，</w:t>
      </w:r>
      <w:r>
        <w:rPr>
          <w:bCs/>
          <w:color w:val="auto"/>
          <w:kern w:val="0"/>
          <w:szCs w:val="21"/>
          <w:highlight w:val="none"/>
        </w:rPr>
        <w:t>宜布置</w:t>
      </w:r>
      <w:r>
        <w:rPr>
          <w:rFonts w:hint="eastAsia"/>
          <w:bCs/>
          <w:color w:val="auto"/>
          <w:kern w:val="0"/>
          <w:szCs w:val="21"/>
          <w:highlight w:val="none"/>
        </w:rPr>
        <w:t>施工勘察勘探孔，勘探孔间距宜为2m~3m。</w:t>
      </w:r>
    </w:p>
    <w:p>
      <w:pPr>
        <w:autoSpaceDE w:val="0"/>
        <w:autoSpaceDN w:val="0"/>
        <w:spacing w:before="100" w:beforeAutospacing="1" w:after="100" w:afterAutospacing="1" w:line="360" w:lineRule="auto"/>
        <w:ind w:firstLine="422" w:firstLineChars="200"/>
        <w:contextualSpacing/>
        <w:rPr>
          <w:bCs/>
          <w:color w:val="auto"/>
          <w:kern w:val="0"/>
          <w:szCs w:val="21"/>
          <w:highlight w:val="none"/>
        </w:rPr>
      </w:pPr>
      <w:r>
        <w:rPr>
          <w:rFonts w:hint="eastAsia"/>
          <w:b/>
          <w:color w:val="auto"/>
          <w:kern w:val="0"/>
          <w:szCs w:val="21"/>
          <w:highlight w:val="none"/>
        </w:rPr>
        <w:t>2　</w:t>
      </w:r>
      <w:r>
        <w:rPr>
          <w:rFonts w:hint="eastAsia"/>
          <w:bCs/>
          <w:color w:val="auto"/>
          <w:kern w:val="0"/>
          <w:szCs w:val="21"/>
          <w:highlight w:val="none"/>
        </w:rPr>
        <w:t>平原隧道</w:t>
      </w:r>
      <w:r>
        <w:rPr>
          <w:bCs/>
          <w:color w:val="auto"/>
          <w:kern w:val="0"/>
          <w:szCs w:val="21"/>
          <w:highlight w:val="none"/>
        </w:rPr>
        <w:t>盾构</w:t>
      </w:r>
      <w:r>
        <w:rPr>
          <w:rFonts w:hint="eastAsia"/>
          <w:bCs/>
          <w:color w:val="auto"/>
          <w:kern w:val="0"/>
          <w:szCs w:val="21"/>
          <w:highlight w:val="none"/>
        </w:rPr>
        <w:t>法掘进段</w:t>
      </w:r>
      <w:r>
        <w:rPr>
          <w:bCs/>
          <w:color w:val="auto"/>
          <w:kern w:val="0"/>
          <w:szCs w:val="21"/>
          <w:highlight w:val="none"/>
        </w:rPr>
        <w:t>宜在洞身经过上软下硬复合地层、断裂带、</w:t>
      </w:r>
      <w:r>
        <w:rPr>
          <w:rFonts w:hint="eastAsia"/>
          <w:bCs/>
          <w:color w:val="auto"/>
          <w:kern w:val="0"/>
          <w:szCs w:val="21"/>
          <w:highlight w:val="none"/>
        </w:rPr>
        <w:t>孤石发育部位</w:t>
      </w:r>
      <w:r>
        <w:rPr>
          <w:bCs/>
          <w:color w:val="auto"/>
          <w:kern w:val="0"/>
          <w:szCs w:val="21"/>
          <w:highlight w:val="none"/>
        </w:rPr>
        <w:t>布置</w:t>
      </w:r>
      <w:r>
        <w:rPr>
          <w:rFonts w:hint="eastAsia"/>
          <w:bCs/>
          <w:color w:val="auto"/>
          <w:kern w:val="0"/>
          <w:szCs w:val="21"/>
          <w:highlight w:val="none"/>
        </w:rPr>
        <w:t>施工勘察勘探孔，勘探孔间距宜为3m~5m。</w:t>
      </w:r>
    </w:p>
    <w:p>
      <w:pPr>
        <w:autoSpaceDE w:val="0"/>
        <w:autoSpaceDN w:val="0"/>
        <w:spacing w:before="100" w:beforeAutospacing="1" w:after="100" w:afterAutospacing="1" w:line="360" w:lineRule="auto"/>
        <w:ind w:firstLine="422" w:firstLineChars="200"/>
        <w:contextualSpacing/>
        <w:rPr>
          <w:bCs/>
          <w:color w:val="auto"/>
          <w:kern w:val="0"/>
          <w:szCs w:val="21"/>
          <w:highlight w:val="none"/>
        </w:rPr>
      </w:pPr>
      <w:r>
        <w:rPr>
          <w:rFonts w:hint="eastAsia"/>
          <w:b/>
          <w:color w:val="auto"/>
          <w:kern w:val="0"/>
          <w:szCs w:val="21"/>
          <w:highlight w:val="none"/>
        </w:rPr>
        <w:t>3　</w:t>
      </w:r>
      <w:r>
        <w:rPr>
          <w:rFonts w:hint="eastAsia"/>
          <w:color w:val="auto"/>
          <w:kern w:val="0"/>
          <w:szCs w:val="24"/>
          <w:highlight w:val="none"/>
        </w:rPr>
        <w:t>矿山法隧道宜在发育岩溶</w:t>
      </w:r>
      <w:r>
        <w:rPr>
          <w:bCs/>
          <w:color w:val="auto"/>
          <w:kern w:val="0"/>
          <w:szCs w:val="21"/>
          <w:highlight w:val="none"/>
        </w:rPr>
        <w:t>、风化深槽、</w:t>
      </w:r>
      <w:r>
        <w:rPr>
          <w:rFonts w:hint="eastAsia"/>
          <w:color w:val="auto"/>
          <w:kern w:val="0"/>
          <w:szCs w:val="24"/>
          <w:highlight w:val="none"/>
        </w:rPr>
        <w:t>碎屑岩软硬互层、</w:t>
      </w:r>
      <w:r>
        <w:rPr>
          <w:bCs/>
          <w:color w:val="auto"/>
          <w:kern w:val="0"/>
          <w:szCs w:val="21"/>
          <w:highlight w:val="none"/>
        </w:rPr>
        <w:t>上软下硬复合地层等</w:t>
      </w:r>
      <w:r>
        <w:rPr>
          <w:rFonts w:hint="eastAsia"/>
          <w:bCs/>
          <w:color w:val="auto"/>
          <w:kern w:val="0"/>
          <w:szCs w:val="21"/>
          <w:highlight w:val="none"/>
        </w:rPr>
        <w:t>围岩段布</w:t>
      </w:r>
      <w:r>
        <w:rPr>
          <w:bCs/>
          <w:color w:val="auto"/>
          <w:kern w:val="0"/>
          <w:szCs w:val="21"/>
          <w:highlight w:val="none"/>
        </w:rPr>
        <w:t>置</w:t>
      </w:r>
      <w:r>
        <w:rPr>
          <w:rFonts w:hint="eastAsia"/>
          <w:bCs/>
          <w:color w:val="auto"/>
          <w:kern w:val="0"/>
          <w:szCs w:val="21"/>
          <w:highlight w:val="none"/>
        </w:rPr>
        <w:t>施工勘察勘探孔，并</w:t>
      </w:r>
      <w:r>
        <w:rPr>
          <w:rFonts w:hint="eastAsia"/>
          <w:color w:val="auto"/>
          <w:kern w:val="0"/>
          <w:szCs w:val="24"/>
          <w:highlight w:val="none"/>
        </w:rPr>
        <w:t>沿隧道纵向</w:t>
      </w:r>
      <w:r>
        <w:rPr>
          <w:color w:val="auto"/>
          <w:kern w:val="0"/>
          <w:szCs w:val="24"/>
          <w:highlight w:val="none"/>
        </w:rPr>
        <w:t>连续开展超前地质预报</w:t>
      </w:r>
      <w:r>
        <w:rPr>
          <w:rFonts w:hint="eastAsia"/>
          <w:color w:val="auto"/>
          <w:kern w:val="0"/>
          <w:szCs w:val="24"/>
          <w:highlight w:val="none"/>
        </w:rPr>
        <w:t>，</w:t>
      </w:r>
      <w:r>
        <w:rPr>
          <w:bCs/>
          <w:color w:val="auto"/>
          <w:kern w:val="0"/>
          <w:szCs w:val="21"/>
          <w:highlight w:val="none"/>
        </w:rPr>
        <w:t>每个开挖导洞</w:t>
      </w:r>
      <w:r>
        <w:rPr>
          <w:rFonts w:hint="eastAsia"/>
          <w:bCs/>
          <w:color w:val="auto"/>
          <w:kern w:val="0"/>
          <w:szCs w:val="21"/>
          <w:highlight w:val="none"/>
        </w:rPr>
        <w:t>宜</w:t>
      </w:r>
      <w:r>
        <w:rPr>
          <w:bCs/>
          <w:color w:val="auto"/>
          <w:kern w:val="0"/>
          <w:szCs w:val="21"/>
          <w:highlight w:val="none"/>
        </w:rPr>
        <w:t>布置</w:t>
      </w:r>
      <w:r>
        <w:rPr>
          <w:rFonts w:hint="eastAsia"/>
          <w:bCs/>
          <w:color w:val="auto"/>
          <w:kern w:val="0"/>
          <w:szCs w:val="21"/>
          <w:highlight w:val="none"/>
        </w:rPr>
        <w:t>不少于</w:t>
      </w:r>
      <w:r>
        <w:rPr>
          <w:bCs/>
          <w:color w:val="auto"/>
          <w:kern w:val="0"/>
          <w:szCs w:val="21"/>
          <w:highlight w:val="none"/>
        </w:rPr>
        <w:t>1个超前水平</w:t>
      </w:r>
      <w:r>
        <w:rPr>
          <w:rFonts w:hint="eastAsia"/>
          <w:bCs/>
          <w:color w:val="auto"/>
          <w:kern w:val="0"/>
          <w:szCs w:val="21"/>
          <w:highlight w:val="none"/>
        </w:rPr>
        <w:t>勘探孔，</w:t>
      </w:r>
      <w:r>
        <w:rPr>
          <w:bCs/>
          <w:color w:val="auto"/>
          <w:kern w:val="0"/>
          <w:szCs w:val="21"/>
          <w:highlight w:val="none"/>
        </w:rPr>
        <w:t>掌子面前方综合超前地质预报搭接长度应</w:t>
      </w:r>
      <w:r>
        <w:rPr>
          <w:rFonts w:hint="eastAsia"/>
          <w:bCs/>
          <w:color w:val="auto"/>
          <w:kern w:val="0"/>
          <w:szCs w:val="21"/>
          <w:highlight w:val="none"/>
        </w:rPr>
        <w:t>不小于</w:t>
      </w:r>
      <w:r>
        <w:rPr>
          <w:bCs/>
          <w:color w:val="auto"/>
          <w:kern w:val="0"/>
          <w:szCs w:val="21"/>
          <w:highlight w:val="none"/>
        </w:rPr>
        <w:t>5m</w:t>
      </w:r>
      <w:r>
        <w:rPr>
          <w:rFonts w:hint="eastAsia"/>
          <w:bCs/>
          <w:color w:val="auto"/>
          <w:kern w:val="0"/>
          <w:szCs w:val="21"/>
          <w:highlight w:val="none"/>
        </w:rPr>
        <w:t>。</w:t>
      </w:r>
    </w:p>
    <w:p>
      <w:pPr>
        <w:autoSpaceDE w:val="0"/>
        <w:autoSpaceDN w:val="0"/>
        <w:spacing w:before="100" w:beforeAutospacing="1" w:after="100" w:afterAutospacing="1" w:line="360" w:lineRule="auto"/>
        <w:ind w:firstLine="422" w:firstLineChars="200"/>
        <w:contextualSpacing/>
        <w:rPr>
          <w:bCs/>
          <w:color w:val="auto"/>
          <w:kern w:val="0"/>
          <w:szCs w:val="21"/>
          <w:highlight w:val="none"/>
        </w:rPr>
      </w:pPr>
      <w:r>
        <w:rPr>
          <w:rFonts w:hint="eastAsia"/>
          <w:b/>
          <w:bCs/>
          <w:color w:val="auto"/>
          <w:szCs w:val="21"/>
          <w:highlight w:val="none"/>
        </w:rPr>
        <w:t>4　</w:t>
      </w:r>
      <w:r>
        <w:rPr>
          <w:rFonts w:hint="eastAsia"/>
          <w:bCs/>
          <w:color w:val="auto"/>
          <w:kern w:val="0"/>
          <w:szCs w:val="21"/>
          <w:highlight w:val="none"/>
        </w:rPr>
        <w:t>勘探孔</w:t>
      </w:r>
      <w:r>
        <w:rPr>
          <w:bCs/>
          <w:color w:val="auto"/>
          <w:kern w:val="0"/>
          <w:szCs w:val="21"/>
          <w:highlight w:val="none"/>
        </w:rPr>
        <w:t>深度</w:t>
      </w:r>
      <w:r>
        <w:rPr>
          <w:rFonts w:hint="eastAsia"/>
          <w:bCs/>
          <w:color w:val="auto"/>
          <w:kern w:val="0"/>
          <w:szCs w:val="21"/>
          <w:highlight w:val="none"/>
        </w:rPr>
        <w:t>宜钻</w:t>
      </w:r>
      <w:r>
        <w:rPr>
          <w:bCs/>
          <w:color w:val="auto"/>
          <w:kern w:val="0"/>
          <w:szCs w:val="21"/>
          <w:highlight w:val="none"/>
        </w:rPr>
        <w:t>穿断裂破碎带、</w:t>
      </w:r>
      <w:r>
        <w:rPr>
          <w:rFonts w:hint="eastAsia"/>
          <w:bCs/>
          <w:color w:val="auto"/>
          <w:kern w:val="0"/>
          <w:szCs w:val="21"/>
          <w:highlight w:val="none"/>
        </w:rPr>
        <w:t>孤石</w:t>
      </w:r>
      <w:r>
        <w:rPr>
          <w:bCs/>
          <w:color w:val="auto"/>
          <w:kern w:val="0"/>
          <w:szCs w:val="21"/>
          <w:highlight w:val="none"/>
        </w:rPr>
        <w:t>、</w:t>
      </w:r>
      <w:r>
        <w:rPr>
          <w:rFonts w:hint="eastAsia"/>
          <w:color w:val="auto"/>
          <w:kern w:val="0"/>
          <w:szCs w:val="24"/>
          <w:highlight w:val="none"/>
        </w:rPr>
        <w:t>软硬复合地层</w:t>
      </w:r>
      <w:r>
        <w:rPr>
          <w:rFonts w:hint="eastAsia"/>
          <w:bCs/>
          <w:color w:val="auto"/>
          <w:kern w:val="0"/>
          <w:szCs w:val="21"/>
          <w:highlight w:val="none"/>
        </w:rPr>
        <w:t>后，到达</w:t>
      </w:r>
      <w:r>
        <w:rPr>
          <w:bCs/>
          <w:color w:val="auto"/>
          <w:kern w:val="0"/>
          <w:szCs w:val="21"/>
          <w:highlight w:val="none"/>
        </w:rPr>
        <w:t>隧道</w:t>
      </w:r>
      <w:r>
        <w:rPr>
          <w:rFonts w:hint="eastAsia"/>
          <w:bCs/>
          <w:color w:val="auto"/>
          <w:kern w:val="0"/>
          <w:szCs w:val="21"/>
          <w:highlight w:val="none"/>
        </w:rPr>
        <w:t>结构</w:t>
      </w:r>
      <w:r>
        <w:rPr>
          <w:bCs/>
          <w:color w:val="auto"/>
          <w:kern w:val="0"/>
          <w:szCs w:val="21"/>
          <w:highlight w:val="none"/>
        </w:rPr>
        <w:t>底</w:t>
      </w:r>
      <w:r>
        <w:rPr>
          <w:rFonts w:hint="eastAsia"/>
          <w:bCs/>
          <w:color w:val="auto"/>
          <w:kern w:val="0"/>
          <w:szCs w:val="21"/>
          <w:highlight w:val="none"/>
        </w:rPr>
        <w:t>板</w:t>
      </w:r>
      <w:r>
        <w:rPr>
          <w:bCs/>
          <w:color w:val="auto"/>
          <w:kern w:val="0"/>
          <w:szCs w:val="21"/>
          <w:highlight w:val="none"/>
        </w:rPr>
        <w:t>以下不小于3m</w:t>
      </w:r>
      <w:r>
        <w:rPr>
          <w:rFonts w:hint="eastAsia"/>
          <w:bCs/>
          <w:color w:val="auto"/>
          <w:kern w:val="0"/>
          <w:szCs w:val="21"/>
          <w:highlight w:val="none"/>
        </w:rPr>
        <w:t>；</w:t>
      </w:r>
      <w:r>
        <w:rPr>
          <w:bCs/>
          <w:color w:val="auto"/>
          <w:kern w:val="0"/>
          <w:szCs w:val="21"/>
          <w:highlight w:val="none"/>
        </w:rPr>
        <w:t>岩溶发育区隧道</w:t>
      </w:r>
      <w:r>
        <w:rPr>
          <w:rFonts w:hint="eastAsia"/>
          <w:bCs/>
          <w:color w:val="auto"/>
          <w:kern w:val="0"/>
          <w:szCs w:val="21"/>
          <w:highlight w:val="none"/>
        </w:rPr>
        <w:t>勘探孔宜钻</w:t>
      </w:r>
      <w:r>
        <w:rPr>
          <w:bCs/>
          <w:color w:val="auto"/>
          <w:kern w:val="0"/>
          <w:szCs w:val="21"/>
          <w:highlight w:val="none"/>
        </w:rPr>
        <w:t>入</w:t>
      </w:r>
      <w:r>
        <w:rPr>
          <w:rFonts w:hint="eastAsia"/>
          <w:bCs/>
          <w:color w:val="auto"/>
          <w:kern w:val="0"/>
          <w:szCs w:val="21"/>
          <w:highlight w:val="none"/>
        </w:rPr>
        <w:t>结构</w:t>
      </w:r>
      <w:r>
        <w:rPr>
          <w:bCs/>
          <w:color w:val="auto"/>
          <w:kern w:val="0"/>
          <w:szCs w:val="21"/>
          <w:highlight w:val="none"/>
        </w:rPr>
        <w:t>底板</w:t>
      </w:r>
      <w:r>
        <w:rPr>
          <w:rFonts w:hint="eastAsia"/>
          <w:bCs/>
          <w:color w:val="auto"/>
          <w:kern w:val="0"/>
          <w:szCs w:val="21"/>
          <w:highlight w:val="none"/>
        </w:rPr>
        <w:t>以</w:t>
      </w:r>
      <w:r>
        <w:rPr>
          <w:bCs/>
          <w:color w:val="auto"/>
          <w:kern w:val="0"/>
          <w:szCs w:val="21"/>
          <w:highlight w:val="none"/>
        </w:rPr>
        <w:t>下稳定相对隔水层或中等风化</w:t>
      </w:r>
      <w:r>
        <w:rPr>
          <w:color w:val="auto"/>
          <w:szCs w:val="21"/>
          <w:highlight w:val="none"/>
        </w:rPr>
        <w:t>～微风化</w:t>
      </w:r>
      <w:r>
        <w:rPr>
          <w:color w:val="auto"/>
          <w:kern w:val="0"/>
          <w:szCs w:val="21"/>
          <w:highlight w:val="none"/>
        </w:rPr>
        <w:t>岩层</w:t>
      </w:r>
      <w:r>
        <w:rPr>
          <w:bCs/>
          <w:color w:val="auto"/>
          <w:kern w:val="0"/>
          <w:szCs w:val="21"/>
          <w:highlight w:val="none"/>
        </w:rPr>
        <w:t>不小于</w:t>
      </w:r>
      <w:r>
        <w:rPr>
          <w:rFonts w:hint="eastAsia"/>
          <w:bCs/>
          <w:color w:val="auto"/>
          <w:kern w:val="0"/>
          <w:szCs w:val="21"/>
          <w:highlight w:val="none"/>
        </w:rPr>
        <w:t>5</w:t>
      </w:r>
      <w:r>
        <w:rPr>
          <w:bCs/>
          <w:color w:val="auto"/>
          <w:kern w:val="0"/>
          <w:szCs w:val="21"/>
          <w:highlight w:val="none"/>
        </w:rPr>
        <w:t>m</w:t>
      </w:r>
      <w:r>
        <w:rPr>
          <w:rFonts w:hint="eastAsia"/>
          <w:bCs/>
          <w:color w:val="auto"/>
          <w:kern w:val="0"/>
          <w:szCs w:val="21"/>
          <w:highlight w:val="none"/>
        </w:rPr>
        <w:t>；结构</w:t>
      </w:r>
      <w:r>
        <w:rPr>
          <w:color w:val="auto"/>
          <w:szCs w:val="21"/>
          <w:highlight w:val="none"/>
        </w:rPr>
        <w:t>底</w:t>
      </w:r>
      <w:r>
        <w:rPr>
          <w:rFonts w:hint="eastAsia"/>
          <w:color w:val="auto"/>
          <w:szCs w:val="21"/>
          <w:highlight w:val="none"/>
        </w:rPr>
        <w:t>板以</w:t>
      </w:r>
      <w:r>
        <w:rPr>
          <w:color w:val="auto"/>
          <w:szCs w:val="21"/>
          <w:highlight w:val="none"/>
        </w:rPr>
        <w:t>下发育串珠状溶洞时宜钻穿溶洞，串珠状溶洞段</w:t>
      </w:r>
      <w:r>
        <w:rPr>
          <w:bCs/>
          <w:color w:val="auto"/>
          <w:kern w:val="0"/>
          <w:szCs w:val="21"/>
          <w:highlight w:val="none"/>
        </w:rPr>
        <w:t>中等风化</w:t>
      </w:r>
      <w:r>
        <w:rPr>
          <w:color w:val="auto"/>
          <w:szCs w:val="21"/>
          <w:highlight w:val="none"/>
        </w:rPr>
        <w:t>～微风化岩层累计钻进厚度达到5m时，可在钻入洞底</w:t>
      </w:r>
      <w:r>
        <w:rPr>
          <w:color w:val="auto"/>
          <w:kern w:val="0"/>
          <w:szCs w:val="21"/>
          <w:highlight w:val="none"/>
        </w:rPr>
        <w:t>稳定</w:t>
      </w:r>
      <w:r>
        <w:rPr>
          <w:bCs/>
          <w:color w:val="auto"/>
          <w:kern w:val="0"/>
          <w:szCs w:val="21"/>
          <w:highlight w:val="none"/>
        </w:rPr>
        <w:t>中等风化</w:t>
      </w:r>
      <w:r>
        <w:rPr>
          <w:color w:val="auto"/>
          <w:szCs w:val="21"/>
          <w:highlight w:val="none"/>
        </w:rPr>
        <w:t>～微风化</w:t>
      </w:r>
      <w:r>
        <w:rPr>
          <w:color w:val="auto"/>
          <w:kern w:val="0"/>
          <w:szCs w:val="21"/>
          <w:highlight w:val="none"/>
        </w:rPr>
        <w:t>岩层</w:t>
      </w:r>
      <w:r>
        <w:rPr>
          <w:color w:val="auto"/>
          <w:szCs w:val="21"/>
          <w:highlight w:val="none"/>
        </w:rPr>
        <w:t>2m后终孔。</w:t>
      </w:r>
    </w:p>
    <w:p>
      <w:pPr>
        <w:spacing w:line="360" w:lineRule="auto"/>
        <w:rPr>
          <w:bCs/>
          <w:color w:val="auto"/>
          <w:kern w:val="0"/>
          <w:szCs w:val="21"/>
          <w:highlight w:val="none"/>
        </w:rPr>
      </w:pPr>
      <w:r>
        <w:rPr>
          <w:rFonts w:hint="eastAsia"/>
          <w:b/>
          <w:bCs/>
          <w:color w:val="auto"/>
          <w:kern w:val="0"/>
          <w:szCs w:val="21"/>
          <w:highlight w:val="none"/>
        </w:rPr>
        <w:t>14</w:t>
      </w:r>
      <w:r>
        <w:rPr>
          <w:b/>
          <w:bCs/>
          <w:color w:val="auto"/>
          <w:kern w:val="0"/>
          <w:szCs w:val="21"/>
          <w:highlight w:val="none"/>
        </w:rPr>
        <w:t>.</w:t>
      </w:r>
      <w:r>
        <w:rPr>
          <w:rFonts w:hint="eastAsia"/>
          <w:b/>
          <w:bCs/>
          <w:color w:val="auto"/>
          <w:kern w:val="0"/>
          <w:szCs w:val="21"/>
          <w:highlight w:val="none"/>
        </w:rPr>
        <w:t>2</w:t>
      </w:r>
      <w:r>
        <w:rPr>
          <w:b/>
          <w:bCs/>
          <w:color w:val="auto"/>
          <w:kern w:val="0"/>
          <w:szCs w:val="21"/>
          <w:highlight w:val="none"/>
        </w:rPr>
        <w:t>.</w:t>
      </w:r>
      <w:r>
        <w:rPr>
          <w:rFonts w:hint="eastAsia"/>
          <w:b/>
          <w:bCs/>
          <w:color w:val="auto"/>
          <w:kern w:val="0"/>
          <w:szCs w:val="21"/>
          <w:highlight w:val="none"/>
        </w:rPr>
        <w:t>7　</w:t>
      </w:r>
      <w:r>
        <w:rPr>
          <w:rFonts w:hint="eastAsia"/>
          <w:color w:val="auto"/>
          <w:szCs w:val="21"/>
          <w:highlight w:val="none"/>
        </w:rPr>
        <w:t>顶管法及盾构法敷设</w:t>
      </w:r>
      <w:r>
        <w:rPr>
          <w:rFonts w:hint="eastAsia"/>
          <w:color w:val="auto"/>
          <w:kern w:val="0"/>
          <w:highlight w:val="none"/>
        </w:rPr>
        <w:t>的</w:t>
      </w:r>
      <w:r>
        <w:rPr>
          <w:bCs/>
          <w:color w:val="auto"/>
          <w:kern w:val="0"/>
          <w:szCs w:val="21"/>
          <w:highlight w:val="none"/>
        </w:rPr>
        <w:t>室外管道</w:t>
      </w:r>
      <w:r>
        <w:rPr>
          <w:rFonts w:hint="eastAsia"/>
          <w:bCs/>
          <w:color w:val="auto"/>
          <w:kern w:val="0"/>
          <w:szCs w:val="21"/>
          <w:highlight w:val="none"/>
        </w:rPr>
        <w:t>、综合管廊或人行地下通道，以及水平定向钻法或夯管法敷设的室外管道</w:t>
      </w:r>
      <w:r>
        <w:rPr>
          <w:bCs/>
          <w:color w:val="auto"/>
          <w:kern w:val="0"/>
          <w:szCs w:val="21"/>
          <w:highlight w:val="none"/>
        </w:rPr>
        <w:t>，</w:t>
      </w:r>
      <w:r>
        <w:rPr>
          <w:rFonts w:hint="eastAsia"/>
          <w:bCs/>
          <w:color w:val="auto"/>
          <w:kern w:val="0"/>
          <w:szCs w:val="21"/>
          <w:highlight w:val="none"/>
        </w:rPr>
        <w:t>宜在</w:t>
      </w:r>
      <w:r>
        <w:rPr>
          <w:bCs/>
          <w:color w:val="auto"/>
          <w:kern w:val="0"/>
          <w:szCs w:val="21"/>
          <w:highlight w:val="none"/>
        </w:rPr>
        <w:t>发育填石、漂石、</w:t>
      </w:r>
      <w:r>
        <w:rPr>
          <w:rFonts w:hint="eastAsia"/>
          <w:bCs/>
          <w:color w:val="auto"/>
          <w:kern w:val="0"/>
          <w:szCs w:val="21"/>
          <w:highlight w:val="none"/>
        </w:rPr>
        <w:t>孤石、</w:t>
      </w:r>
      <w:r>
        <w:rPr>
          <w:bCs/>
          <w:color w:val="auto"/>
          <w:kern w:val="0"/>
          <w:szCs w:val="21"/>
          <w:highlight w:val="none"/>
        </w:rPr>
        <w:t>岩面剧烈起伏</w:t>
      </w:r>
      <w:r>
        <w:rPr>
          <w:rFonts w:hint="eastAsia"/>
          <w:bCs/>
          <w:color w:val="auto"/>
          <w:kern w:val="0"/>
          <w:szCs w:val="21"/>
          <w:highlight w:val="none"/>
        </w:rPr>
        <w:t>等部位布置施工勘察勘探孔，勘探孔间距</w:t>
      </w:r>
      <w:r>
        <w:rPr>
          <w:bCs/>
          <w:color w:val="auto"/>
          <w:kern w:val="0"/>
          <w:szCs w:val="21"/>
          <w:highlight w:val="none"/>
        </w:rPr>
        <w:t>宜为</w:t>
      </w:r>
      <w:r>
        <w:rPr>
          <w:rFonts w:hint="eastAsia"/>
          <w:bCs/>
          <w:color w:val="auto"/>
          <w:kern w:val="0"/>
          <w:szCs w:val="21"/>
          <w:highlight w:val="none"/>
        </w:rPr>
        <w:t>5</w:t>
      </w:r>
      <w:r>
        <w:rPr>
          <w:bCs/>
          <w:color w:val="auto"/>
          <w:kern w:val="0"/>
          <w:szCs w:val="21"/>
          <w:highlight w:val="none"/>
        </w:rPr>
        <w:t>m～1</w:t>
      </w:r>
      <w:r>
        <w:rPr>
          <w:rFonts w:hint="eastAsia"/>
          <w:bCs/>
          <w:color w:val="auto"/>
          <w:kern w:val="0"/>
          <w:szCs w:val="21"/>
          <w:highlight w:val="none"/>
        </w:rPr>
        <w:t>0</w:t>
      </w:r>
      <w:r>
        <w:rPr>
          <w:bCs/>
          <w:color w:val="auto"/>
          <w:kern w:val="0"/>
          <w:szCs w:val="21"/>
          <w:highlight w:val="none"/>
        </w:rPr>
        <w:t>m</w:t>
      </w:r>
      <w:r>
        <w:rPr>
          <w:rFonts w:hint="eastAsia"/>
          <w:bCs/>
          <w:color w:val="auto"/>
          <w:kern w:val="0"/>
          <w:szCs w:val="21"/>
          <w:highlight w:val="none"/>
        </w:rPr>
        <w:t>，并根据需要局部加密；勘探孔</w:t>
      </w:r>
      <w:r>
        <w:rPr>
          <w:bCs/>
          <w:color w:val="auto"/>
          <w:kern w:val="0"/>
          <w:szCs w:val="21"/>
          <w:highlight w:val="none"/>
        </w:rPr>
        <w:t>深度宜钻穿填石、漂石、</w:t>
      </w:r>
      <w:r>
        <w:rPr>
          <w:rFonts w:hint="eastAsia"/>
          <w:bCs/>
          <w:color w:val="auto"/>
          <w:kern w:val="0"/>
          <w:szCs w:val="21"/>
          <w:highlight w:val="none"/>
        </w:rPr>
        <w:t>孤石、</w:t>
      </w:r>
      <w:r>
        <w:rPr>
          <w:bCs/>
          <w:color w:val="auto"/>
          <w:kern w:val="0"/>
          <w:szCs w:val="21"/>
          <w:highlight w:val="none"/>
        </w:rPr>
        <w:t>岩面并</w:t>
      </w:r>
      <w:r>
        <w:rPr>
          <w:rFonts w:hint="eastAsia"/>
          <w:bCs/>
          <w:color w:val="auto"/>
          <w:kern w:val="0"/>
          <w:szCs w:val="21"/>
          <w:highlight w:val="none"/>
        </w:rPr>
        <w:t>到达</w:t>
      </w:r>
      <w:r>
        <w:rPr>
          <w:bCs/>
          <w:color w:val="auto"/>
          <w:kern w:val="0"/>
          <w:szCs w:val="21"/>
          <w:highlight w:val="none"/>
        </w:rPr>
        <w:t>管底</w:t>
      </w:r>
      <w:r>
        <w:rPr>
          <w:rFonts w:hint="eastAsia"/>
          <w:bCs/>
          <w:color w:val="auto"/>
          <w:kern w:val="0"/>
          <w:szCs w:val="21"/>
          <w:highlight w:val="none"/>
        </w:rPr>
        <w:t>或底板</w:t>
      </w:r>
      <w:r>
        <w:rPr>
          <w:bCs/>
          <w:color w:val="auto"/>
          <w:kern w:val="0"/>
          <w:szCs w:val="21"/>
          <w:highlight w:val="none"/>
        </w:rPr>
        <w:t>以下</w:t>
      </w:r>
      <w:r>
        <w:rPr>
          <w:rFonts w:hint="eastAsia"/>
          <w:bCs/>
          <w:color w:val="auto"/>
          <w:kern w:val="0"/>
          <w:szCs w:val="21"/>
          <w:highlight w:val="none"/>
        </w:rPr>
        <w:t>不小于1</w:t>
      </w:r>
      <w:r>
        <w:rPr>
          <w:bCs/>
          <w:color w:val="auto"/>
          <w:kern w:val="0"/>
          <w:szCs w:val="21"/>
          <w:highlight w:val="none"/>
        </w:rPr>
        <w:t>m。</w:t>
      </w:r>
    </w:p>
    <w:p>
      <w:pPr>
        <w:spacing w:line="360" w:lineRule="auto"/>
        <w:rPr>
          <w:bCs/>
          <w:color w:val="auto"/>
          <w:kern w:val="0"/>
          <w:szCs w:val="21"/>
          <w:highlight w:val="none"/>
        </w:rPr>
      </w:pPr>
      <w:r>
        <w:rPr>
          <w:rFonts w:hint="eastAsia"/>
          <w:b/>
          <w:bCs/>
          <w:color w:val="auto"/>
          <w:kern w:val="0"/>
          <w:szCs w:val="21"/>
          <w:highlight w:val="none"/>
        </w:rPr>
        <w:t>14</w:t>
      </w:r>
      <w:r>
        <w:rPr>
          <w:b/>
          <w:bCs/>
          <w:color w:val="auto"/>
          <w:kern w:val="0"/>
          <w:szCs w:val="21"/>
          <w:highlight w:val="none"/>
        </w:rPr>
        <w:t>.</w:t>
      </w:r>
      <w:r>
        <w:rPr>
          <w:rFonts w:hint="eastAsia"/>
          <w:b/>
          <w:bCs/>
          <w:color w:val="auto"/>
          <w:kern w:val="0"/>
          <w:szCs w:val="21"/>
          <w:highlight w:val="none"/>
        </w:rPr>
        <w:t>2</w:t>
      </w:r>
      <w:r>
        <w:rPr>
          <w:b/>
          <w:bCs/>
          <w:color w:val="auto"/>
          <w:kern w:val="0"/>
          <w:szCs w:val="21"/>
          <w:highlight w:val="none"/>
        </w:rPr>
        <w:t>.</w:t>
      </w:r>
      <w:r>
        <w:rPr>
          <w:rFonts w:hint="eastAsia"/>
          <w:b/>
          <w:bCs/>
          <w:color w:val="auto"/>
          <w:kern w:val="0"/>
          <w:szCs w:val="21"/>
          <w:highlight w:val="none"/>
        </w:rPr>
        <w:t>8　</w:t>
      </w:r>
      <w:r>
        <w:rPr>
          <w:rFonts w:hint="eastAsia"/>
          <w:color w:val="auto"/>
          <w:kern w:val="0"/>
          <w:szCs w:val="21"/>
          <w:highlight w:val="none"/>
        </w:rPr>
        <w:t>软土、新近填土、污染土、暗塘、土洞、采空区、抛石、孤石等不良地质体的边界范围探查，可采用螺纹钻、钎探等勘探方法，间距宜为0.5m~2m</w:t>
      </w:r>
      <w:r>
        <w:rPr>
          <w:bCs/>
          <w:color w:val="auto"/>
          <w:kern w:val="0"/>
          <w:szCs w:val="21"/>
          <w:highlight w:val="none"/>
        </w:rPr>
        <w:t>。</w:t>
      </w:r>
    </w:p>
    <w:p>
      <w:pPr>
        <w:rPr>
          <w:color w:val="auto"/>
          <w:sz w:val="10"/>
          <w:szCs w:val="10"/>
          <w:highlight w:val="none"/>
        </w:rPr>
      </w:pPr>
      <w:r>
        <w:rPr>
          <w:color w:val="auto"/>
          <w:sz w:val="10"/>
          <w:szCs w:val="10"/>
          <w:highlight w:val="none"/>
        </w:rPr>
        <w:br w:type="page"/>
      </w:r>
    </w:p>
    <w:p>
      <w:pPr>
        <w:rPr>
          <w:color w:val="auto"/>
          <w:sz w:val="10"/>
          <w:szCs w:val="10"/>
          <w:highlight w:val="none"/>
        </w:rPr>
      </w:pPr>
    </w:p>
    <w:p>
      <w:pPr>
        <w:pStyle w:val="2"/>
        <w:spacing w:before="480" w:after="480" w:line="240" w:lineRule="auto"/>
        <w:rPr>
          <w:color w:val="auto"/>
          <w:highlight w:val="none"/>
        </w:rPr>
      </w:pPr>
      <w:bookmarkStart w:id="260" w:name="_Toc19458"/>
      <w:bookmarkStart w:id="261" w:name="_Toc31901"/>
      <w:bookmarkStart w:id="262" w:name="_Toc12249"/>
      <w:bookmarkStart w:id="263" w:name="_15　勘察成果与信息化"/>
      <w:r>
        <w:rPr>
          <w:rFonts w:hint="eastAsia"/>
          <w:color w:val="auto"/>
          <w:highlight w:val="none"/>
        </w:rPr>
        <w:t>15　勘察成果与信息化</w:t>
      </w:r>
      <w:bookmarkEnd w:id="260"/>
      <w:bookmarkEnd w:id="261"/>
      <w:bookmarkEnd w:id="262"/>
    </w:p>
    <w:bookmarkEnd w:id="263"/>
    <w:p>
      <w:pPr>
        <w:pStyle w:val="3"/>
        <w:rPr>
          <w:rFonts w:ascii="Times New Roman" w:hAnsi="Times New Roman" w:eastAsia="宋体"/>
          <w:color w:val="auto"/>
          <w:highlight w:val="none"/>
        </w:rPr>
      </w:pPr>
      <w:bookmarkStart w:id="264" w:name="_Toc78"/>
      <w:bookmarkStart w:id="265" w:name="_Toc9693"/>
      <w:bookmarkStart w:id="266" w:name="_Toc4826"/>
      <w:bookmarkStart w:id="267" w:name="_15.1　一般规定"/>
      <w:r>
        <w:rPr>
          <w:rFonts w:hint="eastAsia" w:ascii="Times New Roman" w:hAnsi="Times New Roman" w:eastAsia="宋体"/>
          <w:color w:val="auto"/>
          <w:highlight w:val="none"/>
        </w:rPr>
        <w:t>15.</w:t>
      </w:r>
      <w:r>
        <w:rPr>
          <w:rFonts w:ascii="Times New Roman" w:hAnsi="Times New Roman" w:eastAsia="宋体"/>
          <w:color w:val="auto"/>
          <w:highlight w:val="none"/>
        </w:rPr>
        <w:t>1</w:t>
      </w:r>
      <w:r>
        <w:rPr>
          <w:rFonts w:hint="eastAsia" w:ascii="Times New Roman" w:hAnsi="Times New Roman" w:eastAsia="宋体"/>
          <w:color w:val="auto"/>
          <w:highlight w:val="none"/>
        </w:rPr>
        <w:t>　</w:t>
      </w:r>
      <w:r>
        <w:rPr>
          <w:rFonts w:ascii="Times New Roman" w:hAnsi="Times New Roman" w:eastAsia="宋体"/>
          <w:color w:val="auto"/>
          <w:highlight w:val="none"/>
        </w:rPr>
        <w:t>一般规定</w:t>
      </w:r>
      <w:bookmarkEnd w:id="264"/>
      <w:bookmarkEnd w:id="265"/>
      <w:bookmarkEnd w:id="266"/>
    </w:p>
    <w:bookmarkEnd w:id="267"/>
    <w:p>
      <w:pPr>
        <w:spacing w:line="360" w:lineRule="auto"/>
        <w:rPr>
          <w:color w:val="auto"/>
          <w:szCs w:val="21"/>
          <w:highlight w:val="none"/>
        </w:rPr>
      </w:pPr>
      <w:r>
        <w:rPr>
          <w:rFonts w:hint="eastAsia"/>
          <w:b/>
          <w:bCs/>
          <w:color w:val="auto"/>
          <w:szCs w:val="21"/>
          <w:highlight w:val="none"/>
        </w:rPr>
        <w:t>15.</w:t>
      </w:r>
      <w:r>
        <w:rPr>
          <w:b/>
          <w:bCs/>
          <w:color w:val="auto"/>
          <w:szCs w:val="21"/>
          <w:highlight w:val="none"/>
        </w:rPr>
        <w:t>1.1</w:t>
      </w:r>
      <w:r>
        <w:rPr>
          <w:rFonts w:hint="eastAsia"/>
          <w:color w:val="auto"/>
          <w:szCs w:val="21"/>
          <w:highlight w:val="none"/>
        </w:rPr>
        <w:t>　</w:t>
      </w:r>
      <w:r>
        <w:rPr>
          <w:color w:val="auto"/>
          <w:szCs w:val="21"/>
          <w:highlight w:val="none"/>
        </w:rPr>
        <w:t>勘察</w:t>
      </w:r>
      <w:r>
        <w:rPr>
          <w:rFonts w:hint="eastAsia"/>
          <w:color w:val="auto"/>
          <w:szCs w:val="21"/>
          <w:highlight w:val="none"/>
        </w:rPr>
        <w:t>成果</w:t>
      </w:r>
      <w:r>
        <w:rPr>
          <w:color w:val="auto"/>
          <w:szCs w:val="21"/>
          <w:highlight w:val="none"/>
        </w:rPr>
        <w:t>所依据的原始资料应进行整理、检查分析，确认无误后方可使用。</w:t>
      </w:r>
    </w:p>
    <w:p>
      <w:pPr>
        <w:spacing w:line="360" w:lineRule="auto"/>
        <w:rPr>
          <w:color w:val="auto"/>
          <w:highlight w:val="none"/>
        </w:rPr>
      </w:pPr>
      <w:r>
        <w:rPr>
          <w:rFonts w:hint="eastAsia"/>
          <w:b/>
          <w:bCs/>
          <w:color w:val="auto"/>
          <w:highlight w:val="none"/>
        </w:rPr>
        <w:t>15.1</w:t>
      </w:r>
      <w:r>
        <w:rPr>
          <w:b/>
          <w:bCs/>
          <w:color w:val="auto"/>
          <w:highlight w:val="none"/>
        </w:rPr>
        <w:t>.2</w:t>
      </w:r>
      <w:r>
        <w:rPr>
          <w:rFonts w:hint="eastAsia"/>
          <w:color w:val="auto"/>
          <w:szCs w:val="21"/>
          <w:highlight w:val="none"/>
        </w:rPr>
        <w:t>　</w:t>
      </w:r>
      <w:r>
        <w:rPr>
          <w:color w:val="auto"/>
          <w:highlight w:val="none"/>
        </w:rPr>
        <w:t>岩土参数统计应根据实际试验项目和岩土工程评价需要进行，并满足</w:t>
      </w:r>
      <w:r>
        <w:rPr>
          <w:rFonts w:hint="eastAsia"/>
          <w:color w:val="auto"/>
          <w:highlight w:val="none"/>
        </w:rPr>
        <w:t>现行国家标准</w:t>
      </w:r>
      <w:r>
        <w:rPr>
          <w:color w:val="auto"/>
          <w:highlight w:val="none"/>
        </w:rPr>
        <w:t>要求。</w:t>
      </w:r>
    </w:p>
    <w:p>
      <w:pPr>
        <w:spacing w:line="360" w:lineRule="auto"/>
        <w:rPr>
          <w:color w:val="auto"/>
          <w:szCs w:val="21"/>
          <w:highlight w:val="none"/>
        </w:rPr>
      </w:pPr>
      <w:r>
        <w:rPr>
          <w:rFonts w:hint="eastAsia"/>
          <w:b/>
          <w:bCs/>
          <w:color w:val="auto"/>
          <w:szCs w:val="21"/>
          <w:highlight w:val="none"/>
        </w:rPr>
        <w:t>15.</w:t>
      </w:r>
      <w:r>
        <w:rPr>
          <w:b/>
          <w:bCs/>
          <w:color w:val="auto"/>
          <w:szCs w:val="21"/>
          <w:highlight w:val="none"/>
        </w:rPr>
        <w:t>1.3</w:t>
      </w:r>
      <w:r>
        <w:rPr>
          <w:rFonts w:hint="eastAsia"/>
          <w:color w:val="auto"/>
          <w:szCs w:val="21"/>
          <w:highlight w:val="none"/>
        </w:rPr>
        <w:t>　</w:t>
      </w:r>
      <w:r>
        <w:rPr>
          <w:color w:val="auto"/>
          <w:szCs w:val="21"/>
          <w:highlight w:val="none"/>
        </w:rPr>
        <w:t>勘察报告应在试验和测试的基础数据上，充分考虑当地工程或类似工程经验，依据具体市政工程项目特点有针对性地进行</w:t>
      </w:r>
      <w:r>
        <w:rPr>
          <w:rFonts w:hint="eastAsia"/>
          <w:color w:val="auto"/>
          <w:szCs w:val="21"/>
          <w:highlight w:val="none"/>
        </w:rPr>
        <w:t>岩土工程分析</w:t>
      </w:r>
      <w:r>
        <w:rPr>
          <w:color w:val="auto"/>
          <w:szCs w:val="21"/>
          <w:highlight w:val="none"/>
        </w:rPr>
        <w:t>评价。</w:t>
      </w:r>
    </w:p>
    <w:p>
      <w:pPr>
        <w:spacing w:line="360" w:lineRule="auto"/>
        <w:rPr>
          <w:color w:val="auto"/>
          <w:szCs w:val="21"/>
          <w:highlight w:val="none"/>
        </w:rPr>
      </w:pPr>
      <w:r>
        <w:rPr>
          <w:rFonts w:hint="eastAsia"/>
          <w:b/>
          <w:bCs/>
          <w:color w:val="auto"/>
          <w:szCs w:val="21"/>
          <w:highlight w:val="none"/>
        </w:rPr>
        <w:t>15.</w:t>
      </w:r>
      <w:r>
        <w:rPr>
          <w:b/>
          <w:bCs/>
          <w:color w:val="auto"/>
          <w:szCs w:val="21"/>
          <w:highlight w:val="none"/>
        </w:rPr>
        <w:t>1.</w:t>
      </w:r>
      <w:r>
        <w:rPr>
          <w:rFonts w:hint="eastAsia"/>
          <w:b/>
          <w:bCs/>
          <w:color w:val="auto"/>
          <w:szCs w:val="21"/>
          <w:highlight w:val="none"/>
        </w:rPr>
        <w:t>4　</w:t>
      </w:r>
      <w:r>
        <w:rPr>
          <w:color w:val="auto"/>
          <w:szCs w:val="21"/>
          <w:highlight w:val="none"/>
        </w:rPr>
        <w:t>勘察报告应资料完整、真实可靠、图表清晰、评价</w:t>
      </w:r>
      <w:r>
        <w:rPr>
          <w:rFonts w:hint="eastAsia"/>
          <w:color w:val="auto"/>
          <w:szCs w:val="21"/>
          <w:highlight w:val="none"/>
        </w:rPr>
        <w:t>正确</w:t>
      </w:r>
      <w:r>
        <w:rPr>
          <w:color w:val="auto"/>
          <w:szCs w:val="21"/>
          <w:highlight w:val="none"/>
        </w:rPr>
        <w:t>、建议合理、重点突出，便于使用和适应长期保存。</w:t>
      </w:r>
    </w:p>
    <w:p>
      <w:pPr>
        <w:autoSpaceDE w:val="0"/>
        <w:autoSpaceDN w:val="0"/>
        <w:adjustRightInd w:val="0"/>
        <w:spacing w:line="360" w:lineRule="auto"/>
        <w:jc w:val="left"/>
        <w:rPr>
          <w:color w:val="auto"/>
          <w:szCs w:val="21"/>
          <w:highlight w:val="none"/>
        </w:rPr>
      </w:pPr>
      <w:r>
        <w:rPr>
          <w:rFonts w:hint="eastAsia"/>
          <w:b/>
          <w:bCs/>
          <w:color w:val="auto"/>
          <w:szCs w:val="21"/>
          <w:highlight w:val="none"/>
        </w:rPr>
        <w:t>15.1.5</w:t>
      </w:r>
      <w:r>
        <w:rPr>
          <w:rFonts w:hint="eastAsia"/>
          <w:color w:val="auto"/>
          <w:szCs w:val="21"/>
          <w:highlight w:val="none"/>
        </w:rPr>
        <w:t>　</w:t>
      </w:r>
      <w:r>
        <w:rPr>
          <w:color w:val="auto"/>
          <w:szCs w:val="21"/>
          <w:highlight w:val="none"/>
        </w:rPr>
        <w:t>勘察</w:t>
      </w:r>
      <w:r>
        <w:rPr>
          <w:rFonts w:hint="eastAsia"/>
          <w:color w:val="auto"/>
          <w:szCs w:val="21"/>
          <w:highlight w:val="none"/>
        </w:rPr>
        <w:t>项目宜</w:t>
      </w:r>
      <w:r>
        <w:rPr>
          <w:color w:val="auto"/>
          <w:szCs w:val="21"/>
          <w:highlight w:val="none"/>
        </w:rPr>
        <w:t>根据工程特点和管理需求</w:t>
      </w:r>
      <w:r>
        <w:rPr>
          <w:rFonts w:hint="eastAsia"/>
          <w:color w:val="auto"/>
          <w:szCs w:val="21"/>
          <w:highlight w:val="none"/>
        </w:rPr>
        <w:t>进行</w:t>
      </w:r>
      <w:r>
        <w:rPr>
          <w:color w:val="auto"/>
          <w:szCs w:val="21"/>
          <w:highlight w:val="none"/>
        </w:rPr>
        <w:t>数字化</w:t>
      </w:r>
      <w:r>
        <w:rPr>
          <w:rFonts w:hint="eastAsia"/>
          <w:color w:val="auto"/>
          <w:szCs w:val="21"/>
          <w:highlight w:val="none"/>
        </w:rPr>
        <w:t>建设</w:t>
      </w:r>
      <w:r>
        <w:rPr>
          <w:color w:val="auto"/>
          <w:szCs w:val="21"/>
          <w:highlight w:val="none"/>
        </w:rPr>
        <w:t>和</w:t>
      </w:r>
      <w:r>
        <w:rPr>
          <w:rFonts w:hint="eastAsia"/>
          <w:color w:val="auto"/>
          <w:szCs w:val="21"/>
          <w:highlight w:val="none"/>
        </w:rPr>
        <w:t>信息化管理。</w:t>
      </w:r>
    </w:p>
    <w:p>
      <w:pPr>
        <w:autoSpaceDE w:val="0"/>
        <w:autoSpaceDN w:val="0"/>
        <w:adjustRightInd w:val="0"/>
        <w:spacing w:line="360" w:lineRule="auto"/>
        <w:jc w:val="left"/>
        <w:rPr>
          <w:color w:val="auto"/>
          <w:szCs w:val="21"/>
          <w:highlight w:val="none"/>
        </w:rPr>
      </w:pPr>
      <w:r>
        <w:rPr>
          <w:rFonts w:hint="eastAsia"/>
          <w:b/>
          <w:color w:val="auto"/>
          <w:szCs w:val="21"/>
          <w:highlight w:val="none"/>
        </w:rPr>
        <w:t>15.1.6</w:t>
      </w:r>
      <w:r>
        <w:rPr>
          <w:rFonts w:hint="eastAsia"/>
          <w:bCs/>
          <w:color w:val="auto"/>
          <w:szCs w:val="21"/>
          <w:highlight w:val="none"/>
        </w:rPr>
        <w:t>　</w:t>
      </w:r>
      <w:r>
        <w:rPr>
          <w:rFonts w:hint="eastAsia"/>
          <w:color w:val="auto"/>
          <w:szCs w:val="21"/>
          <w:highlight w:val="none"/>
        </w:rPr>
        <w:t>勘察</w:t>
      </w:r>
      <w:r>
        <w:rPr>
          <w:color w:val="auto"/>
          <w:szCs w:val="21"/>
          <w:highlight w:val="none"/>
        </w:rPr>
        <w:t>信息平台</w:t>
      </w:r>
      <w:r>
        <w:rPr>
          <w:rFonts w:hint="eastAsia"/>
          <w:color w:val="auto"/>
          <w:szCs w:val="21"/>
          <w:highlight w:val="none"/>
        </w:rPr>
        <w:t>系统应在数字化建设基础上，</w:t>
      </w:r>
      <w:r>
        <w:rPr>
          <w:color w:val="auto"/>
          <w:szCs w:val="21"/>
          <w:highlight w:val="none"/>
        </w:rPr>
        <w:t>实现勘察作业</w:t>
      </w:r>
      <w:r>
        <w:rPr>
          <w:rFonts w:hint="eastAsia"/>
          <w:color w:val="auto"/>
          <w:szCs w:val="21"/>
          <w:highlight w:val="none"/>
        </w:rPr>
        <w:t>、</w:t>
      </w:r>
      <w:r>
        <w:rPr>
          <w:color w:val="auto"/>
          <w:szCs w:val="21"/>
          <w:highlight w:val="none"/>
        </w:rPr>
        <w:t>成果制</w:t>
      </w:r>
      <w:r>
        <w:rPr>
          <w:rFonts w:hint="eastAsia"/>
          <w:color w:val="auto"/>
          <w:szCs w:val="21"/>
          <w:highlight w:val="none"/>
        </w:rPr>
        <w:t>作和后期服务的</w:t>
      </w:r>
      <w:r>
        <w:rPr>
          <w:color w:val="auto"/>
          <w:szCs w:val="21"/>
          <w:highlight w:val="none"/>
        </w:rPr>
        <w:t>全流程信息化</w:t>
      </w:r>
      <w:r>
        <w:rPr>
          <w:rFonts w:hint="eastAsia"/>
          <w:color w:val="auto"/>
          <w:szCs w:val="21"/>
          <w:highlight w:val="none"/>
        </w:rPr>
        <w:t>管理</w:t>
      </w:r>
      <w:r>
        <w:rPr>
          <w:color w:val="auto"/>
          <w:szCs w:val="21"/>
          <w:highlight w:val="none"/>
        </w:rPr>
        <w:t>。</w:t>
      </w:r>
      <w:r>
        <w:rPr>
          <w:rFonts w:hint="eastAsia"/>
          <w:color w:val="auto"/>
          <w:szCs w:val="21"/>
          <w:highlight w:val="none"/>
        </w:rPr>
        <w:t>勘察信息化平台维护与运营应符合相关法律法规的规定。</w:t>
      </w:r>
    </w:p>
    <w:p>
      <w:pPr>
        <w:pStyle w:val="3"/>
        <w:rPr>
          <w:rFonts w:ascii="Times New Roman" w:hAnsi="Times New Roman" w:eastAsia="宋体"/>
          <w:color w:val="auto"/>
          <w:highlight w:val="none"/>
        </w:rPr>
      </w:pPr>
      <w:bookmarkStart w:id="268" w:name="_Toc560"/>
      <w:bookmarkStart w:id="269" w:name="_Toc23498"/>
      <w:bookmarkStart w:id="270" w:name="_Toc10408"/>
      <w:bookmarkStart w:id="271" w:name="_15.2　勘察报告"/>
      <w:r>
        <w:rPr>
          <w:rFonts w:hint="eastAsia" w:ascii="Times New Roman" w:hAnsi="Times New Roman" w:eastAsia="宋体"/>
          <w:color w:val="auto"/>
          <w:highlight w:val="none"/>
        </w:rPr>
        <w:t>15.2　</w:t>
      </w:r>
      <w:r>
        <w:rPr>
          <w:rFonts w:ascii="Times New Roman" w:hAnsi="Times New Roman" w:eastAsia="宋体"/>
          <w:color w:val="auto"/>
          <w:highlight w:val="none"/>
        </w:rPr>
        <w:t>勘察报告</w:t>
      </w:r>
      <w:bookmarkEnd w:id="268"/>
      <w:bookmarkEnd w:id="269"/>
      <w:bookmarkEnd w:id="270"/>
    </w:p>
    <w:bookmarkEnd w:id="271"/>
    <w:p>
      <w:pPr>
        <w:spacing w:line="360" w:lineRule="auto"/>
        <w:rPr>
          <w:color w:val="auto"/>
          <w:highlight w:val="none"/>
        </w:rPr>
      </w:pPr>
      <w:r>
        <w:rPr>
          <w:rFonts w:hint="eastAsia"/>
          <w:b/>
          <w:bCs/>
          <w:color w:val="auto"/>
          <w:highlight w:val="none"/>
        </w:rPr>
        <w:t>15.2</w:t>
      </w:r>
      <w:r>
        <w:rPr>
          <w:b/>
          <w:bCs/>
          <w:color w:val="auto"/>
          <w:highlight w:val="none"/>
        </w:rPr>
        <w:t>.1</w:t>
      </w:r>
      <w:r>
        <w:rPr>
          <w:rFonts w:hint="eastAsia"/>
          <w:b/>
          <w:bCs/>
          <w:color w:val="auto"/>
          <w:highlight w:val="none"/>
        </w:rPr>
        <w:t>　</w:t>
      </w:r>
      <w:r>
        <w:rPr>
          <w:color w:val="auto"/>
          <w:highlight w:val="none"/>
        </w:rPr>
        <w:t>勘察报告应根据任务要求、勘察阶段、工程特点和地质环境等具体情况进行编写，</w:t>
      </w:r>
      <w:r>
        <w:rPr>
          <w:rFonts w:hint="eastAsia"/>
          <w:color w:val="auto"/>
          <w:highlight w:val="none"/>
        </w:rPr>
        <w:t>并</w:t>
      </w:r>
      <w:r>
        <w:rPr>
          <w:color w:val="auto"/>
          <w:highlight w:val="none"/>
        </w:rPr>
        <w:t>应包括如下内容：</w:t>
      </w:r>
    </w:p>
    <w:p>
      <w:pPr>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拟建</w:t>
      </w:r>
      <w:r>
        <w:rPr>
          <w:color w:val="auto"/>
          <w:highlight w:val="none"/>
        </w:rPr>
        <w:t>工程概况；</w:t>
      </w:r>
    </w:p>
    <w:p>
      <w:pPr>
        <w:spacing w:line="360" w:lineRule="auto"/>
        <w:ind w:firstLine="422" w:firstLineChars="200"/>
        <w:rPr>
          <w:color w:val="auto"/>
          <w:highlight w:val="none"/>
        </w:rPr>
      </w:pPr>
      <w:r>
        <w:rPr>
          <w:rFonts w:hint="eastAsia"/>
          <w:b/>
          <w:bCs/>
          <w:color w:val="auto"/>
          <w:highlight w:val="none"/>
        </w:rPr>
        <w:t>2　</w:t>
      </w:r>
      <w:r>
        <w:rPr>
          <w:color w:val="auto"/>
          <w:highlight w:val="none"/>
        </w:rPr>
        <w:t>勘察目的、任务要求和依据的技术标准；</w:t>
      </w:r>
    </w:p>
    <w:p>
      <w:pPr>
        <w:spacing w:line="360" w:lineRule="auto"/>
        <w:ind w:firstLine="422" w:firstLineChars="200"/>
        <w:rPr>
          <w:color w:val="auto"/>
          <w:highlight w:val="none"/>
        </w:rPr>
      </w:pPr>
      <w:r>
        <w:rPr>
          <w:b/>
          <w:bCs/>
          <w:color w:val="auto"/>
          <w:highlight w:val="none"/>
        </w:rPr>
        <w:t>3</w:t>
      </w:r>
      <w:r>
        <w:rPr>
          <w:rFonts w:hint="eastAsia"/>
          <w:color w:val="auto"/>
          <w:highlight w:val="none"/>
        </w:rPr>
        <w:t>　</w:t>
      </w:r>
      <w:r>
        <w:rPr>
          <w:color w:val="auto"/>
          <w:highlight w:val="none"/>
        </w:rPr>
        <w:t>勘察等级、勘察方法、勘察工作布置、勘察工作质量评述；</w:t>
      </w:r>
    </w:p>
    <w:p>
      <w:pPr>
        <w:spacing w:line="360" w:lineRule="auto"/>
        <w:ind w:firstLine="422" w:firstLineChars="200"/>
        <w:rPr>
          <w:color w:val="auto"/>
          <w:highlight w:val="none"/>
        </w:rPr>
      </w:pPr>
      <w:r>
        <w:rPr>
          <w:b/>
          <w:bCs/>
          <w:color w:val="auto"/>
          <w:highlight w:val="none"/>
        </w:rPr>
        <w:t>4</w:t>
      </w:r>
      <w:r>
        <w:rPr>
          <w:rFonts w:hint="eastAsia"/>
          <w:color w:val="auto"/>
          <w:highlight w:val="none"/>
        </w:rPr>
        <w:t>　</w:t>
      </w:r>
      <w:r>
        <w:rPr>
          <w:color w:val="auto"/>
          <w:highlight w:val="none"/>
        </w:rPr>
        <w:t>地形地貌、气候、水文</w:t>
      </w:r>
      <w:r>
        <w:rPr>
          <w:rFonts w:hint="eastAsia"/>
          <w:color w:val="auto"/>
          <w:highlight w:val="none"/>
        </w:rPr>
        <w:t>、地下埋藏物、地下结构物与周边环境情况；</w:t>
      </w:r>
    </w:p>
    <w:p>
      <w:pPr>
        <w:spacing w:line="360" w:lineRule="auto"/>
        <w:ind w:firstLine="422" w:firstLineChars="200"/>
        <w:rPr>
          <w:color w:val="auto"/>
          <w:highlight w:val="none"/>
        </w:rPr>
      </w:pPr>
      <w:r>
        <w:rPr>
          <w:b/>
          <w:bCs/>
          <w:color w:val="auto"/>
          <w:highlight w:val="none"/>
        </w:rPr>
        <w:t>5</w:t>
      </w:r>
      <w:r>
        <w:rPr>
          <w:rFonts w:hint="eastAsia"/>
          <w:color w:val="auto"/>
          <w:highlight w:val="none"/>
        </w:rPr>
        <w:t>　区域</w:t>
      </w:r>
      <w:r>
        <w:rPr>
          <w:color w:val="auto"/>
          <w:highlight w:val="none"/>
        </w:rPr>
        <w:t>地质构造、地层</w:t>
      </w:r>
      <w:r>
        <w:rPr>
          <w:rFonts w:hint="eastAsia"/>
          <w:color w:val="auto"/>
          <w:highlight w:val="none"/>
        </w:rPr>
        <w:t>岩性、</w:t>
      </w:r>
      <w:r>
        <w:rPr>
          <w:color w:val="auto"/>
          <w:highlight w:val="none"/>
        </w:rPr>
        <w:t>孤石及溶洞</w:t>
      </w:r>
      <w:r>
        <w:rPr>
          <w:rFonts w:hint="eastAsia"/>
          <w:color w:val="auto"/>
          <w:highlight w:val="none"/>
        </w:rPr>
        <w:t>的分布特征</w:t>
      </w:r>
      <w:r>
        <w:rPr>
          <w:color w:val="auto"/>
          <w:highlight w:val="none"/>
        </w:rPr>
        <w:t>；</w:t>
      </w:r>
    </w:p>
    <w:p>
      <w:pPr>
        <w:spacing w:line="360" w:lineRule="auto"/>
        <w:ind w:firstLine="422" w:firstLineChars="200"/>
        <w:rPr>
          <w:color w:val="auto"/>
          <w:highlight w:val="none"/>
        </w:rPr>
      </w:pPr>
      <w:r>
        <w:rPr>
          <w:rFonts w:hint="eastAsia"/>
          <w:b/>
          <w:bCs/>
          <w:color w:val="auto"/>
          <w:highlight w:val="none"/>
        </w:rPr>
        <w:t>6　</w:t>
      </w:r>
      <w:r>
        <w:rPr>
          <w:color w:val="auto"/>
          <w:highlight w:val="none"/>
        </w:rPr>
        <w:t>地下水埋藏情况、类型、水位及其变化，地表水分布、水位、深度及其变化情况；</w:t>
      </w:r>
    </w:p>
    <w:p>
      <w:pPr>
        <w:spacing w:line="360" w:lineRule="auto"/>
        <w:ind w:firstLine="422" w:firstLineChars="200"/>
        <w:rPr>
          <w:color w:val="auto"/>
          <w:highlight w:val="none"/>
        </w:rPr>
      </w:pPr>
      <w:r>
        <w:rPr>
          <w:rFonts w:hint="eastAsia"/>
          <w:b/>
          <w:bCs/>
          <w:color w:val="auto"/>
          <w:highlight w:val="none"/>
        </w:rPr>
        <w:t>7</w:t>
      </w:r>
      <w:r>
        <w:rPr>
          <w:rFonts w:hint="eastAsia"/>
          <w:color w:val="auto"/>
          <w:highlight w:val="none"/>
        </w:rPr>
        <w:t>　</w:t>
      </w:r>
      <w:r>
        <w:rPr>
          <w:color w:val="auto"/>
          <w:highlight w:val="none"/>
        </w:rPr>
        <w:t>土和水对建筑材料的腐蚀性；</w:t>
      </w:r>
    </w:p>
    <w:p>
      <w:pPr>
        <w:spacing w:line="360" w:lineRule="auto"/>
        <w:ind w:firstLine="422" w:firstLineChars="200"/>
        <w:rPr>
          <w:color w:val="auto"/>
          <w:highlight w:val="none"/>
        </w:rPr>
      </w:pPr>
      <w:r>
        <w:rPr>
          <w:rFonts w:hint="eastAsia"/>
          <w:b/>
          <w:bCs/>
          <w:color w:val="auto"/>
          <w:highlight w:val="none"/>
        </w:rPr>
        <w:t>8　</w:t>
      </w:r>
      <w:r>
        <w:rPr>
          <w:color w:val="auto"/>
          <w:highlight w:val="none"/>
        </w:rPr>
        <w:t>岩土体物理力学指标</w:t>
      </w:r>
      <w:r>
        <w:rPr>
          <w:rFonts w:hint="eastAsia"/>
          <w:color w:val="auto"/>
          <w:highlight w:val="none"/>
        </w:rPr>
        <w:t>统计；</w:t>
      </w:r>
    </w:p>
    <w:p>
      <w:pPr>
        <w:spacing w:line="360" w:lineRule="auto"/>
        <w:ind w:firstLine="422" w:firstLineChars="200"/>
        <w:rPr>
          <w:color w:val="auto"/>
          <w:highlight w:val="none"/>
        </w:rPr>
      </w:pPr>
      <w:r>
        <w:rPr>
          <w:rFonts w:hint="eastAsia"/>
          <w:b/>
          <w:bCs/>
          <w:color w:val="auto"/>
          <w:highlight w:val="none"/>
        </w:rPr>
        <w:t>9</w:t>
      </w:r>
      <w:r>
        <w:rPr>
          <w:rFonts w:hint="eastAsia"/>
          <w:color w:val="auto"/>
          <w:highlight w:val="none"/>
        </w:rPr>
        <w:t>　</w:t>
      </w:r>
      <w:r>
        <w:rPr>
          <w:color w:val="auto"/>
          <w:highlight w:val="none"/>
        </w:rPr>
        <w:t>场地稳定性、适宜性、地震效应</w:t>
      </w:r>
      <w:r>
        <w:rPr>
          <w:rFonts w:hint="eastAsia"/>
          <w:color w:val="auto"/>
          <w:highlight w:val="none"/>
        </w:rPr>
        <w:t>评价</w:t>
      </w:r>
      <w:r>
        <w:rPr>
          <w:color w:val="auto"/>
          <w:highlight w:val="none"/>
        </w:rPr>
        <w:t>；</w:t>
      </w:r>
    </w:p>
    <w:p>
      <w:pPr>
        <w:spacing w:line="360" w:lineRule="auto"/>
        <w:ind w:firstLine="422" w:firstLineChars="200"/>
        <w:rPr>
          <w:color w:val="auto"/>
          <w:highlight w:val="none"/>
        </w:rPr>
      </w:pPr>
      <w:r>
        <w:rPr>
          <w:rFonts w:hint="eastAsia"/>
          <w:b/>
          <w:bCs/>
          <w:color w:val="auto"/>
          <w:highlight w:val="none"/>
        </w:rPr>
        <w:t>10</w:t>
      </w:r>
      <w:r>
        <w:rPr>
          <w:rFonts w:hint="eastAsia"/>
          <w:color w:val="auto"/>
          <w:highlight w:val="none"/>
        </w:rPr>
        <w:t>　</w:t>
      </w:r>
      <w:r>
        <w:rPr>
          <w:color w:val="auto"/>
          <w:highlight w:val="none"/>
        </w:rPr>
        <w:t>不良地质作用和特殊性岩土的类型、分布、特点及其对工程的危害程度</w:t>
      </w:r>
      <w:r>
        <w:rPr>
          <w:rFonts w:hint="eastAsia"/>
          <w:color w:val="auto"/>
          <w:highlight w:val="none"/>
        </w:rPr>
        <w:t>评价</w:t>
      </w:r>
      <w:r>
        <w:rPr>
          <w:color w:val="auto"/>
          <w:highlight w:val="none"/>
        </w:rPr>
        <w:t>；</w:t>
      </w:r>
    </w:p>
    <w:p>
      <w:pPr>
        <w:spacing w:line="360" w:lineRule="auto"/>
        <w:ind w:firstLine="422" w:firstLineChars="200"/>
        <w:rPr>
          <w:color w:val="auto"/>
          <w:highlight w:val="none"/>
        </w:rPr>
      </w:pPr>
      <w:r>
        <w:rPr>
          <w:b/>
          <w:bCs/>
          <w:color w:val="auto"/>
          <w:highlight w:val="none"/>
        </w:rPr>
        <w:t>1</w:t>
      </w:r>
      <w:r>
        <w:rPr>
          <w:rFonts w:hint="eastAsia"/>
          <w:b/>
          <w:bCs/>
          <w:color w:val="auto"/>
          <w:highlight w:val="none"/>
        </w:rPr>
        <w:t>1</w:t>
      </w:r>
      <w:r>
        <w:rPr>
          <w:rFonts w:hint="eastAsia"/>
          <w:color w:val="auto"/>
          <w:highlight w:val="none"/>
        </w:rPr>
        <w:t>　</w:t>
      </w:r>
      <w:r>
        <w:rPr>
          <w:color w:val="auto"/>
          <w:highlight w:val="none"/>
        </w:rPr>
        <w:t>岩土性质及其均匀性</w:t>
      </w:r>
      <w:r>
        <w:rPr>
          <w:rFonts w:hint="eastAsia"/>
          <w:color w:val="auto"/>
          <w:highlight w:val="none"/>
        </w:rPr>
        <w:t>评价</w:t>
      </w:r>
      <w:r>
        <w:rPr>
          <w:color w:val="auto"/>
          <w:highlight w:val="none"/>
        </w:rPr>
        <w:t>、</w:t>
      </w:r>
      <w:r>
        <w:rPr>
          <w:rFonts w:hint="eastAsia"/>
          <w:color w:val="auto"/>
          <w:highlight w:val="none"/>
        </w:rPr>
        <w:t>围岩稳定性评价</w:t>
      </w:r>
      <w:r>
        <w:rPr>
          <w:color w:val="auto"/>
          <w:highlight w:val="none"/>
        </w:rPr>
        <w:t>；</w:t>
      </w:r>
    </w:p>
    <w:p>
      <w:pPr>
        <w:spacing w:line="360" w:lineRule="auto"/>
        <w:ind w:firstLine="422" w:firstLineChars="200"/>
        <w:rPr>
          <w:color w:val="auto"/>
          <w:highlight w:val="none"/>
        </w:rPr>
      </w:pPr>
      <w:r>
        <w:rPr>
          <w:rFonts w:hint="eastAsia"/>
          <w:b/>
          <w:bCs/>
          <w:color w:val="auto"/>
          <w:highlight w:val="none"/>
        </w:rPr>
        <w:t>12</w:t>
      </w:r>
      <w:r>
        <w:rPr>
          <w:rFonts w:hint="eastAsia"/>
          <w:color w:val="auto"/>
          <w:highlight w:val="none"/>
        </w:rPr>
        <w:t>　地表水和地下水对工程影响评价；</w:t>
      </w:r>
    </w:p>
    <w:p>
      <w:pPr>
        <w:spacing w:line="360" w:lineRule="auto"/>
        <w:ind w:firstLine="422" w:firstLineChars="200"/>
        <w:rPr>
          <w:color w:val="auto"/>
          <w:highlight w:val="none"/>
        </w:rPr>
      </w:pPr>
      <w:r>
        <w:rPr>
          <w:b/>
          <w:bCs/>
          <w:color w:val="auto"/>
          <w:highlight w:val="none"/>
        </w:rPr>
        <w:t>1</w:t>
      </w:r>
      <w:r>
        <w:rPr>
          <w:rFonts w:hint="eastAsia"/>
          <w:b/>
          <w:bCs/>
          <w:color w:val="auto"/>
          <w:highlight w:val="none"/>
        </w:rPr>
        <w:t>3　</w:t>
      </w:r>
      <w:r>
        <w:rPr>
          <w:rFonts w:hint="eastAsia"/>
          <w:color w:val="auto"/>
          <w:highlight w:val="none"/>
        </w:rPr>
        <w:t>岩土参数建议；</w:t>
      </w:r>
    </w:p>
    <w:p>
      <w:pPr>
        <w:spacing w:line="360" w:lineRule="auto"/>
        <w:ind w:firstLine="422" w:firstLineChars="200"/>
        <w:rPr>
          <w:color w:val="auto"/>
          <w:highlight w:val="none"/>
        </w:rPr>
      </w:pPr>
      <w:r>
        <w:rPr>
          <w:rFonts w:hint="eastAsia"/>
          <w:b/>
          <w:bCs/>
          <w:color w:val="auto"/>
          <w:highlight w:val="none"/>
        </w:rPr>
        <w:t>14　</w:t>
      </w:r>
      <w:r>
        <w:rPr>
          <w:color w:val="auto"/>
          <w:highlight w:val="none"/>
        </w:rPr>
        <w:t>地基基础方案建议</w:t>
      </w:r>
      <w:r>
        <w:rPr>
          <w:rFonts w:hint="eastAsia"/>
          <w:color w:val="auto"/>
          <w:highlight w:val="none"/>
        </w:rPr>
        <w:t>，基坑和边坡的整治或支护方案建议，隧道围岩分级及支护方案建议，地下工程施工工法建议，地下水控制措施建议，监测检测方案建议等</w:t>
      </w:r>
      <w:r>
        <w:rPr>
          <w:color w:val="auto"/>
          <w:highlight w:val="none"/>
        </w:rPr>
        <w:t>；</w:t>
      </w:r>
    </w:p>
    <w:p>
      <w:pPr>
        <w:spacing w:line="360" w:lineRule="auto"/>
        <w:ind w:firstLine="422" w:firstLineChars="200"/>
        <w:rPr>
          <w:color w:val="auto"/>
          <w:highlight w:val="none"/>
        </w:rPr>
      </w:pPr>
      <w:r>
        <w:rPr>
          <w:b/>
          <w:bCs/>
          <w:color w:val="auto"/>
          <w:highlight w:val="none"/>
        </w:rPr>
        <w:t>1</w:t>
      </w:r>
      <w:r>
        <w:rPr>
          <w:rFonts w:hint="eastAsia"/>
          <w:b/>
          <w:bCs/>
          <w:color w:val="auto"/>
          <w:highlight w:val="none"/>
        </w:rPr>
        <w:t>5</w:t>
      </w:r>
      <w:r>
        <w:rPr>
          <w:rFonts w:hint="eastAsia"/>
          <w:color w:val="auto"/>
          <w:highlight w:val="none"/>
        </w:rPr>
        <w:t>　</w:t>
      </w:r>
      <w:r>
        <w:rPr>
          <w:color w:val="auto"/>
          <w:highlight w:val="none"/>
        </w:rPr>
        <w:t>与地质相关的工程风险及处理措施建议。</w:t>
      </w:r>
    </w:p>
    <w:p>
      <w:pPr>
        <w:spacing w:line="360" w:lineRule="auto"/>
        <w:rPr>
          <w:color w:val="auto"/>
          <w:highlight w:val="none"/>
        </w:rPr>
      </w:pPr>
      <w:r>
        <w:rPr>
          <w:rFonts w:hint="eastAsia"/>
          <w:b/>
          <w:bCs/>
          <w:color w:val="auto"/>
          <w:highlight w:val="none"/>
        </w:rPr>
        <w:t>15.2</w:t>
      </w:r>
      <w:r>
        <w:rPr>
          <w:b/>
          <w:bCs/>
          <w:color w:val="auto"/>
          <w:highlight w:val="none"/>
        </w:rPr>
        <w:t>.2</w:t>
      </w:r>
      <w:r>
        <w:rPr>
          <w:rFonts w:hint="eastAsia"/>
          <w:color w:val="auto"/>
          <w:highlight w:val="none"/>
        </w:rPr>
        <w:t>　</w:t>
      </w:r>
      <w:r>
        <w:rPr>
          <w:color w:val="auto"/>
          <w:highlight w:val="none"/>
        </w:rPr>
        <w:t>勘察报告</w:t>
      </w:r>
      <w:r>
        <w:rPr>
          <w:rFonts w:hint="eastAsia"/>
          <w:color w:val="auto"/>
          <w:highlight w:val="none"/>
        </w:rPr>
        <w:t>宜根据工程需要附</w:t>
      </w:r>
      <w:r>
        <w:rPr>
          <w:color w:val="auto"/>
          <w:highlight w:val="none"/>
        </w:rPr>
        <w:t>下列图表：</w:t>
      </w:r>
    </w:p>
    <w:p>
      <w:pPr>
        <w:spacing w:line="360" w:lineRule="auto"/>
        <w:ind w:firstLine="422" w:firstLineChars="200"/>
        <w:rPr>
          <w:color w:val="auto"/>
          <w:highlight w:val="none"/>
        </w:rPr>
      </w:pPr>
      <w:r>
        <w:rPr>
          <w:b/>
          <w:bCs/>
          <w:color w:val="auto"/>
          <w:highlight w:val="none"/>
        </w:rPr>
        <w:t>1</w:t>
      </w:r>
      <w:r>
        <w:rPr>
          <w:rFonts w:hint="eastAsia"/>
          <w:b/>
          <w:bCs/>
          <w:color w:val="auto"/>
          <w:highlight w:val="none"/>
        </w:rPr>
        <w:t>　</w:t>
      </w:r>
      <w:r>
        <w:rPr>
          <w:color w:val="auto"/>
          <w:highlight w:val="none"/>
        </w:rPr>
        <w:t>勘探点平面布置图</w:t>
      </w:r>
    </w:p>
    <w:p>
      <w:pPr>
        <w:spacing w:line="360" w:lineRule="auto"/>
        <w:ind w:firstLine="422" w:firstLineChars="200"/>
        <w:rPr>
          <w:color w:val="auto"/>
          <w:highlight w:val="none"/>
        </w:rPr>
      </w:pPr>
      <w:r>
        <w:rPr>
          <w:rFonts w:hint="eastAsia"/>
          <w:b/>
          <w:bCs/>
          <w:color w:val="auto"/>
          <w:highlight w:val="none"/>
        </w:rPr>
        <w:t>2</w:t>
      </w:r>
      <w:r>
        <w:rPr>
          <w:rFonts w:hint="eastAsia"/>
          <w:color w:val="auto"/>
          <w:highlight w:val="none"/>
        </w:rPr>
        <w:t>　综合工程地质平面图</w:t>
      </w:r>
    </w:p>
    <w:p>
      <w:pPr>
        <w:spacing w:line="360" w:lineRule="auto"/>
        <w:ind w:firstLine="422" w:firstLineChars="200"/>
        <w:rPr>
          <w:color w:val="auto"/>
          <w:highlight w:val="none"/>
        </w:rPr>
      </w:pPr>
      <w:r>
        <w:rPr>
          <w:rFonts w:hint="eastAsia"/>
          <w:b/>
          <w:bCs/>
          <w:color w:val="auto"/>
          <w:highlight w:val="none"/>
        </w:rPr>
        <w:t>3</w:t>
      </w:r>
      <w:r>
        <w:rPr>
          <w:rFonts w:hint="eastAsia"/>
          <w:color w:val="auto"/>
          <w:highlight w:val="none"/>
        </w:rPr>
        <w:t>　</w:t>
      </w:r>
      <w:r>
        <w:rPr>
          <w:color w:val="auto"/>
          <w:highlight w:val="none"/>
        </w:rPr>
        <w:t>工程地质剖面图</w:t>
      </w:r>
    </w:p>
    <w:p>
      <w:pPr>
        <w:spacing w:line="360" w:lineRule="auto"/>
        <w:ind w:firstLine="422" w:firstLineChars="200"/>
        <w:rPr>
          <w:color w:val="auto"/>
          <w:highlight w:val="none"/>
        </w:rPr>
      </w:pPr>
      <w:r>
        <w:rPr>
          <w:rFonts w:hint="eastAsia"/>
          <w:b/>
          <w:bCs/>
          <w:color w:val="auto"/>
          <w:highlight w:val="none"/>
        </w:rPr>
        <w:t>4　</w:t>
      </w:r>
      <w:r>
        <w:rPr>
          <w:rFonts w:hint="eastAsia"/>
          <w:color w:val="auto"/>
          <w:highlight w:val="none"/>
        </w:rPr>
        <w:t>勘探孔</w:t>
      </w:r>
      <w:r>
        <w:rPr>
          <w:color w:val="auto"/>
          <w:highlight w:val="none"/>
        </w:rPr>
        <w:t>地质柱状图</w:t>
      </w:r>
    </w:p>
    <w:p>
      <w:pPr>
        <w:spacing w:line="360" w:lineRule="auto"/>
        <w:ind w:firstLine="422" w:firstLineChars="200"/>
        <w:rPr>
          <w:color w:val="auto"/>
          <w:highlight w:val="none"/>
        </w:rPr>
      </w:pPr>
      <w:r>
        <w:rPr>
          <w:rFonts w:hint="eastAsia"/>
          <w:b/>
          <w:bCs/>
          <w:color w:val="auto"/>
          <w:highlight w:val="none"/>
        </w:rPr>
        <w:t>5</w:t>
      </w:r>
      <w:r>
        <w:rPr>
          <w:rFonts w:hint="eastAsia"/>
          <w:color w:val="auto"/>
          <w:highlight w:val="none"/>
        </w:rPr>
        <w:t>　勘探点主要数据一览表</w:t>
      </w:r>
    </w:p>
    <w:p>
      <w:pPr>
        <w:spacing w:line="360" w:lineRule="auto"/>
        <w:ind w:firstLine="422" w:firstLineChars="200"/>
        <w:rPr>
          <w:color w:val="auto"/>
          <w:highlight w:val="none"/>
        </w:rPr>
      </w:pPr>
      <w:r>
        <w:rPr>
          <w:rFonts w:hint="eastAsia"/>
          <w:b/>
          <w:bCs/>
          <w:color w:val="auto"/>
          <w:highlight w:val="none"/>
        </w:rPr>
        <w:t>6　</w:t>
      </w:r>
      <w:r>
        <w:rPr>
          <w:color w:val="auto"/>
          <w:highlight w:val="none"/>
        </w:rPr>
        <w:t>室内试验成果图表</w:t>
      </w:r>
    </w:p>
    <w:p>
      <w:pPr>
        <w:spacing w:line="360" w:lineRule="auto"/>
        <w:ind w:firstLine="422" w:firstLineChars="200"/>
        <w:rPr>
          <w:color w:val="auto"/>
          <w:highlight w:val="none"/>
        </w:rPr>
      </w:pPr>
      <w:r>
        <w:rPr>
          <w:rFonts w:hint="eastAsia"/>
          <w:b/>
          <w:bCs/>
          <w:color w:val="auto"/>
          <w:highlight w:val="none"/>
        </w:rPr>
        <w:t>7</w:t>
      </w:r>
      <w:r>
        <w:rPr>
          <w:rFonts w:hint="eastAsia"/>
          <w:color w:val="auto"/>
          <w:highlight w:val="none"/>
        </w:rPr>
        <w:t>　</w:t>
      </w:r>
      <w:r>
        <w:rPr>
          <w:color w:val="auto"/>
          <w:highlight w:val="none"/>
        </w:rPr>
        <w:t>原位测试成果图表</w:t>
      </w:r>
    </w:p>
    <w:p>
      <w:pPr>
        <w:spacing w:line="360" w:lineRule="auto"/>
        <w:ind w:firstLine="422" w:firstLineChars="200"/>
        <w:rPr>
          <w:color w:val="auto"/>
          <w:highlight w:val="none"/>
        </w:rPr>
      </w:pPr>
      <w:r>
        <w:rPr>
          <w:rFonts w:hint="eastAsia"/>
          <w:b/>
          <w:bCs/>
          <w:color w:val="auto"/>
          <w:highlight w:val="none"/>
        </w:rPr>
        <w:t>8</w:t>
      </w:r>
      <w:r>
        <w:rPr>
          <w:rFonts w:hint="eastAsia"/>
          <w:color w:val="auto"/>
          <w:highlight w:val="none"/>
        </w:rPr>
        <w:t>　水文地质试验成果图表</w:t>
      </w:r>
    </w:p>
    <w:p>
      <w:pPr>
        <w:spacing w:line="360" w:lineRule="auto"/>
        <w:ind w:firstLine="422" w:firstLineChars="200"/>
        <w:rPr>
          <w:color w:val="auto"/>
          <w:highlight w:val="none"/>
        </w:rPr>
      </w:pPr>
      <w:r>
        <w:rPr>
          <w:rFonts w:hint="eastAsia"/>
          <w:b/>
          <w:bCs/>
          <w:color w:val="auto"/>
          <w:highlight w:val="none"/>
        </w:rPr>
        <w:t>9</w:t>
      </w:r>
      <w:r>
        <w:rPr>
          <w:rFonts w:hint="eastAsia"/>
          <w:color w:val="auto"/>
          <w:highlight w:val="none"/>
        </w:rPr>
        <w:t>　工程物探成果图表</w:t>
      </w:r>
    </w:p>
    <w:p>
      <w:pPr>
        <w:spacing w:line="360" w:lineRule="auto"/>
        <w:ind w:firstLine="422" w:firstLineChars="200"/>
        <w:rPr>
          <w:color w:val="auto"/>
          <w:highlight w:val="none"/>
        </w:rPr>
      </w:pPr>
      <w:r>
        <w:rPr>
          <w:rFonts w:hint="eastAsia"/>
          <w:b/>
          <w:bCs/>
          <w:color w:val="auto"/>
          <w:highlight w:val="none"/>
        </w:rPr>
        <w:t>10</w:t>
      </w:r>
      <w:r>
        <w:rPr>
          <w:rFonts w:hint="eastAsia"/>
          <w:color w:val="auto"/>
          <w:highlight w:val="none"/>
        </w:rPr>
        <w:t>　物理力学试验指标统计表</w:t>
      </w:r>
    </w:p>
    <w:p>
      <w:pPr>
        <w:spacing w:line="360" w:lineRule="auto"/>
        <w:ind w:firstLine="422" w:firstLineChars="200"/>
        <w:rPr>
          <w:color w:val="auto"/>
          <w:highlight w:val="none"/>
        </w:rPr>
      </w:pPr>
      <w:r>
        <w:rPr>
          <w:rFonts w:hint="eastAsia"/>
          <w:b/>
          <w:bCs/>
          <w:color w:val="auto"/>
          <w:highlight w:val="none"/>
        </w:rPr>
        <w:t>11</w:t>
      </w:r>
      <w:r>
        <w:rPr>
          <w:rFonts w:hint="eastAsia"/>
          <w:color w:val="auto"/>
          <w:highlight w:val="none"/>
        </w:rPr>
        <w:t>　特殊地层的埋深、厚度的等值线图，岩溶发育等值线图等</w:t>
      </w:r>
    </w:p>
    <w:p>
      <w:pPr>
        <w:spacing w:line="360" w:lineRule="auto"/>
        <w:ind w:firstLine="422" w:firstLineChars="200"/>
        <w:rPr>
          <w:color w:val="auto"/>
          <w:highlight w:val="none"/>
        </w:rPr>
      </w:pPr>
      <w:r>
        <w:rPr>
          <w:rFonts w:hint="eastAsia"/>
          <w:b/>
          <w:bCs/>
          <w:color w:val="auto"/>
          <w:highlight w:val="none"/>
        </w:rPr>
        <w:t>12</w:t>
      </w:r>
      <w:r>
        <w:rPr>
          <w:rFonts w:hint="eastAsia"/>
          <w:color w:val="auto"/>
          <w:highlight w:val="none"/>
        </w:rPr>
        <w:t>　现场岩芯照片及原位测试影像资料</w:t>
      </w:r>
    </w:p>
    <w:p>
      <w:pPr>
        <w:spacing w:line="360" w:lineRule="auto"/>
        <w:ind w:firstLine="422" w:firstLineChars="200"/>
        <w:rPr>
          <w:color w:val="auto"/>
          <w:highlight w:val="none"/>
        </w:rPr>
      </w:pPr>
      <w:r>
        <w:rPr>
          <w:rFonts w:hint="eastAsia"/>
          <w:b/>
          <w:bCs/>
          <w:color w:val="auto"/>
          <w:highlight w:val="none"/>
        </w:rPr>
        <w:t>13</w:t>
      </w:r>
      <w:r>
        <w:rPr>
          <w:rFonts w:hint="eastAsia"/>
          <w:color w:val="auto"/>
          <w:highlight w:val="none"/>
        </w:rPr>
        <w:t>　其它相关图表</w:t>
      </w:r>
    </w:p>
    <w:p>
      <w:pPr>
        <w:pStyle w:val="3"/>
        <w:rPr>
          <w:rFonts w:ascii="Times New Roman" w:hAnsi="Times New Roman" w:eastAsia="宋体"/>
          <w:color w:val="auto"/>
          <w:highlight w:val="none"/>
        </w:rPr>
      </w:pPr>
      <w:bookmarkStart w:id="272" w:name="_Toc9686"/>
      <w:bookmarkStart w:id="273" w:name="_Toc14121"/>
      <w:bookmarkStart w:id="274" w:name="_Toc25091"/>
      <w:bookmarkStart w:id="275" w:name="_15.3　勘察成果数字化"/>
      <w:r>
        <w:rPr>
          <w:rFonts w:hint="eastAsia" w:ascii="Times New Roman" w:hAnsi="Times New Roman" w:eastAsia="宋体"/>
          <w:color w:val="auto"/>
          <w:highlight w:val="none"/>
        </w:rPr>
        <w:t>15.3　</w:t>
      </w:r>
      <w:r>
        <w:rPr>
          <w:rFonts w:ascii="Times New Roman" w:hAnsi="Times New Roman" w:eastAsia="宋体"/>
          <w:color w:val="auto"/>
          <w:highlight w:val="none"/>
        </w:rPr>
        <w:t>勘察</w:t>
      </w:r>
      <w:r>
        <w:rPr>
          <w:rFonts w:hint="eastAsia" w:ascii="Times New Roman" w:hAnsi="Times New Roman" w:eastAsia="宋体"/>
          <w:color w:val="auto"/>
          <w:highlight w:val="none"/>
        </w:rPr>
        <w:t>成果数字化</w:t>
      </w:r>
      <w:bookmarkEnd w:id="272"/>
      <w:bookmarkEnd w:id="273"/>
      <w:bookmarkEnd w:id="274"/>
    </w:p>
    <w:bookmarkEnd w:id="275"/>
    <w:p>
      <w:pPr>
        <w:spacing w:line="360" w:lineRule="auto"/>
        <w:rPr>
          <w:color w:val="auto"/>
          <w:highlight w:val="none"/>
        </w:rPr>
      </w:pPr>
      <w:r>
        <w:rPr>
          <w:rFonts w:hint="eastAsia"/>
          <w:b/>
          <w:bCs/>
          <w:color w:val="auto"/>
          <w:highlight w:val="none"/>
        </w:rPr>
        <w:t>15.</w:t>
      </w:r>
      <w:r>
        <w:rPr>
          <w:b/>
          <w:bCs/>
          <w:color w:val="auto"/>
          <w:highlight w:val="none"/>
        </w:rPr>
        <w:t>3.</w:t>
      </w:r>
      <w:r>
        <w:rPr>
          <w:rFonts w:hint="eastAsia"/>
          <w:b/>
          <w:bCs/>
          <w:color w:val="auto"/>
          <w:highlight w:val="none"/>
        </w:rPr>
        <w:t>1　</w:t>
      </w:r>
      <w:r>
        <w:rPr>
          <w:rFonts w:hint="eastAsia"/>
          <w:color w:val="auto"/>
          <w:highlight w:val="none"/>
        </w:rPr>
        <w:t>市政工程勘察宜</w:t>
      </w:r>
      <w:r>
        <w:rPr>
          <w:rFonts w:hint="eastAsia"/>
          <w:color w:val="auto"/>
          <w:szCs w:val="21"/>
          <w:highlight w:val="none"/>
        </w:rPr>
        <w:t>建立勘察成果数据云平台，对既有的成果数据进行规模化数字化管理和应用。</w:t>
      </w:r>
    </w:p>
    <w:p>
      <w:pPr>
        <w:spacing w:line="360" w:lineRule="auto"/>
        <w:rPr>
          <w:color w:val="auto"/>
          <w:szCs w:val="21"/>
          <w:highlight w:val="none"/>
        </w:rPr>
      </w:pPr>
      <w:r>
        <w:rPr>
          <w:rFonts w:hint="eastAsia"/>
          <w:b/>
          <w:bCs/>
          <w:color w:val="auto"/>
          <w:highlight w:val="none"/>
        </w:rPr>
        <w:t>15.3.2　</w:t>
      </w:r>
      <w:r>
        <w:rPr>
          <w:rFonts w:hint="eastAsia"/>
          <w:color w:val="auto"/>
          <w:szCs w:val="21"/>
          <w:highlight w:val="none"/>
        </w:rPr>
        <w:t>勘察成果数据宜建立数据标准格式，统一地层要素及编码。岩土分类、定名、描述等标准宜符合本规范的相关规定。</w:t>
      </w:r>
    </w:p>
    <w:p>
      <w:pPr>
        <w:spacing w:line="360" w:lineRule="auto"/>
        <w:rPr>
          <w:color w:val="auto"/>
          <w:szCs w:val="21"/>
          <w:highlight w:val="none"/>
        </w:rPr>
      </w:pPr>
      <w:r>
        <w:rPr>
          <w:rFonts w:hint="eastAsia"/>
          <w:b/>
          <w:bCs/>
          <w:color w:val="auto"/>
          <w:szCs w:val="21"/>
          <w:highlight w:val="none"/>
        </w:rPr>
        <w:t>15.3.3　</w:t>
      </w:r>
      <w:r>
        <w:rPr>
          <w:rFonts w:hint="eastAsia"/>
          <w:color w:val="auto"/>
          <w:szCs w:val="21"/>
          <w:highlight w:val="none"/>
        </w:rPr>
        <w:t>市政工程勘察数据管理系统宜具备数据统计功能，可根据需要生成勘探孔基本信息、室内试验数据和原位测试结果统计表格等，作为勘察成果的编制基础和附表资料。</w:t>
      </w:r>
    </w:p>
    <w:p>
      <w:pPr>
        <w:spacing w:line="360" w:lineRule="auto"/>
        <w:rPr>
          <w:color w:val="auto"/>
          <w:highlight w:val="none"/>
        </w:rPr>
      </w:pPr>
      <w:r>
        <w:rPr>
          <w:rFonts w:hint="eastAsia"/>
          <w:b/>
          <w:bCs/>
          <w:color w:val="auto"/>
          <w:highlight w:val="none"/>
        </w:rPr>
        <w:t>15.3.4　</w:t>
      </w:r>
      <w:r>
        <w:rPr>
          <w:rFonts w:hint="eastAsia"/>
          <w:color w:val="auto"/>
          <w:szCs w:val="21"/>
          <w:highlight w:val="none"/>
        </w:rPr>
        <w:t>市政工程勘察可结合工程需要，提供三维地质信息模型，可视化展示场地的岩土层分布及地层构造等信息。</w:t>
      </w:r>
    </w:p>
    <w:p>
      <w:pPr>
        <w:pStyle w:val="3"/>
        <w:rPr>
          <w:rFonts w:ascii="Times New Roman" w:hAnsi="Times New Roman" w:eastAsia="宋体"/>
          <w:color w:val="auto"/>
          <w:highlight w:val="none"/>
        </w:rPr>
      </w:pPr>
      <w:bookmarkStart w:id="276" w:name="_Toc3693"/>
      <w:bookmarkStart w:id="277" w:name="_Toc12053"/>
      <w:bookmarkStart w:id="278" w:name="_Toc18317"/>
      <w:bookmarkStart w:id="279" w:name="_15.4　勘察信息化"/>
      <w:r>
        <w:rPr>
          <w:rFonts w:hint="eastAsia" w:ascii="Times New Roman" w:hAnsi="Times New Roman" w:eastAsia="宋体"/>
          <w:color w:val="auto"/>
          <w:highlight w:val="none"/>
        </w:rPr>
        <w:t>15.4　勘察信息化</w:t>
      </w:r>
      <w:bookmarkEnd w:id="276"/>
      <w:bookmarkEnd w:id="277"/>
      <w:bookmarkEnd w:id="278"/>
    </w:p>
    <w:bookmarkEnd w:id="279"/>
    <w:p>
      <w:pPr>
        <w:autoSpaceDE w:val="0"/>
        <w:autoSpaceDN w:val="0"/>
        <w:adjustRightInd w:val="0"/>
        <w:spacing w:line="360" w:lineRule="auto"/>
        <w:jc w:val="left"/>
        <w:rPr>
          <w:bCs/>
          <w:color w:val="auto"/>
          <w:szCs w:val="21"/>
          <w:highlight w:val="none"/>
        </w:rPr>
      </w:pPr>
      <w:r>
        <w:rPr>
          <w:rFonts w:hint="eastAsia"/>
          <w:b/>
          <w:color w:val="auto"/>
          <w:szCs w:val="21"/>
          <w:highlight w:val="none"/>
        </w:rPr>
        <w:t>15.4.1</w:t>
      </w:r>
      <w:r>
        <w:rPr>
          <w:rFonts w:hint="eastAsia"/>
          <w:bCs/>
          <w:color w:val="auto"/>
          <w:szCs w:val="21"/>
          <w:highlight w:val="none"/>
        </w:rPr>
        <w:t>　市政工程勘察宜通过</w:t>
      </w:r>
      <w:r>
        <w:rPr>
          <w:bCs/>
          <w:color w:val="auto"/>
          <w:szCs w:val="21"/>
          <w:highlight w:val="none"/>
        </w:rPr>
        <w:t>信息化技术，建立作业管理、监控和数据采集、统计、处理的信息平台</w:t>
      </w:r>
      <w:r>
        <w:rPr>
          <w:rFonts w:hint="eastAsia"/>
          <w:bCs/>
          <w:color w:val="auto"/>
          <w:szCs w:val="21"/>
          <w:highlight w:val="none"/>
        </w:rPr>
        <w:t>，进行全流程信息化管理。</w:t>
      </w:r>
    </w:p>
    <w:p>
      <w:pPr>
        <w:autoSpaceDE w:val="0"/>
        <w:autoSpaceDN w:val="0"/>
        <w:adjustRightInd w:val="0"/>
        <w:spacing w:line="360" w:lineRule="auto"/>
        <w:jc w:val="left"/>
        <w:rPr>
          <w:bCs/>
          <w:color w:val="auto"/>
          <w:szCs w:val="21"/>
          <w:highlight w:val="none"/>
        </w:rPr>
      </w:pPr>
      <w:r>
        <w:rPr>
          <w:rFonts w:hint="eastAsia"/>
          <w:b/>
          <w:color w:val="auto"/>
          <w:szCs w:val="21"/>
          <w:highlight w:val="none"/>
        </w:rPr>
        <w:t>15.4.2　</w:t>
      </w:r>
      <w:r>
        <w:rPr>
          <w:rFonts w:hint="eastAsia"/>
          <w:bCs/>
          <w:color w:val="auto"/>
          <w:szCs w:val="21"/>
          <w:highlight w:val="none"/>
        </w:rPr>
        <w:t>勘察</w:t>
      </w:r>
      <w:r>
        <w:rPr>
          <w:bCs/>
          <w:color w:val="auto"/>
          <w:szCs w:val="21"/>
          <w:highlight w:val="none"/>
        </w:rPr>
        <w:t>信息平台系统应对勘察数据的</w:t>
      </w:r>
      <w:r>
        <w:rPr>
          <w:rFonts w:hint="eastAsia"/>
          <w:bCs/>
          <w:color w:val="auto"/>
          <w:szCs w:val="21"/>
          <w:highlight w:val="none"/>
        </w:rPr>
        <w:t>采集、</w:t>
      </w:r>
      <w:r>
        <w:rPr>
          <w:bCs/>
          <w:color w:val="auto"/>
          <w:szCs w:val="21"/>
          <w:highlight w:val="none"/>
        </w:rPr>
        <w:t>录入、修改过程实时记录</w:t>
      </w:r>
      <w:r>
        <w:rPr>
          <w:rFonts w:hint="eastAsia"/>
          <w:bCs/>
          <w:color w:val="auto"/>
          <w:szCs w:val="21"/>
          <w:highlight w:val="none"/>
        </w:rPr>
        <w:t>和有效存储</w:t>
      </w:r>
      <w:r>
        <w:rPr>
          <w:bCs/>
          <w:color w:val="auto"/>
          <w:szCs w:val="21"/>
          <w:highlight w:val="none"/>
        </w:rPr>
        <w:t>，确保数据的原始性和可追溯性</w:t>
      </w:r>
      <w:r>
        <w:rPr>
          <w:rFonts w:hint="eastAsia"/>
          <w:bCs/>
          <w:color w:val="auto"/>
          <w:szCs w:val="21"/>
          <w:highlight w:val="none"/>
        </w:rPr>
        <w:t>，并宜采用通用的数据格式和支持信息交换标准，以具备开放性和可扩展性。</w:t>
      </w:r>
    </w:p>
    <w:p>
      <w:pPr>
        <w:autoSpaceDE w:val="0"/>
        <w:autoSpaceDN w:val="0"/>
        <w:adjustRightInd w:val="0"/>
        <w:spacing w:line="360" w:lineRule="auto"/>
        <w:jc w:val="left"/>
        <w:rPr>
          <w:bCs/>
          <w:color w:val="auto"/>
          <w:szCs w:val="21"/>
          <w:highlight w:val="none"/>
        </w:rPr>
      </w:pPr>
      <w:r>
        <w:rPr>
          <w:rFonts w:hint="eastAsia"/>
          <w:b/>
          <w:color w:val="auto"/>
          <w:szCs w:val="21"/>
          <w:highlight w:val="none"/>
        </w:rPr>
        <w:t>15.4.3</w:t>
      </w:r>
      <w:r>
        <w:rPr>
          <w:rFonts w:hint="eastAsia"/>
          <w:bCs/>
          <w:color w:val="auto"/>
          <w:szCs w:val="21"/>
          <w:highlight w:val="none"/>
        </w:rPr>
        <w:t>　勘察</w:t>
      </w:r>
      <w:r>
        <w:rPr>
          <w:bCs/>
          <w:color w:val="auto"/>
          <w:szCs w:val="21"/>
          <w:highlight w:val="none"/>
        </w:rPr>
        <w:t>信息平台系统</w:t>
      </w:r>
      <w:r>
        <w:rPr>
          <w:rFonts w:hint="eastAsia"/>
          <w:bCs/>
          <w:color w:val="auto"/>
          <w:szCs w:val="21"/>
          <w:highlight w:val="none"/>
        </w:rPr>
        <w:t>应</w:t>
      </w:r>
      <w:r>
        <w:rPr>
          <w:bCs/>
          <w:color w:val="auto"/>
          <w:szCs w:val="21"/>
          <w:highlight w:val="none"/>
        </w:rPr>
        <w:t>建立标准化信息交换接口，项目管理、人员管理、企业管理、权限管理等宜在同一平台系统完成</w:t>
      </w:r>
      <w:r>
        <w:rPr>
          <w:rFonts w:hint="eastAsia"/>
          <w:bCs/>
          <w:color w:val="auto"/>
          <w:szCs w:val="21"/>
          <w:highlight w:val="none"/>
        </w:rPr>
        <w:t>，</w:t>
      </w:r>
      <w:r>
        <w:rPr>
          <w:rFonts w:hint="eastAsia"/>
          <w:color w:val="auto"/>
          <w:szCs w:val="21"/>
          <w:highlight w:val="none"/>
        </w:rPr>
        <w:t>分层级分板块进行权限管理</w:t>
      </w:r>
      <w:r>
        <w:rPr>
          <w:bCs/>
          <w:color w:val="auto"/>
          <w:szCs w:val="21"/>
          <w:highlight w:val="none"/>
        </w:rPr>
        <w:t>。</w:t>
      </w:r>
    </w:p>
    <w:p>
      <w:pPr>
        <w:autoSpaceDE w:val="0"/>
        <w:autoSpaceDN w:val="0"/>
        <w:adjustRightInd w:val="0"/>
        <w:spacing w:line="360" w:lineRule="auto"/>
        <w:jc w:val="left"/>
        <w:rPr>
          <w:color w:val="auto"/>
          <w:szCs w:val="21"/>
          <w:highlight w:val="none"/>
        </w:rPr>
      </w:pPr>
      <w:r>
        <w:rPr>
          <w:rFonts w:hint="eastAsia"/>
          <w:b/>
          <w:bCs/>
          <w:color w:val="auto"/>
          <w:szCs w:val="21"/>
          <w:highlight w:val="none"/>
        </w:rPr>
        <w:t>15.4.4</w:t>
      </w:r>
      <w:r>
        <w:rPr>
          <w:rFonts w:hint="eastAsia"/>
          <w:color w:val="auto"/>
          <w:szCs w:val="21"/>
          <w:highlight w:val="none"/>
        </w:rPr>
        <w:t>　</w:t>
      </w:r>
      <w:r>
        <w:rPr>
          <w:color w:val="auto"/>
          <w:szCs w:val="21"/>
          <w:highlight w:val="none"/>
        </w:rPr>
        <w:t>勘察数据采集信息化</w:t>
      </w:r>
      <w:r>
        <w:rPr>
          <w:rFonts w:hint="eastAsia"/>
          <w:color w:val="auto"/>
          <w:szCs w:val="21"/>
          <w:highlight w:val="none"/>
        </w:rPr>
        <w:t>宜符合下列规定</w:t>
      </w:r>
      <w:r>
        <w:rPr>
          <w:color w:val="auto"/>
          <w:szCs w:val="21"/>
          <w:highlight w:val="none"/>
        </w:rPr>
        <w:t>：</w:t>
      </w:r>
    </w:p>
    <w:p>
      <w:pPr>
        <w:autoSpaceDE w:val="0"/>
        <w:spacing w:line="360" w:lineRule="auto"/>
        <w:ind w:firstLine="422" w:firstLineChars="200"/>
        <w:rPr>
          <w:color w:val="auto"/>
          <w:szCs w:val="21"/>
          <w:highlight w:val="none"/>
        </w:rPr>
      </w:pPr>
      <w:r>
        <w:rPr>
          <w:rFonts w:hint="eastAsia"/>
          <w:b/>
          <w:color w:val="auto"/>
          <w:szCs w:val="21"/>
          <w:highlight w:val="none"/>
        </w:rPr>
        <w:t>1</w:t>
      </w:r>
      <w:r>
        <w:rPr>
          <w:rFonts w:hint="eastAsia"/>
          <w:color w:val="auto"/>
          <w:szCs w:val="21"/>
          <w:highlight w:val="none"/>
        </w:rPr>
        <w:t>　</w:t>
      </w:r>
      <w:r>
        <w:rPr>
          <w:color w:val="auto"/>
          <w:szCs w:val="21"/>
          <w:highlight w:val="none"/>
        </w:rPr>
        <w:t>外业数据采集</w:t>
      </w:r>
      <w:r>
        <w:rPr>
          <w:rFonts w:hint="eastAsia"/>
          <w:color w:val="auto"/>
          <w:szCs w:val="21"/>
          <w:highlight w:val="none"/>
        </w:rPr>
        <w:t>宜</w:t>
      </w:r>
      <w:r>
        <w:rPr>
          <w:color w:val="auto"/>
          <w:szCs w:val="21"/>
          <w:highlight w:val="none"/>
        </w:rPr>
        <w:t>具备电子化录入</w:t>
      </w:r>
      <w:r>
        <w:rPr>
          <w:rFonts w:hint="eastAsia"/>
          <w:color w:val="auto"/>
          <w:szCs w:val="21"/>
          <w:highlight w:val="none"/>
        </w:rPr>
        <w:t>、实时数据统计、分析和检查功能；</w:t>
      </w:r>
    </w:p>
    <w:p>
      <w:pPr>
        <w:autoSpaceDE w:val="0"/>
        <w:spacing w:line="360" w:lineRule="auto"/>
        <w:ind w:firstLine="422" w:firstLineChars="200"/>
        <w:rPr>
          <w:color w:val="auto"/>
          <w:szCs w:val="21"/>
          <w:highlight w:val="none"/>
        </w:rPr>
      </w:pPr>
      <w:r>
        <w:rPr>
          <w:rFonts w:hint="eastAsia"/>
          <w:b/>
          <w:color w:val="auto"/>
          <w:szCs w:val="21"/>
          <w:highlight w:val="none"/>
        </w:rPr>
        <w:t>2</w:t>
      </w:r>
      <w:r>
        <w:rPr>
          <w:rFonts w:hint="eastAsia"/>
          <w:color w:val="auto"/>
          <w:szCs w:val="21"/>
          <w:highlight w:val="none"/>
        </w:rPr>
        <w:t>　</w:t>
      </w:r>
      <w:r>
        <w:rPr>
          <w:color w:val="auto"/>
          <w:szCs w:val="21"/>
          <w:highlight w:val="none"/>
        </w:rPr>
        <w:t>外业数据采集系统</w:t>
      </w:r>
      <w:r>
        <w:rPr>
          <w:rFonts w:hint="eastAsia"/>
          <w:color w:val="auto"/>
          <w:szCs w:val="21"/>
          <w:highlight w:val="none"/>
        </w:rPr>
        <w:t>与</w:t>
      </w:r>
      <w:r>
        <w:rPr>
          <w:color w:val="auto"/>
          <w:szCs w:val="21"/>
          <w:highlight w:val="none"/>
        </w:rPr>
        <w:t>土工试验数据</w:t>
      </w:r>
      <w:r>
        <w:rPr>
          <w:rFonts w:hint="eastAsia"/>
          <w:color w:val="auto"/>
          <w:szCs w:val="21"/>
          <w:highlight w:val="none"/>
        </w:rPr>
        <w:t>采集</w:t>
      </w:r>
      <w:r>
        <w:rPr>
          <w:color w:val="auto"/>
          <w:szCs w:val="21"/>
          <w:highlight w:val="none"/>
        </w:rPr>
        <w:t>系统</w:t>
      </w:r>
      <w:r>
        <w:rPr>
          <w:rFonts w:hint="eastAsia"/>
          <w:color w:val="auto"/>
          <w:szCs w:val="21"/>
          <w:highlight w:val="none"/>
        </w:rPr>
        <w:t>能有效衔接。</w:t>
      </w:r>
    </w:p>
    <w:p>
      <w:pPr>
        <w:autoSpaceDE w:val="0"/>
        <w:autoSpaceDN w:val="0"/>
        <w:adjustRightInd w:val="0"/>
        <w:spacing w:line="360" w:lineRule="auto"/>
        <w:jc w:val="left"/>
        <w:rPr>
          <w:color w:val="auto"/>
          <w:szCs w:val="21"/>
          <w:highlight w:val="none"/>
        </w:rPr>
      </w:pPr>
      <w:r>
        <w:rPr>
          <w:rFonts w:hint="eastAsia"/>
          <w:b/>
          <w:bCs/>
          <w:color w:val="auto"/>
          <w:szCs w:val="21"/>
          <w:highlight w:val="none"/>
        </w:rPr>
        <w:t>15.4.5</w:t>
      </w:r>
      <w:r>
        <w:rPr>
          <w:rFonts w:hint="eastAsia"/>
          <w:color w:val="auto"/>
          <w:szCs w:val="21"/>
          <w:highlight w:val="none"/>
        </w:rPr>
        <w:t>　</w:t>
      </w:r>
      <w:r>
        <w:rPr>
          <w:color w:val="auto"/>
          <w:szCs w:val="21"/>
          <w:highlight w:val="none"/>
        </w:rPr>
        <w:t>勘察</w:t>
      </w:r>
      <w:r>
        <w:rPr>
          <w:color w:val="auto"/>
          <w:kern w:val="0"/>
          <w:szCs w:val="21"/>
          <w:highlight w:val="none"/>
        </w:rPr>
        <w:t>项目管理过程</w:t>
      </w:r>
      <w:r>
        <w:rPr>
          <w:rFonts w:hint="eastAsia"/>
          <w:color w:val="auto"/>
          <w:kern w:val="0"/>
          <w:szCs w:val="21"/>
          <w:highlight w:val="none"/>
        </w:rPr>
        <w:t>数据</w:t>
      </w:r>
      <w:r>
        <w:rPr>
          <w:color w:val="auto"/>
          <w:szCs w:val="21"/>
          <w:highlight w:val="none"/>
        </w:rPr>
        <w:t>信息化</w:t>
      </w:r>
      <w:r>
        <w:rPr>
          <w:rFonts w:hint="eastAsia"/>
          <w:color w:val="auto"/>
          <w:szCs w:val="21"/>
          <w:highlight w:val="none"/>
        </w:rPr>
        <w:t>宜符合下列规定</w:t>
      </w:r>
      <w:r>
        <w:rPr>
          <w:color w:val="auto"/>
          <w:szCs w:val="21"/>
          <w:highlight w:val="none"/>
        </w:rPr>
        <w:t>：</w:t>
      </w:r>
    </w:p>
    <w:p>
      <w:pPr>
        <w:autoSpaceDE w:val="0"/>
        <w:spacing w:line="360" w:lineRule="auto"/>
        <w:ind w:firstLine="422" w:firstLineChars="200"/>
        <w:rPr>
          <w:color w:val="auto"/>
          <w:szCs w:val="21"/>
          <w:highlight w:val="none"/>
        </w:rPr>
      </w:pPr>
      <w:r>
        <w:rPr>
          <w:rFonts w:hint="eastAsia"/>
          <w:b/>
          <w:bCs/>
          <w:color w:val="auto"/>
          <w:szCs w:val="21"/>
          <w:highlight w:val="none"/>
        </w:rPr>
        <w:t>1</w:t>
      </w:r>
      <w:r>
        <w:rPr>
          <w:rFonts w:hint="eastAsia"/>
          <w:color w:val="auto"/>
          <w:szCs w:val="21"/>
          <w:highlight w:val="none"/>
        </w:rPr>
        <w:t>　实现在线查阅、上传、审批及归档等全过程管理；</w:t>
      </w:r>
    </w:p>
    <w:p>
      <w:pPr>
        <w:autoSpaceDE w:val="0"/>
        <w:spacing w:line="360" w:lineRule="auto"/>
        <w:ind w:firstLine="422" w:firstLineChars="200"/>
        <w:rPr>
          <w:color w:val="auto"/>
          <w:szCs w:val="21"/>
          <w:highlight w:val="none"/>
        </w:rPr>
      </w:pPr>
      <w:r>
        <w:rPr>
          <w:rFonts w:hint="eastAsia"/>
          <w:b/>
          <w:bCs/>
          <w:color w:val="auto"/>
          <w:szCs w:val="21"/>
          <w:highlight w:val="none"/>
        </w:rPr>
        <w:t>2　</w:t>
      </w:r>
      <w:r>
        <w:rPr>
          <w:rFonts w:hint="eastAsia"/>
          <w:color w:val="auto"/>
          <w:szCs w:val="21"/>
          <w:highlight w:val="none"/>
        </w:rPr>
        <w:t>宜通过数字传输技术，将视频监控系统接入信息化管理平台，建立远程视频监控系统，对现场实施在线监控。</w:t>
      </w:r>
    </w:p>
    <w:p>
      <w:pPr>
        <w:autoSpaceDE w:val="0"/>
        <w:spacing w:line="360" w:lineRule="auto"/>
        <w:ind w:firstLine="420" w:firstLineChars="200"/>
        <w:rPr>
          <w:color w:val="auto"/>
          <w:szCs w:val="21"/>
          <w:highlight w:val="none"/>
        </w:rPr>
      </w:pPr>
    </w:p>
    <w:p>
      <w:pPr>
        <w:autoSpaceDE w:val="0"/>
        <w:spacing w:line="360" w:lineRule="auto"/>
        <w:ind w:firstLine="420" w:firstLineChars="200"/>
        <w:rPr>
          <w:color w:val="auto"/>
          <w:szCs w:val="21"/>
          <w:highlight w:val="none"/>
        </w:rPr>
        <w:sectPr>
          <w:footerReference r:id="rId7" w:type="default"/>
          <w:footerReference r:id="rId8" w:type="even"/>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2"/>
        <w:rPr>
          <w:b/>
          <w:bCs/>
          <w:color w:val="auto"/>
          <w:sz w:val="32"/>
          <w:szCs w:val="32"/>
          <w:highlight w:val="none"/>
        </w:rPr>
      </w:pPr>
      <w:bookmarkStart w:id="280" w:name="_Toc11200"/>
      <w:bookmarkStart w:id="281" w:name="_Toc7615"/>
      <w:r>
        <w:rPr>
          <w:rFonts w:hint="eastAsia"/>
          <w:b/>
          <w:bCs/>
          <w:color w:val="auto"/>
          <w:sz w:val="32"/>
          <w:szCs w:val="32"/>
          <w:highlight w:val="none"/>
        </w:rPr>
        <w:t>附录A　岩土试验项目</w:t>
      </w:r>
      <w:bookmarkEnd w:id="280"/>
      <w:bookmarkEnd w:id="281"/>
    </w:p>
    <w:p>
      <w:pPr>
        <w:spacing w:line="360" w:lineRule="auto"/>
        <w:rPr>
          <w:color w:val="auto"/>
          <w:szCs w:val="21"/>
          <w:highlight w:val="none"/>
        </w:rPr>
      </w:pPr>
      <w:r>
        <w:rPr>
          <w:rFonts w:hint="eastAsia"/>
          <w:b/>
          <w:bCs/>
          <w:color w:val="auto"/>
          <w:szCs w:val="21"/>
          <w:highlight w:val="none"/>
        </w:rPr>
        <w:t>A</w:t>
      </w:r>
      <w:r>
        <w:rPr>
          <w:b/>
          <w:bCs/>
          <w:color w:val="auto"/>
          <w:szCs w:val="21"/>
          <w:highlight w:val="none"/>
        </w:rPr>
        <w:t>.0.1</w:t>
      </w:r>
      <w:r>
        <w:rPr>
          <w:rFonts w:hint="eastAsia"/>
          <w:b/>
          <w:bCs/>
          <w:color w:val="auto"/>
          <w:szCs w:val="21"/>
          <w:highlight w:val="none"/>
        </w:rPr>
        <w:t>　</w:t>
      </w:r>
      <w:r>
        <w:rPr>
          <w:color w:val="auto"/>
          <w:szCs w:val="21"/>
          <w:highlight w:val="none"/>
        </w:rPr>
        <w:t>市政工程的岩土试验项目，应在综合考虑</w:t>
      </w:r>
      <w:r>
        <w:rPr>
          <w:rFonts w:hint="eastAsia"/>
          <w:color w:val="auto"/>
          <w:szCs w:val="21"/>
          <w:highlight w:val="none"/>
        </w:rPr>
        <w:t>岩土类别、工程</w:t>
      </w:r>
      <w:r>
        <w:rPr>
          <w:color w:val="auto"/>
          <w:szCs w:val="21"/>
          <w:highlight w:val="none"/>
        </w:rPr>
        <w:t>类型基础上合理选取。</w:t>
      </w:r>
    </w:p>
    <w:p>
      <w:pPr>
        <w:spacing w:line="360" w:lineRule="auto"/>
        <w:rPr>
          <w:color w:val="auto"/>
          <w:szCs w:val="21"/>
          <w:highlight w:val="none"/>
        </w:rPr>
      </w:pPr>
      <w:r>
        <w:rPr>
          <w:rFonts w:hint="eastAsia"/>
          <w:b/>
          <w:bCs/>
          <w:color w:val="auto"/>
          <w:szCs w:val="21"/>
          <w:highlight w:val="none"/>
        </w:rPr>
        <w:t>A</w:t>
      </w:r>
      <w:r>
        <w:rPr>
          <w:b/>
          <w:bCs/>
          <w:color w:val="auto"/>
          <w:szCs w:val="21"/>
          <w:highlight w:val="none"/>
        </w:rPr>
        <w:t>.0.2</w:t>
      </w:r>
      <w:r>
        <w:rPr>
          <w:b/>
          <w:bCs/>
          <w:color w:val="auto"/>
          <w:highlight w:val="none"/>
        </w:rPr>
        <w:t>　</w:t>
      </w:r>
      <w:r>
        <w:rPr>
          <w:color w:val="auto"/>
          <w:szCs w:val="21"/>
          <w:highlight w:val="none"/>
        </w:rPr>
        <w:t>岩</w:t>
      </w:r>
      <w:r>
        <w:rPr>
          <w:rFonts w:hint="eastAsia"/>
          <w:color w:val="auto"/>
          <w:szCs w:val="21"/>
          <w:highlight w:val="none"/>
        </w:rPr>
        <w:t>石</w:t>
      </w:r>
      <w:r>
        <w:rPr>
          <w:color w:val="auto"/>
          <w:szCs w:val="21"/>
          <w:highlight w:val="none"/>
        </w:rPr>
        <w:t>试验项目可按表</w:t>
      </w:r>
      <w:r>
        <w:rPr>
          <w:rFonts w:hint="eastAsia"/>
          <w:color w:val="auto"/>
          <w:szCs w:val="21"/>
          <w:highlight w:val="none"/>
        </w:rPr>
        <w:t>A</w:t>
      </w:r>
      <w:r>
        <w:rPr>
          <w:color w:val="auto"/>
          <w:szCs w:val="21"/>
          <w:highlight w:val="none"/>
        </w:rPr>
        <w:t>.0.2执行。</w:t>
      </w:r>
    </w:p>
    <w:p>
      <w:pPr>
        <w:spacing w:line="360" w:lineRule="auto"/>
        <w:jc w:val="center"/>
        <w:rPr>
          <w:b/>
          <w:bCs/>
          <w:color w:val="auto"/>
          <w:szCs w:val="21"/>
          <w:highlight w:val="none"/>
        </w:rPr>
      </w:pPr>
      <w:r>
        <w:rPr>
          <w:b/>
          <w:bCs/>
          <w:color w:val="auto"/>
          <w:szCs w:val="21"/>
          <w:highlight w:val="none"/>
        </w:rPr>
        <w:t>表</w:t>
      </w:r>
      <w:r>
        <w:rPr>
          <w:rFonts w:hint="eastAsia"/>
          <w:b/>
          <w:bCs/>
          <w:color w:val="auto"/>
          <w:szCs w:val="21"/>
          <w:highlight w:val="none"/>
        </w:rPr>
        <w:t>A</w:t>
      </w:r>
      <w:r>
        <w:rPr>
          <w:b/>
          <w:bCs/>
          <w:color w:val="auto"/>
          <w:szCs w:val="21"/>
          <w:highlight w:val="none"/>
        </w:rPr>
        <w:t>.0.2</w:t>
      </w:r>
      <w:r>
        <w:rPr>
          <w:b/>
          <w:bCs/>
          <w:color w:val="auto"/>
          <w:highlight w:val="none"/>
        </w:rPr>
        <w:t>　</w:t>
      </w:r>
      <w:r>
        <w:rPr>
          <w:b/>
          <w:bCs/>
          <w:color w:val="auto"/>
          <w:szCs w:val="21"/>
          <w:highlight w:val="none"/>
        </w:rPr>
        <w:t>岩</w:t>
      </w:r>
      <w:r>
        <w:rPr>
          <w:rFonts w:hint="eastAsia"/>
          <w:b/>
          <w:bCs/>
          <w:color w:val="auto"/>
          <w:szCs w:val="21"/>
          <w:highlight w:val="none"/>
        </w:rPr>
        <w:t>石</w:t>
      </w:r>
      <w:r>
        <w:rPr>
          <w:b/>
          <w:bCs/>
          <w:color w:val="auto"/>
          <w:szCs w:val="21"/>
          <w:highlight w:val="none"/>
        </w:rPr>
        <w:t>试验项目</w:t>
      </w:r>
    </w:p>
    <w:tbl>
      <w:tblPr>
        <w:tblStyle w:val="22"/>
        <w:tblW w:w="13887" w:type="dxa"/>
        <w:jc w:val="center"/>
        <w:tblLayout w:type="fixed"/>
        <w:tblCellMar>
          <w:top w:w="0" w:type="dxa"/>
          <w:left w:w="108" w:type="dxa"/>
          <w:bottom w:w="0" w:type="dxa"/>
          <w:right w:w="108" w:type="dxa"/>
        </w:tblCellMar>
      </w:tblPr>
      <w:tblGrid>
        <w:gridCol w:w="846"/>
        <w:gridCol w:w="2126"/>
        <w:gridCol w:w="709"/>
        <w:gridCol w:w="709"/>
        <w:gridCol w:w="708"/>
        <w:gridCol w:w="709"/>
        <w:gridCol w:w="709"/>
        <w:gridCol w:w="850"/>
        <w:gridCol w:w="851"/>
        <w:gridCol w:w="850"/>
        <w:gridCol w:w="851"/>
        <w:gridCol w:w="709"/>
        <w:gridCol w:w="992"/>
        <w:gridCol w:w="709"/>
        <w:gridCol w:w="850"/>
        <w:gridCol w:w="709"/>
      </w:tblGrid>
      <w:tr>
        <w:tblPrEx>
          <w:tblCellMar>
            <w:top w:w="0" w:type="dxa"/>
            <w:left w:w="108" w:type="dxa"/>
            <w:bottom w:w="0" w:type="dxa"/>
            <w:right w:w="108" w:type="dxa"/>
          </w:tblCellMar>
        </w:tblPrEx>
        <w:trPr>
          <w:jc w:val="center"/>
        </w:trPr>
        <w:tc>
          <w:tcPr>
            <w:tcW w:w="846" w:type="dxa"/>
            <w:tcBorders>
              <w:top w:val="single" w:color="000000" w:sz="12" w:space="0"/>
              <w:left w:val="single" w:color="000000" w:sz="12"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岩类</w:t>
            </w:r>
          </w:p>
        </w:tc>
        <w:tc>
          <w:tcPr>
            <w:tcW w:w="2126" w:type="dxa"/>
            <w:tcBorders>
              <w:top w:val="single" w:color="000000" w:sz="12"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工程类型</w:t>
            </w:r>
          </w:p>
        </w:tc>
        <w:tc>
          <w:tcPr>
            <w:tcW w:w="709" w:type="dxa"/>
            <w:tcBorders>
              <w:top w:val="single" w:color="000000" w:sz="12"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color w:val="auto"/>
                <w:sz w:val="20"/>
                <w:szCs w:val="20"/>
                <w:highlight w:val="none"/>
              </w:rPr>
              <w:t>岩矿鉴定</w:t>
            </w:r>
          </w:p>
        </w:tc>
        <w:tc>
          <w:tcPr>
            <w:tcW w:w="709" w:type="dxa"/>
            <w:tcBorders>
              <w:top w:val="single" w:color="000000" w:sz="12"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color w:val="auto"/>
                <w:sz w:val="20"/>
                <w:szCs w:val="20"/>
                <w:highlight w:val="none"/>
              </w:rPr>
              <w:t>块体密度</w:t>
            </w:r>
          </w:p>
        </w:tc>
        <w:tc>
          <w:tcPr>
            <w:tcW w:w="708" w:type="dxa"/>
            <w:tcBorders>
              <w:top w:val="single" w:color="000000" w:sz="12"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吸</w:t>
            </w:r>
            <w:r>
              <w:rPr>
                <w:color w:val="auto"/>
                <w:sz w:val="20"/>
                <w:szCs w:val="20"/>
                <w:highlight w:val="none"/>
              </w:rPr>
              <w:t>水率</w:t>
            </w:r>
          </w:p>
        </w:tc>
        <w:tc>
          <w:tcPr>
            <w:tcW w:w="709" w:type="dxa"/>
            <w:tcBorders>
              <w:top w:val="single" w:color="000000" w:sz="12"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color w:val="auto"/>
                <w:sz w:val="20"/>
                <w:szCs w:val="20"/>
                <w:highlight w:val="none"/>
              </w:rPr>
              <w:t>膨胀性</w:t>
            </w:r>
          </w:p>
        </w:tc>
        <w:tc>
          <w:tcPr>
            <w:tcW w:w="709" w:type="dxa"/>
            <w:tcBorders>
              <w:top w:val="single" w:color="000000" w:sz="12"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color w:val="auto"/>
                <w:sz w:val="20"/>
                <w:szCs w:val="20"/>
                <w:highlight w:val="none"/>
              </w:rPr>
              <w:t>耐崩解性</w:t>
            </w:r>
          </w:p>
        </w:tc>
        <w:tc>
          <w:tcPr>
            <w:tcW w:w="850" w:type="dxa"/>
            <w:tcBorders>
              <w:top w:val="single" w:color="000000" w:sz="12"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放射性试验</w:t>
            </w:r>
          </w:p>
        </w:tc>
        <w:tc>
          <w:tcPr>
            <w:tcW w:w="851" w:type="dxa"/>
            <w:tcBorders>
              <w:top w:val="single" w:color="000000" w:sz="12" w:space="0"/>
              <w:left w:val="single" w:color="000000" w:sz="4" w:space="0"/>
              <w:bottom w:val="single" w:color="000000" w:sz="4" w:space="0"/>
              <w:right w:val="single" w:color="000000" w:sz="4" w:space="0"/>
            </w:tcBorders>
            <w:vAlign w:val="center"/>
          </w:tcPr>
          <w:p>
            <w:pPr>
              <w:spacing w:before="62" w:beforeLines="20" w:after="62" w:afterLines="20"/>
              <w:ind w:left="-63" w:leftChars="-30" w:right="-63" w:rightChars="-30"/>
              <w:jc w:val="center"/>
              <w:rPr>
                <w:color w:val="auto"/>
                <w:sz w:val="20"/>
                <w:szCs w:val="20"/>
                <w:highlight w:val="none"/>
              </w:rPr>
            </w:pPr>
            <w:r>
              <w:rPr>
                <w:color w:val="auto"/>
                <w:sz w:val="20"/>
                <w:szCs w:val="20"/>
                <w:highlight w:val="none"/>
              </w:rPr>
              <w:t>单轴</w:t>
            </w:r>
            <w:r>
              <w:rPr>
                <w:rFonts w:hint="eastAsia"/>
                <w:color w:val="auto"/>
                <w:sz w:val="20"/>
                <w:szCs w:val="20"/>
                <w:highlight w:val="none"/>
              </w:rPr>
              <w:t>天然</w:t>
            </w:r>
            <w:r>
              <w:rPr>
                <w:color w:val="auto"/>
                <w:sz w:val="20"/>
                <w:szCs w:val="20"/>
                <w:highlight w:val="none"/>
              </w:rPr>
              <w:t>抗压</w:t>
            </w:r>
          </w:p>
        </w:tc>
        <w:tc>
          <w:tcPr>
            <w:tcW w:w="850" w:type="dxa"/>
            <w:tcBorders>
              <w:top w:val="single" w:color="000000" w:sz="12"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color w:val="auto"/>
                <w:sz w:val="20"/>
                <w:szCs w:val="20"/>
                <w:highlight w:val="none"/>
              </w:rPr>
              <w:t>单轴</w:t>
            </w:r>
            <w:r>
              <w:rPr>
                <w:rFonts w:hint="eastAsia"/>
                <w:color w:val="auto"/>
                <w:sz w:val="20"/>
                <w:szCs w:val="20"/>
                <w:highlight w:val="none"/>
              </w:rPr>
              <w:t>饱和</w:t>
            </w:r>
            <w:r>
              <w:rPr>
                <w:color w:val="auto"/>
                <w:sz w:val="20"/>
                <w:szCs w:val="20"/>
                <w:highlight w:val="none"/>
              </w:rPr>
              <w:t>抗压</w:t>
            </w:r>
          </w:p>
        </w:tc>
        <w:tc>
          <w:tcPr>
            <w:tcW w:w="851" w:type="dxa"/>
            <w:tcBorders>
              <w:top w:val="single" w:color="000000" w:sz="12"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color w:val="auto"/>
                <w:sz w:val="20"/>
                <w:szCs w:val="20"/>
                <w:highlight w:val="none"/>
              </w:rPr>
              <w:t>单轴</w:t>
            </w:r>
            <w:r>
              <w:rPr>
                <w:rFonts w:hint="eastAsia"/>
                <w:color w:val="auto"/>
                <w:sz w:val="20"/>
                <w:szCs w:val="20"/>
                <w:highlight w:val="none"/>
              </w:rPr>
              <w:t>干燥抗压</w:t>
            </w:r>
          </w:p>
        </w:tc>
        <w:tc>
          <w:tcPr>
            <w:tcW w:w="709" w:type="dxa"/>
            <w:tcBorders>
              <w:top w:val="single" w:color="000000" w:sz="12"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color w:val="auto"/>
                <w:sz w:val="20"/>
                <w:szCs w:val="20"/>
                <w:highlight w:val="none"/>
              </w:rPr>
              <w:t>点荷载</w:t>
            </w:r>
          </w:p>
        </w:tc>
        <w:tc>
          <w:tcPr>
            <w:tcW w:w="992" w:type="dxa"/>
            <w:tcBorders>
              <w:top w:val="single" w:color="000000" w:sz="12"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color w:val="auto"/>
                <w:sz w:val="20"/>
                <w:szCs w:val="20"/>
                <w:highlight w:val="none"/>
              </w:rPr>
              <w:t>抗剪</w:t>
            </w:r>
            <w:r>
              <w:rPr>
                <w:rFonts w:hint="eastAsia"/>
                <w:color w:val="auto"/>
                <w:sz w:val="20"/>
                <w:szCs w:val="20"/>
                <w:highlight w:val="none"/>
              </w:rPr>
              <w:t>断</w:t>
            </w:r>
            <w:r>
              <w:rPr>
                <w:color w:val="auto"/>
                <w:sz w:val="20"/>
                <w:szCs w:val="20"/>
                <w:highlight w:val="none"/>
              </w:rPr>
              <w:t>强度</w:t>
            </w:r>
          </w:p>
        </w:tc>
        <w:tc>
          <w:tcPr>
            <w:tcW w:w="709" w:type="dxa"/>
            <w:tcBorders>
              <w:top w:val="single" w:color="000000" w:sz="12"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抗拉</w:t>
            </w:r>
            <w:r>
              <w:rPr>
                <w:color w:val="auto"/>
                <w:sz w:val="20"/>
                <w:szCs w:val="20"/>
                <w:highlight w:val="none"/>
              </w:rPr>
              <w:t>强度</w:t>
            </w:r>
          </w:p>
        </w:tc>
        <w:tc>
          <w:tcPr>
            <w:tcW w:w="850" w:type="dxa"/>
            <w:tcBorders>
              <w:top w:val="single" w:color="000000" w:sz="12"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静弹性模量</w:t>
            </w:r>
          </w:p>
        </w:tc>
        <w:tc>
          <w:tcPr>
            <w:tcW w:w="709" w:type="dxa"/>
            <w:tcBorders>
              <w:top w:val="single" w:color="000000" w:sz="12" w:space="0"/>
              <w:left w:val="single" w:color="000000" w:sz="4" w:space="0"/>
              <w:bottom w:val="single" w:color="000000" w:sz="4" w:space="0"/>
              <w:right w:val="single" w:color="000000" w:sz="12"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泊松比</w:t>
            </w:r>
          </w:p>
        </w:tc>
      </w:tr>
      <w:tr>
        <w:tblPrEx>
          <w:tblCellMar>
            <w:top w:w="0" w:type="dxa"/>
            <w:left w:w="108" w:type="dxa"/>
            <w:bottom w:w="0" w:type="dxa"/>
            <w:right w:w="108" w:type="dxa"/>
          </w:tblCellMar>
        </w:tblPrEx>
        <w:trPr>
          <w:jc w:val="center"/>
        </w:trPr>
        <w:tc>
          <w:tcPr>
            <w:tcW w:w="846" w:type="dxa"/>
            <w:vMerge w:val="restart"/>
            <w:tcBorders>
              <w:top w:val="single" w:color="000000" w:sz="4" w:space="0"/>
              <w:left w:val="single" w:color="000000" w:sz="12"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硬质岩</w:t>
            </w:r>
          </w:p>
        </w:tc>
        <w:tc>
          <w:tcPr>
            <w:tcW w:w="2126"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天然地基、地基处理</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ascii="宋体" w:hAnsi="宋体" w:cs="宋体"/>
                <w:color w:val="auto"/>
                <w:sz w:val="20"/>
                <w:szCs w:val="20"/>
                <w:highlight w:val="none"/>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ascii="宋体" w:hAnsi="宋体" w:cs="宋体"/>
                <w:color w:val="auto"/>
                <w:sz w:val="20"/>
                <w:szCs w:val="20"/>
                <w:highlight w:val="none"/>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ascii="宋体" w:hAnsi="宋体" w:cs="宋体"/>
                <w:color w:val="auto"/>
                <w:sz w:val="20"/>
                <w:szCs w:val="20"/>
                <w:highlight w:val="none"/>
              </w:rPr>
              <w:t>○</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709" w:type="dxa"/>
            <w:tcBorders>
              <w:top w:val="single" w:color="000000" w:sz="4" w:space="0"/>
              <w:left w:val="single" w:color="000000" w:sz="4" w:space="0"/>
              <w:bottom w:val="single" w:color="000000" w:sz="4" w:space="0"/>
              <w:right w:val="single" w:color="000000" w:sz="12" w:space="0"/>
            </w:tcBorders>
            <w:vAlign w:val="center"/>
          </w:tcPr>
          <w:p>
            <w:pPr>
              <w:spacing w:before="62" w:beforeLines="20" w:after="62" w:afterLines="20"/>
              <w:jc w:val="center"/>
              <w:rPr>
                <w:color w:val="auto"/>
                <w:sz w:val="20"/>
                <w:szCs w:val="20"/>
                <w:highlight w:val="none"/>
              </w:rPr>
            </w:pPr>
          </w:p>
        </w:tc>
      </w:tr>
      <w:tr>
        <w:tblPrEx>
          <w:tblCellMar>
            <w:top w:w="0" w:type="dxa"/>
            <w:left w:w="108" w:type="dxa"/>
            <w:bottom w:w="0" w:type="dxa"/>
            <w:right w:w="108" w:type="dxa"/>
          </w:tblCellMar>
        </w:tblPrEx>
        <w:trPr>
          <w:jc w:val="center"/>
        </w:trPr>
        <w:tc>
          <w:tcPr>
            <w:tcW w:w="846" w:type="dxa"/>
            <w:vMerge w:val="continue"/>
            <w:tcBorders>
              <w:top w:val="single" w:color="000000" w:sz="4" w:space="0"/>
              <w:left w:val="single" w:color="000000" w:sz="12"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2126"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桩基</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rFonts w:ascii="宋体" w:hAnsi="宋体" w:cs="宋体"/>
                <w:color w:val="auto"/>
                <w:sz w:val="20"/>
                <w:szCs w:val="20"/>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ascii="宋体" w:hAnsi="宋体" w:cs="宋体"/>
                <w:color w:val="auto"/>
                <w:sz w:val="20"/>
                <w:szCs w:val="20"/>
                <w:highlight w:val="none"/>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ascii="宋体" w:hAnsi="宋体" w:cs="宋体"/>
                <w:color w:val="auto"/>
                <w:sz w:val="20"/>
                <w:szCs w:val="20"/>
                <w:highlight w:val="none"/>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709" w:type="dxa"/>
            <w:tcBorders>
              <w:top w:val="single" w:color="000000" w:sz="4" w:space="0"/>
              <w:left w:val="single" w:color="000000" w:sz="4" w:space="0"/>
              <w:bottom w:val="single" w:color="000000" w:sz="4" w:space="0"/>
              <w:right w:val="single" w:color="000000" w:sz="12" w:space="0"/>
            </w:tcBorders>
            <w:vAlign w:val="center"/>
          </w:tcPr>
          <w:p>
            <w:pPr>
              <w:spacing w:before="62" w:beforeLines="20" w:after="62" w:afterLines="20"/>
              <w:jc w:val="center"/>
              <w:rPr>
                <w:color w:val="auto"/>
                <w:sz w:val="20"/>
                <w:szCs w:val="20"/>
                <w:highlight w:val="none"/>
              </w:rPr>
            </w:pPr>
          </w:p>
        </w:tc>
      </w:tr>
      <w:tr>
        <w:tblPrEx>
          <w:tblCellMar>
            <w:top w:w="0" w:type="dxa"/>
            <w:left w:w="108" w:type="dxa"/>
            <w:bottom w:w="0" w:type="dxa"/>
            <w:right w:w="108" w:type="dxa"/>
          </w:tblCellMar>
        </w:tblPrEx>
        <w:trPr>
          <w:jc w:val="center"/>
        </w:trPr>
        <w:tc>
          <w:tcPr>
            <w:tcW w:w="846" w:type="dxa"/>
            <w:vMerge w:val="continue"/>
            <w:tcBorders>
              <w:top w:val="single" w:color="000000" w:sz="4" w:space="0"/>
              <w:left w:val="single" w:color="000000" w:sz="12"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2126"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隧道</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ascii="宋体" w:hAnsi="宋体" w:cs="宋体"/>
                <w:color w:val="auto"/>
                <w:sz w:val="20"/>
                <w:szCs w:val="20"/>
                <w:highlight w:val="none"/>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8"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ascii="宋体" w:hAnsi="宋体" w:cs="宋体"/>
                <w:color w:val="auto"/>
                <w:sz w:val="20"/>
                <w:szCs w:val="20"/>
                <w:highlight w:val="none"/>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9" w:type="dxa"/>
            <w:tcBorders>
              <w:top w:val="single" w:color="000000" w:sz="4" w:space="0"/>
              <w:left w:val="single" w:color="000000" w:sz="4" w:space="0"/>
              <w:bottom w:val="single" w:color="000000" w:sz="4" w:space="0"/>
              <w:right w:val="single" w:color="000000" w:sz="12"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r>
      <w:tr>
        <w:tblPrEx>
          <w:tblCellMar>
            <w:top w:w="0" w:type="dxa"/>
            <w:left w:w="108" w:type="dxa"/>
            <w:bottom w:w="0" w:type="dxa"/>
            <w:right w:w="108" w:type="dxa"/>
          </w:tblCellMar>
        </w:tblPrEx>
        <w:trPr>
          <w:jc w:val="center"/>
        </w:trPr>
        <w:tc>
          <w:tcPr>
            <w:tcW w:w="846" w:type="dxa"/>
            <w:vMerge w:val="continue"/>
            <w:tcBorders>
              <w:top w:val="single" w:color="000000" w:sz="4" w:space="0"/>
              <w:left w:val="single" w:color="000000" w:sz="12"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2126"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ind w:left="-105" w:leftChars="-50" w:right="-105" w:rightChars="-50"/>
              <w:jc w:val="center"/>
              <w:rPr>
                <w:color w:val="auto"/>
                <w:sz w:val="20"/>
                <w:szCs w:val="20"/>
                <w:highlight w:val="none"/>
              </w:rPr>
            </w:pPr>
            <w:r>
              <w:rPr>
                <w:rFonts w:hint="eastAsia"/>
                <w:color w:val="auto"/>
                <w:sz w:val="20"/>
                <w:szCs w:val="20"/>
                <w:highlight w:val="none"/>
              </w:rPr>
              <w:t>基坑、边坡</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8"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ascii="宋体" w:hAnsi="宋体" w:cs="宋体"/>
                <w:color w:val="auto"/>
                <w:sz w:val="20"/>
                <w:szCs w:val="20"/>
                <w:highlight w:val="none"/>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ascii="宋体" w:hAnsi="宋体" w:cs="宋体"/>
                <w:color w:val="auto"/>
                <w:sz w:val="20"/>
                <w:szCs w:val="20"/>
                <w:highlight w:val="none"/>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709" w:type="dxa"/>
            <w:tcBorders>
              <w:top w:val="single" w:color="000000" w:sz="4" w:space="0"/>
              <w:left w:val="single" w:color="000000" w:sz="4" w:space="0"/>
              <w:bottom w:val="single" w:color="000000" w:sz="4" w:space="0"/>
              <w:right w:val="single" w:color="000000" w:sz="12" w:space="0"/>
            </w:tcBorders>
            <w:vAlign w:val="center"/>
          </w:tcPr>
          <w:p>
            <w:pPr>
              <w:spacing w:before="62" w:beforeLines="20" w:after="62" w:afterLines="20"/>
              <w:jc w:val="center"/>
              <w:rPr>
                <w:color w:val="auto"/>
                <w:sz w:val="20"/>
                <w:szCs w:val="20"/>
                <w:highlight w:val="none"/>
              </w:rPr>
            </w:pPr>
          </w:p>
        </w:tc>
      </w:tr>
      <w:tr>
        <w:tblPrEx>
          <w:tblCellMar>
            <w:top w:w="0" w:type="dxa"/>
            <w:left w:w="108" w:type="dxa"/>
            <w:bottom w:w="0" w:type="dxa"/>
            <w:right w:w="108" w:type="dxa"/>
          </w:tblCellMar>
        </w:tblPrEx>
        <w:trPr>
          <w:jc w:val="center"/>
        </w:trPr>
        <w:tc>
          <w:tcPr>
            <w:tcW w:w="846" w:type="dxa"/>
            <w:vMerge w:val="restart"/>
            <w:tcBorders>
              <w:top w:val="single" w:color="000000" w:sz="4" w:space="0"/>
              <w:left w:val="single" w:color="000000" w:sz="12"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软质岩</w:t>
            </w:r>
          </w:p>
        </w:tc>
        <w:tc>
          <w:tcPr>
            <w:tcW w:w="2126"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天然地基、地基处理</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ascii="宋体" w:hAnsi="宋体" w:cs="宋体"/>
                <w:color w:val="auto"/>
                <w:sz w:val="20"/>
                <w:szCs w:val="20"/>
                <w:highlight w:val="none"/>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ascii="宋体" w:hAnsi="宋体" w:cs="宋体"/>
                <w:color w:val="auto"/>
                <w:sz w:val="20"/>
                <w:szCs w:val="20"/>
                <w:highlight w:val="none"/>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ascii="宋体" w:hAnsi="宋体" w:cs="宋体"/>
                <w:color w:val="auto"/>
                <w:sz w:val="20"/>
                <w:szCs w:val="20"/>
                <w:highlight w:val="none"/>
              </w:rPr>
              <w:t>○</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709" w:type="dxa"/>
            <w:tcBorders>
              <w:top w:val="single" w:color="000000" w:sz="4" w:space="0"/>
              <w:left w:val="single" w:color="000000" w:sz="4" w:space="0"/>
              <w:bottom w:val="single" w:color="000000" w:sz="4" w:space="0"/>
              <w:right w:val="single" w:color="000000" w:sz="12" w:space="0"/>
            </w:tcBorders>
            <w:vAlign w:val="center"/>
          </w:tcPr>
          <w:p>
            <w:pPr>
              <w:spacing w:before="62" w:beforeLines="20" w:after="62" w:afterLines="20"/>
              <w:jc w:val="center"/>
              <w:rPr>
                <w:color w:val="auto"/>
                <w:sz w:val="20"/>
                <w:szCs w:val="20"/>
                <w:highlight w:val="none"/>
              </w:rPr>
            </w:pPr>
          </w:p>
        </w:tc>
      </w:tr>
      <w:tr>
        <w:tblPrEx>
          <w:tblCellMar>
            <w:top w:w="0" w:type="dxa"/>
            <w:left w:w="108" w:type="dxa"/>
            <w:bottom w:w="0" w:type="dxa"/>
            <w:right w:w="108" w:type="dxa"/>
          </w:tblCellMar>
        </w:tblPrEx>
        <w:trPr>
          <w:jc w:val="center"/>
        </w:trPr>
        <w:tc>
          <w:tcPr>
            <w:tcW w:w="846" w:type="dxa"/>
            <w:vMerge w:val="continue"/>
            <w:tcBorders>
              <w:top w:val="single" w:color="000000" w:sz="4" w:space="0"/>
              <w:left w:val="single" w:color="000000" w:sz="12"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2126"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桩基</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ascii="宋体" w:hAnsi="宋体" w:cs="宋体"/>
                <w:color w:val="auto"/>
                <w:sz w:val="20"/>
                <w:szCs w:val="20"/>
                <w:highlight w:val="none"/>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709" w:type="dxa"/>
            <w:tcBorders>
              <w:top w:val="single" w:color="000000" w:sz="4" w:space="0"/>
              <w:left w:val="single" w:color="000000" w:sz="4" w:space="0"/>
              <w:bottom w:val="single" w:color="000000" w:sz="4" w:space="0"/>
              <w:right w:val="single" w:color="000000" w:sz="12" w:space="0"/>
            </w:tcBorders>
            <w:vAlign w:val="center"/>
          </w:tcPr>
          <w:p>
            <w:pPr>
              <w:spacing w:before="62" w:beforeLines="20" w:after="62" w:afterLines="20"/>
              <w:jc w:val="center"/>
              <w:rPr>
                <w:color w:val="auto"/>
                <w:sz w:val="20"/>
                <w:szCs w:val="20"/>
                <w:highlight w:val="none"/>
              </w:rPr>
            </w:pPr>
          </w:p>
        </w:tc>
      </w:tr>
      <w:tr>
        <w:tblPrEx>
          <w:tblCellMar>
            <w:top w:w="0" w:type="dxa"/>
            <w:left w:w="108" w:type="dxa"/>
            <w:bottom w:w="0" w:type="dxa"/>
            <w:right w:w="108" w:type="dxa"/>
          </w:tblCellMar>
        </w:tblPrEx>
        <w:trPr>
          <w:jc w:val="center"/>
        </w:trPr>
        <w:tc>
          <w:tcPr>
            <w:tcW w:w="846" w:type="dxa"/>
            <w:vMerge w:val="continue"/>
            <w:tcBorders>
              <w:top w:val="single" w:color="000000" w:sz="4" w:space="0"/>
              <w:left w:val="single" w:color="000000" w:sz="12"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2126"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ind w:left="-105" w:leftChars="-50" w:right="-105" w:rightChars="-50"/>
              <w:jc w:val="center"/>
              <w:rPr>
                <w:color w:val="auto"/>
                <w:sz w:val="20"/>
                <w:szCs w:val="20"/>
                <w:highlight w:val="none"/>
              </w:rPr>
            </w:pPr>
            <w:r>
              <w:rPr>
                <w:rFonts w:hint="eastAsia"/>
                <w:color w:val="auto"/>
                <w:sz w:val="20"/>
                <w:szCs w:val="20"/>
                <w:highlight w:val="none"/>
              </w:rPr>
              <w:t>隧道</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ascii="宋体" w:hAnsi="宋体" w:cs="宋体"/>
                <w:color w:val="auto"/>
                <w:sz w:val="20"/>
                <w:szCs w:val="20"/>
                <w:highlight w:val="none"/>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8"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ascii="宋体" w:hAnsi="宋体" w:cs="宋体"/>
                <w:color w:val="auto"/>
                <w:sz w:val="20"/>
                <w:szCs w:val="20"/>
                <w:highlight w:val="none"/>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9" w:type="dxa"/>
            <w:tcBorders>
              <w:top w:val="single" w:color="000000" w:sz="4" w:space="0"/>
              <w:left w:val="single" w:color="000000" w:sz="4" w:space="0"/>
              <w:bottom w:val="single" w:color="000000" w:sz="4" w:space="0"/>
              <w:right w:val="single" w:color="000000" w:sz="12"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r>
      <w:tr>
        <w:tblPrEx>
          <w:tblCellMar>
            <w:top w:w="0" w:type="dxa"/>
            <w:left w:w="108" w:type="dxa"/>
            <w:bottom w:w="0" w:type="dxa"/>
            <w:right w:w="108" w:type="dxa"/>
          </w:tblCellMar>
        </w:tblPrEx>
        <w:trPr>
          <w:jc w:val="center"/>
        </w:trPr>
        <w:tc>
          <w:tcPr>
            <w:tcW w:w="846" w:type="dxa"/>
            <w:vMerge w:val="continue"/>
            <w:tcBorders>
              <w:top w:val="single" w:color="000000" w:sz="4" w:space="0"/>
              <w:left w:val="single" w:color="000000" w:sz="12" w:space="0"/>
              <w:bottom w:val="single" w:color="000000" w:sz="12" w:space="0"/>
              <w:right w:val="single" w:color="000000" w:sz="4" w:space="0"/>
            </w:tcBorders>
            <w:vAlign w:val="center"/>
          </w:tcPr>
          <w:p>
            <w:pPr>
              <w:spacing w:before="62" w:beforeLines="20" w:after="62" w:afterLines="20"/>
              <w:jc w:val="center"/>
              <w:rPr>
                <w:color w:val="auto"/>
                <w:sz w:val="20"/>
                <w:szCs w:val="20"/>
                <w:highlight w:val="none"/>
              </w:rPr>
            </w:pPr>
          </w:p>
        </w:tc>
        <w:tc>
          <w:tcPr>
            <w:tcW w:w="2126" w:type="dxa"/>
            <w:tcBorders>
              <w:top w:val="single" w:color="000000" w:sz="4" w:space="0"/>
              <w:left w:val="single" w:color="000000" w:sz="4" w:space="0"/>
              <w:bottom w:val="single" w:color="000000" w:sz="12" w:space="0"/>
              <w:right w:val="single" w:color="000000" w:sz="4" w:space="0"/>
            </w:tcBorders>
            <w:vAlign w:val="center"/>
          </w:tcPr>
          <w:p>
            <w:pPr>
              <w:spacing w:before="62" w:beforeLines="20" w:after="62" w:afterLines="20"/>
              <w:ind w:left="-105" w:leftChars="-50" w:right="-105" w:rightChars="-50"/>
              <w:jc w:val="center"/>
              <w:rPr>
                <w:color w:val="auto"/>
                <w:sz w:val="20"/>
                <w:szCs w:val="20"/>
                <w:highlight w:val="none"/>
              </w:rPr>
            </w:pPr>
            <w:r>
              <w:rPr>
                <w:rFonts w:hint="eastAsia"/>
                <w:color w:val="auto"/>
                <w:sz w:val="20"/>
                <w:szCs w:val="20"/>
                <w:highlight w:val="none"/>
              </w:rPr>
              <w:t>基坑、边坡</w:t>
            </w:r>
          </w:p>
        </w:tc>
        <w:tc>
          <w:tcPr>
            <w:tcW w:w="709" w:type="dxa"/>
            <w:tcBorders>
              <w:top w:val="single" w:color="000000" w:sz="4" w:space="0"/>
              <w:left w:val="single" w:color="000000" w:sz="4" w:space="0"/>
              <w:bottom w:val="single" w:color="000000" w:sz="12"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9" w:type="dxa"/>
            <w:tcBorders>
              <w:top w:val="single" w:color="000000" w:sz="4" w:space="0"/>
              <w:left w:val="single" w:color="000000" w:sz="4" w:space="0"/>
              <w:bottom w:val="single" w:color="000000" w:sz="12"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8" w:type="dxa"/>
            <w:tcBorders>
              <w:top w:val="single" w:color="000000" w:sz="4" w:space="0"/>
              <w:left w:val="single" w:color="000000" w:sz="4" w:space="0"/>
              <w:bottom w:val="single" w:color="000000" w:sz="12"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9" w:type="dxa"/>
            <w:tcBorders>
              <w:top w:val="single" w:color="000000" w:sz="4" w:space="0"/>
              <w:left w:val="single" w:color="000000" w:sz="4" w:space="0"/>
              <w:bottom w:val="single" w:color="000000" w:sz="12"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9" w:type="dxa"/>
            <w:tcBorders>
              <w:top w:val="single" w:color="000000" w:sz="4" w:space="0"/>
              <w:left w:val="single" w:color="000000" w:sz="4" w:space="0"/>
              <w:bottom w:val="single" w:color="000000" w:sz="12" w:space="0"/>
              <w:right w:val="single" w:color="000000" w:sz="4" w:space="0"/>
            </w:tcBorders>
            <w:vAlign w:val="center"/>
          </w:tcPr>
          <w:p>
            <w:pPr>
              <w:spacing w:before="62" w:beforeLines="20" w:after="62" w:afterLines="20"/>
              <w:jc w:val="center"/>
              <w:rPr>
                <w:rFonts w:ascii="宋体" w:hAnsi="宋体" w:cs="宋体"/>
                <w:color w:val="auto"/>
                <w:sz w:val="20"/>
                <w:szCs w:val="20"/>
                <w:highlight w:val="none"/>
              </w:rPr>
            </w:pPr>
            <w:r>
              <w:rPr>
                <w:rFonts w:hint="eastAsia" w:ascii="宋体" w:hAnsi="宋体" w:cs="宋体"/>
                <w:color w:val="auto"/>
                <w:sz w:val="20"/>
                <w:szCs w:val="20"/>
                <w:highlight w:val="none"/>
              </w:rPr>
              <w:t>○</w:t>
            </w:r>
          </w:p>
        </w:tc>
        <w:tc>
          <w:tcPr>
            <w:tcW w:w="850" w:type="dxa"/>
            <w:tcBorders>
              <w:top w:val="single" w:color="000000" w:sz="4" w:space="0"/>
              <w:left w:val="single" w:color="000000" w:sz="4" w:space="0"/>
              <w:bottom w:val="single" w:color="000000" w:sz="12" w:space="0"/>
              <w:right w:val="single" w:color="000000" w:sz="4" w:space="0"/>
            </w:tcBorders>
            <w:vAlign w:val="center"/>
          </w:tcPr>
          <w:p>
            <w:pPr>
              <w:spacing w:before="62" w:beforeLines="20" w:after="62" w:afterLines="20"/>
              <w:jc w:val="center"/>
              <w:rPr>
                <w:color w:val="auto"/>
                <w:sz w:val="20"/>
                <w:szCs w:val="20"/>
                <w:highlight w:val="none"/>
              </w:rPr>
            </w:pPr>
          </w:p>
        </w:tc>
        <w:tc>
          <w:tcPr>
            <w:tcW w:w="851" w:type="dxa"/>
            <w:tcBorders>
              <w:top w:val="single" w:color="000000" w:sz="4" w:space="0"/>
              <w:left w:val="single" w:color="000000" w:sz="4" w:space="0"/>
              <w:bottom w:val="single" w:color="000000" w:sz="12"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850" w:type="dxa"/>
            <w:tcBorders>
              <w:top w:val="single" w:color="000000" w:sz="4" w:space="0"/>
              <w:left w:val="single" w:color="000000" w:sz="4" w:space="0"/>
              <w:bottom w:val="single" w:color="000000" w:sz="12"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851" w:type="dxa"/>
            <w:tcBorders>
              <w:top w:val="single" w:color="000000" w:sz="4" w:space="0"/>
              <w:left w:val="single" w:color="000000" w:sz="4" w:space="0"/>
              <w:bottom w:val="single" w:color="000000" w:sz="12"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9" w:type="dxa"/>
            <w:tcBorders>
              <w:top w:val="single" w:color="000000" w:sz="4" w:space="0"/>
              <w:left w:val="single" w:color="000000" w:sz="4" w:space="0"/>
              <w:bottom w:val="single" w:color="000000" w:sz="12"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992" w:type="dxa"/>
            <w:tcBorders>
              <w:top w:val="single" w:color="000000" w:sz="4" w:space="0"/>
              <w:left w:val="single" w:color="000000" w:sz="4" w:space="0"/>
              <w:bottom w:val="single" w:color="000000" w:sz="12" w:space="0"/>
              <w:right w:val="single" w:color="000000" w:sz="4" w:space="0"/>
            </w:tcBorders>
            <w:vAlign w:val="center"/>
          </w:tcPr>
          <w:p>
            <w:pPr>
              <w:spacing w:before="62" w:beforeLines="20" w:after="62" w:afterLines="20"/>
              <w:jc w:val="center"/>
              <w:rPr>
                <w:color w:val="auto"/>
                <w:sz w:val="20"/>
                <w:szCs w:val="20"/>
                <w:highlight w:val="none"/>
              </w:rPr>
            </w:pPr>
            <w:r>
              <w:rPr>
                <w:rFonts w:hint="eastAsia"/>
                <w:color w:val="auto"/>
                <w:sz w:val="20"/>
                <w:szCs w:val="20"/>
                <w:highlight w:val="none"/>
              </w:rPr>
              <w:t>○</w:t>
            </w:r>
          </w:p>
        </w:tc>
        <w:tc>
          <w:tcPr>
            <w:tcW w:w="709" w:type="dxa"/>
            <w:tcBorders>
              <w:top w:val="single" w:color="000000" w:sz="4" w:space="0"/>
              <w:left w:val="single" w:color="000000" w:sz="4" w:space="0"/>
              <w:bottom w:val="single" w:color="000000" w:sz="12" w:space="0"/>
              <w:right w:val="single" w:color="000000" w:sz="4" w:space="0"/>
            </w:tcBorders>
            <w:vAlign w:val="center"/>
          </w:tcPr>
          <w:p>
            <w:pPr>
              <w:spacing w:before="62" w:beforeLines="20" w:after="62" w:afterLines="20"/>
              <w:jc w:val="center"/>
              <w:rPr>
                <w:color w:val="auto"/>
                <w:sz w:val="20"/>
                <w:szCs w:val="20"/>
                <w:highlight w:val="none"/>
              </w:rPr>
            </w:pPr>
          </w:p>
        </w:tc>
        <w:tc>
          <w:tcPr>
            <w:tcW w:w="850" w:type="dxa"/>
            <w:tcBorders>
              <w:top w:val="single" w:color="000000" w:sz="4" w:space="0"/>
              <w:left w:val="single" w:color="000000" w:sz="4" w:space="0"/>
              <w:bottom w:val="single" w:color="000000" w:sz="12" w:space="0"/>
              <w:right w:val="single" w:color="000000" w:sz="4" w:space="0"/>
            </w:tcBorders>
            <w:vAlign w:val="center"/>
          </w:tcPr>
          <w:p>
            <w:pPr>
              <w:spacing w:before="62" w:beforeLines="20" w:after="62" w:afterLines="20"/>
              <w:jc w:val="center"/>
              <w:rPr>
                <w:color w:val="auto"/>
                <w:sz w:val="20"/>
                <w:szCs w:val="20"/>
                <w:highlight w:val="none"/>
              </w:rPr>
            </w:pPr>
          </w:p>
        </w:tc>
        <w:tc>
          <w:tcPr>
            <w:tcW w:w="709" w:type="dxa"/>
            <w:tcBorders>
              <w:top w:val="single" w:color="000000" w:sz="4" w:space="0"/>
              <w:left w:val="single" w:color="000000" w:sz="4" w:space="0"/>
              <w:bottom w:val="single" w:color="000000" w:sz="12" w:space="0"/>
              <w:right w:val="single" w:color="000000" w:sz="12" w:space="0"/>
            </w:tcBorders>
            <w:vAlign w:val="center"/>
          </w:tcPr>
          <w:p>
            <w:pPr>
              <w:spacing w:before="62" w:beforeLines="20" w:after="62" w:afterLines="20"/>
              <w:jc w:val="center"/>
              <w:rPr>
                <w:color w:val="auto"/>
                <w:sz w:val="20"/>
                <w:szCs w:val="20"/>
                <w:highlight w:val="none"/>
              </w:rPr>
            </w:pPr>
          </w:p>
        </w:tc>
      </w:tr>
    </w:tbl>
    <w:p>
      <w:pPr>
        <w:snapToGrid w:val="0"/>
        <w:spacing w:line="360" w:lineRule="auto"/>
        <w:ind w:left="1120" w:leftChars="200" w:hanging="700" w:hangingChars="350"/>
        <w:jc w:val="left"/>
        <w:rPr>
          <w:color w:val="auto"/>
          <w:sz w:val="20"/>
          <w:szCs w:val="20"/>
          <w:highlight w:val="none"/>
        </w:rPr>
      </w:pPr>
      <w:r>
        <w:rPr>
          <w:color w:val="auto"/>
          <w:sz w:val="20"/>
          <w:szCs w:val="20"/>
          <w:highlight w:val="none"/>
        </w:rPr>
        <w:t>注</w:t>
      </w:r>
      <w:r>
        <w:rPr>
          <w:rFonts w:hint="eastAsia"/>
          <w:color w:val="auto"/>
          <w:sz w:val="20"/>
          <w:szCs w:val="20"/>
          <w:highlight w:val="none"/>
        </w:rPr>
        <w:t>：1　</w:t>
      </w:r>
      <w:r>
        <w:rPr>
          <w:color w:val="auto"/>
          <w:sz w:val="20"/>
          <w:szCs w:val="20"/>
          <w:highlight w:val="none"/>
        </w:rPr>
        <w:t>符号</w:t>
      </w:r>
      <w:r>
        <w:rPr>
          <w:rFonts w:hint="eastAsia" w:ascii="宋体" w:hAnsi="宋体" w:eastAsia="宋体" w:cs="宋体"/>
          <w:color w:val="auto"/>
          <w:sz w:val="20"/>
          <w:szCs w:val="20"/>
          <w:highlight w:val="none"/>
        </w:rPr>
        <w:t>√</w:t>
      </w:r>
      <w:r>
        <w:rPr>
          <w:color w:val="auto"/>
          <w:sz w:val="20"/>
          <w:szCs w:val="20"/>
          <w:highlight w:val="none"/>
        </w:rPr>
        <w:t>为应做项目，</w:t>
      </w:r>
      <w:r>
        <w:rPr>
          <w:rFonts w:hint="eastAsia" w:ascii="宋体" w:hAnsi="宋体" w:cs="宋体"/>
          <w:color w:val="auto"/>
          <w:sz w:val="20"/>
          <w:szCs w:val="20"/>
          <w:highlight w:val="none"/>
        </w:rPr>
        <w:t>○</w:t>
      </w:r>
      <w:r>
        <w:rPr>
          <w:color w:val="auto"/>
          <w:sz w:val="20"/>
          <w:szCs w:val="20"/>
          <w:highlight w:val="none"/>
        </w:rPr>
        <w:t>为</w:t>
      </w:r>
      <w:r>
        <w:rPr>
          <w:rFonts w:hint="eastAsia"/>
          <w:color w:val="auto"/>
          <w:sz w:val="20"/>
          <w:szCs w:val="20"/>
          <w:highlight w:val="none"/>
        </w:rPr>
        <w:t>选</w:t>
      </w:r>
      <w:r>
        <w:rPr>
          <w:color w:val="auto"/>
          <w:sz w:val="20"/>
          <w:szCs w:val="20"/>
          <w:highlight w:val="none"/>
        </w:rPr>
        <w:t>做项目。</w:t>
      </w:r>
      <w:r>
        <w:rPr>
          <w:rFonts w:hint="eastAsia"/>
          <w:color w:val="auto"/>
          <w:sz w:val="20"/>
          <w:szCs w:val="20"/>
          <w:highlight w:val="none"/>
        </w:rPr>
        <w:t>下同。</w:t>
      </w:r>
    </w:p>
    <w:p>
      <w:pPr>
        <w:snapToGrid w:val="0"/>
        <w:spacing w:line="360" w:lineRule="auto"/>
        <w:ind w:left="1140" w:leftChars="400" w:hanging="300" w:hangingChars="150"/>
        <w:rPr>
          <w:color w:val="auto"/>
          <w:sz w:val="20"/>
          <w:szCs w:val="20"/>
          <w:highlight w:val="none"/>
        </w:rPr>
      </w:pPr>
      <w:r>
        <w:rPr>
          <w:rFonts w:hint="eastAsia"/>
          <w:color w:val="auto"/>
          <w:sz w:val="20"/>
          <w:szCs w:val="20"/>
          <w:highlight w:val="none"/>
        </w:rPr>
        <w:t>2　泥岩或</w:t>
      </w:r>
      <w:r>
        <w:rPr>
          <w:rFonts w:hint="eastAsia"/>
          <w:color w:val="auto"/>
          <w:kern w:val="0"/>
          <w:sz w:val="18"/>
          <w:szCs w:val="18"/>
          <w:highlight w:val="none"/>
        </w:rPr>
        <w:t>黏土</w:t>
      </w:r>
      <w:r>
        <w:rPr>
          <w:rFonts w:hint="eastAsia"/>
          <w:color w:val="auto"/>
          <w:sz w:val="20"/>
          <w:szCs w:val="20"/>
          <w:highlight w:val="none"/>
        </w:rPr>
        <w:t>岩的岩石抗压强度可仅做天然单轴抗压强度。</w:t>
      </w:r>
    </w:p>
    <w:p>
      <w:pPr>
        <w:snapToGrid w:val="0"/>
        <w:spacing w:line="360" w:lineRule="auto"/>
        <w:ind w:left="1140" w:leftChars="400" w:hanging="300" w:hangingChars="150"/>
        <w:rPr>
          <w:color w:val="auto"/>
          <w:sz w:val="20"/>
          <w:szCs w:val="20"/>
          <w:highlight w:val="none"/>
        </w:rPr>
      </w:pPr>
      <w:r>
        <w:rPr>
          <w:rFonts w:hint="eastAsia"/>
          <w:color w:val="auto"/>
          <w:sz w:val="20"/>
          <w:szCs w:val="20"/>
          <w:highlight w:val="none"/>
        </w:rPr>
        <w:t>3　表中隧道指暗挖法隧道，明挖法隧道按照基坑、边坡选择试验项目。下同。</w:t>
      </w:r>
    </w:p>
    <w:p>
      <w:pPr>
        <w:rPr>
          <w:color w:val="auto"/>
          <w:szCs w:val="21"/>
          <w:highlight w:val="none"/>
        </w:rPr>
      </w:pPr>
      <w:r>
        <w:rPr>
          <w:color w:val="auto"/>
          <w:szCs w:val="21"/>
          <w:highlight w:val="none"/>
        </w:rPr>
        <w:br w:type="page"/>
      </w:r>
    </w:p>
    <w:p>
      <w:pPr>
        <w:spacing w:line="360" w:lineRule="auto"/>
        <w:rPr>
          <w:color w:val="auto"/>
          <w:szCs w:val="21"/>
          <w:highlight w:val="none"/>
        </w:rPr>
      </w:pPr>
      <w:r>
        <w:rPr>
          <w:rFonts w:hint="eastAsia"/>
          <w:b/>
          <w:bCs/>
          <w:color w:val="auto"/>
          <w:szCs w:val="21"/>
          <w:highlight w:val="none"/>
        </w:rPr>
        <w:t>A</w:t>
      </w:r>
      <w:r>
        <w:rPr>
          <w:b/>
          <w:bCs/>
          <w:color w:val="auto"/>
          <w:szCs w:val="21"/>
          <w:highlight w:val="none"/>
        </w:rPr>
        <w:t>.0.3</w:t>
      </w:r>
      <w:r>
        <w:rPr>
          <w:rFonts w:hint="eastAsia"/>
          <w:color w:val="auto"/>
          <w:szCs w:val="21"/>
          <w:highlight w:val="none"/>
        </w:rPr>
        <w:t>　</w:t>
      </w:r>
      <w:r>
        <w:rPr>
          <w:color w:val="auto"/>
          <w:szCs w:val="21"/>
          <w:highlight w:val="none"/>
        </w:rPr>
        <w:t>土的试验项目可按表</w:t>
      </w:r>
      <w:r>
        <w:rPr>
          <w:rFonts w:hint="eastAsia"/>
          <w:color w:val="auto"/>
          <w:szCs w:val="21"/>
          <w:highlight w:val="none"/>
        </w:rPr>
        <w:t>A</w:t>
      </w:r>
      <w:r>
        <w:rPr>
          <w:color w:val="auto"/>
          <w:szCs w:val="21"/>
          <w:highlight w:val="none"/>
        </w:rPr>
        <w:t>.0.3选择。</w:t>
      </w:r>
    </w:p>
    <w:p>
      <w:pPr>
        <w:spacing w:line="360" w:lineRule="auto"/>
        <w:jc w:val="center"/>
        <w:rPr>
          <w:b/>
          <w:bCs/>
          <w:color w:val="auto"/>
          <w:szCs w:val="21"/>
          <w:highlight w:val="none"/>
        </w:rPr>
      </w:pPr>
      <w:r>
        <w:rPr>
          <w:b/>
          <w:bCs/>
          <w:color w:val="auto"/>
          <w:szCs w:val="21"/>
          <w:highlight w:val="none"/>
        </w:rPr>
        <w:t>表</w:t>
      </w:r>
      <w:r>
        <w:rPr>
          <w:rFonts w:hint="eastAsia"/>
          <w:b/>
          <w:bCs/>
          <w:color w:val="auto"/>
          <w:szCs w:val="21"/>
          <w:highlight w:val="none"/>
        </w:rPr>
        <w:t>A</w:t>
      </w:r>
      <w:r>
        <w:rPr>
          <w:b/>
          <w:bCs/>
          <w:color w:val="auto"/>
          <w:szCs w:val="21"/>
          <w:highlight w:val="none"/>
        </w:rPr>
        <w:t>.0.3</w:t>
      </w:r>
      <w:r>
        <w:rPr>
          <w:rFonts w:hint="eastAsia"/>
          <w:b/>
          <w:bCs/>
          <w:color w:val="auto"/>
          <w:szCs w:val="21"/>
          <w:highlight w:val="none"/>
        </w:rPr>
        <w:t>　</w:t>
      </w:r>
      <w:r>
        <w:rPr>
          <w:b/>
          <w:bCs/>
          <w:color w:val="auto"/>
          <w:szCs w:val="21"/>
          <w:highlight w:val="none"/>
        </w:rPr>
        <w:t>土的试验项目</w:t>
      </w:r>
    </w:p>
    <w:tbl>
      <w:tblPr>
        <w:tblStyle w:val="22"/>
        <w:tblW w:w="13964" w:type="dxa"/>
        <w:jc w:val="center"/>
        <w:tblLayout w:type="fixed"/>
        <w:tblCellMar>
          <w:top w:w="0" w:type="dxa"/>
          <w:left w:w="108" w:type="dxa"/>
          <w:bottom w:w="0" w:type="dxa"/>
          <w:right w:w="108" w:type="dxa"/>
        </w:tblCellMar>
      </w:tblPr>
      <w:tblGrid>
        <w:gridCol w:w="562"/>
        <w:gridCol w:w="2134"/>
        <w:gridCol w:w="425"/>
        <w:gridCol w:w="424"/>
        <w:gridCol w:w="425"/>
        <w:gridCol w:w="425"/>
        <w:gridCol w:w="426"/>
        <w:gridCol w:w="425"/>
        <w:gridCol w:w="496"/>
        <w:gridCol w:w="496"/>
        <w:gridCol w:w="425"/>
        <w:gridCol w:w="426"/>
        <w:gridCol w:w="425"/>
        <w:gridCol w:w="575"/>
        <w:gridCol w:w="566"/>
        <w:gridCol w:w="415"/>
        <w:gridCol w:w="427"/>
        <w:gridCol w:w="439"/>
        <w:gridCol w:w="461"/>
        <w:gridCol w:w="485"/>
        <w:gridCol w:w="473"/>
        <w:gridCol w:w="588"/>
        <w:gridCol w:w="416"/>
        <w:gridCol w:w="392"/>
        <w:gridCol w:w="406"/>
        <w:gridCol w:w="392"/>
        <w:gridCol w:w="415"/>
      </w:tblGrid>
      <w:tr>
        <w:tblPrEx>
          <w:tblCellMar>
            <w:top w:w="0" w:type="dxa"/>
            <w:left w:w="108" w:type="dxa"/>
            <w:bottom w:w="0" w:type="dxa"/>
            <w:right w:w="108" w:type="dxa"/>
          </w:tblCellMar>
        </w:tblPrEx>
        <w:trPr>
          <w:trHeight w:val="191" w:hRule="atLeast"/>
          <w:jc w:val="center"/>
        </w:trPr>
        <w:tc>
          <w:tcPr>
            <w:tcW w:w="562" w:type="dxa"/>
            <w:vMerge w:val="restart"/>
            <w:tcBorders>
              <w:top w:val="single" w:color="000000" w:sz="12" w:space="0"/>
              <w:left w:val="single" w:color="000000" w:sz="12" w:space="0"/>
              <w:bottom w:val="single" w:color="000000" w:sz="4" w:space="0"/>
              <w:right w:val="single" w:color="000000" w:sz="4" w:space="0"/>
            </w:tcBorders>
            <w:vAlign w:val="center"/>
          </w:tcPr>
          <w:p>
            <w:pPr>
              <w:spacing w:before="156" w:beforeLines="50"/>
              <w:jc w:val="center"/>
              <w:rPr>
                <w:color w:val="auto"/>
                <w:sz w:val="20"/>
                <w:szCs w:val="20"/>
                <w:highlight w:val="none"/>
              </w:rPr>
            </w:pPr>
            <w:r>
              <w:rPr>
                <w:rFonts w:hint="eastAsia"/>
                <w:color w:val="auto"/>
                <w:sz w:val="20"/>
                <w:szCs w:val="20"/>
                <w:highlight w:val="none"/>
              </w:rPr>
              <w:t>土类</w:t>
            </w:r>
          </w:p>
        </w:tc>
        <w:tc>
          <w:tcPr>
            <w:tcW w:w="2134" w:type="dxa"/>
            <w:vMerge w:val="restart"/>
            <w:tcBorders>
              <w:top w:val="single" w:color="000000" w:sz="12" w:space="0"/>
              <w:left w:val="single" w:color="000000" w:sz="4" w:space="0"/>
              <w:bottom w:val="single" w:color="000000" w:sz="4" w:space="0"/>
              <w:right w:val="single" w:color="000000" w:sz="4" w:space="0"/>
            </w:tcBorders>
            <w:vAlign w:val="center"/>
          </w:tcPr>
          <w:p>
            <w:pPr>
              <w:spacing w:before="156" w:beforeLines="50"/>
              <w:jc w:val="center"/>
              <w:rPr>
                <w:color w:val="auto"/>
                <w:sz w:val="20"/>
                <w:szCs w:val="20"/>
                <w:highlight w:val="none"/>
              </w:rPr>
            </w:pPr>
            <w:r>
              <w:rPr>
                <w:rFonts w:hint="eastAsia"/>
                <w:color w:val="auto"/>
                <w:sz w:val="20"/>
                <w:szCs w:val="20"/>
                <w:highlight w:val="none"/>
              </w:rPr>
              <w:t>工程类型</w:t>
            </w:r>
          </w:p>
        </w:tc>
        <w:tc>
          <w:tcPr>
            <w:tcW w:w="425" w:type="dxa"/>
            <w:vMerge w:val="restart"/>
            <w:tcBorders>
              <w:top w:val="single" w:color="000000" w:sz="12" w:space="0"/>
              <w:left w:val="single" w:color="000000" w:sz="4" w:space="0"/>
              <w:bottom w:val="single" w:color="000000" w:sz="4" w:space="0"/>
              <w:right w:val="single" w:color="000000" w:sz="4" w:space="0"/>
            </w:tcBorders>
            <w:vAlign w:val="center"/>
          </w:tcPr>
          <w:p>
            <w:pPr>
              <w:ind w:left="-42" w:leftChars="-20" w:right="-42" w:rightChars="-20"/>
              <w:jc w:val="center"/>
              <w:rPr>
                <w:color w:val="auto"/>
                <w:sz w:val="20"/>
                <w:szCs w:val="20"/>
                <w:highlight w:val="none"/>
              </w:rPr>
            </w:pPr>
            <w:r>
              <w:rPr>
                <w:rFonts w:hint="eastAsia"/>
                <w:color w:val="auto"/>
                <w:sz w:val="20"/>
                <w:szCs w:val="20"/>
                <w:highlight w:val="none"/>
              </w:rPr>
              <w:t>含水率</w:t>
            </w:r>
          </w:p>
        </w:tc>
        <w:tc>
          <w:tcPr>
            <w:tcW w:w="424" w:type="dxa"/>
            <w:vMerge w:val="restart"/>
            <w:tcBorders>
              <w:top w:val="single" w:color="000000" w:sz="12" w:space="0"/>
              <w:left w:val="single" w:color="000000" w:sz="4" w:space="0"/>
              <w:bottom w:val="single" w:color="000000" w:sz="4" w:space="0"/>
              <w:right w:val="single" w:color="000000" w:sz="4" w:space="0"/>
            </w:tcBorders>
            <w:vAlign w:val="center"/>
          </w:tcPr>
          <w:p>
            <w:pPr>
              <w:ind w:right="-42" w:rightChars="-20"/>
              <w:jc w:val="center"/>
              <w:rPr>
                <w:color w:val="auto"/>
                <w:sz w:val="20"/>
                <w:szCs w:val="20"/>
                <w:highlight w:val="none"/>
              </w:rPr>
            </w:pPr>
            <w:r>
              <w:rPr>
                <w:rFonts w:hint="eastAsia"/>
                <w:color w:val="auto"/>
                <w:sz w:val="20"/>
                <w:szCs w:val="20"/>
                <w:highlight w:val="none"/>
              </w:rPr>
              <w:t>天然密度</w:t>
            </w:r>
          </w:p>
        </w:tc>
        <w:tc>
          <w:tcPr>
            <w:tcW w:w="425" w:type="dxa"/>
            <w:vMerge w:val="restart"/>
            <w:tcBorders>
              <w:top w:val="single" w:color="000000" w:sz="12" w:space="0"/>
              <w:left w:val="single" w:color="000000" w:sz="4" w:space="0"/>
              <w:bottom w:val="single" w:color="000000" w:sz="4" w:space="0"/>
              <w:right w:val="single" w:color="000000" w:sz="4" w:space="0"/>
            </w:tcBorders>
            <w:vAlign w:val="center"/>
          </w:tcPr>
          <w:p>
            <w:pPr>
              <w:ind w:right="-42" w:rightChars="-20"/>
              <w:jc w:val="center"/>
              <w:rPr>
                <w:color w:val="auto"/>
                <w:sz w:val="20"/>
                <w:szCs w:val="20"/>
                <w:highlight w:val="none"/>
              </w:rPr>
            </w:pPr>
            <w:r>
              <w:rPr>
                <w:rFonts w:hint="eastAsia"/>
                <w:color w:val="auto"/>
                <w:sz w:val="20"/>
                <w:szCs w:val="20"/>
                <w:highlight w:val="none"/>
              </w:rPr>
              <w:t>比重</w:t>
            </w:r>
          </w:p>
        </w:tc>
        <w:tc>
          <w:tcPr>
            <w:tcW w:w="425" w:type="dxa"/>
            <w:vMerge w:val="restart"/>
            <w:tcBorders>
              <w:top w:val="single" w:color="000000" w:sz="12" w:space="0"/>
              <w:left w:val="single" w:color="000000" w:sz="4" w:space="0"/>
              <w:bottom w:val="single" w:color="000000" w:sz="4" w:space="0"/>
              <w:right w:val="single" w:color="000000" w:sz="4" w:space="0"/>
            </w:tcBorders>
            <w:vAlign w:val="center"/>
          </w:tcPr>
          <w:p>
            <w:pPr>
              <w:ind w:right="-42" w:rightChars="-20"/>
              <w:jc w:val="center"/>
              <w:rPr>
                <w:color w:val="auto"/>
                <w:sz w:val="20"/>
                <w:szCs w:val="20"/>
                <w:highlight w:val="none"/>
              </w:rPr>
            </w:pPr>
            <w:r>
              <w:rPr>
                <w:rFonts w:hint="eastAsia"/>
                <w:color w:val="auto"/>
                <w:sz w:val="20"/>
                <w:szCs w:val="20"/>
                <w:highlight w:val="none"/>
              </w:rPr>
              <w:t>界限含水率</w:t>
            </w:r>
          </w:p>
        </w:tc>
        <w:tc>
          <w:tcPr>
            <w:tcW w:w="426" w:type="dxa"/>
            <w:vMerge w:val="restart"/>
            <w:tcBorders>
              <w:top w:val="single" w:color="000000" w:sz="12" w:space="0"/>
              <w:left w:val="single" w:color="000000" w:sz="4" w:space="0"/>
              <w:bottom w:val="single" w:color="000000" w:sz="4" w:space="0"/>
              <w:right w:val="single" w:color="000000" w:sz="4" w:space="0"/>
            </w:tcBorders>
            <w:vAlign w:val="center"/>
          </w:tcPr>
          <w:p>
            <w:pPr>
              <w:ind w:right="-42" w:rightChars="-20"/>
              <w:jc w:val="center"/>
              <w:rPr>
                <w:color w:val="auto"/>
                <w:sz w:val="20"/>
                <w:szCs w:val="20"/>
                <w:highlight w:val="none"/>
              </w:rPr>
            </w:pPr>
            <w:r>
              <w:rPr>
                <w:rFonts w:hint="eastAsia"/>
                <w:color w:val="auto"/>
                <w:sz w:val="20"/>
                <w:szCs w:val="20"/>
                <w:highlight w:val="none"/>
              </w:rPr>
              <w:t>颗粒分析</w:t>
            </w:r>
          </w:p>
        </w:tc>
        <w:tc>
          <w:tcPr>
            <w:tcW w:w="425" w:type="dxa"/>
            <w:vMerge w:val="restart"/>
            <w:tcBorders>
              <w:top w:val="single" w:color="000000" w:sz="12" w:space="0"/>
              <w:left w:val="single" w:color="000000" w:sz="4" w:space="0"/>
              <w:bottom w:val="single" w:color="000000" w:sz="4" w:space="0"/>
              <w:right w:val="single" w:color="000000" w:sz="4" w:space="0"/>
            </w:tcBorders>
            <w:vAlign w:val="center"/>
          </w:tcPr>
          <w:p>
            <w:pPr>
              <w:ind w:right="-42" w:rightChars="-20"/>
              <w:jc w:val="center"/>
              <w:rPr>
                <w:color w:val="auto"/>
                <w:sz w:val="20"/>
                <w:szCs w:val="20"/>
                <w:highlight w:val="none"/>
              </w:rPr>
            </w:pPr>
            <w:r>
              <w:rPr>
                <w:rFonts w:hint="eastAsia"/>
                <w:color w:val="auto"/>
                <w:sz w:val="20"/>
                <w:szCs w:val="20"/>
                <w:highlight w:val="none"/>
              </w:rPr>
              <w:t>水下休止角</w:t>
            </w:r>
          </w:p>
        </w:tc>
        <w:tc>
          <w:tcPr>
            <w:tcW w:w="992" w:type="dxa"/>
            <w:gridSpan w:val="2"/>
            <w:tcBorders>
              <w:top w:val="single" w:color="000000" w:sz="12" w:space="0"/>
              <w:left w:val="single" w:color="000000" w:sz="4" w:space="0"/>
              <w:bottom w:val="single" w:color="000000" w:sz="4" w:space="0"/>
              <w:right w:val="single" w:color="000000" w:sz="4" w:space="0"/>
            </w:tcBorders>
            <w:vAlign w:val="center"/>
          </w:tcPr>
          <w:p>
            <w:pPr>
              <w:spacing w:before="62" w:beforeLines="20" w:after="62" w:afterLines="20"/>
              <w:ind w:right="-42" w:rightChars="-20"/>
              <w:rPr>
                <w:color w:val="auto"/>
                <w:sz w:val="20"/>
                <w:szCs w:val="20"/>
                <w:highlight w:val="none"/>
              </w:rPr>
            </w:pPr>
            <w:r>
              <w:rPr>
                <w:color w:val="auto"/>
                <w:sz w:val="20"/>
                <w:szCs w:val="20"/>
                <w:highlight w:val="none"/>
              </w:rPr>
              <w:t>渗透试验</w:t>
            </w:r>
          </w:p>
        </w:tc>
        <w:tc>
          <w:tcPr>
            <w:tcW w:w="425" w:type="dxa"/>
            <w:vMerge w:val="restart"/>
            <w:tcBorders>
              <w:top w:val="single" w:color="000000" w:sz="12" w:space="0"/>
              <w:left w:val="single" w:color="000000" w:sz="4" w:space="0"/>
              <w:bottom w:val="single" w:color="000000" w:sz="4" w:space="0"/>
              <w:right w:val="single" w:color="000000" w:sz="4" w:space="0"/>
            </w:tcBorders>
            <w:vAlign w:val="center"/>
          </w:tcPr>
          <w:p>
            <w:pPr>
              <w:ind w:right="-42" w:rightChars="-20"/>
              <w:jc w:val="center"/>
              <w:rPr>
                <w:color w:val="auto"/>
                <w:sz w:val="20"/>
                <w:szCs w:val="20"/>
                <w:highlight w:val="none"/>
              </w:rPr>
            </w:pPr>
            <w:r>
              <w:rPr>
                <w:color w:val="auto"/>
                <w:sz w:val="20"/>
                <w:szCs w:val="20"/>
                <w:highlight w:val="none"/>
              </w:rPr>
              <w:t>自由膨胀率</w:t>
            </w:r>
          </w:p>
        </w:tc>
        <w:tc>
          <w:tcPr>
            <w:tcW w:w="426" w:type="dxa"/>
            <w:vMerge w:val="restart"/>
            <w:tcBorders>
              <w:top w:val="single" w:color="000000" w:sz="12" w:space="0"/>
              <w:left w:val="single" w:color="000000" w:sz="4" w:space="0"/>
              <w:bottom w:val="single" w:color="000000" w:sz="4" w:space="0"/>
              <w:right w:val="single" w:color="000000" w:sz="4" w:space="0"/>
            </w:tcBorders>
            <w:vAlign w:val="center"/>
          </w:tcPr>
          <w:p>
            <w:pPr>
              <w:ind w:right="-42" w:rightChars="-20"/>
              <w:jc w:val="center"/>
              <w:rPr>
                <w:color w:val="auto"/>
                <w:sz w:val="20"/>
                <w:szCs w:val="20"/>
                <w:highlight w:val="none"/>
              </w:rPr>
            </w:pPr>
            <w:r>
              <w:rPr>
                <w:color w:val="auto"/>
                <w:sz w:val="20"/>
                <w:szCs w:val="20"/>
                <w:highlight w:val="none"/>
              </w:rPr>
              <w:t>有机质含量</w:t>
            </w:r>
          </w:p>
        </w:tc>
        <w:tc>
          <w:tcPr>
            <w:tcW w:w="425" w:type="dxa"/>
            <w:vMerge w:val="restart"/>
            <w:tcBorders>
              <w:top w:val="single" w:color="000000" w:sz="12" w:space="0"/>
              <w:left w:val="single" w:color="000000" w:sz="4" w:space="0"/>
              <w:bottom w:val="single" w:color="000000" w:sz="4" w:space="0"/>
              <w:right w:val="single" w:color="000000" w:sz="4" w:space="0"/>
            </w:tcBorders>
            <w:vAlign w:val="center"/>
          </w:tcPr>
          <w:p>
            <w:pPr>
              <w:ind w:left="-42" w:leftChars="-20" w:right="-42" w:rightChars="-20"/>
              <w:jc w:val="center"/>
              <w:rPr>
                <w:color w:val="auto"/>
                <w:sz w:val="20"/>
                <w:szCs w:val="20"/>
                <w:highlight w:val="none"/>
              </w:rPr>
            </w:pPr>
            <w:r>
              <w:rPr>
                <w:color w:val="auto"/>
                <w:sz w:val="20"/>
                <w:szCs w:val="20"/>
                <w:highlight w:val="none"/>
              </w:rPr>
              <w:t>易溶盐分析</w:t>
            </w:r>
          </w:p>
        </w:tc>
        <w:tc>
          <w:tcPr>
            <w:tcW w:w="2422" w:type="dxa"/>
            <w:gridSpan w:val="5"/>
            <w:tcBorders>
              <w:top w:val="single" w:color="000000" w:sz="12" w:space="0"/>
              <w:left w:val="single" w:color="000000" w:sz="4" w:space="0"/>
              <w:bottom w:val="single" w:color="000000" w:sz="4" w:space="0"/>
              <w:right w:val="single" w:color="000000" w:sz="4" w:space="0"/>
            </w:tcBorders>
            <w:vAlign w:val="center"/>
          </w:tcPr>
          <w:p>
            <w:pPr>
              <w:ind w:left="-42" w:leftChars="-20" w:right="-42" w:rightChars="-20"/>
              <w:jc w:val="center"/>
              <w:rPr>
                <w:color w:val="auto"/>
                <w:sz w:val="20"/>
                <w:szCs w:val="20"/>
                <w:highlight w:val="none"/>
              </w:rPr>
            </w:pPr>
            <w:r>
              <w:rPr>
                <w:color w:val="auto"/>
                <w:sz w:val="20"/>
                <w:szCs w:val="20"/>
                <w:highlight w:val="none"/>
              </w:rPr>
              <w:t>固结试验</w:t>
            </w:r>
          </w:p>
        </w:tc>
        <w:tc>
          <w:tcPr>
            <w:tcW w:w="1419" w:type="dxa"/>
            <w:gridSpan w:val="3"/>
            <w:tcBorders>
              <w:top w:val="single" w:color="000000" w:sz="12" w:space="0"/>
              <w:left w:val="single" w:color="000000" w:sz="4" w:space="0"/>
              <w:bottom w:val="single" w:color="000000" w:sz="4" w:space="0"/>
              <w:right w:val="single" w:color="000000" w:sz="4" w:space="0"/>
            </w:tcBorders>
            <w:vAlign w:val="center"/>
          </w:tcPr>
          <w:p>
            <w:pPr>
              <w:ind w:right="-42" w:rightChars="-20"/>
              <w:jc w:val="center"/>
              <w:rPr>
                <w:color w:val="auto"/>
                <w:sz w:val="20"/>
                <w:szCs w:val="20"/>
                <w:highlight w:val="none"/>
              </w:rPr>
            </w:pPr>
            <w:r>
              <w:rPr>
                <w:rFonts w:hint="eastAsia"/>
                <w:color w:val="auto"/>
                <w:sz w:val="20"/>
                <w:szCs w:val="20"/>
                <w:highlight w:val="none"/>
              </w:rPr>
              <w:t>直接剪切试验</w:t>
            </w:r>
          </w:p>
        </w:tc>
        <w:tc>
          <w:tcPr>
            <w:tcW w:w="1396" w:type="dxa"/>
            <w:gridSpan w:val="3"/>
            <w:tcBorders>
              <w:top w:val="single" w:color="000000" w:sz="12" w:space="0"/>
              <w:left w:val="single" w:color="000000" w:sz="4" w:space="0"/>
              <w:bottom w:val="single" w:color="000000" w:sz="4" w:space="0"/>
              <w:right w:val="single" w:color="000000" w:sz="4" w:space="0"/>
            </w:tcBorders>
            <w:vAlign w:val="center"/>
          </w:tcPr>
          <w:p>
            <w:pPr>
              <w:ind w:left="-42" w:leftChars="-20" w:right="-42" w:rightChars="-20"/>
              <w:jc w:val="center"/>
              <w:rPr>
                <w:color w:val="auto"/>
                <w:sz w:val="20"/>
                <w:szCs w:val="20"/>
                <w:highlight w:val="none"/>
              </w:rPr>
            </w:pPr>
            <w:r>
              <w:rPr>
                <w:rFonts w:hint="eastAsia"/>
                <w:color w:val="auto"/>
                <w:sz w:val="20"/>
                <w:szCs w:val="20"/>
                <w:highlight w:val="none"/>
              </w:rPr>
              <w:t>三轴压缩试验</w:t>
            </w:r>
          </w:p>
        </w:tc>
        <w:tc>
          <w:tcPr>
            <w:tcW w:w="406" w:type="dxa"/>
            <w:vMerge w:val="restart"/>
            <w:tcBorders>
              <w:top w:val="single" w:color="000000" w:sz="12" w:space="0"/>
              <w:left w:val="single" w:color="000000" w:sz="4" w:space="0"/>
              <w:bottom w:val="single" w:color="000000" w:sz="4" w:space="0"/>
              <w:right w:val="single" w:color="000000" w:sz="4" w:space="0"/>
            </w:tcBorders>
            <w:vAlign w:val="center"/>
          </w:tcPr>
          <w:p>
            <w:pPr>
              <w:ind w:left="-42" w:leftChars="-20" w:right="-42" w:rightChars="-20"/>
              <w:jc w:val="center"/>
              <w:rPr>
                <w:color w:val="auto"/>
                <w:sz w:val="20"/>
                <w:szCs w:val="20"/>
                <w:highlight w:val="none"/>
              </w:rPr>
            </w:pPr>
            <w:r>
              <w:rPr>
                <w:color w:val="auto"/>
                <w:sz w:val="20"/>
                <w:szCs w:val="20"/>
                <w:highlight w:val="none"/>
              </w:rPr>
              <w:t>无侧限抗压强度</w:t>
            </w:r>
          </w:p>
        </w:tc>
        <w:tc>
          <w:tcPr>
            <w:tcW w:w="392" w:type="dxa"/>
            <w:vMerge w:val="restart"/>
            <w:tcBorders>
              <w:top w:val="single" w:color="000000" w:sz="12" w:space="0"/>
              <w:left w:val="single" w:color="000000" w:sz="4" w:space="0"/>
              <w:bottom w:val="single" w:color="000000" w:sz="4" w:space="0"/>
              <w:right w:val="single" w:color="000000" w:sz="4" w:space="0"/>
            </w:tcBorders>
            <w:vAlign w:val="center"/>
          </w:tcPr>
          <w:p>
            <w:pPr>
              <w:ind w:left="-42" w:leftChars="-20" w:right="-42" w:rightChars="-20"/>
              <w:jc w:val="center"/>
              <w:rPr>
                <w:color w:val="auto"/>
                <w:sz w:val="20"/>
                <w:szCs w:val="20"/>
                <w:highlight w:val="none"/>
              </w:rPr>
            </w:pPr>
            <w:r>
              <w:rPr>
                <w:color w:val="auto"/>
                <w:sz w:val="20"/>
                <w:szCs w:val="20"/>
                <w:highlight w:val="none"/>
              </w:rPr>
              <w:t>基床系数</w:t>
            </w:r>
          </w:p>
        </w:tc>
        <w:tc>
          <w:tcPr>
            <w:tcW w:w="415" w:type="dxa"/>
            <w:vMerge w:val="restart"/>
            <w:tcBorders>
              <w:top w:val="single" w:color="000000" w:sz="12" w:space="0"/>
              <w:left w:val="single" w:color="000000" w:sz="4" w:space="0"/>
              <w:bottom w:val="single" w:color="000000" w:sz="4" w:space="0"/>
              <w:right w:val="single" w:color="000000" w:sz="12" w:space="0"/>
            </w:tcBorders>
            <w:vAlign w:val="center"/>
          </w:tcPr>
          <w:p>
            <w:pPr>
              <w:ind w:left="-42" w:leftChars="-20" w:right="-42" w:rightChars="-20"/>
              <w:jc w:val="center"/>
              <w:rPr>
                <w:color w:val="auto"/>
                <w:sz w:val="20"/>
                <w:szCs w:val="20"/>
                <w:highlight w:val="none"/>
              </w:rPr>
            </w:pPr>
            <w:r>
              <w:rPr>
                <w:color w:val="auto"/>
                <w:sz w:val="20"/>
                <w:szCs w:val="20"/>
                <w:highlight w:val="none"/>
              </w:rPr>
              <w:t>静止侧压力系数</w:t>
            </w:r>
          </w:p>
        </w:tc>
      </w:tr>
      <w:tr>
        <w:tblPrEx>
          <w:tblCellMar>
            <w:top w:w="0" w:type="dxa"/>
            <w:left w:w="108" w:type="dxa"/>
            <w:bottom w:w="0" w:type="dxa"/>
            <w:right w:w="108" w:type="dxa"/>
          </w:tblCellMar>
        </w:tblPrEx>
        <w:trPr>
          <w:trHeight w:val="1649" w:hRule="atLeast"/>
          <w:jc w:val="center"/>
        </w:trPr>
        <w:tc>
          <w:tcPr>
            <w:tcW w:w="562"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color w:val="auto"/>
                <w:sz w:val="20"/>
                <w:szCs w:val="20"/>
                <w:highlight w:val="none"/>
              </w:rPr>
            </w:pPr>
          </w:p>
        </w:tc>
        <w:tc>
          <w:tcPr>
            <w:tcW w:w="21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 w:val="20"/>
                <w:szCs w:val="20"/>
                <w:highlight w:val="none"/>
              </w:rPr>
            </w:pPr>
          </w:p>
        </w:tc>
        <w:tc>
          <w:tcPr>
            <w:tcW w:w="425" w:type="dxa"/>
            <w:vMerge w:val="continue"/>
            <w:tcBorders>
              <w:top w:val="single" w:color="000000" w:sz="4" w:space="0"/>
              <w:left w:val="single" w:color="000000" w:sz="4" w:space="0"/>
              <w:bottom w:val="single" w:color="000000" w:sz="4" w:space="0"/>
              <w:right w:val="single" w:color="000000" w:sz="4" w:space="0"/>
            </w:tcBorders>
            <w:vAlign w:val="center"/>
          </w:tcPr>
          <w:p>
            <w:pPr>
              <w:ind w:left="-42" w:leftChars="-20" w:right="-42" w:rightChars="-20"/>
              <w:jc w:val="center"/>
              <w:rPr>
                <w:color w:val="auto"/>
                <w:sz w:val="20"/>
                <w:szCs w:val="20"/>
                <w:highlight w:val="none"/>
              </w:rPr>
            </w:pPr>
          </w:p>
        </w:tc>
        <w:tc>
          <w:tcPr>
            <w:tcW w:w="424" w:type="dxa"/>
            <w:vMerge w:val="continue"/>
            <w:tcBorders>
              <w:top w:val="single" w:color="000000" w:sz="4" w:space="0"/>
              <w:left w:val="single" w:color="000000" w:sz="4" w:space="0"/>
              <w:bottom w:val="single" w:color="000000" w:sz="4" w:space="0"/>
              <w:right w:val="single" w:color="000000" w:sz="4" w:space="0"/>
            </w:tcBorders>
            <w:vAlign w:val="center"/>
          </w:tcPr>
          <w:p>
            <w:pPr>
              <w:ind w:right="-42" w:rightChars="-20"/>
              <w:jc w:val="center"/>
              <w:rPr>
                <w:color w:val="auto"/>
                <w:sz w:val="20"/>
                <w:szCs w:val="20"/>
                <w:highlight w:val="none"/>
              </w:rPr>
            </w:pPr>
          </w:p>
        </w:tc>
        <w:tc>
          <w:tcPr>
            <w:tcW w:w="425" w:type="dxa"/>
            <w:vMerge w:val="continue"/>
            <w:tcBorders>
              <w:top w:val="single" w:color="000000" w:sz="4" w:space="0"/>
              <w:left w:val="single" w:color="000000" w:sz="4" w:space="0"/>
              <w:bottom w:val="single" w:color="000000" w:sz="4" w:space="0"/>
              <w:right w:val="single" w:color="000000" w:sz="4" w:space="0"/>
            </w:tcBorders>
            <w:vAlign w:val="center"/>
          </w:tcPr>
          <w:p>
            <w:pPr>
              <w:ind w:right="-42" w:rightChars="-20"/>
              <w:jc w:val="center"/>
              <w:rPr>
                <w:color w:val="auto"/>
                <w:sz w:val="20"/>
                <w:szCs w:val="20"/>
                <w:highlight w:val="none"/>
              </w:rPr>
            </w:pPr>
          </w:p>
        </w:tc>
        <w:tc>
          <w:tcPr>
            <w:tcW w:w="425" w:type="dxa"/>
            <w:vMerge w:val="continue"/>
            <w:tcBorders>
              <w:top w:val="single" w:color="000000" w:sz="4" w:space="0"/>
              <w:left w:val="single" w:color="000000" w:sz="4" w:space="0"/>
              <w:bottom w:val="single" w:color="000000" w:sz="4" w:space="0"/>
              <w:right w:val="single" w:color="000000" w:sz="4" w:space="0"/>
            </w:tcBorders>
            <w:vAlign w:val="center"/>
          </w:tcPr>
          <w:p>
            <w:pPr>
              <w:ind w:right="-42" w:rightChars="-20"/>
              <w:jc w:val="center"/>
              <w:rPr>
                <w:color w:val="auto"/>
                <w:sz w:val="20"/>
                <w:szCs w:val="20"/>
                <w:highlight w:val="none"/>
              </w:rPr>
            </w:pPr>
          </w:p>
        </w:tc>
        <w:tc>
          <w:tcPr>
            <w:tcW w:w="426" w:type="dxa"/>
            <w:vMerge w:val="continue"/>
            <w:tcBorders>
              <w:top w:val="single" w:color="000000" w:sz="4" w:space="0"/>
              <w:left w:val="single" w:color="000000" w:sz="4" w:space="0"/>
              <w:bottom w:val="single" w:color="000000" w:sz="4" w:space="0"/>
              <w:right w:val="single" w:color="000000" w:sz="4" w:space="0"/>
            </w:tcBorders>
            <w:vAlign w:val="center"/>
          </w:tcPr>
          <w:p>
            <w:pPr>
              <w:ind w:right="-42" w:rightChars="-20"/>
              <w:jc w:val="center"/>
              <w:rPr>
                <w:color w:val="auto"/>
                <w:sz w:val="20"/>
                <w:szCs w:val="20"/>
                <w:highlight w:val="none"/>
              </w:rPr>
            </w:pPr>
          </w:p>
        </w:tc>
        <w:tc>
          <w:tcPr>
            <w:tcW w:w="425" w:type="dxa"/>
            <w:vMerge w:val="continue"/>
            <w:tcBorders>
              <w:top w:val="single" w:color="000000" w:sz="4" w:space="0"/>
              <w:left w:val="single" w:color="000000" w:sz="4" w:space="0"/>
              <w:bottom w:val="single" w:color="000000" w:sz="4" w:space="0"/>
              <w:right w:val="single" w:color="000000" w:sz="4" w:space="0"/>
            </w:tcBorders>
            <w:vAlign w:val="center"/>
          </w:tcPr>
          <w:p>
            <w:pPr>
              <w:ind w:right="-42" w:rightChars="-20"/>
              <w:jc w:val="center"/>
              <w:rPr>
                <w:color w:val="auto"/>
                <w:sz w:val="20"/>
                <w:szCs w:val="20"/>
                <w:highlight w:val="none"/>
              </w:rPr>
            </w:pPr>
          </w:p>
        </w:tc>
        <w:tc>
          <w:tcPr>
            <w:tcW w:w="496" w:type="dxa"/>
            <w:tcBorders>
              <w:top w:val="single" w:color="000000" w:sz="4" w:space="0"/>
              <w:left w:val="single" w:color="000000" w:sz="4" w:space="0"/>
              <w:bottom w:val="single" w:color="000000" w:sz="4" w:space="0"/>
              <w:right w:val="single" w:color="000000" w:sz="4" w:space="0"/>
            </w:tcBorders>
            <w:vAlign w:val="center"/>
          </w:tcPr>
          <w:p>
            <w:pPr>
              <w:ind w:right="-42" w:rightChars="-20"/>
              <w:jc w:val="center"/>
              <w:rPr>
                <w:color w:val="auto"/>
                <w:sz w:val="20"/>
                <w:szCs w:val="20"/>
                <w:highlight w:val="none"/>
              </w:rPr>
            </w:pPr>
            <w:r>
              <w:rPr>
                <w:rFonts w:hint="eastAsia"/>
                <w:color w:val="auto"/>
                <w:sz w:val="20"/>
                <w:szCs w:val="20"/>
                <w:highlight w:val="none"/>
              </w:rPr>
              <w:t>水平</w:t>
            </w:r>
            <w:r>
              <w:rPr>
                <w:color w:val="auto"/>
                <w:sz w:val="20"/>
                <w:szCs w:val="20"/>
                <w:highlight w:val="none"/>
              </w:rPr>
              <w:t>渗透</w:t>
            </w:r>
            <w:r>
              <w:rPr>
                <w:rFonts w:hint="eastAsia"/>
                <w:color w:val="auto"/>
                <w:sz w:val="20"/>
                <w:szCs w:val="20"/>
                <w:highlight w:val="none"/>
              </w:rPr>
              <w:t>系数</w:t>
            </w:r>
          </w:p>
        </w:tc>
        <w:tc>
          <w:tcPr>
            <w:tcW w:w="496" w:type="dxa"/>
            <w:tcBorders>
              <w:top w:val="single" w:color="000000" w:sz="4" w:space="0"/>
              <w:left w:val="single" w:color="000000" w:sz="4" w:space="0"/>
              <w:bottom w:val="single" w:color="000000" w:sz="4" w:space="0"/>
              <w:right w:val="single" w:color="000000" w:sz="4" w:space="0"/>
            </w:tcBorders>
            <w:vAlign w:val="center"/>
          </w:tcPr>
          <w:p>
            <w:pPr>
              <w:ind w:right="-42" w:rightChars="-20"/>
              <w:jc w:val="center"/>
              <w:rPr>
                <w:color w:val="auto"/>
                <w:sz w:val="20"/>
                <w:szCs w:val="20"/>
                <w:highlight w:val="none"/>
              </w:rPr>
            </w:pPr>
            <w:r>
              <w:rPr>
                <w:rFonts w:hint="eastAsia"/>
                <w:color w:val="auto"/>
                <w:sz w:val="20"/>
                <w:szCs w:val="20"/>
                <w:highlight w:val="none"/>
              </w:rPr>
              <w:t>垂直</w:t>
            </w:r>
            <w:r>
              <w:rPr>
                <w:color w:val="auto"/>
                <w:sz w:val="20"/>
                <w:szCs w:val="20"/>
                <w:highlight w:val="none"/>
              </w:rPr>
              <w:t>渗透</w:t>
            </w:r>
            <w:r>
              <w:rPr>
                <w:rFonts w:hint="eastAsia"/>
                <w:color w:val="auto"/>
                <w:sz w:val="20"/>
                <w:szCs w:val="20"/>
                <w:highlight w:val="none"/>
              </w:rPr>
              <w:t>系数</w:t>
            </w:r>
          </w:p>
        </w:tc>
        <w:tc>
          <w:tcPr>
            <w:tcW w:w="425" w:type="dxa"/>
            <w:vMerge w:val="continue"/>
            <w:tcBorders>
              <w:top w:val="single" w:color="000000" w:sz="4" w:space="0"/>
              <w:left w:val="single" w:color="000000" w:sz="4" w:space="0"/>
              <w:bottom w:val="single" w:color="000000" w:sz="4" w:space="0"/>
              <w:right w:val="single" w:color="000000" w:sz="4" w:space="0"/>
            </w:tcBorders>
            <w:vAlign w:val="center"/>
          </w:tcPr>
          <w:p>
            <w:pPr>
              <w:ind w:right="-42" w:rightChars="-20"/>
              <w:jc w:val="center"/>
              <w:rPr>
                <w:color w:val="auto"/>
                <w:sz w:val="20"/>
                <w:szCs w:val="20"/>
                <w:highlight w:val="none"/>
              </w:rPr>
            </w:pPr>
          </w:p>
        </w:tc>
        <w:tc>
          <w:tcPr>
            <w:tcW w:w="426" w:type="dxa"/>
            <w:vMerge w:val="continue"/>
            <w:tcBorders>
              <w:top w:val="single" w:color="000000" w:sz="4" w:space="0"/>
              <w:left w:val="single" w:color="000000" w:sz="4" w:space="0"/>
              <w:bottom w:val="single" w:color="000000" w:sz="4" w:space="0"/>
              <w:right w:val="single" w:color="000000" w:sz="4" w:space="0"/>
            </w:tcBorders>
            <w:vAlign w:val="center"/>
          </w:tcPr>
          <w:p>
            <w:pPr>
              <w:ind w:right="-42" w:rightChars="-20"/>
              <w:jc w:val="center"/>
              <w:rPr>
                <w:color w:val="auto"/>
                <w:sz w:val="20"/>
                <w:szCs w:val="20"/>
                <w:highlight w:val="none"/>
              </w:rPr>
            </w:pPr>
          </w:p>
        </w:tc>
        <w:tc>
          <w:tcPr>
            <w:tcW w:w="425" w:type="dxa"/>
            <w:vMerge w:val="continue"/>
            <w:tcBorders>
              <w:top w:val="single" w:color="000000" w:sz="4" w:space="0"/>
              <w:left w:val="single" w:color="000000" w:sz="4" w:space="0"/>
              <w:bottom w:val="single" w:color="000000" w:sz="4" w:space="0"/>
              <w:right w:val="single" w:color="000000" w:sz="4" w:space="0"/>
            </w:tcBorders>
            <w:vAlign w:val="center"/>
          </w:tcPr>
          <w:p>
            <w:pPr>
              <w:ind w:left="-42" w:leftChars="-20" w:right="-42" w:rightChars="-20"/>
              <w:jc w:val="center"/>
              <w:rPr>
                <w:color w:val="auto"/>
                <w:sz w:val="20"/>
                <w:szCs w:val="20"/>
                <w:highlight w:val="none"/>
              </w:rPr>
            </w:pPr>
          </w:p>
        </w:tc>
        <w:tc>
          <w:tcPr>
            <w:tcW w:w="575" w:type="dxa"/>
            <w:tcBorders>
              <w:top w:val="single" w:color="000000" w:sz="4" w:space="0"/>
              <w:left w:val="single" w:color="000000" w:sz="4" w:space="0"/>
              <w:bottom w:val="single" w:color="000000" w:sz="4" w:space="0"/>
              <w:right w:val="single" w:color="000000" w:sz="4" w:space="0"/>
            </w:tcBorders>
            <w:vAlign w:val="center"/>
          </w:tcPr>
          <w:p>
            <w:pPr>
              <w:ind w:left="-42" w:leftChars="-20" w:right="-42" w:rightChars="-20"/>
              <w:jc w:val="center"/>
              <w:rPr>
                <w:color w:val="auto"/>
                <w:sz w:val="20"/>
                <w:szCs w:val="20"/>
                <w:highlight w:val="none"/>
              </w:rPr>
            </w:pPr>
            <w:r>
              <w:rPr>
                <w:rFonts w:hint="eastAsia"/>
                <w:color w:val="auto"/>
                <w:sz w:val="20"/>
                <w:szCs w:val="20"/>
                <w:highlight w:val="none"/>
              </w:rPr>
              <w:t>压缩系数、压缩模量</w:t>
            </w:r>
          </w:p>
        </w:tc>
        <w:tc>
          <w:tcPr>
            <w:tcW w:w="566" w:type="dxa"/>
            <w:tcBorders>
              <w:top w:val="single" w:color="000000" w:sz="4" w:space="0"/>
              <w:left w:val="single" w:color="000000" w:sz="4" w:space="0"/>
              <w:bottom w:val="single" w:color="000000" w:sz="4" w:space="0"/>
              <w:right w:val="single" w:color="000000" w:sz="4" w:space="0"/>
            </w:tcBorders>
            <w:vAlign w:val="center"/>
          </w:tcPr>
          <w:p>
            <w:pPr>
              <w:ind w:left="-42" w:leftChars="-20" w:right="-42" w:rightChars="-20"/>
              <w:jc w:val="center"/>
              <w:rPr>
                <w:color w:val="auto"/>
                <w:sz w:val="20"/>
                <w:szCs w:val="20"/>
                <w:highlight w:val="none"/>
              </w:rPr>
            </w:pPr>
            <w:r>
              <w:rPr>
                <w:rFonts w:hint="eastAsia"/>
                <w:color w:val="auto"/>
                <w:sz w:val="20"/>
                <w:szCs w:val="20"/>
                <w:highlight w:val="none"/>
              </w:rPr>
              <w:t>垂直、水平固结系数</w:t>
            </w:r>
          </w:p>
        </w:tc>
        <w:tc>
          <w:tcPr>
            <w:tcW w:w="415" w:type="dxa"/>
            <w:tcBorders>
              <w:top w:val="single" w:color="000000" w:sz="4" w:space="0"/>
              <w:left w:val="single" w:color="000000" w:sz="4" w:space="0"/>
              <w:bottom w:val="single" w:color="000000" w:sz="4" w:space="0"/>
              <w:right w:val="single" w:color="000000" w:sz="4" w:space="0"/>
            </w:tcBorders>
            <w:vAlign w:val="center"/>
          </w:tcPr>
          <w:p>
            <w:pPr>
              <w:ind w:left="-42" w:leftChars="-20" w:right="-42" w:rightChars="-20"/>
              <w:jc w:val="center"/>
              <w:rPr>
                <w:color w:val="auto"/>
                <w:sz w:val="20"/>
                <w:szCs w:val="20"/>
                <w:highlight w:val="none"/>
              </w:rPr>
            </w:pPr>
            <w:r>
              <w:rPr>
                <w:rFonts w:hint="eastAsia"/>
                <w:color w:val="auto"/>
                <w:sz w:val="20"/>
                <w:szCs w:val="20"/>
                <w:highlight w:val="none"/>
              </w:rPr>
              <w:t>先期固结压力</w:t>
            </w:r>
          </w:p>
        </w:tc>
        <w:tc>
          <w:tcPr>
            <w:tcW w:w="427" w:type="dxa"/>
            <w:tcBorders>
              <w:top w:val="single" w:color="000000" w:sz="4" w:space="0"/>
              <w:left w:val="single" w:color="000000" w:sz="4" w:space="0"/>
              <w:bottom w:val="single" w:color="000000" w:sz="4" w:space="0"/>
              <w:right w:val="single" w:color="000000" w:sz="4" w:space="0"/>
            </w:tcBorders>
            <w:vAlign w:val="center"/>
          </w:tcPr>
          <w:p>
            <w:pPr>
              <w:ind w:left="-42" w:leftChars="-20" w:right="-42" w:rightChars="-20"/>
              <w:jc w:val="center"/>
              <w:rPr>
                <w:color w:val="auto"/>
                <w:sz w:val="20"/>
                <w:szCs w:val="20"/>
                <w:highlight w:val="none"/>
              </w:rPr>
            </w:pPr>
            <w:r>
              <w:rPr>
                <w:rFonts w:hint="eastAsia"/>
                <w:color w:val="auto"/>
                <w:sz w:val="20"/>
                <w:szCs w:val="20"/>
                <w:highlight w:val="none"/>
              </w:rPr>
              <w:t>压缩指数</w:t>
            </w:r>
          </w:p>
        </w:tc>
        <w:tc>
          <w:tcPr>
            <w:tcW w:w="439" w:type="dxa"/>
            <w:tcBorders>
              <w:top w:val="single" w:color="000000" w:sz="4" w:space="0"/>
              <w:left w:val="single" w:color="000000" w:sz="4" w:space="0"/>
              <w:bottom w:val="single" w:color="000000" w:sz="4" w:space="0"/>
              <w:right w:val="single" w:color="000000" w:sz="4" w:space="0"/>
            </w:tcBorders>
            <w:vAlign w:val="center"/>
          </w:tcPr>
          <w:p>
            <w:pPr>
              <w:ind w:left="-42" w:leftChars="-20" w:right="-42" w:rightChars="-20"/>
              <w:jc w:val="center"/>
              <w:rPr>
                <w:color w:val="auto"/>
                <w:sz w:val="20"/>
                <w:szCs w:val="20"/>
                <w:highlight w:val="none"/>
              </w:rPr>
            </w:pPr>
            <w:r>
              <w:rPr>
                <w:rFonts w:hint="eastAsia"/>
                <w:color w:val="auto"/>
                <w:sz w:val="20"/>
                <w:szCs w:val="20"/>
                <w:highlight w:val="none"/>
              </w:rPr>
              <w:t>回弹指数</w:t>
            </w:r>
          </w:p>
        </w:tc>
        <w:tc>
          <w:tcPr>
            <w:tcW w:w="461" w:type="dxa"/>
            <w:tcBorders>
              <w:top w:val="single" w:color="000000" w:sz="4" w:space="0"/>
              <w:left w:val="single" w:color="000000" w:sz="4" w:space="0"/>
              <w:bottom w:val="single" w:color="000000" w:sz="4" w:space="0"/>
              <w:right w:val="single" w:color="000000" w:sz="4" w:space="0"/>
            </w:tcBorders>
            <w:vAlign w:val="center"/>
          </w:tcPr>
          <w:p>
            <w:pPr>
              <w:ind w:left="-42" w:leftChars="-20" w:right="-42" w:rightChars="-20"/>
              <w:jc w:val="center"/>
              <w:rPr>
                <w:color w:val="auto"/>
                <w:sz w:val="20"/>
                <w:szCs w:val="20"/>
                <w:highlight w:val="none"/>
              </w:rPr>
            </w:pPr>
            <w:r>
              <w:rPr>
                <w:color w:val="auto"/>
                <w:sz w:val="20"/>
                <w:szCs w:val="20"/>
                <w:highlight w:val="none"/>
              </w:rPr>
              <w:t>快剪</w:t>
            </w:r>
          </w:p>
        </w:tc>
        <w:tc>
          <w:tcPr>
            <w:tcW w:w="485" w:type="dxa"/>
            <w:tcBorders>
              <w:top w:val="single" w:color="000000" w:sz="4" w:space="0"/>
              <w:left w:val="single" w:color="000000" w:sz="4" w:space="0"/>
              <w:bottom w:val="single" w:color="000000" w:sz="4" w:space="0"/>
              <w:right w:val="single" w:color="000000" w:sz="4" w:space="0"/>
            </w:tcBorders>
            <w:vAlign w:val="center"/>
          </w:tcPr>
          <w:p>
            <w:pPr>
              <w:ind w:left="-42" w:leftChars="-20" w:right="-42" w:rightChars="-20"/>
              <w:jc w:val="center"/>
              <w:rPr>
                <w:color w:val="auto"/>
                <w:sz w:val="20"/>
                <w:szCs w:val="20"/>
                <w:highlight w:val="none"/>
              </w:rPr>
            </w:pPr>
            <w:r>
              <w:rPr>
                <w:rFonts w:hint="eastAsia"/>
                <w:color w:val="auto"/>
                <w:sz w:val="20"/>
                <w:szCs w:val="20"/>
                <w:highlight w:val="none"/>
              </w:rPr>
              <w:t>饱和状态快剪</w:t>
            </w:r>
          </w:p>
        </w:tc>
        <w:tc>
          <w:tcPr>
            <w:tcW w:w="473" w:type="dxa"/>
            <w:tcBorders>
              <w:top w:val="single" w:color="000000" w:sz="4" w:space="0"/>
              <w:left w:val="single" w:color="000000" w:sz="4" w:space="0"/>
              <w:bottom w:val="single" w:color="000000" w:sz="4" w:space="0"/>
              <w:right w:val="single" w:color="000000" w:sz="4" w:space="0"/>
            </w:tcBorders>
            <w:vAlign w:val="center"/>
          </w:tcPr>
          <w:p>
            <w:pPr>
              <w:ind w:left="-42" w:leftChars="-20" w:right="-42" w:rightChars="-20"/>
              <w:jc w:val="center"/>
              <w:rPr>
                <w:color w:val="auto"/>
                <w:sz w:val="20"/>
                <w:szCs w:val="20"/>
                <w:highlight w:val="none"/>
              </w:rPr>
            </w:pPr>
            <w:r>
              <w:rPr>
                <w:color w:val="auto"/>
                <w:sz w:val="20"/>
                <w:szCs w:val="20"/>
                <w:highlight w:val="none"/>
              </w:rPr>
              <w:t>固结快剪</w:t>
            </w:r>
          </w:p>
        </w:tc>
        <w:tc>
          <w:tcPr>
            <w:tcW w:w="588" w:type="dxa"/>
            <w:tcBorders>
              <w:top w:val="single" w:color="000000" w:sz="4" w:space="0"/>
              <w:left w:val="single" w:color="000000" w:sz="4" w:space="0"/>
              <w:bottom w:val="single" w:color="000000" w:sz="4" w:space="0"/>
              <w:right w:val="single" w:color="000000" w:sz="4" w:space="0"/>
            </w:tcBorders>
            <w:vAlign w:val="center"/>
          </w:tcPr>
          <w:p>
            <w:pPr>
              <w:ind w:left="-42" w:leftChars="-20" w:right="-42" w:rightChars="-20"/>
              <w:jc w:val="center"/>
              <w:rPr>
                <w:color w:val="auto"/>
                <w:sz w:val="20"/>
                <w:szCs w:val="20"/>
                <w:highlight w:val="none"/>
              </w:rPr>
            </w:pPr>
            <w:r>
              <w:rPr>
                <w:rFonts w:hint="eastAsia"/>
                <w:color w:val="auto"/>
                <w:sz w:val="20"/>
                <w:szCs w:val="20"/>
                <w:highlight w:val="none"/>
              </w:rPr>
              <w:t>不固结不排水剪</w:t>
            </w:r>
          </w:p>
        </w:tc>
        <w:tc>
          <w:tcPr>
            <w:tcW w:w="416" w:type="dxa"/>
            <w:tcBorders>
              <w:top w:val="single" w:color="000000" w:sz="4" w:space="0"/>
              <w:left w:val="single" w:color="000000" w:sz="4" w:space="0"/>
              <w:bottom w:val="single" w:color="000000" w:sz="4" w:space="0"/>
              <w:right w:val="single" w:color="000000" w:sz="4" w:space="0"/>
            </w:tcBorders>
            <w:vAlign w:val="center"/>
          </w:tcPr>
          <w:p>
            <w:pPr>
              <w:ind w:left="-42" w:leftChars="-20" w:right="-42" w:rightChars="-20"/>
              <w:jc w:val="center"/>
              <w:rPr>
                <w:color w:val="auto"/>
                <w:sz w:val="20"/>
                <w:szCs w:val="20"/>
                <w:highlight w:val="none"/>
              </w:rPr>
            </w:pPr>
            <w:r>
              <w:rPr>
                <w:rFonts w:hint="eastAsia"/>
                <w:color w:val="auto"/>
                <w:sz w:val="20"/>
                <w:szCs w:val="20"/>
                <w:highlight w:val="none"/>
              </w:rPr>
              <w:t>固结不排水剪</w:t>
            </w:r>
          </w:p>
        </w:tc>
        <w:tc>
          <w:tcPr>
            <w:tcW w:w="392" w:type="dxa"/>
            <w:tcBorders>
              <w:top w:val="single" w:color="000000" w:sz="4" w:space="0"/>
              <w:left w:val="single" w:color="000000" w:sz="4" w:space="0"/>
              <w:bottom w:val="single" w:color="000000" w:sz="4" w:space="0"/>
              <w:right w:val="single" w:color="000000" w:sz="4" w:space="0"/>
            </w:tcBorders>
            <w:vAlign w:val="center"/>
          </w:tcPr>
          <w:p>
            <w:pPr>
              <w:ind w:left="-42" w:leftChars="-20" w:right="-42" w:rightChars="-20"/>
              <w:jc w:val="center"/>
              <w:rPr>
                <w:color w:val="auto"/>
                <w:sz w:val="20"/>
                <w:szCs w:val="20"/>
                <w:highlight w:val="none"/>
              </w:rPr>
            </w:pPr>
            <w:r>
              <w:rPr>
                <w:rFonts w:hint="eastAsia"/>
                <w:color w:val="auto"/>
                <w:sz w:val="20"/>
                <w:szCs w:val="20"/>
                <w:highlight w:val="none"/>
              </w:rPr>
              <w:t>固结排水剪</w:t>
            </w:r>
          </w:p>
        </w:tc>
        <w:tc>
          <w:tcPr>
            <w:tcW w:w="406" w:type="dxa"/>
            <w:vMerge w:val="continue"/>
            <w:tcBorders>
              <w:top w:val="single" w:color="000000" w:sz="4" w:space="0"/>
              <w:left w:val="single" w:color="000000" w:sz="4" w:space="0"/>
              <w:bottom w:val="single" w:color="000000" w:sz="4" w:space="0"/>
              <w:right w:val="single" w:color="000000" w:sz="4" w:space="0"/>
            </w:tcBorders>
            <w:vAlign w:val="center"/>
          </w:tcPr>
          <w:p>
            <w:pPr>
              <w:ind w:left="-42" w:leftChars="-20" w:right="-42" w:rightChars="-20"/>
              <w:jc w:val="center"/>
              <w:rPr>
                <w:color w:val="auto"/>
                <w:sz w:val="20"/>
                <w:szCs w:val="20"/>
                <w:highlight w:val="none"/>
              </w:rPr>
            </w:pPr>
          </w:p>
        </w:tc>
        <w:tc>
          <w:tcPr>
            <w:tcW w:w="392" w:type="dxa"/>
            <w:vMerge w:val="continue"/>
            <w:tcBorders>
              <w:top w:val="single" w:color="000000" w:sz="4" w:space="0"/>
              <w:left w:val="single" w:color="000000" w:sz="4" w:space="0"/>
              <w:bottom w:val="single" w:color="000000" w:sz="4" w:space="0"/>
              <w:right w:val="single" w:color="000000" w:sz="4" w:space="0"/>
            </w:tcBorders>
            <w:vAlign w:val="center"/>
          </w:tcPr>
          <w:p>
            <w:pPr>
              <w:ind w:left="-42" w:leftChars="-20" w:right="-42" w:rightChars="-20"/>
              <w:jc w:val="center"/>
              <w:rPr>
                <w:color w:val="auto"/>
                <w:sz w:val="20"/>
                <w:szCs w:val="20"/>
                <w:highlight w:val="none"/>
              </w:rPr>
            </w:pPr>
          </w:p>
        </w:tc>
        <w:tc>
          <w:tcPr>
            <w:tcW w:w="415" w:type="dxa"/>
            <w:vMerge w:val="continue"/>
            <w:tcBorders>
              <w:top w:val="single" w:color="000000" w:sz="4" w:space="0"/>
              <w:left w:val="single" w:color="000000" w:sz="4" w:space="0"/>
              <w:bottom w:val="single" w:color="000000" w:sz="4" w:space="0"/>
              <w:right w:val="single" w:color="000000" w:sz="12" w:space="0"/>
            </w:tcBorders>
            <w:vAlign w:val="center"/>
          </w:tcPr>
          <w:p>
            <w:pPr>
              <w:ind w:left="-42" w:leftChars="-20" w:right="-42" w:rightChars="-20"/>
              <w:jc w:val="center"/>
              <w:rPr>
                <w:color w:val="auto"/>
                <w:sz w:val="20"/>
                <w:szCs w:val="20"/>
                <w:highlight w:val="none"/>
              </w:rPr>
            </w:pPr>
          </w:p>
        </w:tc>
      </w:tr>
      <w:tr>
        <w:tblPrEx>
          <w:tblCellMar>
            <w:top w:w="0" w:type="dxa"/>
            <w:left w:w="108" w:type="dxa"/>
            <w:bottom w:w="0" w:type="dxa"/>
            <w:right w:w="108" w:type="dxa"/>
          </w:tblCellMar>
        </w:tblPrEx>
        <w:trPr>
          <w:jc w:val="center"/>
        </w:trPr>
        <w:tc>
          <w:tcPr>
            <w:tcW w:w="562" w:type="dxa"/>
            <w:tcBorders>
              <w:top w:val="single" w:color="000000" w:sz="4" w:space="0"/>
              <w:left w:val="single" w:color="000000" w:sz="12" w:space="0"/>
              <w:bottom w:val="single" w:color="000000" w:sz="4" w:space="0"/>
              <w:right w:val="single" w:color="000000" w:sz="4" w:space="0"/>
            </w:tcBorders>
            <w:vAlign w:val="center"/>
          </w:tcPr>
          <w:p>
            <w:pPr>
              <w:snapToGrid w:val="0"/>
              <w:spacing w:before="62" w:beforeLines="20" w:after="62" w:afterLines="20"/>
              <w:ind w:left="-105" w:leftChars="-50" w:right="-105" w:rightChars="-50"/>
              <w:jc w:val="center"/>
              <w:rPr>
                <w:color w:val="auto"/>
                <w:sz w:val="20"/>
                <w:szCs w:val="20"/>
                <w:highlight w:val="none"/>
              </w:rPr>
            </w:pPr>
            <w:r>
              <w:rPr>
                <w:rFonts w:hint="eastAsia"/>
                <w:color w:val="auto"/>
                <w:sz w:val="20"/>
                <w:szCs w:val="20"/>
                <w:highlight w:val="none"/>
              </w:rPr>
              <w:t>碎石土、砂土</w:t>
            </w:r>
          </w:p>
        </w:tc>
        <w:tc>
          <w:tcPr>
            <w:tcW w:w="2134" w:type="dxa"/>
            <w:tcBorders>
              <w:top w:val="single" w:color="000000" w:sz="4" w:space="0"/>
              <w:left w:val="single" w:color="000000" w:sz="4" w:space="0"/>
              <w:bottom w:val="single" w:color="000000" w:sz="4" w:space="0"/>
              <w:right w:val="single" w:color="000000" w:sz="4" w:space="0"/>
            </w:tcBorders>
            <w:vAlign w:val="center"/>
          </w:tcPr>
          <w:p>
            <w:pPr>
              <w:snapToGrid w:val="0"/>
              <w:spacing w:before="62" w:beforeLines="20" w:after="62" w:afterLines="20"/>
              <w:jc w:val="center"/>
              <w:rPr>
                <w:color w:val="auto"/>
                <w:sz w:val="20"/>
                <w:szCs w:val="20"/>
                <w:highlight w:val="none"/>
              </w:rPr>
            </w:pPr>
            <w:r>
              <w:rPr>
                <w:rFonts w:hint="eastAsia"/>
                <w:color w:val="auto"/>
                <w:sz w:val="20"/>
                <w:szCs w:val="20"/>
                <w:highlight w:val="none"/>
              </w:rPr>
              <w:t>天然地基、地基处理、隧道、边坡、基坑、桩基</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4" w:type="dxa"/>
            <w:tcBorders>
              <w:top w:val="single" w:color="000000" w:sz="4" w:space="0"/>
              <w:left w:val="single" w:color="000000" w:sz="4" w:space="0"/>
              <w:bottom w:val="single" w:color="000000" w:sz="4" w:space="0"/>
              <w:right w:val="single" w:color="000000" w:sz="4" w:space="0"/>
            </w:tcBorders>
            <w:vAlign w:val="center"/>
          </w:tcPr>
          <w:p>
            <w:pPr>
              <w:snapToGrid w:val="0"/>
              <w:ind w:right="-105" w:rightChars="-50"/>
              <w:jc w:val="center"/>
              <w:rPr>
                <w:color w:val="auto"/>
                <w:sz w:val="20"/>
                <w:szCs w:val="20"/>
                <w:highlight w:val="none"/>
              </w:rPr>
            </w:pP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right="-105" w:rightChars="-50"/>
              <w:jc w:val="center"/>
              <w:rPr>
                <w:color w:val="auto"/>
                <w:sz w:val="20"/>
                <w:szCs w:val="20"/>
                <w:highlight w:val="none"/>
              </w:rPr>
            </w:pP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right="-105" w:rightChars="-50"/>
              <w:jc w:val="center"/>
              <w:rPr>
                <w:color w:val="auto"/>
                <w:sz w:val="20"/>
                <w:szCs w:val="20"/>
                <w:highlight w:val="none"/>
              </w:rPr>
            </w:pPr>
          </w:p>
        </w:tc>
        <w:tc>
          <w:tcPr>
            <w:tcW w:w="42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9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9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57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56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1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39"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61"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8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7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58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1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3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0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3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15"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color w:val="auto"/>
                <w:sz w:val="20"/>
                <w:szCs w:val="20"/>
                <w:highlight w:val="none"/>
              </w:rPr>
            </w:pPr>
          </w:p>
        </w:tc>
      </w:tr>
      <w:tr>
        <w:tblPrEx>
          <w:tblCellMar>
            <w:top w:w="0" w:type="dxa"/>
            <w:left w:w="108" w:type="dxa"/>
            <w:bottom w:w="0" w:type="dxa"/>
            <w:right w:w="108" w:type="dxa"/>
          </w:tblCellMar>
        </w:tblPrEx>
        <w:trPr>
          <w:jc w:val="center"/>
        </w:trPr>
        <w:tc>
          <w:tcPr>
            <w:tcW w:w="562" w:type="dxa"/>
            <w:vMerge w:val="restart"/>
            <w:tcBorders>
              <w:top w:val="single" w:color="000000" w:sz="4" w:space="0"/>
              <w:left w:val="single" w:color="000000" w:sz="12" w:space="0"/>
              <w:bottom w:val="single" w:color="000000" w:sz="4" w:space="0"/>
              <w:right w:val="single" w:color="000000" w:sz="4" w:space="0"/>
            </w:tcBorders>
            <w:vAlign w:val="center"/>
          </w:tcPr>
          <w:p>
            <w:pPr>
              <w:snapToGrid w:val="0"/>
              <w:spacing w:before="62" w:beforeLines="20" w:after="62" w:afterLines="20"/>
              <w:ind w:left="-105" w:leftChars="-50" w:right="-105" w:rightChars="-50"/>
              <w:jc w:val="center"/>
              <w:rPr>
                <w:color w:val="auto"/>
                <w:sz w:val="20"/>
                <w:szCs w:val="20"/>
                <w:highlight w:val="none"/>
              </w:rPr>
            </w:pPr>
            <w:r>
              <w:rPr>
                <w:rFonts w:hint="eastAsia"/>
                <w:color w:val="auto"/>
                <w:sz w:val="20"/>
                <w:szCs w:val="20"/>
                <w:highlight w:val="none"/>
              </w:rPr>
              <w:t>黏性土、粉土</w:t>
            </w:r>
          </w:p>
        </w:tc>
        <w:tc>
          <w:tcPr>
            <w:tcW w:w="2134" w:type="dxa"/>
            <w:tcBorders>
              <w:top w:val="single" w:color="000000" w:sz="4" w:space="0"/>
              <w:left w:val="single" w:color="000000" w:sz="4" w:space="0"/>
              <w:bottom w:val="single" w:color="000000" w:sz="4" w:space="0"/>
              <w:right w:val="single" w:color="000000" w:sz="4" w:space="0"/>
            </w:tcBorders>
            <w:vAlign w:val="center"/>
          </w:tcPr>
          <w:p>
            <w:pPr>
              <w:snapToGrid w:val="0"/>
              <w:spacing w:before="62" w:beforeLines="20" w:after="62" w:afterLines="20"/>
              <w:jc w:val="center"/>
              <w:rPr>
                <w:color w:val="auto"/>
                <w:sz w:val="20"/>
                <w:szCs w:val="20"/>
                <w:highlight w:val="none"/>
              </w:rPr>
            </w:pPr>
            <w:r>
              <w:rPr>
                <w:rFonts w:hint="eastAsia"/>
                <w:color w:val="auto"/>
                <w:sz w:val="20"/>
                <w:szCs w:val="20"/>
                <w:highlight w:val="none"/>
              </w:rPr>
              <w:t>天然地基、地基处理</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9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9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57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56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1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39"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61"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8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7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58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1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3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0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3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15"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color w:val="auto"/>
                <w:sz w:val="20"/>
                <w:szCs w:val="20"/>
                <w:highlight w:val="none"/>
              </w:rPr>
            </w:pPr>
          </w:p>
        </w:tc>
      </w:tr>
      <w:tr>
        <w:tblPrEx>
          <w:tblCellMar>
            <w:top w:w="0" w:type="dxa"/>
            <w:left w:w="108" w:type="dxa"/>
            <w:bottom w:w="0" w:type="dxa"/>
            <w:right w:w="108" w:type="dxa"/>
          </w:tblCellMar>
        </w:tblPrEx>
        <w:trPr>
          <w:jc w:val="center"/>
        </w:trPr>
        <w:tc>
          <w:tcPr>
            <w:tcW w:w="562" w:type="dxa"/>
            <w:vMerge w:val="continue"/>
            <w:tcBorders>
              <w:top w:val="single" w:color="000000" w:sz="4" w:space="0"/>
              <w:left w:val="single" w:color="000000" w:sz="12" w:space="0"/>
              <w:bottom w:val="single" w:color="000000" w:sz="4" w:space="0"/>
              <w:right w:val="single" w:color="000000" w:sz="4" w:space="0"/>
            </w:tcBorders>
            <w:vAlign w:val="center"/>
          </w:tcPr>
          <w:p>
            <w:pPr>
              <w:snapToGrid w:val="0"/>
              <w:spacing w:before="62" w:beforeLines="20" w:after="62" w:afterLines="20"/>
              <w:ind w:left="-105" w:leftChars="-50" w:right="-105" w:rightChars="-50"/>
              <w:jc w:val="center"/>
              <w:rPr>
                <w:color w:val="auto"/>
                <w:sz w:val="20"/>
                <w:szCs w:val="20"/>
                <w:highlight w:val="none"/>
              </w:rPr>
            </w:pPr>
          </w:p>
        </w:tc>
        <w:tc>
          <w:tcPr>
            <w:tcW w:w="2134" w:type="dxa"/>
            <w:tcBorders>
              <w:top w:val="single" w:color="000000" w:sz="4" w:space="0"/>
              <w:left w:val="single" w:color="000000" w:sz="4" w:space="0"/>
              <w:bottom w:val="single" w:color="000000" w:sz="4" w:space="0"/>
              <w:right w:val="single" w:color="000000" w:sz="4" w:space="0"/>
            </w:tcBorders>
            <w:vAlign w:val="center"/>
          </w:tcPr>
          <w:p>
            <w:pPr>
              <w:snapToGrid w:val="0"/>
              <w:spacing w:before="62" w:beforeLines="20" w:after="62" w:afterLines="20"/>
              <w:jc w:val="center"/>
              <w:rPr>
                <w:color w:val="auto"/>
                <w:sz w:val="20"/>
                <w:szCs w:val="20"/>
                <w:highlight w:val="none"/>
              </w:rPr>
            </w:pPr>
            <w:r>
              <w:rPr>
                <w:rFonts w:hint="eastAsia"/>
                <w:color w:val="auto"/>
                <w:sz w:val="20"/>
                <w:szCs w:val="20"/>
                <w:highlight w:val="none"/>
              </w:rPr>
              <w:t>隧道、边坡、基坑</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9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9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57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56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1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39"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61"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8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7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58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1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3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0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3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15"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r>
      <w:tr>
        <w:tblPrEx>
          <w:tblCellMar>
            <w:top w:w="0" w:type="dxa"/>
            <w:left w:w="108" w:type="dxa"/>
            <w:bottom w:w="0" w:type="dxa"/>
            <w:right w:w="108" w:type="dxa"/>
          </w:tblCellMar>
        </w:tblPrEx>
        <w:trPr>
          <w:jc w:val="center"/>
        </w:trPr>
        <w:tc>
          <w:tcPr>
            <w:tcW w:w="562" w:type="dxa"/>
            <w:vMerge w:val="continue"/>
            <w:tcBorders>
              <w:top w:val="single" w:color="000000" w:sz="4" w:space="0"/>
              <w:left w:val="single" w:color="000000" w:sz="12" w:space="0"/>
              <w:bottom w:val="single" w:color="000000" w:sz="4" w:space="0"/>
              <w:right w:val="single" w:color="000000" w:sz="4" w:space="0"/>
            </w:tcBorders>
            <w:vAlign w:val="center"/>
          </w:tcPr>
          <w:p>
            <w:pPr>
              <w:snapToGrid w:val="0"/>
              <w:spacing w:before="62" w:beforeLines="20" w:after="62" w:afterLines="20"/>
              <w:ind w:left="-105" w:leftChars="-50" w:right="-105" w:rightChars="-50"/>
              <w:jc w:val="center"/>
              <w:rPr>
                <w:color w:val="auto"/>
                <w:sz w:val="20"/>
                <w:szCs w:val="20"/>
                <w:highlight w:val="none"/>
              </w:rPr>
            </w:pPr>
          </w:p>
        </w:tc>
        <w:tc>
          <w:tcPr>
            <w:tcW w:w="2134" w:type="dxa"/>
            <w:tcBorders>
              <w:top w:val="single" w:color="000000" w:sz="4" w:space="0"/>
              <w:left w:val="single" w:color="000000" w:sz="4" w:space="0"/>
              <w:bottom w:val="single" w:color="000000" w:sz="4" w:space="0"/>
              <w:right w:val="single" w:color="000000" w:sz="4" w:space="0"/>
            </w:tcBorders>
            <w:vAlign w:val="center"/>
          </w:tcPr>
          <w:p>
            <w:pPr>
              <w:snapToGrid w:val="0"/>
              <w:spacing w:before="62" w:beforeLines="20" w:after="62" w:afterLines="20"/>
              <w:ind w:left="-105" w:leftChars="-50" w:right="-105" w:rightChars="-50"/>
              <w:jc w:val="center"/>
              <w:rPr>
                <w:color w:val="auto"/>
                <w:sz w:val="20"/>
                <w:szCs w:val="20"/>
                <w:highlight w:val="none"/>
              </w:rPr>
            </w:pPr>
            <w:r>
              <w:rPr>
                <w:rFonts w:hint="eastAsia"/>
                <w:color w:val="auto"/>
                <w:sz w:val="20"/>
                <w:szCs w:val="20"/>
                <w:highlight w:val="none"/>
              </w:rPr>
              <w:t>桩基</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9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9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57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56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1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39"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61"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8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7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58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1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3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0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3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15"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color w:val="auto"/>
                <w:sz w:val="20"/>
                <w:szCs w:val="20"/>
                <w:highlight w:val="none"/>
              </w:rPr>
            </w:pPr>
          </w:p>
        </w:tc>
      </w:tr>
      <w:tr>
        <w:tblPrEx>
          <w:tblCellMar>
            <w:top w:w="0" w:type="dxa"/>
            <w:left w:w="108" w:type="dxa"/>
            <w:bottom w:w="0" w:type="dxa"/>
            <w:right w:w="108" w:type="dxa"/>
          </w:tblCellMar>
        </w:tblPrEx>
        <w:trPr>
          <w:jc w:val="center"/>
        </w:trPr>
        <w:tc>
          <w:tcPr>
            <w:tcW w:w="562" w:type="dxa"/>
            <w:vMerge w:val="restart"/>
            <w:tcBorders>
              <w:top w:val="single" w:color="000000" w:sz="4" w:space="0"/>
              <w:left w:val="single" w:color="000000" w:sz="12" w:space="0"/>
              <w:bottom w:val="single" w:color="000000" w:sz="4" w:space="0"/>
              <w:right w:val="single" w:color="000000" w:sz="4" w:space="0"/>
            </w:tcBorders>
            <w:vAlign w:val="center"/>
          </w:tcPr>
          <w:p>
            <w:pPr>
              <w:snapToGrid w:val="0"/>
              <w:spacing w:before="62" w:beforeLines="20" w:after="62" w:afterLines="20"/>
              <w:ind w:left="-105" w:leftChars="-50" w:right="-105" w:rightChars="-50"/>
              <w:jc w:val="center"/>
              <w:rPr>
                <w:color w:val="auto"/>
                <w:sz w:val="20"/>
                <w:szCs w:val="20"/>
                <w:highlight w:val="none"/>
              </w:rPr>
            </w:pPr>
            <w:r>
              <w:rPr>
                <w:rFonts w:hint="eastAsia"/>
                <w:color w:val="auto"/>
                <w:sz w:val="20"/>
                <w:szCs w:val="20"/>
                <w:highlight w:val="none"/>
              </w:rPr>
              <w:t>软土</w:t>
            </w:r>
          </w:p>
        </w:tc>
        <w:tc>
          <w:tcPr>
            <w:tcW w:w="2134" w:type="dxa"/>
            <w:tcBorders>
              <w:top w:val="single" w:color="000000" w:sz="4" w:space="0"/>
              <w:left w:val="single" w:color="000000" w:sz="4" w:space="0"/>
              <w:bottom w:val="single" w:color="000000" w:sz="4" w:space="0"/>
              <w:right w:val="single" w:color="000000" w:sz="4" w:space="0"/>
            </w:tcBorders>
            <w:vAlign w:val="center"/>
          </w:tcPr>
          <w:p>
            <w:pPr>
              <w:snapToGrid w:val="0"/>
              <w:spacing w:before="62" w:beforeLines="20" w:after="62" w:afterLines="20"/>
              <w:jc w:val="center"/>
              <w:rPr>
                <w:color w:val="auto"/>
                <w:sz w:val="20"/>
                <w:szCs w:val="20"/>
                <w:highlight w:val="none"/>
              </w:rPr>
            </w:pPr>
            <w:r>
              <w:rPr>
                <w:rFonts w:hint="eastAsia"/>
                <w:color w:val="auto"/>
                <w:sz w:val="20"/>
                <w:szCs w:val="20"/>
                <w:highlight w:val="none"/>
              </w:rPr>
              <w:t>天然地基、地基处理</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9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9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57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56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1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39"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61"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8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7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58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1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3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0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3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15"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color w:val="auto"/>
                <w:sz w:val="20"/>
                <w:szCs w:val="20"/>
                <w:highlight w:val="none"/>
              </w:rPr>
            </w:pPr>
          </w:p>
        </w:tc>
      </w:tr>
      <w:tr>
        <w:tblPrEx>
          <w:tblCellMar>
            <w:top w:w="0" w:type="dxa"/>
            <w:left w:w="108" w:type="dxa"/>
            <w:bottom w:w="0" w:type="dxa"/>
            <w:right w:w="108" w:type="dxa"/>
          </w:tblCellMar>
        </w:tblPrEx>
        <w:trPr>
          <w:jc w:val="center"/>
        </w:trPr>
        <w:tc>
          <w:tcPr>
            <w:tcW w:w="562" w:type="dxa"/>
            <w:vMerge w:val="continue"/>
            <w:tcBorders>
              <w:top w:val="single" w:color="000000" w:sz="4" w:space="0"/>
              <w:left w:val="single" w:color="000000" w:sz="12" w:space="0"/>
              <w:bottom w:val="single" w:color="000000" w:sz="4" w:space="0"/>
              <w:right w:val="single" w:color="000000" w:sz="4" w:space="0"/>
            </w:tcBorders>
            <w:vAlign w:val="center"/>
          </w:tcPr>
          <w:p>
            <w:pPr>
              <w:snapToGrid w:val="0"/>
              <w:spacing w:before="62" w:beforeLines="20" w:after="62" w:afterLines="20"/>
              <w:jc w:val="center"/>
              <w:rPr>
                <w:color w:val="auto"/>
                <w:sz w:val="20"/>
                <w:szCs w:val="20"/>
                <w:highlight w:val="none"/>
              </w:rPr>
            </w:pPr>
          </w:p>
        </w:tc>
        <w:tc>
          <w:tcPr>
            <w:tcW w:w="2134" w:type="dxa"/>
            <w:tcBorders>
              <w:top w:val="single" w:color="000000" w:sz="4" w:space="0"/>
              <w:left w:val="single" w:color="000000" w:sz="4" w:space="0"/>
              <w:bottom w:val="single" w:color="000000" w:sz="4" w:space="0"/>
              <w:right w:val="single" w:color="000000" w:sz="4" w:space="0"/>
            </w:tcBorders>
            <w:vAlign w:val="center"/>
          </w:tcPr>
          <w:p>
            <w:pPr>
              <w:snapToGrid w:val="0"/>
              <w:spacing w:before="62" w:beforeLines="20" w:after="62" w:afterLines="20"/>
              <w:jc w:val="center"/>
              <w:rPr>
                <w:color w:val="auto"/>
                <w:sz w:val="20"/>
                <w:szCs w:val="20"/>
                <w:highlight w:val="none"/>
              </w:rPr>
            </w:pPr>
            <w:r>
              <w:rPr>
                <w:rFonts w:hint="eastAsia"/>
                <w:color w:val="auto"/>
                <w:sz w:val="20"/>
                <w:szCs w:val="20"/>
                <w:highlight w:val="none"/>
              </w:rPr>
              <w:t>隧道、边坡、基坑</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9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9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57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56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1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39"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61"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8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7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58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1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3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0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3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15"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r>
      <w:tr>
        <w:tblPrEx>
          <w:tblCellMar>
            <w:top w:w="0" w:type="dxa"/>
            <w:left w:w="108" w:type="dxa"/>
            <w:bottom w:w="0" w:type="dxa"/>
            <w:right w:w="108" w:type="dxa"/>
          </w:tblCellMar>
        </w:tblPrEx>
        <w:trPr>
          <w:jc w:val="center"/>
        </w:trPr>
        <w:tc>
          <w:tcPr>
            <w:tcW w:w="562" w:type="dxa"/>
            <w:vMerge w:val="continue"/>
            <w:tcBorders>
              <w:top w:val="single" w:color="000000" w:sz="4" w:space="0"/>
              <w:left w:val="single" w:color="000000" w:sz="12" w:space="0"/>
              <w:bottom w:val="single" w:color="000000" w:sz="4" w:space="0"/>
              <w:right w:val="single" w:color="000000" w:sz="4" w:space="0"/>
            </w:tcBorders>
            <w:vAlign w:val="center"/>
          </w:tcPr>
          <w:p>
            <w:pPr>
              <w:snapToGrid w:val="0"/>
              <w:spacing w:before="62" w:beforeLines="20" w:after="62" w:afterLines="20"/>
              <w:jc w:val="center"/>
              <w:rPr>
                <w:color w:val="auto"/>
                <w:sz w:val="20"/>
                <w:szCs w:val="20"/>
                <w:highlight w:val="none"/>
              </w:rPr>
            </w:pPr>
          </w:p>
        </w:tc>
        <w:tc>
          <w:tcPr>
            <w:tcW w:w="2134" w:type="dxa"/>
            <w:tcBorders>
              <w:top w:val="single" w:color="000000" w:sz="4" w:space="0"/>
              <w:left w:val="single" w:color="000000" w:sz="4" w:space="0"/>
              <w:bottom w:val="single" w:color="000000" w:sz="4" w:space="0"/>
              <w:right w:val="single" w:color="000000" w:sz="4" w:space="0"/>
            </w:tcBorders>
            <w:vAlign w:val="center"/>
          </w:tcPr>
          <w:p>
            <w:pPr>
              <w:snapToGrid w:val="0"/>
              <w:spacing w:before="62" w:beforeLines="20" w:after="62" w:afterLines="20"/>
              <w:ind w:left="-105" w:leftChars="-50" w:right="-105" w:rightChars="-50"/>
              <w:jc w:val="center"/>
              <w:rPr>
                <w:color w:val="auto"/>
                <w:sz w:val="20"/>
                <w:szCs w:val="20"/>
                <w:highlight w:val="none"/>
              </w:rPr>
            </w:pPr>
            <w:r>
              <w:rPr>
                <w:rFonts w:hint="eastAsia"/>
                <w:color w:val="auto"/>
                <w:sz w:val="20"/>
                <w:szCs w:val="20"/>
                <w:highlight w:val="none"/>
              </w:rPr>
              <w:t>桩基</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9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9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57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56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1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39"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61"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8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7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58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1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3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0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3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15"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color w:val="auto"/>
                <w:sz w:val="20"/>
                <w:szCs w:val="20"/>
                <w:highlight w:val="none"/>
              </w:rPr>
            </w:pPr>
          </w:p>
        </w:tc>
      </w:tr>
      <w:tr>
        <w:tblPrEx>
          <w:tblCellMar>
            <w:top w:w="0" w:type="dxa"/>
            <w:left w:w="108" w:type="dxa"/>
            <w:bottom w:w="0" w:type="dxa"/>
            <w:right w:w="108" w:type="dxa"/>
          </w:tblCellMar>
        </w:tblPrEx>
        <w:trPr>
          <w:jc w:val="center"/>
        </w:trPr>
        <w:tc>
          <w:tcPr>
            <w:tcW w:w="2696" w:type="dxa"/>
            <w:gridSpan w:val="2"/>
            <w:tcBorders>
              <w:top w:val="single" w:color="000000" w:sz="4" w:space="0"/>
              <w:left w:val="single" w:color="000000" w:sz="12" w:space="0"/>
              <w:bottom w:val="single" w:color="000000" w:sz="4" w:space="0"/>
              <w:right w:val="single" w:color="000000" w:sz="4" w:space="0"/>
            </w:tcBorders>
            <w:vAlign w:val="center"/>
          </w:tcPr>
          <w:p>
            <w:pPr>
              <w:snapToGrid w:val="0"/>
              <w:spacing w:before="62" w:beforeLines="20" w:after="62" w:afterLines="20"/>
              <w:ind w:left="-105" w:leftChars="-50" w:right="-105" w:rightChars="-50"/>
              <w:jc w:val="center"/>
              <w:rPr>
                <w:color w:val="auto"/>
                <w:sz w:val="20"/>
                <w:szCs w:val="20"/>
                <w:highlight w:val="none"/>
              </w:rPr>
            </w:pPr>
            <w:r>
              <w:rPr>
                <w:rFonts w:hint="eastAsia"/>
                <w:color w:val="auto"/>
                <w:sz w:val="20"/>
                <w:szCs w:val="20"/>
                <w:highlight w:val="none"/>
              </w:rPr>
              <w:t>盐渍土</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9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9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57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56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1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39"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61"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85"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7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58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1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3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06"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3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15"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color w:val="auto"/>
                <w:sz w:val="20"/>
                <w:szCs w:val="20"/>
                <w:highlight w:val="none"/>
              </w:rPr>
            </w:pPr>
          </w:p>
        </w:tc>
      </w:tr>
      <w:tr>
        <w:tblPrEx>
          <w:tblCellMar>
            <w:top w:w="0" w:type="dxa"/>
            <w:left w:w="108" w:type="dxa"/>
            <w:bottom w:w="0" w:type="dxa"/>
            <w:right w:w="108" w:type="dxa"/>
          </w:tblCellMar>
        </w:tblPrEx>
        <w:trPr>
          <w:jc w:val="center"/>
        </w:trPr>
        <w:tc>
          <w:tcPr>
            <w:tcW w:w="2696" w:type="dxa"/>
            <w:gridSpan w:val="2"/>
            <w:tcBorders>
              <w:top w:val="single" w:color="000000" w:sz="4" w:space="0"/>
              <w:left w:val="single" w:color="000000" w:sz="12" w:space="0"/>
              <w:bottom w:val="single" w:color="000000" w:sz="12" w:space="0"/>
              <w:right w:val="single" w:color="000000" w:sz="4" w:space="0"/>
            </w:tcBorders>
            <w:vAlign w:val="center"/>
          </w:tcPr>
          <w:p>
            <w:pPr>
              <w:snapToGrid w:val="0"/>
              <w:spacing w:before="62" w:beforeLines="20" w:after="62" w:afterLines="20"/>
              <w:ind w:left="-105" w:leftChars="-50" w:right="-105" w:rightChars="-50"/>
              <w:jc w:val="center"/>
              <w:rPr>
                <w:color w:val="auto"/>
                <w:sz w:val="20"/>
                <w:szCs w:val="20"/>
                <w:highlight w:val="none"/>
              </w:rPr>
            </w:pPr>
            <w:r>
              <w:rPr>
                <w:rFonts w:hint="eastAsia"/>
                <w:color w:val="auto"/>
                <w:sz w:val="20"/>
                <w:szCs w:val="20"/>
                <w:highlight w:val="none"/>
              </w:rPr>
              <w:t>膨胀土</w:t>
            </w:r>
          </w:p>
        </w:tc>
        <w:tc>
          <w:tcPr>
            <w:tcW w:w="425"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4"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5"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6"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5"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96"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96"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5"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26"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5"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575"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566"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15"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27"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39"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61"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color w:val="auto"/>
                <w:sz w:val="20"/>
                <w:szCs w:val="20"/>
                <w:highlight w:val="none"/>
              </w:rPr>
            </w:pPr>
            <w:r>
              <w:rPr>
                <w:rFonts w:hint="eastAsia"/>
                <w:color w:val="auto"/>
                <w:sz w:val="20"/>
                <w:szCs w:val="20"/>
                <w:highlight w:val="none"/>
              </w:rPr>
              <w:t>√</w:t>
            </w:r>
          </w:p>
        </w:tc>
        <w:tc>
          <w:tcPr>
            <w:tcW w:w="485"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73"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588"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16"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392"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06"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392"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color w:val="auto"/>
                <w:sz w:val="20"/>
                <w:szCs w:val="20"/>
                <w:highlight w:val="none"/>
              </w:rPr>
            </w:pPr>
          </w:p>
        </w:tc>
        <w:tc>
          <w:tcPr>
            <w:tcW w:w="415" w:type="dxa"/>
            <w:tcBorders>
              <w:top w:val="single" w:color="000000" w:sz="4" w:space="0"/>
              <w:left w:val="single" w:color="000000" w:sz="4" w:space="0"/>
              <w:bottom w:val="single" w:color="000000" w:sz="12" w:space="0"/>
              <w:right w:val="single" w:color="000000" w:sz="12" w:space="0"/>
            </w:tcBorders>
            <w:vAlign w:val="center"/>
          </w:tcPr>
          <w:p>
            <w:pPr>
              <w:snapToGrid w:val="0"/>
              <w:ind w:left="-105" w:leftChars="-50" w:right="-105" w:rightChars="-50"/>
              <w:jc w:val="center"/>
              <w:rPr>
                <w:color w:val="auto"/>
                <w:sz w:val="20"/>
                <w:szCs w:val="20"/>
                <w:highlight w:val="none"/>
              </w:rPr>
            </w:pPr>
          </w:p>
        </w:tc>
      </w:tr>
    </w:tbl>
    <w:p>
      <w:pPr>
        <w:snapToGrid w:val="0"/>
        <w:spacing w:line="360" w:lineRule="auto"/>
        <w:ind w:left="1120" w:leftChars="200" w:hanging="700" w:hangingChars="350"/>
        <w:jc w:val="left"/>
        <w:rPr>
          <w:color w:val="auto"/>
          <w:sz w:val="20"/>
          <w:szCs w:val="20"/>
          <w:highlight w:val="none"/>
        </w:rPr>
      </w:pPr>
      <w:r>
        <w:rPr>
          <w:color w:val="auto"/>
          <w:sz w:val="20"/>
          <w:szCs w:val="20"/>
          <w:highlight w:val="none"/>
        </w:rPr>
        <w:t>注：1　场地</w:t>
      </w:r>
      <w:r>
        <w:rPr>
          <w:color w:val="auto"/>
          <w:sz w:val="18"/>
          <w:szCs w:val="18"/>
          <w:highlight w:val="none"/>
        </w:rPr>
        <w:t>地下水</w:t>
      </w:r>
      <w:r>
        <w:rPr>
          <w:color w:val="auto"/>
          <w:sz w:val="20"/>
          <w:szCs w:val="20"/>
          <w:highlight w:val="none"/>
        </w:rPr>
        <w:t>位以上土需做易溶盐分析判定土的腐蚀性；</w:t>
      </w:r>
    </w:p>
    <w:p>
      <w:pPr>
        <w:pStyle w:val="44"/>
        <w:snapToGrid w:val="0"/>
        <w:spacing w:line="360" w:lineRule="auto"/>
        <w:ind w:left="1040" w:leftChars="400" w:hanging="200" w:hangingChars="100"/>
        <w:rPr>
          <w:color w:val="auto"/>
          <w:kern w:val="0"/>
          <w:sz w:val="20"/>
          <w:szCs w:val="20"/>
          <w:highlight w:val="none"/>
        </w:rPr>
      </w:pPr>
      <w:r>
        <w:rPr>
          <w:color w:val="auto"/>
          <w:kern w:val="0"/>
          <w:sz w:val="20"/>
          <w:szCs w:val="20"/>
          <w:highlight w:val="none"/>
        </w:rPr>
        <w:t>2　自由膨胀率试验仅针对液限大于40%的高塑性土；</w:t>
      </w:r>
    </w:p>
    <w:p>
      <w:pPr>
        <w:pStyle w:val="44"/>
        <w:snapToGrid w:val="0"/>
        <w:spacing w:line="360" w:lineRule="auto"/>
        <w:ind w:left="1040" w:leftChars="400" w:hanging="200" w:hangingChars="100"/>
        <w:rPr>
          <w:color w:val="auto"/>
          <w:kern w:val="0"/>
          <w:sz w:val="20"/>
          <w:szCs w:val="20"/>
          <w:highlight w:val="none"/>
        </w:rPr>
      </w:pPr>
      <w:r>
        <w:rPr>
          <w:color w:val="auto"/>
          <w:kern w:val="0"/>
          <w:sz w:val="20"/>
          <w:szCs w:val="20"/>
          <w:highlight w:val="none"/>
        </w:rPr>
        <w:t>3　工程需要时，可进行土的动力性质试验。</w:t>
      </w:r>
    </w:p>
    <w:p>
      <w:pPr>
        <w:pStyle w:val="44"/>
        <w:snapToGrid w:val="0"/>
        <w:spacing w:line="360" w:lineRule="auto"/>
        <w:ind w:left="1040" w:leftChars="400" w:hanging="200" w:hangingChars="100"/>
        <w:rPr>
          <w:color w:val="auto"/>
          <w:sz w:val="20"/>
          <w:szCs w:val="20"/>
          <w:highlight w:val="none"/>
        </w:rPr>
      </w:pPr>
      <w:r>
        <w:rPr>
          <w:color w:val="auto"/>
          <w:kern w:val="0"/>
          <w:sz w:val="20"/>
          <w:szCs w:val="20"/>
          <w:highlight w:val="none"/>
        </w:rPr>
        <w:t>4　对有特殊要</w:t>
      </w:r>
      <w:r>
        <w:rPr>
          <w:rFonts w:hint="eastAsia" w:ascii="宋体" w:cs="宋体" w:hAnsiTheme="minorHAnsi"/>
          <w:color w:val="auto"/>
          <w:kern w:val="0"/>
          <w:sz w:val="20"/>
          <w:szCs w:val="20"/>
          <w:highlight w:val="none"/>
        </w:rPr>
        <w:t>求的试验，应会同有关人员共同研究相应的试验项目及方法，选择适用的仪器及试验步骤。</w:t>
      </w:r>
    </w:p>
    <w:p>
      <w:pPr>
        <w:rPr>
          <w:color w:val="auto"/>
          <w:sz w:val="20"/>
          <w:szCs w:val="20"/>
          <w:highlight w:val="none"/>
        </w:rPr>
        <w:sectPr>
          <w:pgSz w:w="16838" w:h="11906" w:orient="landscape"/>
          <w:pgMar w:top="1600" w:right="1440" w:bottom="1486" w:left="1440" w:header="851" w:footer="992" w:gutter="0"/>
          <w:pgBorders>
            <w:top w:val="none" w:sz="0" w:space="0"/>
            <w:left w:val="none" w:sz="0" w:space="0"/>
            <w:bottom w:val="none" w:sz="0" w:space="0"/>
            <w:right w:val="none" w:sz="0" w:space="0"/>
          </w:pgBorders>
          <w:cols w:space="425" w:num="1"/>
          <w:docGrid w:type="lines" w:linePitch="312" w:charSpace="0"/>
        </w:sectPr>
      </w:pPr>
    </w:p>
    <w:p>
      <w:pPr>
        <w:rPr>
          <w:color w:val="auto"/>
          <w:sz w:val="10"/>
          <w:szCs w:val="10"/>
          <w:highlight w:val="none"/>
        </w:rPr>
      </w:pPr>
    </w:p>
    <w:p>
      <w:pPr>
        <w:pStyle w:val="2"/>
        <w:rPr>
          <w:b/>
          <w:bCs/>
          <w:color w:val="auto"/>
          <w:sz w:val="32"/>
          <w:szCs w:val="32"/>
          <w:highlight w:val="none"/>
        </w:rPr>
      </w:pPr>
      <w:bookmarkStart w:id="282" w:name="_Toc7836"/>
      <w:bookmarkStart w:id="283" w:name="_Toc6518"/>
      <w:bookmarkStart w:id="284" w:name="_Toc30823"/>
      <w:r>
        <w:rPr>
          <w:b/>
          <w:bCs/>
          <w:color w:val="auto"/>
          <w:sz w:val="32"/>
          <w:szCs w:val="32"/>
          <w:highlight w:val="none"/>
        </w:rPr>
        <w:t>附录</w:t>
      </w:r>
      <w:r>
        <w:rPr>
          <w:rFonts w:hint="eastAsia"/>
          <w:b/>
          <w:bCs/>
          <w:color w:val="auto"/>
          <w:sz w:val="32"/>
          <w:szCs w:val="32"/>
          <w:highlight w:val="none"/>
        </w:rPr>
        <w:t>B　钻探岩芯摆放及照片拍摄</w:t>
      </w:r>
      <w:bookmarkEnd w:id="282"/>
      <w:bookmarkEnd w:id="283"/>
      <w:bookmarkEnd w:id="284"/>
    </w:p>
    <w:p>
      <w:pPr>
        <w:spacing w:line="360" w:lineRule="auto"/>
        <w:rPr>
          <w:color w:val="auto"/>
          <w:highlight w:val="none"/>
        </w:rPr>
      </w:pPr>
      <w:r>
        <w:rPr>
          <w:rFonts w:hint="eastAsia"/>
          <w:b/>
          <w:bCs/>
          <w:color w:val="auto"/>
          <w:highlight w:val="none"/>
        </w:rPr>
        <w:t>B.0.1</w:t>
      </w:r>
      <w:r>
        <w:rPr>
          <w:rFonts w:hint="eastAsia"/>
          <w:color w:val="auto"/>
          <w:highlight w:val="none"/>
        </w:rPr>
        <w:t>　岩芯箱应按长度1</w:t>
      </w:r>
      <w:r>
        <w:rPr>
          <w:color w:val="auto"/>
          <w:highlight w:val="none"/>
        </w:rPr>
        <w:t>m</w:t>
      </w:r>
      <w:r>
        <w:rPr>
          <w:rFonts w:hint="eastAsia"/>
          <w:color w:val="auto"/>
          <w:highlight w:val="none"/>
        </w:rPr>
        <w:t>的规格制作，每箱宜分5行，岩芯应在岩芯箱中分行摆放。</w:t>
      </w:r>
    </w:p>
    <w:p>
      <w:pPr>
        <w:spacing w:line="360" w:lineRule="auto"/>
        <w:rPr>
          <w:color w:val="auto"/>
          <w:highlight w:val="none"/>
        </w:rPr>
      </w:pPr>
      <w:r>
        <w:rPr>
          <w:rFonts w:hint="eastAsia"/>
          <w:b/>
          <w:bCs/>
          <w:color w:val="auto"/>
          <w:highlight w:val="none"/>
        </w:rPr>
        <w:t>B.0.2</w:t>
      </w:r>
      <w:r>
        <w:rPr>
          <w:rFonts w:hint="eastAsia"/>
          <w:color w:val="auto"/>
          <w:highlight w:val="none"/>
        </w:rPr>
        <w:t>　岩芯应按其在地层中所处的实际深度自上而下、自左往右依次摆放，并及时填写回次标签。</w:t>
      </w:r>
    </w:p>
    <w:p>
      <w:pPr>
        <w:spacing w:line="360" w:lineRule="auto"/>
        <w:rPr>
          <w:color w:val="auto"/>
          <w:highlight w:val="none"/>
        </w:rPr>
      </w:pPr>
      <w:r>
        <w:rPr>
          <w:rFonts w:hint="eastAsia"/>
          <w:b/>
          <w:bCs/>
          <w:color w:val="auto"/>
          <w:highlight w:val="none"/>
        </w:rPr>
        <w:t>B.0.3</w:t>
      </w:r>
      <w:r>
        <w:rPr>
          <w:rFonts w:hint="eastAsia"/>
          <w:color w:val="auto"/>
          <w:highlight w:val="none"/>
        </w:rPr>
        <w:t>　当发现滑动面、断层、软弱结构面、薄层、孤石、溶土洞或采空区等特殊地质体（现象）时，应在相应位置加填标签，注明特殊地质体名称及所在深度，并拍摄特写照片。</w:t>
      </w:r>
    </w:p>
    <w:p>
      <w:pPr>
        <w:spacing w:line="360" w:lineRule="auto"/>
        <w:rPr>
          <w:color w:val="auto"/>
          <w:highlight w:val="none"/>
        </w:rPr>
      </w:pPr>
      <w:r>
        <w:rPr>
          <w:rFonts w:hint="eastAsia"/>
          <w:b/>
          <w:bCs/>
          <w:color w:val="auto"/>
          <w:highlight w:val="none"/>
        </w:rPr>
        <w:t>B.0.4</w:t>
      </w:r>
      <w:r>
        <w:rPr>
          <w:rFonts w:hint="eastAsia"/>
          <w:color w:val="auto"/>
          <w:highlight w:val="none"/>
        </w:rPr>
        <w:t>　应逐箱拍摄岩芯照片；拍摄岩芯照片时，现场应清晰标记，标记内容宜包括工程名称、孔号、箱号、每箱结束深度、分层深度、取样深度和终孔深度等。</w:t>
      </w:r>
    </w:p>
    <w:p>
      <w:pPr>
        <w:spacing w:line="360" w:lineRule="auto"/>
        <w:rPr>
          <w:color w:val="auto"/>
          <w:sz w:val="10"/>
          <w:szCs w:val="10"/>
          <w:highlight w:val="none"/>
        </w:rPr>
      </w:pPr>
      <w:r>
        <w:rPr>
          <w:rFonts w:hint="eastAsia"/>
          <w:b/>
          <w:bCs/>
          <w:color w:val="auto"/>
          <w:highlight w:val="none"/>
        </w:rPr>
        <w:t>B.0.5</w:t>
      </w:r>
      <w:r>
        <w:rPr>
          <w:rFonts w:hint="eastAsia"/>
          <w:color w:val="auto"/>
          <w:highlight w:val="none"/>
        </w:rPr>
        <w:t>　拍摄时应保持正对、居中且平行于岩芯箱拍摄，确保光线自然、充足。</w:t>
      </w:r>
      <w:r>
        <w:rPr>
          <w:color w:val="auto"/>
          <w:sz w:val="10"/>
          <w:szCs w:val="10"/>
          <w:highlight w:val="none"/>
        </w:rPr>
        <w:br w:type="page"/>
      </w:r>
    </w:p>
    <w:p>
      <w:pPr>
        <w:widowControl/>
        <w:jc w:val="left"/>
        <w:rPr>
          <w:color w:val="auto"/>
          <w:sz w:val="10"/>
          <w:szCs w:val="10"/>
          <w:highlight w:val="none"/>
        </w:rPr>
      </w:pPr>
    </w:p>
    <w:p>
      <w:pPr>
        <w:pStyle w:val="2"/>
        <w:rPr>
          <w:color w:val="auto"/>
          <w:highlight w:val="none"/>
        </w:rPr>
      </w:pPr>
      <w:bookmarkStart w:id="285" w:name="_Toc15268"/>
      <w:bookmarkStart w:id="286" w:name="_Toc24185"/>
      <w:bookmarkStart w:id="287" w:name="_Toc7749"/>
      <w:bookmarkStart w:id="288" w:name="OLE_LINK2"/>
      <w:bookmarkStart w:id="289" w:name="OLE_LINK1"/>
      <w:r>
        <w:rPr>
          <w:b/>
          <w:bCs/>
          <w:color w:val="auto"/>
          <w:sz w:val="32"/>
          <w:szCs w:val="32"/>
          <w:highlight w:val="none"/>
        </w:rPr>
        <w:t>附录</w:t>
      </w:r>
      <w:r>
        <w:rPr>
          <w:rFonts w:hint="eastAsia"/>
          <w:b/>
          <w:bCs/>
          <w:color w:val="auto"/>
          <w:sz w:val="32"/>
          <w:szCs w:val="32"/>
          <w:highlight w:val="none"/>
        </w:rPr>
        <w:t>C　</w:t>
      </w:r>
      <w:r>
        <w:rPr>
          <w:b/>
          <w:bCs/>
          <w:color w:val="auto"/>
          <w:sz w:val="32"/>
          <w:szCs w:val="32"/>
          <w:highlight w:val="none"/>
        </w:rPr>
        <w:t>地球物理勘探方法选择</w:t>
      </w:r>
      <w:bookmarkEnd w:id="285"/>
      <w:bookmarkEnd w:id="286"/>
      <w:bookmarkEnd w:id="287"/>
    </w:p>
    <w:bookmarkEnd w:id="288"/>
    <w:bookmarkEnd w:id="289"/>
    <w:p>
      <w:pPr>
        <w:spacing w:line="360" w:lineRule="auto"/>
        <w:rPr>
          <w:color w:val="auto"/>
          <w:szCs w:val="21"/>
          <w:highlight w:val="none"/>
        </w:rPr>
      </w:pPr>
      <w:r>
        <w:rPr>
          <w:rFonts w:hint="eastAsia"/>
          <w:b/>
          <w:bCs/>
          <w:color w:val="auto"/>
          <w:szCs w:val="21"/>
          <w:highlight w:val="none"/>
        </w:rPr>
        <w:t>C</w:t>
      </w:r>
      <w:r>
        <w:rPr>
          <w:b/>
          <w:bCs/>
          <w:color w:val="auto"/>
          <w:szCs w:val="21"/>
          <w:highlight w:val="none"/>
        </w:rPr>
        <w:t>.0.1</w:t>
      </w:r>
      <w:r>
        <w:rPr>
          <w:rFonts w:hint="eastAsia"/>
          <w:color w:val="auto"/>
          <w:szCs w:val="21"/>
          <w:highlight w:val="none"/>
        </w:rPr>
        <w:t>　</w:t>
      </w:r>
      <w:r>
        <w:rPr>
          <w:color w:val="auto"/>
          <w:szCs w:val="21"/>
          <w:highlight w:val="none"/>
        </w:rPr>
        <w:t>地球物理勘探（简称</w:t>
      </w:r>
      <w:r>
        <w:rPr>
          <w:rFonts w:hint="eastAsia"/>
          <w:color w:val="auto"/>
          <w:szCs w:val="21"/>
          <w:highlight w:val="none"/>
        </w:rPr>
        <w:t>“</w:t>
      </w:r>
      <w:r>
        <w:rPr>
          <w:color w:val="auto"/>
          <w:szCs w:val="21"/>
          <w:highlight w:val="none"/>
        </w:rPr>
        <w:t>物探</w:t>
      </w:r>
      <w:r>
        <w:rPr>
          <w:rFonts w:hint="eastAsia"/>
          <w:color w:val="auto"/>
          <w:szCs w:val="21"/>
          <w:highlight w:val="none"/>
        </w:rPr>
        <w:t>”</w:t>
      </w:r>
      <w:r>
        <w:rPr>
          <w:color w:val="auto"/>
          <w:szCs w:val="21"/>
          <w:highlight w:val="none"/>
        </w:rPr>
        <w:t>）作为工程地质</w:t>
      </w:r>
      <w:r>
        <w:rPr>
          <w:rFonts w:hint="eastAsia"/>
          <w:color w:val="auto"/>
          <w:szCs w:val="21"/>
          <w:highlight w:val="none"/>
        </w:rPr>
        <w:t>调查与测绘</w:t>
      </w:r>
      <w:r>
        <w:rPr>
          <w:color w:val="auto"/>
          <w:szCs w:val="21"/>
          <w:highlight w:val="none"/>
        </w:rPr>
        <w:t>、</w:t>
      </w:r>
      <w:r>
        <w:rPr>
          <w:rFonts w:hint="eastAsia"/>
          <w:color w:val="auto"/>
          <w:szCs w:val="21"/>
          <w:highlight w:val="none"/>
        </w:rPr>
        <w:t>勘探</w:t>
      </w:r>
      <w:r>
        <w:rPr>
          <w:color w:val="auto"/>
          <w:szCs w:val="21"/>
          <w:highlight w:val="none"/>
        </w:rPr>
        <w:t>的先行或同期配合手段，可针对性解决市政工程不同勘察阶段的各种问题，应在综合考虑市政工程类型、工程地质条件、环境特性及探测精度等基础上合理、有效选取物探方法。</w:t>
      </w:r>
    </w:p>
    <w:p>
      <w:pPr>
        <w:spacing w:line="360" w:lineRule="auto"/>
        <w:rPr>
          <w:color w:val="auto"/>
          <w:szCs w:val="21"/>
          <w:highlight w:val="none"/>
        </w:rPr>
      </w:pPr>
      <w:r>
        <w:rPr>
          <w:rFonts w:hint="eastAsia"/>
          <w:b/>
          <w:bCs/>
          <w:color w:val="auto"/>
          <w:szCs w:val="21"/>
          <w:highlight w:val="none"/>
        </w:rPr>
        <w:t>C</w:t>
      </w:r>
      <w:r>
        <w:rPr>
          <w:b/>
          <w:bCs/>
          <w:color w:val="auto"/>
          <w:szCs w:val="21"/>
          <w:highlight w:val="none"/>
        </w:rPr>
        <w:t>.0.2</w:t>
      </w:r>
      <w:r>
        <w:rPr>
          <w:rFonts w:hint="eastAsia"/>
          <w:color w:val="auto"/>
          <w:szCs w:val="21"/>
          <w:highlight w:val="none"/>
        </w:rPr>
        <w:t>　</w:t>
      </w:r>
      <w:r>
        <w:rPr>
          <w:color w:val="auto"/>
          <w:szCs w:val="21"/>
          <w:highlight w:val="none"/>
        </w:rPr>
        <w:t>物探的开展应具备下列条件：</w:t>
      </w:r>
    </w:p>
    <w:p>
      <w:pPr>
        <w:spacing w:line="360" w:lineRule="auto"/>
        <w:ind w:firstLine="422" w:firstLineChars="200"/>
        <w:rPr>
          <w:color w:val="auto"/>
          <w:szCs w:val="21"/>
          <w:highlight w:val="none"/>
        </w:rPr>
      </w:pPr>
      <w:r>
        <w:rPr>
          <w:b/>
          <w:bCs/>
          <w:color w:val="auto"/>
          <w:szCs w:val="21"/>
          <w:highlight w:val="none"/>
        </w:rPr>
        <w:t>1</w:t>
      </w:r>
      <w:r>
        <w:rPr>
          <w:rFonts w:hint="eastAsia"/>
          <w:color w:val="auto"/>
          <w:szCs w:val="21"/>
          <w:highlight w:val="none"/>
        </w:rPr>
        <w:t>　</w:t>
      </w:r>
      <w:r>
        <w:rPr>
          <w:color w:val="auto"/>
          <w:szCs w:val="21"/>
          <w:highlight w:val="none"/>
        </w:rPr>
        <w:t>被探测对象与其周围介质应存在足够的物性差异；</w:t>
      </w:r>
    </w:p>
    <w:p>
      <w:pPr>
        <w:spacing w:line="360" w:lineRule="auto"/>
        <w:ind w:firstLine="422" w:firstLineChars="200"/>
        <w:rPr>
          <w:color w:val="auto"/>
          <w:szCs w:val="21"/>
          <w:highlight w:val="none"/>
        </w:rPr>
      </w:pPr>
      <w:r>
        <w:rPr>
          <w:b/>
          <w:bCs/>
          <w:color w:val="auto"/>
          <w:szCs w:val="21"/>
          <w:highlight w:val="none"/>
        </w:rPr>
        <w:t>2</w:t>
      </w:r>
      <w:r>
        <w:rPr>
          <w:rFonts w:hint="eastAsia"/>
          <w:b/>
          <w:bCs/>
          <w:color w:val="auto"/>
          <w:szCs w:val="21"/>
          <w:highlight w:val="none"/>
        </w:rPr>
        <w:t>　</w:t>
      </w:r>
      <w:r>
        <w:rPr>
          <w:color w:val="auto"/>
          <w:szCs w:val="21"/>
          <w:highlight w:val="none"/>
        </w:rPr>
        <w:t>被探测对象应具有一定的规模，能产生可被观测的地球物理异常场；</w:t>
      </w:r>
    </w:p>
    <w:p>
      <w:pPr>
        <w:spacing w:line="360" w:lineRule="auto"/>
        <w:ind w:firstLine="422" w:firstLineChars="200"/>
        <w:rPr>
          <w:color w:val="auto"/>
          <w:szCs w:val="21"/>
          <w:highlight w:val="none"/>
        </w:rPr>
      </w:pPr>
      <w:r>
        <w:rPr>
          <w:b/>
          <w:bCs/>
          <w:color w:val="auto"/>
          <w:szCs w:val="21"/>
          <w:highlight w:val="none"/>
        </w:rPr>
        <w:t>3</w:t>
      </w:r>
      <w:r>
        <w:rPr>
          <w:rFonts w:hint="eastAsia"/>
          <w:b/>
          <w:bCs/>
          <w:color w:val="auto"/>
          <w:szCs w:val="21"/>
          <w:highlight w:val="none"/>
        </w:rPr>
        <w:t>　</w:t>
      </w:r>
      <w:r>
        <w:rPr>
          <w:color w:val="auto"/>
          <w:szCs w:val="21"/>
          <w:highlight w:val="none"/>
        </w:rPr>
        <w:t>干扰因素产生的干扰场应小于被探测对象产生的异常场；</w:t>
      </w:r>
    </w:p>
    <w:p>
      <w:pPr>
        <w:spacing w:line="360" w:lineRule="auto"/>
        <w:ind w:firstLine="422" w:firstLineChars="200"/>
        <w:rPr>
          <w:color w:val="auto"/>
          <w:szCs w:val="21"/>
          <w:highlight w:val="none"/>
        </w:rPr>
      </w:pPr>
      <w:r>
        <w:rPr>
          <w:b/>
          <w:bCs/>
          <w:color w:val="auto"/>
          <w:szCs w:val="21"/>
          <w:highlight w:val="none"/>
        </w:rPr>
        <w:t>4</w:t>
      </w:r>
      <w:r>
        <w:rPr>
          <w:rFonts w:hint="eastAsia"/>
          <w:color w:val="auto"/>
          <w:szCs w:val="21"/>
          <w:highlight w:val="none"/>
        </w:rPr>
        <w:t>　</w:t>
      </w:r>
      <w:r>
        <w:rPr>
          <w:color w:val="auto"/>
          <w:szCs w:val="21"/>
          <w:highlight w:val="none"/>
        </w:rPr>
        <w:t>工作现场应具备足够空间，能布置探测装置和开展现场物探勘察工作。</w:t>
      </w:r>
    </w:p>
    <w:p>
      <w:pPr>
        <w:spacing w:line="360" w:lineRule="auto"/>
        <w:rPr>
          <w:color w:val="auto"/>
          <w:szCs w:val="21"/>
          <w:highlight w:val="none"/>
        </w:rPr>
      </w:pPr>
      <w:r>
        <w:rPr>
          <w:rFonts w:hint="eastAsia"/>
          <w:b/>
          <w:bCs/>
          <w:color w:val="auto"/>
          <w:szCs w:val="21"/>
          <w:highlight w:val="none"/>
        </w:rPr>
        <w:t>C</w:t>
      </w:r>
      <w:r>
        <w:rPr>
          <w:b/>
          <w:bCs/>
          <w:color w:val="auto"/>
          <w:szCs w:val="21"/>
          <w:highlight w:val="none"/>
        </w:rPr>
        <w:t>.0.3</w:t>
      </w:r>
      <w:r>
        <w:rPr>
          <w:rFonts w:hint="eastAsia"/>
          <w:color w:val="auto"/>
          <w:szCs w:val="21"/>
          <w:highlight w:val="none"/>
        </w:rPr>
        <w:t>　</w:t>
      </w:r>
      <w:r>
        <w:rPr>
          <w:color w:val="auto"/>
          <w:szCs w:val="21"/>
          <w:highlight w:val="none"/>
        </w:rPr>
        <w:t>物探工作原则应符合下列规定：</w:t>
      </w:r>
    </w:p>
    <w:p>
      <w:pPr>
        <w:spacing w:line="360" w:lineRule="auto"/>
        <w:ind w:firstLine="422" w:firstLineChars="200"/>
        <w:rPr>
          <w:color w:val="auto"/>
          <w:szCs w:val="21"/>
          <w:highlight w:val="none"/>
        </w:rPr>
      </w:pPr>
      <w:r>
        <w:rPr>
          <w:b/>
          <w:bCs/>
          <w:color w:val="auto"/>
          <w:szCs w:val="21"/>
          <w:highlight w:val="none"/>
        </w:rPr>
        <w:t>1</w:t>
      </w:r>
      <w:r>
        <w:rPr>
          <w:rFonts w:hint="eastAsia"/>
          <w:b/>
          <w:bCs/>
          <w:color w:val="auto"/>
          <w:szCs w:val="21"/>
          <w:highlight w:val="none"/>
        </w:rPr>
        <w:t>　</w:t>
      </w:r>
      <w:r>
        <w:rPr>
          <w:color w:val="auto"/>
          <w:szCs w:val="21"/>
          <w:highlight w:val="none"/>
        </w:rPr>
        <w:t>工作前应通过方法试验，选用有效的物探方法及数据采集参数；</w:t>
      </w:r>
    </w:p>
    <w:p>
      <w:pPr>
        <w:spacing w:line="360" w:lineRule="auto"/>
        <w:ind w:firstLine="422" w:firstLineChars="200"/>
        <w:rPr>
          <w:color w:val="auto"/>
          <w:szCs w:val="21"/>
          <w:highlight w:val="none"/>
        </w:rPr>
      </w:pPr>
      <w:r>
        <w:rPr>
          <w:b/>
          <w:bCs/>
          <w:color w:val="auto"/>
          <w:szCs w:val="21"/>
          <w:highlight w:val="none"/>
        </w:rPr>
        <w:t>2</w:t>
      </w:r>
      <w:r>
        <w:rPr>
          <w:rFonts w:hint="eastAsia"/>
          <w:color w:val="auto"/>
          <w:szCs w:val="21"/>
          <w:highlight w:val="none"/>
        </w:rPr>
        <w:t>　</w:t>
      </w:r>
      <w:r>
        <w:rPr>
          <w:color w:val="auto"/>
          <w:szCs w:val="21"/>
          <w:highlight w:val="none"/>
        </w:rPr>
        <w:t>工作宜从已知到未知，从简单到复杂，当单一方法存在多解时，宜采用多种方法进行综合勘察；</w:t>
      </w:r>
    </w:p>
    <w:p>
      <w:pPr>
        <w:spacing w:line="360" w:lineRule="auto"/>
        <w:ind w:firstLine="422" w:firstLineChars="200"/>
        <w:rPr>
          <w:color w:val="auto"/>
          <w:szCs w:val="21"/>
          <w:highlight w:val="none"/>
        </w:rPr>
      </w:pPr>
      <w:r>
        <w:rPr>
          <w:b/>
          <w:bCs/>
          <w:color w:val="auto"/>
          <w:szCs w:val="21"/>
          <w:highlight w:val="none"/>
        </w:rPr>
        <w:t>3</w:t>
      </w:r>
      <w:r>
        <w:rPr>
          <w:rFonts w:hint="eastAsia"/>
          <w:color w:val="auto"/>
          <w:szCs w:val="21"/>
          <w:highlight w:val="none"/>
        </w:rPr>
        <w:t>　</w:t>
      </w:r>
      <w:r>
        <w:rPr>
          <w:color w:val="auto"/>
          <w:szCs w:val="21"/>
          <w:highlight w:val="none"/>
        </w:rPr>
        <w:t>工作时应收集和利用已有地质、水文地质、物探、勘察、设计等资料。</w:t>
      </w:r>
    </w:p>
    <w:p>
      <w:pPr>
        <w:spacing w:line="360" w:lineRule="auto"/>
        <w:rPr>
          <w:color w:val="auto"/>
          <w:szCs w:val="21"/>
          <w:highlight w:val="none"/>
        </w:rPr>
      </w:pPr>
      <w:r>
        <w:rPr>
          <w:rFonts w:hint="eastAsia"/>
          <w:b/>
          <w:bCs/>
          <w:color w:val="auto"/>
          <w:szCs w:val="21"/>
          <w:highlight w:val="none"/>
        </w:rPr>
        <w:t>C</w:t>
      </w:r>
      <w:r>
        <w:rPr>
          <w:b/>
          <w:bCs/>
          <w:color w:val="auto"/>
          <w:szCs w:val="21"/>
          <w:highlight w:val="none"/>
        </w:rPr>
        <w:t>.0.4</w:t>
      </w:r>
      <w:r>
        <w:rPr>
          <w:rFonts w:hint="eastAsia"/>
          <w:b/>
          <w:bCs/>
          <w:color w:val="auto"/>
          <w:szCs w:val="21"/>
          <w:highlight w:val="none"/>
        </w:rPr>
        <w:t>　</w:t>
      </w:r>
      <w:r>
        <w:rPr>
          <w:color w:val="auto"/>
          <w:szCs w:val="21"/>
          <w:highlight w:val="none"/>
        </w:rPr>
        <w:t>市政工程勘察可用物探解决下列问题：</w:t>
      </w:r>
    </w:p>
    <w:p>
      <w:pPr>
        <w:spacing w:line="360" w:lineRule="auto"/>
        <w:ind w:firstLine="422" w:firstLineChars="200"/>
        <w:rPr>
          <w:color w:val="auto"/>
          <w:szCs w:val="21"/>
          <w:highlight w:val="none"/>
        </w:rPr>
      </w:pPr>
      <w:r>
        <w:rPr>
          <w:b/>
          <w:bCs/>
          <w:color w:val="auto"/>
          <w:szCs w:val="21"/>
          <w:highlight w:val="none"/>
        </w:rPr>
        <w:t>1</w:t>
      </w:r>
      <w:r>
        <w:rPr>
          <w:rFonts w:hint="eastAsia"/>
          <w:color w:val="auto"/>
          <w:szCs w:val="21"/>
          <w:highlight w:val="none"/>
        </w:rPr>
        <w:t>　</w:t>
      </w:r>
      <w:r>
        <w:rPr>
          <w:color w:val="auto"/>
          <w:szCs w:val="21"/>
          <w:highlight w:val="none"/>
        </w:rPr>
        <w:t>地层结构、风化层分带及基岩形态探测；</w:t>
      </w:r>
    </w:p>
    <w:p>
      <w:pPr>
        <w:spacing w:line="360" w:lineRule="auto"/>
        <w:ind w:firstLine="422" w:firstLineChars="200"/>
        <w:rPr>
          <w:color w:val="auto"/>
          <w:szCs w:val="21"/>
          <w:highlight w:val="none"/>
        </w:rPr>
      </w:pPr>
      <w:r>
        <w:rPr>
          <w:b/>
          <w:bCs/>
          <w:color w:val="auto"/>
          <w:szCs w:val="21"/>
          <w:highlight w:val="none"/>
        </w:rPr>
        <w:t>2</w:t>
      </w:r>
      <w:r>
        <w:rPr>
          <w:rFonts w:hint="eastAsia"/>
          <w:color w:val="auto"/>
          <w:szCs w:val="21"/>
          <w:highlight w:val="none"/>
        </w:rPr>
        <w:t>　</w:t>
      </w:r>
      <w:r>
        <w:rPr>
          <w:color w:val="auto"/>
          <w:szCs w:val="21"/>
          <w:highlight w:val="none"/>
        </w:rPr>
        <w:t>断裂、破碎带及裂隙密集带探测；</w:t>
      </w:r>
    </w:p>
    <w:p>
      <w:pPr>
        <w:spacing w:line="360" w:lineRule="auto"/>
        <w:ind w:firstLine="422" w:firstLineChars="200"/>
        <w:rPr>
          <w:color w:val="auto"/>
          <w:szCs w:val="21"/>
          <w:highlight w:val="none"/>
        </w:rPr>
      </w:pPr>
      <w:r>
        <w:rPr>
          <w:b/>
          <w:bCs/>
          <w:color w:val="auto"/>
          <w:szCs w:val="21"/>
          <w:highlight w:val="none"/>
        </w:rPr>
        <w:t>3</w:t>
      </w:r>
      <w:r>
        <w:rPr>
          <w:rFonts w:hint="eastAsia"/>
          <w:color w:val="auto"/>
          <w:szCs w:val="21"/>
          <w:highlight w:val="none"/>
        </w:rPr>
        <w:t>　</w:t>
      </w:r>
      <w:r>
        <w:rPr>
          <w:color w:val="auto"/>
          <w:szCs w:val="21"/>
          <w:highlight w:val="none"/>
        </w:rPr>
        <w:t>软弱地层、砂砾石层和孤石探测；</w:t>
      </w:r>
    </w:p>
    <w:p>
      <w:pPr>
        <w:spacing w:line="360" w:lineRule="auto"/>
        <w:ind w:firstLine="422" w:firstLineChars="200"/>
        <w:rPr>
          <w:color w:val="auto"/>
          <w:szCs w:val="21"/>
          <w:highlight w:val="none"/>
        </w:rPr>
      </w:pPr>
      <w:r>
        <w:rPr>
          <w:b/>
          <w:bCs/>
          <w:color w:val="auto"/>
          <w:szCs w:val="21"/>
          <w:highlight w:val="none"/>
        </w:rPr>
        <w:t>4</w:t>
      </w:r>
      <w:r>
        <w:rPr>
          <w:rFonts w:hint="eastAsia"/>
          <w:color w:val="auto"/>
          <w:szCs w:val="21"/>
          <w:highlight w:val="none"/>
        </w:rPr>
        <w:t>　</w:t>
      </w:r>
      <w:r>
        <w:rPr>
          <w:color w:val="auto"/>
          <w:szCs w:val="21"/>
          <w:highlight w:val="none"/>
        </w:rPr>
        <w:t>水下地形、地层结构、障碍物、抛石、管线探测；</w:t>
      </w:r>
    </w:p>
    <w:p>
      <w:pPr>
        <w:spacing w:line="360" w:lineRule="auto"/>
        <w:ind w:firstLine="422" w:firstLineChars="200"/>
        <w:rPr>
          <w:color w:val="auto"/>
          <w:szCs w:val="21"/>
          <w:highlight w:val="none"/>
        </w:rPr>
      </w:pPr>
      <w:r>
        <w:rPr>
          <w:b/>
          <w:bCs/>
          <w:color w:val="auto"/>
          <w:szCs w:val="21"/>
          <w:highlight w:val="none"/>
        </w:rPr>
        <w:t>5</w:t>
      </w:r>
      <w:r>
        <w:rPr>
          <w:rFonts w:hint="eastAsia"/>
          <w:color w:val="auto"/>
          <w:szCs w:val="21"/>
          <w:highlight w:val="none"/>
        </w:rPr>
        <w:t>　</w:t>
      </w:r>
      <w:r>
        <w:rPr>
          <w:color w:val="auto"/>
          <w:szCs w:val="21"/>
          <w:highlight w:val="none"/>
        </w:rPr>
        <w:t>地下水及含水体探测；</w:t>
      </w:r>
    </w:p>
    <w:p>
      <w:pPr>
        <w:spacing w:line="360" w:lineRule="auto"/>
        <w:ind w:firstLine="422" w:firstLineChars="200"/>
        <w:rPr>
          <w:color w:val="auto"/>
          <w:szCs w:val="21"/>
          <w:highlight w:val="none"/>
        </w:rPr>
      </w:pPr>
      <w:r>
        <w:rPr>
          <w:b/>
          <w:bCs/>
          <w:color w:val="auto"/>
          <w:szCs w:val="21"/>
          <w:highlight w:val="none"/>
        </w:rPr>
        <w:t>6</w:t>
      </w:r>
      <w:r>
        <w:rPr>
          <w:rFonts w:hint="eastAsia"/>
          <w:b/>
          <w:bCs/>
          <w:color w:val="auto"/>
          <w:szCs w:val="21"/>
          <w:highlight w:val="none"/>
        </w:rPr>
        <w:t>　</w:t>
      </w:r>
      <w:r>
        <w:rPr>
          <w:color w:val="auto"/>
          <w:szCs w:val="21"/>
          <w:highlight w:val="none"/>
        </w:rPr>
        <w:t>桩位岩溶及桩基持力层完整性探测；</w:t>
      </w:r>
    </w:p>
    <w:p>
      <w:pPr>
        <w:spacing w:line="360" w:lineRule="auto"/>
        <w:ind w:firstLine="422" w:firstLineChars="200"/>
        <w:rPr>
          <w:color w:val="auto"/>
          <w:szCs w:val="21"/>
          <w:highlight w:val="none"/>
        </w:rPr>
      </w:pPr>
      <w:r>
        <w:rPr>
          <w:b/>
          <w:bCs/>
          <w:color w:val="auto"/>
          <w:szCs w:val="21"/>
          <w:highlight w:val="none"/>
        </w:rPr>
        <w:t>7</w:t>
      </w:r>
      <w:r>
        <w:rPr>
          <w:rFonts w:hint="eastAsia"/>
          <w:color w:val="auto"/>
          <w:szCs w:val="21"/>
          <w:highlight w:val="none"/>
        </w:rPr>
        <w:t>　</w:t>
      </w:r>
      <w:r>
        <w:rPr>
          <w:color w:val="auto"/>
          <w:szCs w:val="21"/>
          <w:highlight w:val="none"/>
        </w:rPr>
        <w:t>岩溶、采空区、障碍物、管线及隐蔽工程探测；</w:t>
      </w:r>
    </w:p>
    <w:p>
      <w:pPr>
        <w:spacing w:line="360" w:lineRule="auto"/>
        <w:ind w:firstLine="422" w:firstLineChars="200"/>
        <w:rPr>
          <w:color w:val="auto"/>
          <w:szCs w:val="21"/>
          <w:highlight w:val="none"/>
        </w:rPr>
      </w:pPr>
      <w:r>
        <w:rPr>
          <w:b/>
          <w:bCs/>
          <w:color w:val="auto"/>
          <w:szCs w:val="21"/>
          <w:highlight w:val="none"/>
        </w:rPr>
        <w:t>8</w:t>
      </w:r>
      <w:r>
        <w:rPr>
          <w:rFonts w:hint="eastAsia"/>
          <w:color w:val="auto"/>
          <w:szCs w:val="21"/>
          <w:highlight w:val="none"/>
        </w:rPr>
        <w:t>　</w:t>
      </w:r>
      <w:r>
        <w:rPr>
          <w:color w:val="auto"/>
          <w:szCs w:val="21"/>
          <w:highlight w:val="none"/>
        </w:rPr>
        <w:t>滑坡、地面塌陷探测；</w:t>
      </w:r>
    </w:p>
    <w:p>
      <w:pPr>
        <w:spacing w:line="360" w:lineRule="auto"/>
        <w:ind w:firstLine="422" w:firstLineChars="200"/>
        <w:rPr>
          <w:color w:val="auto"/>
          <w:szCs w:val="21"/>
          <w:highlight w:val="none"/>
        </w:rPr>
      </w:pPr>
      <w:r>
        <w:rPr>
          <w:b/>
          <w:bCs/>
          <w:color w:val="auto"/>
          <w:szCs w:val="21"/>
          <w:highlight w:val="none"/>
        </w:rPr>
        <w:t>9</w:t>
      </w:r>
      <w:r>
        <w:rPr>
          <w:rFonts w:hint="eastAsia"/>
          <w:color w:val="auto"/>
          <w:szCs w:val="21"/>
          <w:highlight w:val="none"/>
        </w:rPr>
        <w:t>　</w:t>
      </w:r>
      <w:r>
        <w:rPr>
          <w:color w:val="auto"/>
          <w:szCs w:val="21"/>
          <w:highlight w:val="none"/>
        </w:rPr>
        <w:t>其他符合本规范第</w:t>
      </w:r>
      <w:r>
        <w:rPr>
          <w:rFonts w:hint="eastAsia"/>
          <w:color w:val="auto"/>
          <w:szCs w:val="21"/>
          <w:highlight w:val="none"/>
        </w:rPr>
        <w:t>C</w:t>
      </w:r>
      <w:r>
        <w:rPr>
          <w:color w:val="auto"/>
          <w:szCs w:val="21"/>
          <w:highlight w:val="none"/>
        </w:rPr>
        <w:t>.0.1条规定条件的特殊地质问题。</w:t>
      </w:r>
    </w:p>
    <w:p>
      <w:pPr>
        <w:spacing w:line="360" w:lineRule="auto"/>
        <w:rPr>
          <w:color w:val="auto"/>
          <w:szCs w:val="21"/>
          <w:highlight w:val="none"/>
        </w:rPr>
      </w:pPr>
      <w:r>
        <w:rPr>
          <w:rFonts w:hint="eastAsia"/>
          <w:b/>
          <w:bCs/>
          <w:color w:val="auto"/>
          <w:szCs w:val="21"/>
          <w:highlight w:val="none"/>
        </w:rPr>
        <w:t>C</w:t>
      </w:r>
      <w:r>
        <w:rPr>
          <w:b/>
          <w:bCs/>
          <w:color w:val="auto"/>
          <w:szCs w:val="21"/>
          <w:highlight w:val="none"/>
        </w:rPr>
        <w:t>.0.5</w:t>
      </w:r>
      <w:r>
        <w:rPr>
          <w:rFonts w:hint="eastAsia"/>
          <w:color w:val="auto"/>
          <w:szCs w:val="21"/>
          <w:highlight w:val="none"/>
        </w:rPr>
        <w:t>　</w:t>
      </w:r>
      <w:r>
        <w:rPr>
          <w:color w:val="auto"/>
          <w:szCs w:val="21"/>
          <w:highlight w:val="none"/>
        </w:rPr>
        <w:t>市政工程勘察中，物探方法的选择可参照表</w:t>
      </w:r>
      <w:r>
        <w:rPr>
          <w:rFonts w:hint="eastAsia"/>
          <w:color w:val="auto"/>
          <w:szCs w:val="21"/>
          <w:highlight w:val="none"/>
        </w:rPr>
        <w:t>C</w:t>
      </w:r>
      <w:r>
        <w:rPr>
          <w:color w:val="auto"/>
          <w:szCs w:val="21"/>
          <w:highlight w:val="none"/>
        </w:rPr>
        <w:t>执行。</w:t>
      </w:r>
    </w:p>
    <w:p>
      <w:pPr>
        <w:rPr>
          <w:color w:val="auto"/>
          <w:sz w:val="36"/>
          <w:szCs w:val="36"/>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313" w:beforeLines="100" w:line="360" w:lineRule="auto"/>
        <w:jc w:val="center"/>
        <w:textAlignment w:val="auto"/>
        <w:rPr>
          <w:b/>
          <w:bCs/>
          <w:color w:val="auto"/>
          <w:szCs w:val="21"/>
          <w:highlight w:val="none"/>
        </w:rPr>
      </w:pPr>
      <w:r>
        <w:rPr>
          <w:b/>
          <w:bCs/>
          <w:color w:val="auto"/>
          <w:szCs w:val="21"/>
          <w:highlight w:val="none"/>
        </w:rPr>
        <w:t>表</w:t>
      </w:r>
      <w:r>
        <w:rPr>
          <w:rFonts w:hint="eastAsia"/>
          <w:b/>
          <w:bCs/>
          <w:color w:val="auto"/>
          <w:szCs w:val="21"/>
          <w:highlight w:val="none"/>
        </w:rPr>
        <w:t>C　</w:t>
      </w:r>
      <w:r>
        <w:rPr>
          <w:b/>
          <w:bCs/>
          <w:color w:val="auto"/>
          <w:szCs w:val="21"/>
          <w:highlight w:val="none"/>
        </w:rPr>
        <w:t>市政工程地球物理勘探方法的适用范围表</w:t>
      </w:r>
    </w:p>
    <w:tbl>
      <w:tblPr>
        <w:tblStyle w:val="22"/>
        <w:tblW w:w="13887" w:type="dxa"/>
        <w:jc w:val="center"/>
        <w:tblLayout w:type="fixed"/>
        <w:tblCellMar>
          <w:top w:w="0" w:type="dxa"/>
          <w:left w:w="57" w:type="dxa"/>
          <w:bottom w:w="0" w:type="dxa"/>
          <w:right w:w="57" w:type="dxa"/>
        </w:tblCellMar>
      </w:tblPr>
      <w:tblGrid>
        <w:gridCol w:w="524"/>
        <w:gridCol w:w="1801"/>
        <w:gridCol w:w="1418"/>
        <w:gridCol w:w="1417"/>
        <w:gridCol w:w="1134"/>
        <w:gridCol w:w="1843"/>
        <w:gridCol w:w="992"/>
        <w:gridCol w:w="1418"/>
        <w:gridCol w:w="1417"/>
        <w:gridCol w:w="1923"/>
      </w:tblGrid>
      <w:tr>
        <w:tblPrEx>
          <w:tblCellMar>
            <w:top w:w="0" w:type="dxa"/>
            <w:left w:w="57" w:type="dxa"/>
            <w:bottom w:w="0" w:type="dxa"/>
            <w:right w:w="57" w:type="dxa"/>
          </w:tblCellMar>
        </w:tblPrEx>
        <w:trPr>
          <w:trHeight w:val="711" w:hRule="atLeast"/>
          <w:tblHeader/>
          <w:jc w:val="center"/>
        </w:trPr>
        <w:tc>
          <w:tcPr>
            <w:tcW w:w="2325" w:type="dxa"/>
            <w:gridSpan w:val="2"/>
            <w:tcBorders>
              <w:top w:val="single" w:color="000000" w:sz="12" w:space="0"/>
              <w:left w:val="single" w:color="000000" w:sz="12" w:space="0"/>
              <w:bottom w:val="single" w:color="000000" w:sz="4" w:space="0"/>
              <w:right w:val="single" w:color="000000" w:sz="4" w:space="0"/>
              <w:tl2br w:val="single" w:color="auto" w:sz="4" w:space="0"/>
            </w:tcBorders>
          </w:tcPr>
          <w:p>
            <w:pPr>
              <w:adjustRightInd w:val="0"/>
              <w:snapToGrid w:val="0"/>
              <w:rPr>
                <w:rFonts w:ascii="宋体" w:hAnsi="宋体"/>
                <w:b w:val="0"/>
                <w:bCs/>
                <w:snapToGrid w:val="0"/>
                <w:color w:val="auto"/>
                <w:kern w:val="0"/>
                <w:sz w:val="18"/>
                <w:szCs w:val="18"/>
                <w:highlight w:val="none"/>
              </w:rPr>
            </w:pPr>
            <w:r>
              <w:rPr>
                <w:rFonts w:ascii="宋体" w:hAnsi="宋体"/>
                <w:b w:val="0"/>
                <w:bCs/>
                <w:snapToGrid w:val="0"/>
                <w:color w:val="auto"/>
                <w:kern w:val="0"/>
                <w:sz w:val="18"/>
                <w:szCs w:val="18"/>
                <w:highlight w:val="none"/>
              </w:rPr>
              <w:t xml:space="preserve">                </w:t>
            </w:r>
            <w:r>
              <w:rPr>
                <w:rFonts w:hint="eastAsia" w:ascii="宋体" w:hAnsi="宋体"/>
                <w:b w:val="0"/>
                <w:bCs/>
                <w:snapToGrid w:val="0"/>
                <w:color w:val="auto"/>
                <w:kern w:val="0"/>
                <w:sz w:val="18"/>
                <w:szCs w:val="18"/>
                <w:highlight w:val="none"/>
              </w:rPr>
              <w:t>适用范围</w:t>
            </w:r>
            <w:r>
              <w:rPr>
                <w:rFonts w:ascii="宋体" w:hAnsi="宋体"/>
                <w:b w:val="0"/>
                <w:bCs/>
                <w:snapToGrid w:val="0"/>
                <w:color w:val="auto"/>
                <w:kern w:val="0"/>
                <w:sz w:val="18"/>
                <w:szCs w:val="18"/>
                <w:highlight w:val="none"/>
              </w:rPr>
              <w:t xml:space="preserve">  </w:t>
            </w:r>
          </w:p>
          <w:p>
            <w:pPr>
              <w:adjustRightInd w:val="0"/>
              <w:snapToGrid w:val="0"/>
              <w:rPr>
                <w:rFonts w:hint="eastAsia" w:ascii="宋体" w:hAnsi="宋体"/>
                <w:b w:val="0"/>
                <w:bCs/>
                <w:snapToGrid w:val="0"/>
                <w:color w:val="auto"/>
                <w:kern w:val="0"/>
                <w:sz w:val="18"/>
                <w:szCs w:val="18"/>
                <w:highlight w:val="none"/>
              </w:rPr>
            </w:pPr>
          </w:p>
          <w:p>
            <w:pPr>
              <w:adjustRightInd w:val="0"/>
              <w:snapToGrid w:val="0"/>
              <w:rPr>
                <w:rFonts w:ascii="宋体"/>
                <w:b w:val="0"/>
                <w:bCs/>
                <w:snapToGrid w:val="0"/>
                <w:color w:val="auto"/>
                <w:kern w:val="0"/>
                <w:sz w:val="18"/>
                <w:szCs w:val="18"/>
                <w:highlight w:val="none"/>
              </w:rPr>
            </w:pPr>
            <w:r>
              <w:rPr>
                <w:rFonts w:hint="eastAsia" w:ascii="宋体" w:hAnsi="宋体"/>
                <w:b w:val="0"/>
                <w:bCs/>
                <w:snapToGrid w:val="0"/>
                <w:color w:val="auto"/>
                <w:kern w:val="0"/>
                <w:sz w:val="18"/>
                <w:szCs w:val="18"/>
                <w:highlight w:val="none"/>
              </w:rPr>
              <w:t>物探方法　</w:t>
            </w:r>
          </w:p>
        </w:tc>
        <w:tc>
          <w:tcPr>
            <w:tcW w:w="1418"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b w:val="0"/>
                <w:bCs/>
                <w:snapToGrid w:val="0"/>
                <w:color w:val="auto"/>
                <w:kern w:val="0"/>
                <w:sz w:val="18"/>
                <w:szCs w:val="18"/>
                <w:highlight w:val="none"/>
              </w:rPr>
            </w:pPr>
            <w:r>
              <w:rPr>
                <w:rFonts w:hint="eastAsia" w:ascii="宋体" w:hAnsi="宋体"/>
                <w:b w:val="0"/>
                <w:bCs/>
                <w:snapToGrid w:val="0"/>
                <w:color w:val="auto"/>
                <w:kern w:val="0"/>
                <w:sz w:val="18"/>
                <w:szCs w:val="18"/>
                <w:highlight w:val="none"/>
              </w:rPr>
              <w:t>地层结构、</w:t>
            </w:r>
          </w:p>
          <w:p>
            <w:pPr>
              <w:adjustRightInd w:val="0"/>
              <w:snapToGrid w:val="0"/>
              <w:jc w:val="center"/>
              <w:rPr>
                <w:rFonts w:ascii="宋体" w:hAnsi="宋体"/>
                <w:b w:val="0"/>
                <w:bCs/>
                <w:snapToGrid w:val="0"/>
                <w:color w:val="auto"/>
                <w:kern w:val="0"/>
                <w:sz w:val="18"/>
                <w:szCs w:val="18"/>
                <w:highlight w:val="none"/>
              </w:rPr>
            </w:pPr>
            <w:r>
              <w:rPr>
                <w:rFonts w:hint="eastAsia" w:ascii="宋体" w:hAnsi="宋体"/>
                <w:b w:val="0"/>
                <w:bCs/>
                <w:snapToGrid w:val="0"/>
                <w:color w:val="auto"/>
                <w:kern w:val="0"/>
                <w:sz w:val="18"/>
                <w:szCs w:val="18"/>
                <w:highlight w:val="none"/>
              </w:rPr>
              <w:t>风化层分带</w:t>
            </w:r>
          </w:p>
          <w:p>
            <w:pPr>
              <w:adjustRightInd w:val="0"/>
              <w:snapToGrid w:val="0"/>
              <w:jc w:val="center"/>
              <w:rPr>
                <w:rFonts w:ascii="宋体"/>
                <w:b w:val="0"/>
                <w:bCs/>
                <w:snapToGrid w:val="0"/>
                <w:color w:val="auto"/>
                <w:kern w:val="0"/>
                <w:sz w:val="18"/>
                <w:szCs w:val="18"/>
                <w:highlight w:val="none"/>
              </w:rPr>
            </w:pPr>
            <w:r>
              <w:rPr>
                <w:rFonts w:hint="eastAsia" w:ascii="宋体" w:hAnsi="宋体"/>
                <w:b w:val="0"/>
                <w:bCs/>
                <w:snapToGrid w:val="0"/>
                <w:color w:val="auto"/>
                <w:kern w:val="0"/>
                <w:sz w:val="18"/>
                <w:szCs w:val="18"/>
                <w:highlight w:val="none"/>
              </w:rPr>
              <w:t>及基岩形态探测</w:t>
            </w:r>
          </w:p>
        </w:tc>
        <w:tc>
          <w:tcPr>
            <w:tcW w:w="1417"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jc w:val="center"/>
              <w:rPr>
                <w:rFonts w:ascii="宋体"/>
                <w:b w:val="0"/>
                <w:bCs/>
                <w:snapToGrid w:val="0"/>
                <w:color w:val="auto"/>
                <w:kern w:val="0"/>
                <w:sz w:val="18"/>
                <w:szCs w:val="18"/>
                <w:highlight w:val="none"/>
              </w:rPr>
            </w:pPr>
            <w:r>
              <w:rPr>
                <w:rFonts w:hint="eastAsia" w:ascii="宋体" w:hAnsi="宋体"/>
                <w:b w:val="0"/>
                <w:bCs/>
                <w:snapToGrid w:val="0"/>
                <w:color w:val="auto"/>
                <w:kern w:val="0"/>
                <w:sz w:val="18"/>
                <w:szCs w:val="18"/>
                <w:highlight w:val="none"/>
              </w:rPr>
              <w:t>断裂、破碎带</w:t>
            </w:r>
          </w:p>
          <w:p>
            <w:pPr>
              <w:adjustRightInd w:val="0"/>
              <w:snapToGrid w:val="0"/>
              <w:jc w:val="center"/>
              <w:rPr>
                <w:rFonts w:ascii="宋体" w:hAnsi="宋体"/>
                <w:b w:val="0"/>
                <w:bCs/>
                <w:snapToGrid w:val="0"/>
                <w:color w:val="auto"/>
                <w:kern w:val="0"/>
                <w:sz w:val="18"/>
                <w:szCs w:val="18"/>
                <w:highlight w:val="none"/>
              </w:rPr>
            </w:pPr>
            <w:r>
              <w:rPr>
                <w:rFonts w:hint="eastAsia" w:ascii="宋体" w:hAnsi="宋体"/>
                <w:b w:val="0"/>
                <w:bCs/>
                <w:snapToGrid w:val="0"/>
                <w:color w:val="auto"/>
                <w:kern w:val="0"/>
                <w:sz w:val="18"/>
                <w:szCs w:val="18"/>
                <w:highlight w:val="none"/>
              </w:rPr>
              <w:t>及裂隙密集带</w:t>
            </w:r>
          </w:p>
          <w:p>
            <w:pPr>
              <w:adjustRightInd w:val="0"/>
              <w:snapToGrid w:val="0"/>
              <w:jc w:val="center"/>
              <w:rPr>
                <w:rFonts w:ascii="宋体"/>
                <w:b w:val="0"/>
                <w:bCs/>
                <w:snapToGrid w:val="0"/>
                <w:color w:val="auto"/>
                <w:kern w:val="0"/>
                <w:sz w:val="18"/>
                <w:szCs w:val="18"/>
                <w:highlight w:val="none"/>
              </w:rPr>
            </w:pPr>
            <w:r>
              <w:rPr>
                <w:rFonts w:hint="eastAsia" w:ascii="宋体" w:hAnsi="宋体"/>
                <w:b w:val="0"/>
                <w:bCs/>
                <w:snapToGrid w:val="0"/>
                <w:color w:val="auto"/>
                <w:kern w:val="0"/>
                <w:sz w:val="18"/>
                <w:szCs w:val="18"/>
                <w:highlight w:val="none"/>
              </w:rPr>
              <w:t>探测</w:t>
            </w:r>
          </w:p>
        </w:tc>
        <w:tc>
          <w:tcPr>
            <w:tcW w:w="1134"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b w:val="0"/>
                <w:bCs/>
                <w:snapToGrid w:val="0"/>
                <w:color w:val="auto"/>
                <w:kern w:val="0"/>
                <w:sz w:val="18"/>
                <w:szCs w:val="18"/>
                <w:highlight w:val="none"/>
              </w:rPr>
            </w:pPr>
            <w:r>
              <w:rPr>
                <w:rFonts w:hint="eastAsia" w:ascii="宋体" w:hAnsi="宋体"/>
                <w:b w:val="0"/>
                <w:bCs/>
                <w:snapToGrid w:val="0"/>
                <w:color w:val="auto"/>
                <w:kern w:val="0"/>
                <w:sz w:val="18"/>
                <w:szCs w:val="18"/>
                <w:highlight w:val="none"/>
              </w:rPr>
              <w:t>软弱地层、</w:t>
            </w:r>
          </w:p>
          <w:p>
            <w:pPr>
              <w:adjustRightInd w:val="0"/>
              <w:snapToGrid w:val="0"/>
              <w:jc w:val="center"/>
              <w:rPr>
                <w:rFonts w:ascii="宋体"/>
                <w:b w:val="0"/>
                <w:bCs/>
                <w:snapToGrid w:val="0"/>
                <w:color w:val="auto"/>
                <w:kern w:val="0"/>
                <w:sz w:val="18"/>
                <w:szCs w:val="18"/>
                <w:highlight w:val="none"/>
              </w:rPr>
            </w:pPr>
            <w:r>
              <w:rPr>
                <w:rFonts w:hint="eastAsia" w:ascii="宋体" w:hAnsi="宋体"/>
                <w:b w:val="0"/>
                <w:bCs/>
                <w:snapToGrid w:val="0"/>
                <w:color w:val="auto"/>
                <w:kern w:val="0"/>
                <w:sz w:val="18"/>
                <w:szCs w:val="18"/>
                <w:highlight w:val="none"/>
              </w:rPr>
              <w:t>砂砾石层</w:t>
            </w:r>
          </w:p>
          <w:p>
            <w:pPr>
              <w:adjustRightInd w:val="0"/>
              <w:snapToGrid w:val="0"/>
              <w:jc w:val="center"/>
              <w:rPr>
                <w:rFonts w:ascii="宋体"/>
                <w:b w:val="0"/>
                <w:bCs/>
                <w:snapToGrid w:val="0"/>
                <w:color w:val="auto"/>
                <w:kern w:val="0"/>
                <w:sz w:val="18"/>
                <w:szCs w:val="18"/>
                <w:highlight w:val="none"/>
              </w:rPr>
            </w:pPr>
            <w:r>
              <w:rPr>
                <w:rFonts w:hint="eastAsia" w:ascii="宋体" w:hAnsi="宋体"/>
                <w:b w:val="0"/>
                <w:bCs/>
                <w:snapToGrid w:val="0"/>
                <w:color w:val="auto"/>
                <w:kern w:val="0"/>
                <w:sz w:val="18"/>
                <w:szCs w:val="18"/>
                <w:highlight w:val="none"/>
              </w:rPr>
              <w:t>和孤石探测</w:t>
            </w:r>
          </w:p>
        </w:tc>
        <w:tc>
          <w:tcPr>
            <w:tcW w:w="1843"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b w:val="0"/>
                <w:bCs/>
                <w:snapToGrid w:val="0"/>
                <w:color w:val="auto"/>
                <w:kern w:val="0"/>
                <w:sz w:val="18"/>
                <w:szCs w:val="18"/>
                <w:highlight w:val="none"/>
              </w:rPr>
            </w:pPr>
            <w:r>
              <w:rPr>
                <w:rFonts w:hint="eastAsia" w:ascii="宋体" w:hAnsi="宋体"/>
                <w:b w:val="0"/>
                <w:bCs/>
                <w:snapToGrid w:val="0"/>
                <w:color w:val="auto"/>
                <w:kern w:val="0"/>
                <w:sz w:val="18"/>
                <w:szCs w:val="18"/>
                <w:highlight w:val="none"/>
              </w:rPr>
              <w:t>水下地形、地层结构、障碍物、抛石、</w:t>
            </w:r>
          </w:p>
          <w:p>
            <w:pPr>
              <w:adjustRightInd w:val="0"/>
              <w:snapToGrid w:val="0"/>
              <w:jc w:val="center"/>
              <w:rPr>
                <w:rFonts w:ascii="宋体"/>
                <w:b w:val="0"/>
                <w:bCs/>
                <w:snapToGrid w:val="0"/>
                <w:color w:val="auto"/>
                <w:kern w:val="0"/>
                <w:sz w:val="18"/>
                <w:szCs w:val="18"/>
                <w:highlight w:val="none"/>
              </w:rPr>
            </w:pPr>
            <w:r>
              <w:rPr>
                <w:rFonts w:hint="eastAsia" w:ascii="宋体" w:hAnsi="宋体"/>
                <w:b w:val="0"/>
                <w:bCs/>
                <w:snapToGrid w:val="0"/>
                <w:color w:val="auto"/>
                <w:kern w:val="0"/>
                <w:sz w:val="18"/>
                <w:szCs w:val="18"/>
                <w:highlight w:val="none"/>
              </w:rPr>
              <w:t>管线探测</w:t>
            </w:r>
          </w:p>
        </w:tc>
        <w:tc>
          <w:tcPr>
            <w:tcW w:w="992"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b w:val="0"/>
                <w:bCs/>
                <w:snapToGrid w:val="0"/>
                <w:color w:val="auto"/>
                <w:kern w:val="0"/>
                <w:sz w:val="18"/>
                <w:szCs w:val="18"/>
                <w:highlight w:val="none"/>
              </w:rPr>
            </w:pPr>
            <w:r>
              <w:rPr>
                <w:rFonts w:hint="eastAsia" w:ascii="宋体" w:hAnsi="宋体"/>
                <w:b w:val="0"/>
                <w:bCs/>
                <w:snapToGrid w:val="0"/>
                <w:color w:val="auto"/>
                <w:kern w:val="0"/>
                <w:sz w:val="18"/>
                <w:szCs w:val="18"/>
                <w:highlight w:val="none"/>
              </w:rPr>
              <w:t>地下水</w:t>
            </w:r>
          </w:p>
          <w:p>
            <w:pPr>
              <w:adjustRightInd w:val="0"/>
              <w:snapToGrid w:val="0"/>
              <w:jc w:val="center"/>
              <w:rPr>
                <w:rFonts w:ascii="宋体" w:hAnsi="宋体"/>
                <w:b w:val="0"/>
                <w:bCs/>
                <w:snapToGrid w:val="0"/>
                <w:color w:val="auto"/>
                <w:kern w:val="0"/>
                <w:sz w:val="18"/>
                <w:szCs w:val="18"/>
                <w:highlight w:val="none"/>
              </w:rPr>
            </w:pPr>
            <w:r>
              <w:rPr>
                <w:rFonts w:hint="eastAsia" w:ascii="宋体" w:hAnsi="宋体"/>
                <w:b w:val="0"/>
                <w:bCs/>
                <w:snapToGrid w:val="0"/>
                <w:color w:val="auto"/>
                <w:kern w:val="0"/>
                <w:sz w:val="18"/>
                <w:szCs w:val="18"/>
                <w:highlight w:val="none"/>
              </w:rPr>
              <w:t>及含水体</w:t>
            </w:r>
          </w:p>
          <w:p>
            <w:pPr>
              <w:adjustRightInd w:val="0"/>
              <w:snapToGrid w:val="0"/>
              <w:jc w:val="center"/>
              <w:rPr>
                <w:rFonts w:ascii="宋体"/>
                <w:b w:val="0"/>
                <w:bCs/>
                <w:snapToGrid w:val="0"/>
                <w:color w:val="auto"/>
                <w:kern w:val="0"/>
                <w:sz w:val="18"/>
                <w:szCs w:val="18"/>
                <w:highlight w:val="none"/>
              </w:rPr>
            </w:pPr>
            <w:r>
              <w:rPr>
                <w:rFonts w:hint="eastAsia" w:ascii="宋体" w:hAnsi="宋体"/>
                <w:b w:val="0"/>
                <w:bCs/>
                <w:snapToGrid w:val="0"/>
                <w:color w:val="auto"/>
                <w:kern w:val="0"/>
                <w:sz w:val="18"/>
                <w:szCs w:val="18"/>
                <w:highlight w:val="none"/>
              </w:rPr>
              <w:t>探测</w:t>
            </w:r>
          </w:p>
        </w:tc>
        <w:tc>
          <w:tcPr>
            <w:tcW w:w="1418"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jc w:val="center"/>
              <w:rPr>
                <w:rFonts w:ascii="宋体"/>
                <w:b w:val="0"/>
                <w:bCs/>
                <w:snapToGrid w:val="0"/>
                <w:color w:val="auto"/>
                <w:kern w:val="0"/>
                <w:sz w:val="18"/>
                <w:szCs w:val="18"/>
                <w:highlight w:val="none"/>
              </w:rPr>
            </w:pPr>
            <w:r>
              <w:rPr>
                <w:rFonts w:hint="eastAsia" w:ascii="宋体" w:hAnsi="宋体"/>
                <w:b w:val="0"/>
                <w:bCs/>
                <w:snapToGrid w:val="0"/>
                <w:color w:val="auto"/>
                <w:kern w:val="0"/>
                <w:sz w:val="18"/>
                <w:szCs w:val="18"/>
                <w:highlight w:val="none"/>
              </w:rPr>
              <w:t>桩位岩溶及桩基持力层完整性探测</w:t>
            </w:r>
          </w:p>
        </w:tc>
        <w:tc>
          <w:tcPr>
            <w:tcW w:w="1417"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b w:val="0"/>
                <w:bCs/>
                <w:snapToGrid w:val="0"/>
                <w:color w:val="auto"/>
                <w:kern w:val="0"/>
                <w:sz w:val="18"/>
                <w:szCs w:val="18"/>
                <w:highlight w:val="none"/>
              </w:rPr>
            </w:pPr>
            <w:r>
              <w:rPr>
                <w:rFonts w:hint="eastAsia" w:ascii="宋体" w:hAnsi="宋体"/>
                <w:b w:val="0"/>
                <w:bCs/>
                <w:snapToGrid w:val="0"/>
                <w:color w:val="auto"/>
                <w:kern w:val="0"/>
                <w:sz w:val="18"/>
                <w:szCs w:val="18"/>
                <w:highlight w:val="none"/>
              </w:rPr>
              <w:t>岩溶、采空区、</w:t>
            </w:r>
          </w:p>
          <w:p>
            <w:pPr>
              <w:adjustRightInd w:val="0"/>
              <w:snapToGrid w:val="0"/>
              <w:jc w:val="center"/>
              <w:rPr>
                <w:rFonts w:ascii="宋体" w:hAnsi="宋体"/>
                <w:b w:val="0"/>
                <w:bCs/>
                <w:snapToGrid w:val="0"/>
                <w:color w:val="auto"/>
                <w:kern w:val="0"/>
                <w:sz w:val="18"/>
                <w:szCs w:val="18"/>
                <w:highlight w:val="none"/>
              </w:rPr>
            </w:pPr>
            <w:r>
              <w:rPr>
                <w:rFonts w:hint="eastAsia" w:ascii="宋体" w:hAnsi="宋体"/>
                <w:b w:val="0"/>
                <w:bCs/>
                <w:snapToGrid w:val="0"/>
                <w:color w:val="auto"/>
                <w:kern w:val="0"/>
                <w:sz w:val="18"/>
                <w:szCs w:val="18"/>
                <w:highlight w:val="none"/>
              </w:rPr>
              <w:t>障碍物、管线及</w:t>
            </w:r>
          </w:p>
          <w:p>
            <w:pPr>
              <w:adjustRightInd w:val="0"/>
              <w:snapToGrid w:val="0"/>
              <w:jc w:val="center"/>
              <w:rPr>
                <w:rFonts w:ascii="宋体"/>
                <w:b w:val="0"/>
                <w:bCs/>
                <w:snapToGrid w:val="0"/>
                <w:color w:val="auto"/>
                <w:kern w:val="0"/>
                <w:sz w:val="18"/>
                <w:szCs w:val="18"/>
                <w:highlight w:val="none"/>
              </w:rPr>
            </w:pPr>
            <w:r>
              <w:rPr>
                <w:rFonts w:hint="eastAsia" w:ascii="宋体" w:hAnsi="宋体"/>
                <w:b w:val="0"/>
                <w:bCs/>
                <w:snapToGrid w:val="0"/>
                <w:color w:val="auto"/>
                <w:kern w:val="0"/>
                <w:sz w:val="18"/>
                <w:szCs w:val="18"/>
                <w:highlight w:val="none"/>
              </w:rPr>
              <w:t>隐蔽工程探测</w:t>
            </w:r>
          </w:p>
        </w:tc>
        <w:tc>
          <w:tcPr>
            <w:tcW w:w="1923" w:type="dxa"/>
            <w:tcBorders>
              <w:top w:val="single" w:color="000000" w:sz="12" w:space="0"/>
              <w:left w:val="single" w:color="000000" w:sz="4" w:space="0"/>
              <w:bottom w:val="single" w:color="000000" w:sz="4" w:space="0"/>
              <w:right w:val="single" w:color="000000" w:sz="12" w:space="0"/>
            </w:tcBorders>
            <w:vAlign w:val="center"/>
          </w:tcPr>
          <w:p>
            <w:pPr>
              <w:adjustRightInd w:val="0"/>
              <w:snapToGrid w:val="0"/>
              <w:jc w:val="center"/>
              <w:rPr>
                <w:rFonts w:ascii="宋体"/>
                <w:b w:val="0"/>
                <w:bCs/>
                <w:snapToGrid w:val="0"/>
                <w:color w:val="auto"/>
                <w:kern w:val="0"/>
                <w:sz w:val="18"/>
                <w:szCs w:val="18"/>
                <w:highlight w:val="none"/>
              </w:rPr>
            </w:pPr>
            <w:r>
              <w:rPr>
                <w:rFonts w:hint="eastAsia" w:ascii="宋体" w:hAnsi="宋体"/>
                <w:b w:val="0"/>
                <w:bCs/>
                <w:snapToGrid w:val="0"/>
                <w:color w:val="auto"/>
                <w:kern w:val="0"/>
                <w:sz w:val="18"/>
                <w:szCs w:val="18"/>
                <w:highlight w:val="none"/>
              </w:rPr>
              <w:t>滑坡、地面塌陷探测</w:t>
            </w:r>
          </w:p>
        </w:tc>
      </w:tr>
      <w:tr>
        <w:tblPrEx>
          <w:tblCellMar>
            <w:top w:w="0" w:type="dxa"/>
            <w:left w:w="57" w:type="dxa"/>
            <w:bottom w:w="0" w:type="dxa"/>
            <w:right w:w="57" w:type="dxa"/>
          </w:tblCellMar>
        </w:tblPrEx>
        <w:trPr>
          <w:trHeight w:val="337" w:hRule="atLeast"/>
          <w:jc w:val="center"/>
        </w:trPr>
        <w:tc>
          <w:tcPr>
            <w:tcW w:w="524" w:type="dxa"/>
            <w:vMerge w:val="restart"/>
            <w:tcBorders>
              <w:top w:val="single" w:color="000000" w:sz="4" w:space="0"/>
              <w:left w:val="single" w:color="000000" w:sz="12" w:space="0"/>
              <w:bottom w:val="single" w:color="000000" w:sz="4" w:space="0"/>
              <w:right w:val="single" w:color="000000" w:sz="4" w:space="0"/>
            </w:tcBorders>
            <w:vAlign w:val="center"/>
          </w:tcPr>
          <w:p>
            <w:pPr>
              <w:tabs>
                <w:tab w:val="left" w:pos="320"/>
              </w:tabs>
              <w:snapToGrid w:val="0"/>
              <w:jc w:val="center"/>
              <w:rPr>
                <w:rFonts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直</w:t>
            </w:r>
          </w:p>
          <w:p>
            <w:pPr>
              <w:tabs>
                <w:tab w:val="left" w:pos="320"/>
              </w:tabs>
              <w:snapToGrid w:val="0"/>
              <w:jc w:val="center"/>
              <w:rPr>
                <w:rFonts w:ascii="宋体"/>
                <w:snapToGrid w:val="0"/>
                <w:color w:val="auto"/>
                <w:kern w:val="0"/>
                <w:sz w:val="18"/>
                <w:szCs w:val="18"/>
                <w:highlight w:val="none"/>
              </w:rPr>
            </w:pPr>
            <w:r>
              <w:rPr>
                <w:rFonts w:hint="eastAsia" w:ascii="宋体" w:hAnsi="宋体"/>
                <w:snapToGrid w:val="0"/>
                <w:color w:val="auto"/>
                <w:kern w:val="0"/>
                <w:sz w:val="18"/>
                <w:szCs w:val="18"/>
                <w:highlight w:val="none"/>
              </w:rPr>
              <w:t>流</w:t>
            </w:r>
          </w:p>
          <w:p>
            <w:pPr>
              <w:tabs>
                <w:tab w:val="left" w:pos="320"/>
              </w:tabs>
              <w:adjustRightInd w:val="0"/>
              <w:snapToGrid w:val="0"/>
              <w:jc w:val="center"/>
              <w:rPr>
                <w:rFonts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电</w:t>
            </w:r>
          </w:p>
          <w:p>
            <w:pPr>
              <w:tabs>
                <w:tab w:val="left" w:pos="320"/>
              </w:tabs>
              <w:adjustRightInd w:val="0"/>
              <w:snapToGrid w:val="0"/>
              <w:jc w:val="center"/>
              <w:rPr>
                <w:rFonts w:ascii="宋体"/>
                <w:snapToGrid w:val="0"/>
                <w:color w:val="auto"/>
                <w:kern w:val="0"/>
                <w:sz w:val="18"/>
                <w:szCs w:val="18"/>
                <w:highlight w:val="none"/>
              </w:rPr>
            </w:pPr>
            <w:r>
              <w:rPr>
                <w:rFonts w:hint="eastAsia" w:ascii="宋体" w:hAnsi="宋体"/>
                <w:snapToGrid w:val="0"/>
                <w:color w:val="auto"/>
                <w:kern w:val="0"/>
                <w:sz w:val="18"/>
                <w:szCs w:val="18"/>
                <w:highlight w:val="none"/>
              </w:rPr>
              <w:t>法</w:t>
            </w:r>
          </w:p>
        </w:tc>
        <w:tc>
          <w:tcPr>
            <w:tcW w:w="18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snapToGrid w:val="0"/>
                <w:color w:val="auto"/>
                <w:sz w:val="18"/>
                <w:szCs w:val="18"/>
                <w:highlight w:val="none"/>
              </w:rPr>
            </w:pPr>
            <w:r>
              <w:rPr>
                <w:rFonts w:hint="eastAsia" w:ascii="宋体" w:hAnsi="宋体"/>
                <w:snapToGrid w:val="0"/>
                <w:color w:val="auto"/>
                <w:kern w:val="0"/>
                <w:sz w:val="18"/>
                <w:szCs w:val="18"/>
                <w:highlight w:val="none"/>
              </w:rPr>
              <w:t>充电法</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84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923"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r>
      <w:tr>
        <w:tblPrEx>
          <w:tblCellMar>
            <w:top w:w="0" w:type="dxa"/>
            <w:left w:w="57" w:type="dxa"/>
            <w:bottom w:w="0" w:type="dxa"/>
            <w:right w:w="57" w:type="dxa"/>
          </w:tblCellMar>
        </w:tblPrEx>
        <w:trPr>
          <w:trHeight w:val="337" w:hRule="atLeast"/>
          <w:jc w:val="center"/>
        </w:trPr>
        <w:tc>
          <w:tcPr>
            <w:tcW w:w="524" w:type="dxa"/>
            <w:vMerge w:val="continue"/>
            <w:tcBorders>
              <w:top w:val="single" w:color="000000" w:sz="4" w:space="0"/>
              <w:left w:val="single" w:color="000000" w:sz="12" w:space="0"/>
              <w:bottom w:val="single" w:color="000000" w:sz="4" w:space="0"/>
              <w:right w:val="single" w:color="000000" w:sz="4" w:space="0"/>
            </w:tcBorders>
            <w:vAlign w:val="center"/>
          </w:tcPr>
          <w:p>
            <w:pPr>
              <w:tabs>
                <w:tab w:val="left" w:pos="320"/>
              </w:tabs>
              <w:adjustRightInd w:val="0"/>
              <w:snapToGrid w:val="0"/>
              <w:jc w:val="center"/>
              <w:rPr>
                <w:rFonts w:ascii="宋体"/>
                <w:snapToGrid w:val="0"/>
                <w:color w:val="auto"/>
                <w:kern w:val="0"/>
                <w:sz w:val="18"/>
                <w:szCs w:val="18"/>
                <w:highlight w:val="none"/>
              </w:rPr>
            </w:pPr>
          </w:p>
        </w:tc>
        <w:tc>
          <w:tcPr>
            <w:tcW w:w="1801" w:type="dxa"/>
            <w:tcBorders>
              <w:top w:val="single" w:color="000000" w:sz="4" w:space="0"/>
              <w:left w:val="single" w:color="000000" w:sz="4" w:space="0"/>
              <w:bottom w:val="single" w:color="000000" w:sz="4" w:space="0"/>
              <w:right w:val="single" w:color="000000" w:sz="4" w:space="0"/>
            </w:tcBorders>
            <w:vAlign w:val="center"/>
          </w:tcPr>
          <w:p>
            <w:pPr>
              <w:pStyle w:val="63"/>
              <w:widowControl w:val="0"/>
              <w:adjustRightInd w:val="0"/>
              <w:snapToGrid w:val="0"/>
              <w:spacing w:before="0" w:beforeAutospacing="0" w:after="0" w:afterAutospacing="0"/>
              <w:rPr>
                <w:snapToGrid w:val="0"/>
                <w:color w:val="auto"/>
                <w:sz w:val="18"/>
                <w:szCs w:val="18"/>
                <w:highlight w:val="none"/>
              </w:rPr>
            </w:pPr>
            <w:r>
              <w:rPr>
                <w:rFonts w:hint="eastAsia"/>
                <w:snapToGrid w:val="0"/>
                <w:color w:val="auto"/>
                <w:sz w:val="18"/>
                <w:szCs w:val="18"/>
                <w:highlight w:val="none"/>
              </w:rPr>
              <w:t>电测深法</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84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923"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r>
      <w:tr>
        <w:tblPrEx>
          <w:tblCellMar>
            <w:top w:w="0" w:type="dxa"/>
            <w:left w:w="57" w:type="dxa"/>
            <w:bottom w:w="0" w:type="dxa"/>
            <w:right w:w="57" w:type="dxa"/>
          </w:tblCellMar>
        </w:tblPrEx>
        <w:trPr>
          <w:trHeight w:val="337" w:hRule="atLeast"/>
          <w:jc w:val="center"/>
        </w:trPr>
        <w:tc>
          <w:tcPr>
            <w:tcW w:w="524" w:type="dxa"/>
            <w:vMerge w:val="continue"/>
            <w:tcBorders>
              <w:top w:val="single" w:color="000000" w:sz="4" w:space="0"/>
              <w:left w:val="single" w:color="000000" w:sz="12" w:space="0"/>
              <w:bottom w:val="single" w:color="000000" w:sz="4" w:space="0"/>
              <w:right w:val="single" w:color="000000" w:sz="4" w:space="0"/>
            </w:tcBorders>
            <w:vAlign w:val="center"/>
          </w:tcPr>
          <w:p>
            <w:pPr>
              <w:widowControl/>
              <w:adjustRightInd w:val="0"/>
              <w:snapToGrid w:val="0"/>
              <w:jc w:val="left"/>
              <w:rPr>
                <w:rFonts w:ascii="宋体"/>
                <w:snapToGrid w:val="0"/>
                <w:color w:val="auto"/>
                <w:kern w:val="0"/>
                <w:sz w:val="18"/>
                <w:szCs w:val="18"/>
                <w:highlight w:val="none"/>
              </w:rPr>
            </w:pPr>
          </w:p>
        </w:tc>
        <w:tc>
          <w:tcPr>
            <w:tcW w:w="18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snapToGrid w:val="0"/>
                <w:color w:val="auto"/>
                <w:kern w:val="0"/>
                <w:sz w:val="18"/>
                <w:szCs w:val="18"/>
                <w:highlight w:val="none"/>
              </w:rPr>
            </w:pPr>
            <w:r>
              <w:rPr>
                <w:rFonts w:hint="eastAsia" w:ascii="宋体" w:hAnsi="宋体"/>
                <w:snapToGrid w:val="0"/>
                <w:color w:val="auto"/>
                <w:kern w:val="0"/>
                <w:sz w:val="18"/>
                <w:szCs w:val="18"/>
                <w:highlight w:val="none"/>
              </w:rPr>
              <w:t>电剖面法</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xml:space="preserve">○ </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84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923"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r>
      <w:tr>
        <w:tblPrEx>
          <w:tblCellMar>
            <w:top w:w="0" w:type="dxa"/>
            <w:left w:w="57" w:type="dxa"/>
            <w:bottom w:w="0" w:type="dxa"/>
            <w:right w:w="57" w:type="dxa"/>
          </w:tblCellMar>
        </w:tblPrEx>
        <w:trPr>
          <w:trHeight w:val="337" w:hRule="atLeast"/>
          <w:jc w:val="center"/>
        </w:trPr>
        <w:tc>
          <w:tcPr>
            <w:tcW w:w="524" w:type="dxa"/>
            <w:vMerge w:val="continue"/>
            <w:tcBorders>
              <w:top w:val="single" w:color="000000" w:sz="4" w:space="0"/>
              <w:left w:val="single" w:color="000000" w:sz="12" w:space="0"/>
              <w:bottom w:val="single" w:color="000000" w:sz="4" w:space="0"/>
              <w:right w:val="single" w:color="000000" w:sz="4" w:space="0"/>
            </w:tcBorders>
            <w:vAlign w:val="center"/>
          </w:tcPr>
          <w:p>
            <w:pPr>
              <w:widowControl/>
              <w:adjustRightInd w:val="0"/>
              <w:snapToGrid w:val="0"/>
              <w:jc w:val="left"/>
              <w:rPr>
                <w:rFonts w:ascii="宋体"/>
                <w:snapToGrid w:val="0"/>
                <w:color w:val="auto"/>
                <w:kern w:val="0"/>
                <w:sz w:val="18"/>
                <w:szCs w:val="18"/>
                <w:highlight w:val="none"/>
              </w:rPr>
            </w:pPr>
          </w:p>
        </w:tc>
        <w:tc>
          <w:tcPr>
            <w:tcW w:w="18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snapToGrid w:val="0"/>
                <w:color w:val="auto"/>
                <w:kern w:val="0"/>
                <w:sz w:val="18"/>
                <w:szCs w:val="18"/>
                <w:highlight w:val="none"/>
              </w:rPr>
            </w:pPr>
            <w:r>
              <w:rPr>
                <w:rFonts w:hint="eastAsia" w:ascii="宋体" w:hAnsi="宋体"/>
                <w:snapToGrid w:val="0"/>
                <w:color w:val="auto"/>
                <w:kern w:val="0"/>
                <w:sz w:val="18"/>
                <w:szCs w:val="18"/>
                <w:highlight w:val="none"/>
              </w:rPr>
              <w:t>高密度电法</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84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923"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r>
      <w:tr>
        <w:tblPrEx>
          <w:tblCellMar>
            <w:top w:w="0" w:type="dxa"/>
            <w:left w:w="57" w:type="dxa"/>
            <w:bottom w:w="0" w:type="dxa"/>
            <w:right w:w="57" w:type="dxa"/>
          </w:tblCellMar>
        </w:tblPrEx>
        <w:trPr>
          <w:trHeight w:val="337" w:hRule="atLeast"/>
          <w:jc w:val="center"/>
        </w:trPr>
        <w:tc>
          <w:tcPr>
            <w:tcW w:w="524" w:type="dxa"/>
            <w:vMerge w:val="restart"/>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电</w:t>
            </w:r>
          </w:p>
          <w:p>
            <w:pPr>
              <w:adjustRightInd w:val="0"/>
              <w:snapToGrid w:val="0"/>
              <w:jc w:val="center"/>
              <w:rPr>
                <w:rFonts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磁</w:t>
            </w:r>
          </w:p>
          <w:p>
            <w:pPr>
              <w:adjustRightInd w:val="0"/>
              <w:snapToGrid w:val="0"/>
              <w:jc w:val="center"/>
              <w:rPr>
                <w:rFonts w:ascii="宋体"/>
                <w:snapToGrid w:val="0"/>
                <w:color w:val="auto"/>
                <w:kern w:val="0"/>
                <w:sz w:val="18"/>
                <w:szCs w:val="18"/>
                <w:highlight w:val="none"/>
              </w:rPr>
            </w:pPr>
            <w:r>
              <w:rPr>
                <w:rFonts w:hint="eastAsia" w:ascii="宋体" w:hAnsi="宋体"/>
                <w:snapToGrid w:val="0"/>
                <w:color w:val="auto"/>
                <w:kern w:val="0"/>
                <w:sz w:val="18"/>
                <w:szCs w:val="18"/>
                <w:highlight w:val="none"/>
              </w:rPr>
              <w:t>法</w:t>
            </w:r>
          </w:p>
        </w:tc>
        <w:tc>
          <w:tcPr>
            <w:tcW w:w="18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snapToGrid w:val="0"/>
                <w:color w:val="auto"/>
                <w:kern w:val="0"/>
                <w:sz w:val="18"/>
                <w:szCs w:val="18"/>
                <w:highlight w:val="none"/>
              </w:rPr>
            </w:pPr>
            <w:r>
              <w:rPr>
                <w:rFonts w:hint="eastAsia" w:ascii="宋体" w:hAnsi="宋体"/>
                <w:snapToGrid w:val="0"/>
                <w:color w:val="auto"/>
                <w:kern w:val="0"/>
                <w:sz w:val="18"/>
                <w:szCs w:val="18"/>
                <w:highlight w:val="none"/>
              </w:rPr>
              <w:t>音频大地电磁法</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84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923"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r>
      <w:tr>
        <w:tblPrEx>
          <w:tblCellMar>
            <w:top w:w="0" w:type="dxa"/>
            <w:left w:w="57" w:type="dxa"/>
            <w:bottom w:w="0" w:type="dxa"/>
            <w:right w:w="57" w:type="dxa"/>
          </w:tblCellMar>
        </w:tblPrEx>
        <w:trPr>
          <w:trHeight w:val="337" w:hRule="atLeast"/>
          <w:jc w:val="center"/>
        </w:trPr>
        <w:tc>
          <w:tcPr>
            <w:tcW w:w="524" w:type="dxa"/>
            <w:vMerge w:val="continue"/>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ascii="宋体"/>
                <w:snapToGrid w:val="0"/>
                <w:color w:val="auto"/>
                <w:kern w:val="0"/>
                <w:sz w:val="18"/>
                <w:szCs w:val="18"/>
                <w:highlight w:val="none"/>
              </w:rPr>
            </w:pPr>
          </w:p>
        </w:tc>
        <w:tc>
          <w:tcPr>
            <w:tcW w:w="18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snapToGrid w:val="0"/>
                <w:color w:val="auto"/>
                <w:kern w:val="0"/>
                <w:sz w:val="18"/>
                <w:szCs w:val="18"/>
                <w:highlight w:val="none"/>
              </w:rPr>
            </w:pPr>
            <w:r>
              <w:rPr>
                <w:rFonts w:hint="eastAsia" w:ascii="宋体" w:hAnsi="宋体"/>
                <w:snapToGrid w:val="0"/>
                <w:color w:val="auto"/>
                <w:kern w:val="0"/>
                <w:sz w:val="18"/>
                <w:szCs w:val="18"/>
                <w:highlight w:val="none"/>
              </w:rPr>
              <w:t>瞬变电磁法</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84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923"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r>
      <w:tr>
        <w:tblPrEx>
          <w:tblCellMar>
            <w:top w:w="0" w:type="dxa"/>
            <w:left w:w="57" w:type="dxa"/>
            <w:bottom w:w="0" w:type="dxa"/>
            <w:right w:w="57" w:type="dxa"/>
          </w:tblCellMar>
        </w:tblPrEx>
        <w:trPr>
          <w:trHeight w:val="337" w:hRule="atLeast"/>
          <w:jc w:val="center"/>
        </w:trPr>
        <w:tc>
          <w:tcPr>
            <w:tcW w:w="524" w:type="dxa"/>
            <w:vMerge w:val="continue"/>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ascii="宋体"/>
                <w:snapToGrid w:val="0"/>
                <w:color w:val="auto"/>
                <w:kern w:val="0"/>
                <w:sz w:val="18"/>
                <w:szCs w:val="18"/>
                <w:highlight w:val="none"/>
              </w:rPr>
            </w:pPr>
          </w:p>
        </w:tc>
        <w:tc>
          <w:tcPr>
            <w:tcW w:w="18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snapToGrid w:val="0"/>
                <w:color w:val="auto"/>
                <w:kern w:val="0"/>
                <w:sz w:val="18"/>
                <w:szCs w:val="18"/>
                <w:highlight w:val="none"/>
              </w:rPr>
            </w:pPr>
            <w:r>
              <w:rPr>
                <w:rFonts w:hint="eastAsia" w:ascii="宋体" w:hAnsi="宋体"/>
                <w:snapToGrid w:val="0"/>
                <w:color w:val="auto"/>
                <w:kern w:val="0"/>
                <w:sz w:val="18"/>
                <w:szCs w:val="18"/>
                <w:highlight w:val="none"/>
              </w:rPr>
              <w:t>探地雷达法</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84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923"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r>
      <w:tr>
        <w:tblPrEx>
          <w:tblCellMar>
            <w:top w:w="0" w:type="dxa"/>
            <w:left w:w="57" w:type="dxa"/>
            <w:bottom w:w="0" w:type="dxa"/>
            <w:right w:w="57" w:type="dxa"/>
          </w:tblCellMar>
        </w:tblPrEx>
        <w:trPr>
          <w:trHeight w:val="337" w:hRule="atLeast"/>
          <w:jc w:val="center"/>
        </w:trPr>
        <w:tc>
          <w:tcPr>
            <w:tcW w:w="524" w:type="dxa"/>
            <w:vMerge w:val="restart"/>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浅</w:t>
            </w:r>
          </w:p>
          <w:p>
            <w:pPr>
              <w:adjustRightInd w:val="0"/>
              <w:snapToGrid w:val="0"/>
              <w:jc w:val="center"/>
              <w:rPr>
                <w:rFonts w:ascii="宋体"/>
                <w:snapToGrid w:val="0"/>
                <w:color w:val="auto"/>
                <w:kern w:val="0"/>
                <w:sz w:val="18"/>
                <w:szCs w:val="18"/>
                <w:highlight w:val="none"/>
              </w:rPr>
            </w:pPr>
            <w:r>
              <w:rPr>
                <w:rFonts w:hint="eastAsia" w:ascii="宋体" w:hAnsi="宋体"/>
                <w:snapToGrid w:val="0"/>
                <w:color w:val="auto"/>
                <w:kern w:val="0"/>
                <w:sz w:val="18"/>
                <w:szCs w:val="18"/>
                <w:highlight w:val="none"/>
              </w:rPr>
              <w:t>层</w:t>
            </w:r>
          </w:p>
          <w:p>
            <w:pPr>
              <w:adjustRightInd w:val="0"/>
              <w:snapToGrid w:val="0"/>
              <w:jc w:val="center"/>
              <w:rPr>
                <w:rFonts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地</w:t>
            </w:r>
          </w:p>
          <w:p>
            <w:pPr>
              <w:adjustRightInd w:val="0"/>
              <w:snapToGrid w:val="0"/>
              <w:jc w:val="center"/>
              <w:rPr>
                <w:rFonts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震</w:t>
            </w:r>
          </w:p>
          <w:p>
            <w:pPr>
              <w:adjustRightInd w:val="0"/>
              <w:snapToGrid w:val="0"/>
              <w:jc w:val="center"/>
              <w:rPr>
                <w:rFonts w:ascii="宋体"/>
                <w:snapToGrid w:val="0"/>
                <w:color w:val="auto"/>
                <w:kern w:val="0"/>
                <w:sz w:val="18"/>
                <w:szCs w:val="18"/>
                <w:highlight w:val="none"/>
              </w:rPr>
            </w:pPr>
            <w:r>
              <w:rPr>
                <w:rFonts w:hint="eastAsia" w:ascii="宋体" w:hAnsi="宋体"/>
                <w:snapToGrid w:val="0"/>
                <w:color w:val="auto"/>
                <w:kern w:val="0"/>
                <w:sz w:val="18"/>
                <w:szCs w:val="18"/>
                <w:highlight w:val="none"/>
              </w:rPr>
              <w:t>法</w:t>
            </w:r>
          </w:p>
        </w:tc>
        <w:tc>
          <w:tcPr>
            <w:tcW w:w="18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snapToGrid w:val="0"/>
                <w:color w:val="auto"/>
                <w:kern w:val="0"/>
                <w:sz w:val="18"/>
                <w:szCs w:val="18"/>
                <w:highlight w:val="none"/>
              </w:rPr>
            </w:pPr>
            <w:r>
              <w:rPr>
                <w:rFonts w:hint="eastAsia" w:ascii="宋体" w:hAnsi="宋体"/>
                <w:snapToGrid w:val="0"/>
                <w:color w:val="auto"/>
                <w:kern w:val="0"/>
                <w:sz w:val="18"/>
                <w:szCs w:val="18"/>
                <w:highlight w:val="none"/>
              </w:rPr>
              <w:t>反射波法</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84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923"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r>
      <w:tr>
        <w:tblPrEx>
          <w:tblCellMar>
            <w:top w:w="0" w:type="dxa"/>
            <w:left w:w="57" w:type="dxa"/>
            <w:bottom w:w="0" w:type="dxa"/>
            <w:right w:w="57" w:type="dxa"/>
          </w:tblCellMar>
        </w:tblPrEx>
        <w:trPr>
          <w:trHeight w:val="337" w:hRule="atLeast"/>
          <w:jc w:val="center"/>
        </w:trPr>
        <w:tc>
          <w:tcPr>
            <w:tcW w:w="524" w:type="dxa"/>
            <w:vMerge w:val="continue"/>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ascii="宋体"/>
                <w:snapToGrid w:val="0"/>
                <w:color w:val="auto"/>
                <w:kern w:val="0"/>
                <w:sz w:val="18"/>
                <w:szCs w:val="18"/>
                <w:highlight w:val="none"/>
              </w:rPr>
            </w:pPr>
          </w:p>
        </w:tc>
        <w:tc>
          <w:tcPr>
            <w:tcW w:w="18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snapToGrid w:val="0"/>
                <w:color w:val="auto"/>
                <w:kern w:val="0"/>
                <w:sz w:val="18"/>
                <w:szCs w:val="18"/>
                <w:highlight w:val="none"/>
              </w:rPr>
            </w:pPr>
            <w:r>
              <w:rPr>
                <w:rFonts w:hint="eastAsia" w:ascii="宋体" w:hAnsi="宋体"/>
                <w:snapToGrid w:val="0"/>
                <w:color w:val="auto"/>
                <w:kern w:val="0"/>
                <w:sz w:val="18"/>
                <w:szCs w:val="18"/>
                <w:highlight w:val="none"/>
              </w:rPr>
              <w:t>折射波法</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84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923"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r>
      <w:tr>
        <w:tblPrEx>
          <w:tblCellMar>
            <w:top w:w="0" w:type="dxa"/>
            <w:left w:w="57" w:type="dxa"/>
            <w:bottom w:w="0" w:type="dxa"/>
            <w:right w:w="57" w:type="dxa"/>
          </w:tblCellMar>
        </w:tblPrEx>
        <w:trPr>
          <w:trHeight w:val="337" w:hRule="atLeast"/>
          <w:jc w:val="center"/>
        </w:trPr>
        <w:tc>
          <w:tcPr>
            <w:tcW w:w="524" w:type="dxa"/>
            <w:vMerge w:val="continue"/>
            <w:tcBorders>
              <w:top w:val="single" w:color="000000" w:sz="4" w:space="0"/>
              <w:left w:val="single" w:color="000000" w:sz="12" w:space="0"/>
              <w:bottom w:val="single" w:color="000000" w:sz="4" w:space="0"/>
              <w:right w:val="single" w:color="000000" w:sz="4" w:space="0"/>
            </w:tcBorders>
            <w:vAlign w:val="center"/>
          </w:tcPr>
          <w:p>
            <w:pPr>
              <w:widowControl/>
              <w:adjustRightInd w:val="0"/>
              <w:snapToGrid w:val="0"/>
              <w:jc w:val="left"/>
              <w:rPr>
                <w:rFonts w:ascii="宋体"/>
                <w:snapToGrid w:val="0"/>
                <w:color w:val="auto"/>
                <w:kern w:val="0"/>
                <w:sz w:val="18"/>
                <w:szCs w:val="18"/>
                <w:highlight w:val="none"/>
              </w:rPr>
            </w:pPr>
          </w:p>
        </w:tc>
        <w:tc>
          <w:tcPr>
            <w:tcW w:w="18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snapToGrid w:val="0"/>
                <w:color w:val="auto"/>
                <w:kern w:val="0"/>
                <w:sz w:val="18"/>
                <w:szCs w:val="18"/>
                <w:highlight w:val="none"/>
              </w:rPr>
            </w:pPr>
            <w:r>
              <w:rPr>
                <w:rFonts w:hint="eastAsia" w:ascii="宋体" w:hAnsi="宋体"/>
                <w:snapToGrid w:val="0"/>
                <w:color w:val="auto"/>
                <w:kern w:val="0"/>
                <w:sz w:val="18"/>
                <w:szCs w:val="18"/>
                <w:highlight w:val="none"/>
              </w:rPr>
              <w:t>面波法</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84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923"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r>
      <w:tr>
        <w:tblPrEx>
          <w:tblCellMar>
            <w:top w:w="0" w:type="dxa"/>
            <w:left w:w="57" w:type="dxa"/>
            <w:bottom w:w="0" w:type="dxa"/>
            <w:right w:w="57" w:type="dxa"/>
          </w:tblCellMar>
        </w:tblPrEx>
        <w:trPr>
          <w:trHeight w:val="337" w:hRule="atLeast"/>
          <w:jc w:val="center"/>
        </w:trPr>
        <w:tc>
          <w:tcPr>
            <w:tcW w:w="524" w:type="dxa"/>
            <w:vMerge w:val="continue"/>
            <w:tcBorders>
              <w:top w:val="single" w:color="000000" w:sz="4" w:space="0"/>
              <w:left w:val="single" w:color="000000" w:sz="12" w:space="0"/>
              <w:bottom w:val="single" w:color="000000" w:sz="4" w:space="0"/>
              <w:right w:val="single" w:color="000000" w:sz="4" w:space="0"/>
            </w:tcBorders>
            <w:vAlign w:val="center"/>
          </w:tcPr>
          <w:p>
            <w:pPr>
              <w:widowControl/>
              <w:adjustRightInd w:val="0"/>
              <w:snapToGrid w:val="0"/>
              <w:jc w:val="left"/>
              <w:rPr>
                <w:rFonts w:ascii="宋体"/>
                <w:snapToGrid w:val="0"/>
                <w:color w:val="auto"/>
                <w:kern w:val="0"/>
                <w:sz w:val="18"/>
                <w:szCs w:val="18"/>
                <w:highlight w:val="none"/>
              </w:rPr>
            </w:pPr>
          </w:p>
        </w:tc>
        <w:tc>
          <w:tcPr>
            <w:tcW w:w="18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snapToGrid w:val="0"/>
                <w:color w:val="auto"/>
                <w:kern w:val="0"/>
                <w:sz w:val="18"/>
                <w:szCs w:val="18"/>
                <w:highlight w:val="none"/>
              </w:rPr>
            </w:pPr>
            <w:r>
              <w:rPr>
                <w:rFonts w:hint="eastAsia" w:ascii="宋体" w:hAnsi="宋体"/>
                <w:snapToGrid w:val="0"/>
                <w:color w:val="auto"/>
                <w:kern w:val="0"/>
                <w:sz w:val="18"/>
                <w:szCs w:val="18"/>
                <w:highlight w:val="none"/>
              </w:rPr>
              <w:t>微动勘探法</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84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923"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r>
      <w:tr>
        <w:tblPrEx>
          <w:tblCellMar>
            <w:top w:w="0" w:type="dxa"/>
            <w:left w:w="57" w:type="dxa"/>
            <w:bottom w:w="0" w:type="dxa"/>
            <w:right w:w="57" w:type="dxa"/>
          </w:tblCellMar>
        </w:tblPrEx>
        <w:trPr>
          <w:trHeight w:val="337" w:hRule="atLeast"/>
          <w:jc w:val="center"/>
        </w:trPr>
        <w:tc>
          <w:tcPr>
            <w:tcW w:w="524" w:type="dxa"/>
            <w:vMerge w:val="restart"/>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水</w:t>
            </w:r>
          </w:p>
          <w:p>
            <w:pPr>
              <w:adjustRightInd w:val="0"/>
              <w:snapToGrid w:val="0"/>
              <w:jc w:val="center"/>
              <w:rPr>
                <w:rFonts w:ascii="宋体"/>
                <w:snapToGrid w:val="0"/>
                <w:color w:val="auto"/>
                <w:kern w:val="0"/>
                <w:sz w:val="18"/>
                <w:szCs w:val="18"/>
                <w:highlight w:val="none"/>
              </w:rPr>
            </w:pPr>
            <w:r>
              <w:rPr>
                <w:rFonts w:hint="eastAsia" w:ascii="宋体" w:hAnsi="宋体"/>
                <w:snapToGrid w:val="0"/>
                <w:color w:val="auto"/>
                <w:kern w:val="0"/>
                <w:sz w:val="18"/>
                <w:szCs w:val="18"/>
                <w:highlight w:val="none"/>
              </w:rPr>
              <w:t>域</w:t>
            </w:r>
          </w:p>
          <w:p>
            <w:pPr>
              <w:adjustRightInd w:val="0"/>
              <w:snapToGrid w:val="0"/>
              <w:jc w:val="center"/>
              <w:rPr>
                <w:rFonts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探</w:t>
            </w:r>
          </w:p>
          <w:p>
            <w:pPr>
              <w:adjustRightInd w:val="0"/>
              <w:snapToGrid w:val="0"/>
              <w:jc w:val="center"/>
              <w:rPr>
                <w:rFonts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测</w:t>
            </w:r>
          </w:p>
          <w:p>
            <w:pPr>
              <w:adjustRightInd w:val="0"/>
              <w:snapToGrid w:val="0"/>
              <w:jc w:val="center"/>
              <w:rPr>
                <w:rFonts w:ascii="宋体"/>
                <w:snapToGrid w:val="0"/>
                <w:color w:val="auto"/>
                <w:kern w:val="0"/>
                <w:sz w:val="18"/>
                <w:szCs w:val="18"/>
                <w:highlight w:val="none"/>
              </w:rPr>
            </w:pPr>
            <w:r>
              <w:rPr>
                <w:rFonts w:hint="eastAsia" w:ascii="宋体" w:hAnsi="宋体"/>
                <w:snapToGrid w:val="0"/>
                <w:color w:val="auto"/>
                <w:kern w:val="0"/>
                <w:sz w:val="18"/>
                <w:szCs w:val="18"/>
                <w:highlight w:val="none"/>
              </w:rPr>
              <w:t>法</w:t>
            </w:r>
          </w:p>
        </w:tc>
        <w:tc>
          <w:tcPr>
            <w:tcW w:w="18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color w:val="auto"/>
                <w:sz w:val="18"/>
                <w:szCs w:val="18"/>
                <w:highlight w:val="none"/>
              </w:rPr>
            </w:pPr>
            <w:r>
              <w:rPr>
                <w:rFonts w:hint="eastAsia" w:ascii="宋体" w:hAnsi="宋体"/>
                <w:color w:val="auto"/>
                <w:sz w:val="18"/>
                <w:szCs w:val="18"/>
                <w:highlight w:val="none"/>
              </w:rPr>
              <w:t>声纳测深法</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84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923"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r>
      <w:tr>
        <w:tblPrEx>
          <w:tblCellMar>
            <w:top w:w="0" w:type="dxa"/>
            <w:left w:w="57" w:type="dxa"/>
            <w:bottom w:w="0" w:type="dxa"/>
            <w:right w:w="57" w:type="dxa"/>
          </w:tblCellMar>
        </w:tblPrEx>
        <w:trPr>
          <w:trHeight w:val="337" w:hRule="atLeast"/>
          <w:jc w:val="center"/>
        </w:trPr>
        <w:tc>
          <w:tcPr>
            <w:tcW w:w="524" w:type="dxa"/>
            <w:vMerge w:val="continue"/>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ascii="宋体"/>
                <w:snapToGrid w:val="0"/>
                <w:color w:val="auto"/>
                <w:kern w:val="0"/>
                <w:sz w:val="18"/>
                <w:szCs w:val="18"/>
                <w:highlight w:val="none"/>
              </w:rPr>
            </w:pPr>
          </w:p>
        </w:tc>
        <w:tc>
          <w:tcPr>
            <w:tcW w:w="18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snapToGrid w:val="0"/>
                <w:color w:val="auto"/>
                <w:kern w:val="0"/>
                <w:sz w:val="18"/>
                <w:szCs w:val="18"/>
                <w:highlight w:val="none"/>
              </w:rPr>
            </w:pPr>
            <w:r>
              <w:rPr>
                <w:rFonts w:hint="eastAsia" w:ascii="宋体" w:hAnsi="宋体"/>
                <w:color w:val="auto"/>
                <w:sz w:val="18"/>
                <w:szCs w:val="18"/>
                <w:highlight w:val="none"/>
              </w:rPr>
              <w:t>侧扫声纳法</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84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923"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r>
      <w:tr>
        <w:tblPrEx>
          <w:tblCellMar>
            <w:top w:w="0" w:type="dxa"/>
            <w:left w:w="57" w:type="dxa"/>
            <w:bottom w:w="0" w:type="dxa"/>
            <w:right w:w="57" w:type="dxa"/>
          </w:tblCellMar>
        </w:tblPrEx>
        <w:trPr>
          <w:trHeight w:val="337" w:hRule="atLeast"/>
          <w:jc w:val="center"/>
        </w:trPr>
        <w:tc>
          <w:tcPr>
            <w:tcW w:w="524" w:type="dxa"/>
            <w:vMerge w:val="continue"/>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ascii="宋体"/>
                <w:snapToGrid w:val="0"/>
                <w:color w:val="auto"/>
                <w:kern w:val="0"/>
                <w:sz w:val="18"/>
                <w:szCs w:val="18"/>
                <w:highlight w:val="none"/>
              </w:rPr>
            </w:pPr>
          </w:p>
        </w:tc>
        <w:tc>
          <w:tcPr>
            <w:tcW w:w="18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color w:val="auto"/>
                <w:sz w:val="18"/>
                <w:szCs w:val="18"/>
                <w:highlight w:val="none"/>
              </w:rPr>
            </w:pPr>
            <w:r>
              <w:rPr>
                <w:rFonts w:hint="eastAsia" w:ascii="宋体" w:hAnsi="宋体"/>
                <w:color w:val="auto"/>
                <w:sz w:val="18"/>
                <w:szCs w:val="18"/>
                <w:highlight w:val="none"/>
              </w:rPr>
              <w:t>水域地震法</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84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923"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r>
      <w:tr>
        <w:tblPrEx>
          <w:tblCellMar>
            <w:top w:w="0" w:type="dxa"/>
            <w:left w:w="57" w:type="dxa"/>
            <w:bottom w:w="0" w:type="dxa"/>
            <w:right w:w="57" w:type="dxa"/>
          </w:tblCellMar>
        </w:tblPrEx>
        <w:trPr>
          <w:trHeight w:val="337" w:hRule="atLeast"/>
          <w:jc w:val="center"/>
        </w:trPr>
        <w:tc>
          <w:tcPr>
            <w:tcW w:w="524" w:type="dxa"/>
            <w:vMerge w:val="continue"/>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ascii="宋体"/>
                <w:snapToGrid w:val="0"/>
                <w:color w:val="auto"/>
                <w:kern w:val="0"/>
                <w:sz w:val="18"/>
                <w:szCs w:val="18"/>
                <w:highlight w:val="none"/>
              </w:rPr>
            </w:pPr>
          </w:p>
        </w:tc>
        <w:tc>
          <w:tcPr>
            <w:tcW w:w="18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snapToGrid w:val="0"/>
                <w:color w:val="auto"/>
                <w:kern w:val="0"/>
                <w:sz w:val="18"/>
                <w:szCs w:val="18"/>
                <w:highlight w:val="none"/>
              </w:rPr>
            </w:pPr>
            <w:r>
              <w:rPr>
                <w:rFonts w:hint="eastAsia" w:ascii="宋体" w:hAnsi="宋体"/>
                <w:color w:val="auto"/>
                <w:sz w:val="18"/>
                <w:szCs w:val="18"/>
                <w:highlight w:val="none"/>
              </w:rPr>
              <w:t>浅地层剖面法</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84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xml:space="preserve">√ </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923"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r>
      <w:tr>
        <w:tblPrEx>
          <w:tblCellMar>
            <w:top w:w="0" w:type="dxa"/>
            <w:left w:w="57" w:type="dxa"/>
            <w:bottom w:w="0" w:type="dxa"/>
            <w:right w:w="57" w:type="dxa"/>
          </w:tblCellMar>
        </w:tblPrEx>
        <w:trPr>
          <w:trHeight w:val="119" w:hRule="atLeast"/>
          <w:jc w:val="center"/>
        </w:trPr>
        <w:tc>
          <w:tcPr>
            <w:tcW w:w="524" w:type="dxa"/>
            <w:vMerge w:val="restart"/>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孔</w:t>
            </w:r>
          </w:p>
          <w:p>
            <w:pPr>
              <w:adjustRightInd w:val="0"/>
              <w:snapToGrid w:val="0"/>
              <w:jc w:val="center"/>
              <w:rPr>
                <w:rFonts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中</w:t>
            </w:r>
          </w:p>
          <w:p>
            <w:pPr>
              <w:adjustRightInd w:val="0"/>
              <w:snapToGrid w:val="0"/>
              <w:jc w:val="center"/>
              <w:rPr>
                <w:rFonts w:ascii="宋体" w:hAnsi="宋体"/>
                <w:snapToGrid w:val="0"/>
                <w:color w:val="auto"/>
                <w:kern w:val="0"/>
                <w:sz w:val="18"/>
                <w:szCs w:val="18"/>
                <w:highlight w:val="none"/>
              </w:rPr>
            </w:pPr>
            <w:r>
              <w:rPr>
                <w:rFonts w:hint="eastAsia" w:ascii="宋体" w:hAnsi="宋体"/>
                <w:snapToGrid w:val="0"/>
                <w:color w:val="auto"/>
                <w:kern w:val="0"/>
                <w:sz w:val="18"/>
                <w:szCs w:val="18"/>
                <w:highlight w:val="none"/>
              </w:rPr>
              <w:t>物</w:t>
            </w:r>
          </w:p>
          <w:p>
            <w:pPr>
              <w:adjustRightInd w:val="0"/>
              <w:snapToGrid w:val="0"/>
              <w:jc w:val="center"/>
              <w:rPr>
                <w:rFonts w:ascii="宋体"/>
                <w:snapToGrid w:val="0"/>
                <w:color w:val="auto"/>
                <w:kern w:val="0"/>
                <w:sz w:val="18"/>
                <w:szCs w:val="18"/>
                <w:highlight w:val="none"/>
              </w:rPr>
            </w:pPr>
            <w:r>
              <w:rPr>
                <w:rFonts w:hint="eastAsia" w:ascii="宋体" w:hAnsi="宋体"/>
                <w:snapToGrid w:val="0"/>
                <w:color w:val="auto"/>
                <w:kern w:val="0"/>
                <w:sz w:val="18"/>
                <w:szCs w:val="18"/>
                <w:highlight w:val="none"/>
              </w:rPr>
              <w:t>探</w:t>
            </w:r>
          </w:p>
        </w:tc>
        <w:tc>
          <w:tcPr>
            <w:tcW w:w="18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color w:val="auto"/>
                <w:sz w:val="18"/>
                <w:szCs w:val="18"/>
                <w:highlight w:val="none"/>
              </w:rPr>
            </w:pPr>
            <w:r>
              <w:rPr>
                <w:rFonts w:hint="eastAsia" w:ascii="宋体" w:hAnsi="宋体"/>
                <w:color w:val="auto"/>
                <w:sz w:val="18"/>
                <w:szCs w:val="18"/>
                <w:highlight w:val="none"/>
              </w:rPr>
              <w:t>电测井</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xml:space="preserve">○ </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xml:space="preserve"> </w:t>
            </w:r>
          </w:p>
        </w:tc>
        <w:tc>
          <w:tcPr>
            <w:tcW w:w="113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84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xml:space="preserve"> </w:t>
            </w:r>
          </w:p>
        </w:tc>
        <w:tc>
          <w:tcPr>
            <w:tcW w:w="1923"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r>
      <w:tr>
        <w:tblPrEx>
          <w:tblCellMar>
            <w:top w:w="0" w:type="dxa"/>
            <w:left w:w="57" w:type="dxa"/>
            <w:bottom w:w="0" w:type="dxa"/>
            <w:right w:w="57" w:type="dxa"/>
          </w:tblCellMar>
        </w:tblPrEx>
        <w:trPr>
          <w:trHeight w:val="151" w:hRule="atLeast"/>
          <w:jc w:val="center"/>
        </w:trPr>
        <w:tc>
          <w:tcPr>
            <w:tcW w:w="524" w:type="dxa"/>
            <w:vMerge w:val="continue"/>
            <w:tcBorders>
              <w:top w:val="single" w:color="000000" w:sz="4" w:space="0"/>
              <w:left w:val="single" w:color="000000" w:sz="12" w:space="0"/>
              <w:bottom w:val="single" w:color="000000" w:sz="4" w:space="0"/>
              <w:right w:val="single" w:color="000000" w:sz="4" w:space="0"/>
            </w:tcBorders>
            <w:vAlign w:val="center"/>
          </w:tcPr>
          <w:p>
            <w:pPr>
              <w:adjustRightInd w:val="0"/>
              <w:snapToGrid w:val="0"/>
              <w:jc w:val="center"/>
              <w:rPr>
                <w:rFonts w:ascii="宋体"/>
                <w:snapToGrid w:val="0"/>
                <w:color w:val="auto"/>
                <w:kern w:val="0"/>
                <w:sz w:val="18"/>
                <w:szCs w:val="18"/>
                <w:highlight w:val="none"/>
              </w:rPr>
            </w:pPr>
          </w:p>
        </w:tc>
        <w:tc>
          <w:tcPr>
            <w:tcW w:w="18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color w:val="auto"/>
                <w:sz w:val="18"/>
                <w:szCs w:val="18"/>
                <w:highlight w:val="none"/>
              </w:rPr>
            </w:pPr>
            <w:r>
              <w:rPr>
                <w:rFonts w:hint="eastAsia" w:ascii="宋体" w:hAnsi="宋体"/>
                <w:color w:val="auto"/>
                <w:sz w:val="18"/>
                <w:szCs w:val="18"/>
                <w:highlight w:val="none"/>
              </w:rPr>
              <w:t>弹性波测井</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xml:space="preserve">○ </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84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xml:space="preserve"> </w:t>
            </w:r>
          </w:p>
        </w:tc>
        <w:tc>
          <w:tcPr>
            <w:tcW w:w="1923"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r>
      <w:tr>
        <w:tblPrEx>
          <w:tblCellMar>
            <w:top w:w="0" w:type="dxa"/>
            <w:left w:w="57" w:type="dxa"/>
            <w:bottom w:w="0" w:type="dxa"/>
            <w:right w:w="57" w:type="dxa"/>
          </w:tblCellMar>
        </w:tblPrEx>
        <w:trPr>
          <w:trHeight w:val="197" w:hRule="atLeast"/>
          <w:jc w:val="center"/>
        </w:trPr>
        <w:tc>
          <w:tcPr>
            <w:tcW w:w="524" w:type="dxa"/>
            <w:vMerge w:val="continue"/>
            <w:tcBorders>
              <w:top w:val="single" w:color="000000" w:sz="4" w:space="0"/>
              <w:left w:val="single" w:color="000000" w:sz="12" w:space="0"/>
              <w:bottom w:val="single" w:color="000000" w:sz="4" w:space="0"/>
              <w:right w:val="single" w:color="000000" w:sz="4" w:space="0"/>
            </w:tcBorders>
            <w:vAlign w:val="center"/>
          </w:tcPr>
          <w:p>
            <w:pPr>
              <w:widowControl/>
              <w:adjustRightInd w:val="0"/>
              <w:snapToGrid w:val="0"/>
              <w:jc w:val="left"/>
              <w:rPr>
                <w:rFonts w:ascii="宋体"/>
                <w:snapToGrid w:val="0"/>
                <w:color w:val="auto"/>
                <w:kern w:val="0"/>
                <w:sz w:val="18"/>
                <w:szCs w:val="18"/>
                <w:highlight w:val="none"/>
              </w:rPr>
            </w:pPr>
          </w:p>
        </w:tc>
        <w:tc>
          <w:tcPr>
            <w:tcW w:w="18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color w:val="auto"/>
                <w:sz w:val="18"/>
                <w:szCs w:val="18"/>
                <w:highlight w:val="none"/>
              </w:rPr>
            </w:pPr>
            <w:r>
              <w:rPr>
                <w:rFonts w:hint="eastAsia" w:ascii="宋体" w:hAnsi="宋体"/>
                <w:color w:val="auto"/>
                <w:sz w:val="18"/>
                <w:szCs w:val="18"/>
                <w:highlight w:val="none"/>
              </w:rPr>
              <w:t>电磁波测井</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xml:space="preserve">○ </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84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923"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r>
      <w:tr>
        <w:tblPrEx>
          <w:tblCellMar>
            <w:top w:w="0" w:type="dxa"/>
            <w:left w:w="57" w:type="dxa"/>
            <w:bottom w:w="0" w:type="dxa"/>
            <w:right w:w="57" w:type="dxa"/>
          </w:tblCellMar>
        </w:tblPrEx>
        <w:trPr>
          <w:trHeight w:val="131" w:hRule="atLeast"/>
          <w:jc w:val="center"/>
        </w:trPr>
        <w:tc>
          <w:tcPr>
            <w:tcW w:w="524" w:type="dxa"/>
            <w:vMerge w:val="continue"/>
            <w:tcBorders>
              <w:top w:val="single" w:color="000000" w:sz="4" w:space="0"/>
              <w:left w:val="single" w:color="000000" w:sz="12" w:space="0"/>
              <w:bottom w:val="single" w:color="000000" w:sz="4" w:space="0"/>
              <w:right w:val="single" w:color="000000" w:sz="4" w:space="0"/>
            </w:tcBorders>
            <w:vAlign w:val="center"/>
          </w:tcPr>
          <w:p>
            <w:pPr>
              <w:widowControl/>
              <w:adjustRightInd w:val="0"/>
              <w:snapToGrid w:val="0"/>
              <w:jc w:val="left"/>
              <w:rPr>
                <w:rFonts w:ascii="宋体"/>
                <w:snapToGrid w:val="0"/>
                <w:color w:val="auto"/>
                <w:kern w:val="0"/>
                <w:sz w:val="18"/>
                <w:szCs w:val="18"/>
                <w:highlight w:val="none"/>
              </w:rPr>
            </w:pPr>
          </w:p>
        </w:tc>
        <w:tc>
          <w:tcPr>
            <w:tcW w:w="18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color w:val="auto"/>
                <w:sz w:val="18"/>
                <w:szCs w:val="18"/>
                <w:highlight w:val="none"/>
              </w:rPr>
            </w:pPr>
            <w:r>
              <w:rPr>
                <w:rFonts w:hint="eastAsia" w:ascii="宋体" w:hAnsi="宋体"/>
                <w:color w:val="auto"/>
                <w:sz w:val="18"/>
                <w:szCs w:val="18"/>
                <w:highlight w:val="none"/>
              </w:rPr>
              <w:t>磁测井</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84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923"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r>
      <w:tr>
        <w:tblPrEx>
          <w:tblCellMar>
            <w:top w:w="0" w:type="dxa"/>
            <w:left w:w="57" w:type="dxa"/>
            <w:bottom w:w="0" w:type="dxa"/>
            <w:right w:w="57" w:type="dxa"/>
          </w:tblCellMar>
        </w:tblPrEx>
        <w:trPr>
          <w:trHeight w:val="177" w:hRule="atLeast"/>
          <w:jc w:val="center"/>
        </w:trPr>
        <w:tc>
          <w:tcPr>
            <w:tcW w:w="524" w:type="dxa"/>
            <w:vMerge w:val="continue"/>
            <w:tcBorders>
              <w:top w:val="single" w:color="000000" w:sz="4" w:space="0"/>
              <w:left w:val="single" w:color="000000" w:sz="12" w:space="0"/>
              <w:bottom w:val="single" w:color="000000" w:sz="4" w:space="0"/>
              <w:right w:val="single" w:color="000000" w:sz="4" w:space="0"/>
            </w:tcBorders>
            <w:vAlign w:val="center"/>
          </w:tcPr>
          <w:p>
            <w:pPr>
              <w:widowControl/>
              <w:adjustRightInd w:val="0"/>
              <w:snapToGrid w:val="0"/>
              <w:jc w:val="left"/>
              <w:rPr>
                <w:rFonts w:ascii="宋体"/>
                <w:snapToGrid w:val="0"/>
                <w:color w:val="auto"/>
                <w:kern w:val="0"/>
                <w:sz w:val="18"/>
                <w:szCs w:val="18"/>
                <w:highlight w:val="none"/>
              </w:rPr>
            </w:pPr>
          </w:p>
        </w:tc>
        <w:tc>
          <w:tcPr>
            <w:tcW w:w="18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color w:val="auto"/>
                <w:sz w:val="18"/>
                <w:szCs w:val="18"/>
                <w:highlight w:val="none"/>
              </w:rPr>
            </w:pPr>
            <w:r>
              <w:rPr>
                <w:rFonts w:hint="eastAsia" w:ascii="宋体" w:hAnsi="宋体"/>
                <w:bCs/>
                <w:color w:val="auto"/>
                <w:sz w:val="18"/>
                <w:szCs w:val="18"/>
                <w:highlight w:val="none"/>
              </w:rPr>
              <w:t>跨孔弹性波CT法</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84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xml:space="preserve"> </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923"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r>
      <w:tr>
        <w:tblPrEx>
          <w:tblCellMar>
            <w:top w:w="0" w:type="dxa"/>
            <w:left w:w="57" w:type="dxa"/>
            <w:bottom w:w="0" w:type="dxa"/>
            <w:right w:w="57" w:type="dxa"/>
          </w:tblCellMar>
        </w:tblPrEx>
        <w:trPr>
          <w:trHeight w:val="157" w:hRule="atLeast"/>
          <w:jc w:val="center"/>
        </w:trPr>
        <w:tc>
          <w:tcPr>
            <w:tcW w:w="524" w:type="dxa"/>
            <w:vMerge w:val="continue"/>
            <w:tcBorders>
              <w:top w:val="single" w:color="000000" w:sz="4" w:space="0"/>
              <w:left w:val="single" w:color="000000" w:sz="12" w:space="0"/>
              <w:bottom w:val="single" w:color="000000" w:sz="4" w:space="0"/>
              <w:right w:val="single" w:color="000000" w:sz="4" w:space="0"/>
            </w:tcBorders>
            <w:vAlign w:val="center"/>
          </w:tcPr>
          <w:p>
            <w:pPr>
              <w:widowControl/>
              <w:adjustRightInd w:val="0"/>
              <w:snapToGrid w:val="0"/>
              <w:jc w:val="left"/>
              <w:rPr>
                <w:rFonts w:ascii="宋体"/>
                <w:snapToGrid w:val="0"/>
                <w:color w:val="auto"/>
                <w:kern w:val="0"/>
                <w:sz w:val="18"/>
                <w:szCs w:val="18"/>
                <w:highlight w:val="none"/>
              </w:rPr>
            </w:pPr>
          </w:p>
        </w:tc>
        <w:tc>
          <w:tcPr>
            <w:tcW w:w="18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color w:val="auto"/>
                <w:sz w:val="18"/>
                <w:szCs w:val="18"/>
                <w:highlight w:val="none"/>
              </w:rPr>
            </w:pPr>
            <w:r>
              <w:rPr>
                <w:rFonts w:hint="eastAsia" w:ascii="宋体" w:hAnsi="宋体"/>
                <w:color w:val="auto"/>
                <w:sz w:val="18"/>
                <w:szCs w:val="18"/>
                <w:highlight w:val="none"/>
              </w:rPr>
              <w:t>勘探孔全景光学成像</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84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923"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r>
      <w:tr>
        <w:tblPrEx>
          <w:tblCellMar>
            <w:top w:w="0" w:type="dxa"/>
            <w:left w:w="57" w:type="dxa"/>
            <w:bottom w:w="0" w:type="dxa"/>
            <w:right w:w="57" w:type="dxa"/>
          </w:tblCellMar>
        </w:tblPrEx>
        <w:trPr>
          <w:trHeight w:val="104" w:hRule="atLeast"/>
          <w:jc w:val="center"/>
        </w:trPr>
        <w:tc>
          <w:tcPr>
            <w:tcW w:w="524" w:type="dxa"/>
            <w:vMerge w:val="continue"/>
            <w:tcBorders>
              <w:top w:val="single" w:color="000000" w:sz="4" w:space="0"/>
              <w:left w:val="single" w:color="000000" w:sz="12" w:space="0"/>
              <w:bottom w:val="single" w:color="000000" w:sz="4" w:space="0"/>
              <w:right w:val="single" w:color="000000" w:sz="4" w:space="0"/>
            </w:tcBorders>
            <w:vAlign w:val="center"/>
          </w:tcPr>
          <w:p>
            <w:pPr>
              <w:widowControl/>
              <w:adjustRightInd w:val="0"/>
              <w:snapToGrid w:val="0"/>
              <w:jc w:val="left"/>
              <w:rPr>
                <w:rFonts w:ascii="宋体"/>
                <w:snapToGrid w:val="0"/>
                <w:color w:val="auto"/>
                <w:kern w:val="0"/>
                <w:sz w:val="18"/>
                <w:szCs w:val="18"/>
                <w:highlight w:val="none"/>
              </w:rPr>
            </w:pPr>
          </w:p>
        </w:tc>
        <w:tc>
          <w:tcPr>
            <w:tcW w:w="18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color w:val="auto"/>
                <w:sz w:val="18"/>
                <w:szCs w:val="18"/>
                <w:highlight w:val="none"/>
              </w:rPr>
            </w:pPr>
            <w:r>
              <w:rPr>
                <w:rFonts w:hint="eastAsia" w:ascii="宋体" w:hAnsi="宋体"/>
                <w:color w:val="auto"/>
                <w:sz w:val="18"/>
                <w:szCs w:val="18"/>
                <w:highlight w:val="none"/>
              </w:rPr>
              <w:t>管波探测法</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843"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7" w:type="dxa"/>
            <w:tcBorders>
              <w:top w:val="single" w:color="000000" w:sz="4" w:space="0"/>
              <w:left w:val="single" w:color="000000" w:sz="4" w:space="0"/>
              <w:bottom w:val="single" w:color="000000" w:sz="4"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923" w:type="dxa"/>
            <w:tcBorders>
              <w:top w:val="single" w:color="000000" w:sz="4" w:space="0"/>
              <w:left w:val="single" w:color="000000" w:sz="4" w:space="0"/>
              <w:bottom w:val="single" w:color="000000" w:sz="4" w:space="0"/>
              <w:right w:val="single" w:color="000000" w:sz="12"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r>
      <w:tr>
        <w:tblPrEx>
          <w:tblCellMar>
            <w:top w:w="0" w:type="dxa"/>
            <w:left w:w="57" w:type="dxa"/>
            <w:bottom w:w="0" w:type="dxa"/>
            <w:right w:w="57" w:type="dxa"/>
          </w:tblCellMar>
        </w:tblPrEx>
        <w:trPr>
          <w:trHeight w:val="122" w:hRule="atLeast"/>
          <w:jc w:val="center"/>
        </w:trPr>
        <w:tc>
          <w:tcPr>
            <w:tcW w:w="524" w:type="dxa"/>
            <w:vMerge w:val="continue"/>
            <w:tcBorders>
              <w:top w:val="single" w:color="000000" w:sz="4" w:space="0"/>
              <w:left w:val="single" w:color="000000" w:sz="12" w:space="0"/>
              <w:bottom w:val="single" w:color="000000" w:sz="12" w:space="0"/>
              <w:right w:val="single" w:color="000000" w:sz="4" w:space="0"/>
            </w:tcBorders>
            <w:vAlign w:val="center"/>
          </w:tcPr>
          <w:p>
            <w:pPr>
              <w:widowControl/>
              <w:adjustRightInd w:val="0"/>
              <w:snapToGrid w:val="0"/>
              <w:jc w:val="left"/>
              <w:rPr>
                <w:rFonts w:ascii="宋体"/>
                <w:snapToGrid w:val="0"/>
                <w:color w:val="auto"/>
                <w:kern w:val="0"/>
                <w:sz w:val="18"/>
                <w:szCs w:val="18"/>
                <w:highlight w:val="none"/>
              </w:rPr>
            </w:pPr>
          </w:p>
        </w:tc>
        <w:tc>
          <w:tcPr>
            <w:tcW w:w="1801" w:type="dxa"/>
            <w:tcBorders>
              <w:top w:val="single" w:color="000000" w:sz="4" w:space="0"/>
              <w:left w:val="single" w:color="000000" w:sz="4" w:space="0"/>
              <w:bottom w:val="single" w:color="000000" w:sz="12" w:space="0"/>
              <w:right w:val="single" w:color="000000" w:sz="4" w:space="0"/>
            </w:tcBorders>
            <w:vAlign w:val="center"/>
          </w:tcPr>
          <w:p>
            <w:pPr>
              <w:snapToGrid w:val="0"/>
              <w:jc w:val="center"/>
              <w:rPr>
                <w:rFonts w:ascii="宋体" w:hAnsi="宋体"/>
                <w:color w:val="auto"/>
                <w:sz w:val="18"/>
                <w:szCs w:val="18"/>
                <w:highlight w:val="none"/>
              </w:rPr>
            </w:pPr>
            <w:r>
              <w:rPr>
                <w:rFonts w:hint="eastAsia" w:ascii="宋体" w:hAnsi="宋体"/>
                <w:color w:val="auto"/>
                <w:sz w:val="18"/>
                <w:szCs w:val="18"/>
                <w:highlight w:val="none"/>
              </w:rPr>
              <w:t>孔中雷达法</w:t>
            </w:r>
          </w:p>
        </w:tc>
        <w:tc>
          <w:tcPr>
            <w:tcW w:w="1418"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7"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134"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843"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992"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p>
        </w:tc>
        <w:tc>
          <w:tcPr>
            <w:tcW w:w="1418"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417" w:type="dxa"/>
            <w:tcBorders>
              <w:top w:val="single" w:color="000000" w:sz="4" w:space="0"/>
              <w:left w:val="single" w:color="000000" w:sz="4" w:space="0"/>
              <w:bottom w:val="single" w:color="000000" w:sz="12" w:space="0"/>
              <w:right w:val="single" w:color="000000" w:sz="4"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923" w:type="dxa"/>
            <w:tcBorders>
              <w:top w:val="single" w:color="000000" w:sz="4" w:space="0"/>
              <w:left w:val="single" w:color="000000" w:sz="4" w:space="0"/>
              <w:bottom w:val="single" w:color="000000" w:sz="12" w:space="0"/>
              <w:right w:val="single" w:color="000000" w:sz="12" w:space="0"/>
            </w:tcBorders>
            <w:vAlign w:val="center"/>
          </w:tcPr>
          <w:p>
            <w:pPr>
              <w:snapToGrid w:val="0"/>
              <w:ind w:left="-105" w:leftChars="-50" w:right="-105" w:rightChars="-5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r>
    </w:tbl>
    <w:p>
      <w:pPr>
        <w:snapToGrid w:val="0"/>
        <w:spacing w:line="360" w:lineRule="auto"/>
        <w:ind w:left="1050" w:leftChars="200" w:hanging="630" w:hangingChars="350"/>
        <w:jc w:val="left"/>
        <w:rPr>
          <w:color w:val="auto"/>
          <w:sz w:val="8"/>
          <w:szCs w:val="8"/>
          <w:highlight w:val="none"/>
        </w:rPr>
      </w:pPr>
      <w:r>
        <w:rPr>
          <w:color w:val="auto"/>
          <w:sz w:val="18"/>
          <w:szCs w:val="18"/>
          <w:highlight w:val="none"/>
        </w:rPr>
        <w:t>注：</w:t>
      </w:r>
      <w:r>
        <w:rPr>
          <w:rFonts w:hint="eastAsia" w:ascii="宋体" w:hAnsi="宋体" w:eastAsia="宋体" w:cs="宋体"/>
          <w:color w:val="auto"/>
          <w:sz w:val="20"/>
          <w:szCs w:val="20"/>
          <w:highlight w:val="none"/>
        </w:rPr>
        <w:t>√</w:t>
      </w:r>
      <w:r>
        <w:rPr>
          <w:color w:val="auto"/>
          <w:sz w:val="18"/>
          <w:szCs w:val="18"/>
          <w:highlight w:val="none"/>
        </w:rPr>
        <w:t>为</w:t>
      </w:r>
      <w:r>
        <w:rPr>
          <w:rFonts w:hint="eastAsia"/>
          <w:color w:val="auto"/>
          <w:sz w:val="18"/>
          <w:szCs w:val="18"/>
          <w:highlight w:val="none"/>
        </w:rPr>
        <w:t>推荐</w:t>
      </w:r>
      <w:r>
        <w:rPr>
          <w:color w:val="auto"/>
          <w:sz w:val="18"/>
          <w:szCs w:val="18"/>
          <w:highlight w:val="none"/>
        </w:rPr>
        <w:t>方法，</w:t>
      </w:r>
      <w:r>
        <w:rPr>
          <w:rFonts w:hint="eastAsia" w:ascii="仿宋" w:hAnsi="仿宋" w:eastAsia="仿宋"/>
          <w:color w:val="auto"/>
          <w:sz w:val="18"/>
          <w:szCs w:val="18"/>
          <w:highlight w:val="none"/>
        </w:rPr>
        <w:t>○</w:t>
      </w:r>
      <w:r>
        <w:rPr>
          <w:color w:val="auto"/>
          <w:sz w:val="18"/>
          <w:szCs w:val="18"/>
          <w:highlight w:val="none"/>
        </w:rPr>
        <w:t>为可选方法。</w:t>
      </w:r>
    </w:p>
    <w:p>
      <w:pPr>
        <w:rPr>
          <w:color w:val="auto"/>
          <w:sz w:val="32"/>
          <w:szCs w:val="32"/>
          <w:highlight w:val="none"/>
        </w:rPr>
        <w:sectPr>
          <w:pgSz w:w="16838" w:h="11906" w:orient="landscape"/>
          <w:pgMar w:top="1134" w:right="1474" w:bottom="1134" w:left="1474" w:header="851" w:footer="680" w:gutter="0"/>
          <w:pgBorders>
            <w:top w:val="none" w:sz="0" w:space="0"/>
            <w:left w:val="none" w:sz="0" w:space="0"/>
            <w:bottom w:val="none" w:sz="0" w:space="0"/>
            <w:right w:val="none" w:sz="0" w:space="0"/>
          </w:pgBorders>
          <w:cols w:space="425" w:num="1"/>
          <w:docGrid w:type="lines" w:linePitch="312" w:charSpace="0"/>
        </w:sectPr>
      </w:pPr>
    </w:p>
    <w:p>
      <w:pPr>
        <w:widowControl/>
        <w:jc w:val="left"/>
        <w:rPr>
          <w:color w:val="auto"/>
          <w:sz w:val="10"/>
          <w:szCs w:val="10"/>
          <w:highlight w:val="none"/>
        </w:rPr>
      </w:pPr>
      <w:bookmarkStart w:id="290" w:name="_Hlk78377650"/>
    </w:p>
    <w:bookmarkEnd w:id="290"/>
    <w:p>
      <w:pPr>
        <w:pStyle w:val="2"/>
        <w:rPr>
          <w:b/>
          <w:bCs/>
          <w:color w:val="auto"/>
          <w:sz w:val="32"/>
          <w:szCs w:val="32"/>
          <w:highlight w:val="none"/>
        </w:rPr>
      </w:pPr>
      <w:bookmarkStart w:id="291" w:name="_Toc30587"/>
      <w:bookmarkStart w:id="292" w:name="_Toc90999938"/>
      <w:bookmarkStart w:id="293" w:name="_Toc1902"/>
      <w:bookmarkStart w:id="294" w:name="_Toc7710"/>
      <w:r>
        <w:rPr>
          <w:b/>
          <w:bCs/>
          <w:color w:val="auto"/>
          <w:sz w:val="32"/>
          <w:szCs w:val="32"/>
          <w:highlight w:val="none"/>
        </w:rPr>
        <w:t>附录</w:t>
      </w:r>
      <w:r>
        <w:rPr>
          <w:rFonts w:hint="eastAsia"/>
          <w:b/>
          <w:bCs/>
          <w:color w:val="auto"/>
          <w:sz w:val="32"/>
          <w:szCs w:val="32"/>
          <w:highlight w:val="none"/>
        </w:rPr>
        <w:t>D　</w:t>
      </w:r>
      <w:r>
        <w:rPr>
          <w:b/>
          <w:bCs/>
          <w:color w:val="auto"/>
          <w:sz w:val="32"/>
          <w:szCs w:val="32"/>
          <w:highlight w:val="none"/>
        </w:rPr>
        <w:t>圆锥动力触探和标准贯入锤击数修正</w:t>
      </w:r>
      <w:bookmarkEnd w:id="291"/>
      <w:bookmarkEnd w:id="292"/>
      <w:bookmarkEnd w:id="293"/>
      <w:bookmarkEnd w:id="294"/>
    </w:p>
    <w:p>
      <w:pPr>
        <w:spacing w:line="360" w:lineRule="auto"/>
        <w:rPr>
          <w:color w:val="auto"/>
          <w:szCs w:val="21"/>
          <w:highlight w:val="none"/>
        </w:rPr>
      </w:pPr>
      <w:r>
        <w:rPr>
          <w:b/>
          <w:bCs/>
          <w:color w:val="auto"/>
          <w:szCs w:val="21"/>
          <w:highlight w:val="none"/>
        </w:rPr>
        <w:t>D.0.1</w:t>
      </w:r>
      <w:r>
        <w:rPr>
          <w:rFonts w:hint="eastAsia"/>
          <w:b/>
          <w:bCs/>
          <w:color w:val="auto"/>
          <w:szCs w:val="21"/>
          <w:highlight w:val="none"/>
        </w:rPr>
        <w:t>　</w:t>
      </w:r>
      <w:r>
        <w:rPr>
          <w:color w:val="auto"/>
          <w:szCs w:val="21"/>
          <w:highlight w:val="none"/>
        </w:rPr>
        <w:t>当采用重型和超重型动力触探试验确定碎石土的密实度时，锤击数应分别乘以表D.0.1-1、表D.0.1-2所示的修正系数</w:t>
      </w:r>
      <w:r>
        <w:rPr>
          <w:i/>
          <w:iCs/>
          <w:color w:val="auto"/>
          <w:szCs w:val="21"/>
          <w:highlight w:val="none"/>
        </w:rPr>
        <w:t>α</w:t>
      </w:r>
      <w:r>
        <w:rPr>
          <w:color w:val="auto"/>
          <w:szCs w:val="21"/>
          <w:highlight w:val="none"/>
          <w:vertAlign w:val="subscript"/>
        </w:rPr>
        <w:t>1</w:t>
      </w:r>
      <w:r>
        <w:rPr>
          <w:color w:val="auto"/>
          <w:szCs w:val="21"/>
          <w:highlight w:val="none"/>
        </w:rPr>
        <w:t>、</w:t>
      </w:r>
      <w:r>
        <w:rPr>
          <w:i/>
          <w:iCs/>
          <w:color w:val="auto"/>
          <w:szCs w:val="21"/>
          <w:highlight w:val="none"/>
        </w:rPr>
        <w:t>α</w:t>
      </w:r>
      <w:r>
        <w:rPr>
          <w:color w:val="auto"/>
          <w:szCs w:val="21"/>
          <w:highlight w:val="none"/>
          <w:vertAlign w:val="subscript"/>
        </w:rPr>
        <w:t>2</w:t>
      </w:r>
      <w:r>
        <w:rPr>
          <w:color w:val="auto"/>
          <w:szCs w:val="21"/>
          <w:highlight w:val="none"/>
        </w:rPr>
        <w:t>进行修正。</w:t>
      </w:r>
    </w:p>
    <w:p>
      <w:pPr>
        <w:pStyle w:val="72"/>
        <w:spacing w:before="0" w:after="0"/>
        <w:rPr>
          <w:color w:val="auto"/>
          <w:szCs w:val="21"/>
          <w:highlight w:val="none"/>
        </w:rPr>
      </w:pPr>
      <w:r>
        <w:rPr>
          <w:color w:val="auto"/>
          <w:szCs w:val="21"/>
          <w:highlight w:val="none"/>
        </w:rPr>
        <w:t>表D.0.1-1　重型动力触探锤击数修正系数</w:t>
      </w:r>
      <w:r>
        <w:rPr>
          <w:i/>
          <w:iCs/>
          <w:color w:val="auto"/>
          <w:szCs w:val="21"/>
          <w:highlight w:val="none"/>
        </w:rPr>
        <w:t>α</w:t>
      </w:r>
      <w:r>
        <w:rPr>
          <w:color w:val="auto"/>
          <w:szCs w:val="21"/>
          <w:highlight w:val="none"/>
          <w:vertAlign w:val="subscript"/>
        </w:rPr>
        <w:t>1</w:t>
      </w:r>
    </w:p>
    <w:tbl>
      <w:tblPr>
        <w:tblStyle w:val="23"/>
        <w:tblW w:w="82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90"/>
        <w:gridCol w:w="774"/>
        <w:gridCol w:w="774"/>
        <w:gridCol w:w="774"/>
        <w:gridCol w:w="774"/>
        <w:gridCol w:w="774"/>
        <w:gridCol w:w="774"/>
        <w:gridCol w:w="774"/>
        <w:gridCol w:w="774"/>
        <w:gridCol w:w="7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dxa"/>
            <w:tcBorders>
              <w:top w:val="single" w:color="000000" w:sz="12" w:space="0"/>
              <w:left w:val="single" w:color="000000" w:sz="12" w:space="0"/>
              <w:right w:val="single" w:color="000000" w:sz="4" w:space="0"/>
              <w:tl2br w:val="single" w:color="auto" w:sz="4" w:space="0"/>
            </w:tcBorders>
            <w:vAlign w:val="center"/>
          </w:tcPr>
          <w:p>
            <w:pPr>
              <w:jc w:val="right"/>
              <w:rPr>
                <w:color w:val="auto"/>
                <w:sz w:val="20"/>
                <w:szCs w:val="20"/>
                <w:highlight w:val="none"/>
              </w:rPr>
            </w:pPr>
            <w:r>
              <w:rPr>
                <w:i/>
                <w:iCs/>
                <w:color w:val="auto"/>
                <w:sz w:val="20"/>
                <w:szCs w:val="20"/>
                <w:highlight w:val="none"/>
              </w:rPr>
              <w:t>N</w:t>
            </w:r>
            <w:r>
              <w:rPr>
                <w:color w:val="auto"/>
                <w:sz w:val="20"/>
                <w:szCs w:val="20"/>
                <w:highlight w:val="none"/>
              </w:rPr>
              <w:t>’</w:t>
            </w:r>
            <w:r>
              <w:rPr>
                <w:color w:val="auto"/>
                <w:sz w:val="20"/>
                <w:szCs w:val="20"/>
                <w:highlight w:val="none"/>
                <w:vertAlign w:val="subscript"/>
              </w:rPr>
              <w:t>63.5</w:t>
            </w:r>
          </w:p>
          <w:p>
            <w:pPr>
              <w:ind w:left="-42" w:leftChars="-20"/>
              <w:rPr>
                <w:color w:val="auto"/>
                <w:sz w:val="20"/>
                <w:szCs w:val="20"/>
                <w:highlight w:val="none"/>
              </w:rPr>
            </w:pPr>
            <w:r>
              <w:rPr>
                <w:rFonts w:hint="eastAsia" w:ascii="宋体" w:hAnsi="宋体" w:cs="宋体"/>
                <w:color w:val="auto"/>
                <w:sz w:val="20"/>
                <w:szCs w:val="20"/>
                <w:highlight w:val="none"/>
              </w:rPr>
              <w:t>杆长</w:t>
            </w:r>
            <w:r>
              <w:rPr>
                <w:color w:val="auto"/>
                <w:sz w:val="20"/>
                <w:szCs w:val="20"/>
                <w:highlight w:val="none"/>
              </w:rPr>
              <w:t>(m)</w:t>
            </w:r>
          </w:p>
        </w:tc>
        <w:tc>
          <w:tcPr>
            <w:tcW w:w="774"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5</w:t>
            </w:r>
          </w:p>
        </w:tc>
        <w:tc>
          <w:tcPr>
            <w:tcW w:w="774"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10</w:t>
            </w:r>
          </w:p>
        </w:tc>
        <w:tc>
          <w:tcPr>
            <w:tcW w:w="774"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15</w:t>
            </w:r>
          </w:p>
        </w:tc>
        <w:tc>
          <w:tcPr>
            <w:tcW w:w="774"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20</w:t>
            </w:r>
          </w:p>
        </w:tc>
        <w:tc>
          <w:tcPr>
            <w:tcW w:w="774"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25</w:t>
            </w:r>
          </w:p>
        </w:tc>
        <w:tc>
          <w:tcPr>
            <w:tcW w:w="774"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30</w:t>
            </w:r>
          </w:p>
        </w:tc>
        <w:tc>
          <w:tcPr>
            <w:tcW w:w="774"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35</w:t>
            </w:r>
          </w:p>
        </w:tc>
        <w:tc>
          <w:tcPr>
            <w:tcW w:w="774"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40</w:t>
            </w:r>
          </w:p>
        </w:tc>
        <w:tc>
          <w:tcPr>
            <w:tcW w:w="782" w:type="dxa"/>
            <w:tcBorders>
              <w:top w:val="single" w:color="000000" w:sz="12" w:space="0"/>
              <w:left w:val="single" w:color="000000" w:sz="4" w:space="0"/>
              <w:right w:val="single" w:color="000000" w:sz="12" w:space="0"/>
            </w:tcBorders>
            <w:vAlign w:val="center"/>
          </w:tcPr>
          <w:p>
            <w:pPr>
              <w:jc w:val="center"/>
              <w:rPr>
                <w:color w:val="auto"/>
                <w:sz w:val="20"/>
                <w:szCs w:val="20"/>
                <w:highlight w:val="none"/>
              </w:rPr>
            </w:pPr>
            <w:r>
              <w:rPr>
                <w:rFonts w:hint="eastAsia" w:ascii="宋体" w:hAnsi="宋体" w:cs="宋体"/>
                <w:color w:val="auto"/>
                <w:sz w:val="20"/>
                <w:szCs w:val="20"/>
                <w:highlight w:val="none"/>
              </w:rPr>
              <w:t>≥</w:t>
            </w:r>
            <w:r>
              <w:rPr>
                <w:color w:val="auto"/>
                <w:sz w:val="20"/>
                <w:szCs w:val="20"/>
                <w:highlight w:val="none"/>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dxa"/>
            <w:tcBorders>
              <w:left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2</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1.00</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1.00</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1.00</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1.00</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1.00</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1.00</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1.00</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1.00</w:t>
            </w:r>
          </w:p>
        </w:tc>
        <w:tc>
          <w:tcPr>
            <w:tcW w:w="782" w:type="dxa"/>
            <w:tcBorders>
              <w:left w:val="single" w:color="000000" w:sz="4" w:space="0"/>
              <w:right w:val="single" w:color="000000" w:sz="12" w:space="0"/>
            </w:tcBorders>
            <w:vAlign w:val="center"/>
          </w:tcPr>
          <w:p>
            <w:pPr>
              <w:spacing w:before="31" w:beforeLines="10" w:after="31" w:afterLines="10"/>
              <w:jc w:val="center"/>
              <w:rPr>
                <w:color w:val="auto"/>
                <w:sz w:val="20"/>
                <w:szCs w:val="20"/>
                <w:highlight w:val="none"/>
              </w:rPr>
            </w:pPr>
            <w:r>
              <w:rPr>
                <w:color w:val="auto"/>
                <w:sz w:val="20"/>
                <w:szCs w:val="20"/>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dxa"/>
            <w:tcBorders>
              <w:left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4</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0.96</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0.95</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0.93</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0.92</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0.90</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0.89</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0.87</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0.86</w:t>
            </w:r>
          </w:p>
        </w:tc>
        <w:tc>
          <w:tcPr>
            <w:tcW w:w="782" w:type="dxa"/>
            <w:tcBorders>
              <w:left w:val="single" w:color="000000" w:sz="4" w:space="0"/>
              <w:right w:val="single" w:color="000000" w:sz="12" w:space="0"/>
            </w:tcBorders>
            <w:vAlign w:val="center"/>
          </w:tcPr>
          <w:p>
            <w:pPr>
              <w:spacing w:before="31" w:beforeLines="10" w:after="31" w:afterLines="10"/>
              <w:jc w:val="center"/>
              <w:rPr>
                <w:color w:val="auto"/>
                <w:sz w:val="20"/>
                <w:szCs w:val="20"/>
                <w:highlight w:val="none"/>
              </w:rPr>
            </w:pPr>
            <w:r>
              <w:rPr>
                <w:color w:val="auto"/>
                <w:sz w:val="20"/>
                <w:szCs w:val="20"/>
                <w:highlight w:val="none"/>
              </w:rPr>
              <w:t>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dxa"/>
            <w:tcBorders>
              <w:left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6</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0.93</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0.90</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0.88</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0.85</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0.83</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0.81</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0.79</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0.78</w:t>
            </w:r>
          </w:p>
        </w:tc>
        <w:tc>
          <w:tcPr>
            <w:tcW w:w="782" w:type="dxa"/>
            <w:tcBorders>
              <w:left w:val="single" w:color="000000" w:sz="4" w:space="0"/>
              <w:right w:val="single" w:color="000000" w:sz="12" w:space="0"/>
            </w:tcBorders>
            <w:vAlign w:val="center"/>
          </w:tcPr>
          <w:p>
            <w:pPr>
              <w:spacing w:before="31" w:beforeLines="10" w:after="31" w:afterLines="10"/>
              <w:jc w:val="center"/>
              <w:rPr>
                <w:color w:val="auto"/>
                <w:sz w:val="20"/>
                <w:szCs w:val="20"/>
                <w:highlight w:val="none"/>
              </w:rPr>
            </w:pPr>
            <w:r>
              <w:rPr>
                <w:color w:val="auto"/>
                <w:sz w:val="20"/>
                <w:szCs w:val="20"/>
                <w:highlight w:val="none"/>
              </w:rPr>
              <w:t>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dxa"/>
            <w:tcBorders>
              <w:left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8</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0.90</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0.86</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0.83</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0.80</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0.77</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0.72</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0.73</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0.71</w:t>
            </w:r>
          </w:p>
        </w:tc>
        <w:tc>
          <w:tcPr>
            <w:tcW w:w="782" w:type="dxa"/>
            <w:tcBorders>
              <w:left w:val="single" w:color="000000" w:sz="4" w:space="0"/>
              <w:right w:val="single" w:color="000000" w:sz="12" w:space="0"/>
            </w:tcBorders>
            <w:vAlign w:val="center"/>
          </w:tcPr>
          <w:p>
            <w:pPr>
              <w:spacing w:before="31" w:beforeLines="10" w:after="31" w:afterLines="10"/>
              <w:jc w:val="center"/>
              <w:rPr>
                <w:color w:val="auto"/>
                <w:sz w:val="20"/>
                <w:szCs w:val="20"/>
                <w:highlight w:val="none"/>
              </w:rPr>
            </w:pPr>
            <w:r>
              <w:rPr>
                <w:color w:val="auto"/>
                <w:sz w:val="20"/>
                <w:szCs w:val="20"/>
                <w:highlight w:val="none"/>
              </w:rPr>
              <w:t>0.67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dxa"/>
            <w:tcBorders>
              <w:left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10</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0.88</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0.83</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0.79</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0.75</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0.72</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0.69</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0.67</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0.64</w:t>
            </w:r>
          </w:p>
        </w:tc>
        <w:tc>
          <w:tcPr>
            <w:tcW w:w="782" w:type="dxa"/>
            <w:tcBorders>
              <w:left w:val="single" w:color="000000" w:sz="4" w:space="0"/>
              <w:right w:val="single" w:color="000000" w:sz="12" w:space="0"/>
            </w:tcBorders>
            <w:vAlign w:val="center"/>
          </w:tcPr>
          <w:p>
            <w:pPr>
              <w:spacing w:before="31" w:beforeLines="10" w:after="31" w:afterLines="10"/>
              <w:jc w:val="center"/>
              <w:rPr>
                <w:color w:val="auto"/>
                <w:sz w:val="20"/>
                <w:szCs w:val="20"/>
                <w:highlight w:val="none"/>
              </w:rPr>
            </w:pPr>
            <w:r>
              <w:rPr>
                <w:color w:val="auto"/>
                <w:sz w:val="20"/>
                <w:szCs w:val="20"/>
                <w:highlight w:val="none"/>
              </w:rPr>
              <w:t>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dxa"/>
            <w:tcBorders>
              <w:left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12</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0.85</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0.79</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0.75</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0.70</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0.67</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0.64</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0.61</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0.59</w:t>
            </w:r>
          </w:p>
        </w:tc>
        <w:tc>
          <w:tcPr>
            <w:tcW w:w="782" w:type="dxa"/>
            <w:tcBorders>
              <w:left w:val="single" w:color="000000" w:sz="4" w:space="0"/>
              <w:right w:val="single" w:color="000000" w:sz="12" w:space="0"/>
            </w:tcBorders>
            <w:vAlign w:val="center"/>
          </w:tcPr>
          <w:p>
            <w:pPr>
              <w:spacing w:before="31" w:beforeLines="10" w:after="31" w:afterLines="10"/>
              <w:jc w:val="center"/>
              <w:rPr>
                <w:color w:val="auto"/>
                <w:sz w:val="20"/>
                <w:szCs w:val="20"/>
                <w:highlight w:val="none"/>
              </w:rPr>
            </w:pPr>
            <w:r>
              <w:rPr>
                <w:color w:val="auto"/>
                <w:sz w:val="20"/>
                <w:szCs w:val="20"/>
                <w:highlight w:val="none"/>
              </w:rPr>
              <w:t>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dxa"/>
            <w:tcBorders>
              <w:left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14</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0.82</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0.76</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0.71</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0.66</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0.62</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0.58</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0.56</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0.53</w:t>
            </w:r>
          </w:p>
        </w:tc>
        <w:tc>
          <w:tcPr>
            <w:tcW w:w="782" w:type="dxa"/>
            <w:tcBorders>
              <w:left w:val="single" w:color="000000" w:sz="4" w:space="0"/>
              <w:right w:val="single" w:color="000000" w:sz="12" w:space="0"/>
            </w:tcBorders>
            <w:vAlign w:val="center"/>
          </w:tcPr>
          <w:p>
            <w:pPr>
              <w:spacing w:before="31" w:beforeLines="10" w:after="31" w:afterLines="10"/>
              <w:jc w:val="center"/>
              <w:rPr>
                <w:color w:val="auto"/>
                <w:sz w:val="20"/>
                <w:szCs w:val="20"/>
                <w:highlight w:val="none"/>
              </w:rPr>
            </w:pPr>
            <w:r>
              <w:rPr>
                <w:color w:val="auto"/>
                <w:sz w:val="20"/>
                <w:szCs w:val="20"/>
                <w:highlight w:val="none"/>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dxa"/>
            <w:tcBorders>
              <w:left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16</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0.79</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0.73</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0.67</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0.62</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0.57</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0.54</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0.51</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0.48</w:t>
            </w:r>
          </w:p>
        </w:tc>
        <w:tc>
          <w:tcPr>
            <w:tcW w:w="782" w:type="dxa"/>
            <w:tcBorders>
              <w:left w:val="single" w:color="000000" w:sz="4" w:space="0"/>
              <w:right w:val="single" w:color="000000" w:sz="12" w:space="0"/>
            </w:tcBorders>
            <w:vAlign w:val="center"/>
          </w:tcPr>
          <w:p>
            <w:pPr>
              <w:spacing w:before="31" w:beforeLines="10" w:after="31" w:afterLines="10"/>
              <w:jc w:val="center"/>
              <w:rPr>
                <w:color w:val="auto"/>
                <w:sz w:val="20"/>
                <w:szCs w:val="20"/>
                <w:highlight w:val="none"/>
              </w:rPr>
            </w:pPr>
            <w:r>
              <w:rPr>
                <w:color w:val="auto"/>
                <w:sz w:val="20"/>
                <w:szCs w:val="20"/>
                <w:highlight w:val="none"/>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dxa"/>
            <w:tcBorders>
              <w:left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18</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0.77</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0.70</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0.63</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0.57</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0.53</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0.49</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0.46</w:t>
            </w:r>
          </w:p>
        </w:tc>
        <w:tc>
          <w:tcPr>
            <w:tcW w:w="774"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0.43</w:t>
            </w:r>
          </w:p>
        </w:tc>
        <w:tc>
          <w:tcPr>
            <w:tcW w:w="782" w:type="dxa"/>
            <w:tcBorders>
              <w:left w:val="single" w:color="000000" w:sz="4" w:space="0"/>
              <w:right w:val="single" w:color="000000" w:sz="12" w:space="0"/>
            </w:tcBorders>
            <w:vAlign w:val="center"/>
          </w:tcPr>
          <w:p>
            <w:pPr>
              <w:spacing w:before="31" w:beforeLines="10" w:after="31" w:afterLines="10"/>
              <w:jc w:val="center"/>
              <w:rPr>
                <w:color w:val="auto"/>
                <w:sz w:val="20"/>
                <w:szCs w:val="20"/>
                <w:highlight w:val="none"/>
              </w:rPr>
            </w:pPr>
            <w:r>
              <w:rPr>
                <w:color w:val="auto"/>
                <w:sz w:val="20"/>
                <w:szCs w:val="20"/>
                <w:highlight w:val="none"/>
              </w:rPr>
              <w:t>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dxa"/>
            <w:tcBorders>
              <w:left w:val="single" w:color="000000" w:sz="12"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20</w:t>
            </w:r>
          </w:p>
        </w:tc>
        <w:tc>
          <w:tcPr>
            <w:tcW w:w="774"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0.75</w:t>
            </w:r>
          </w:p>
        </w:tc>
        <w:tc>
          <w:tcPr>
            <w:tcW w:w="774"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0.67</w:t>
            </w:r>
          </w:p>
        </w:tc>
        <w:tc>
          <w:tcPr>
            <w:tcW w:w="774"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0.59</w:t>
            </w:r>
          </w:p>
        </w:tc>
        <w:tc>
          <w:tcPr>
            <w:tcW w:w="774"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0.53</w:t>
            </w:r>
          </w:p>
        </w:tc>
        <w:tc>
          <w:tcPr>
            <w:tcW w:w="774"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0.48</w:t>
            </w:r>
          </w:p>
        </w:tc>
        <w:tc>
          <w:tcPr>
            <w:tcW w:w="774"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0.44</w:t>
            </w:r>
          </w:p>
        </w:tc>
        <w:tc>
          <w:tcPr>
            <w:tcW w:w="774"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0.41</w:t>
            </w:r>
          </w:p>
        </w:tc>
        <w:tc>
          <w:tcPr>
            <w:tcW w:w="774"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0.39</w:t>
            </w:r>
          </w:p>
        </w:tc>
        <w:tc>
          <w:tcPr>
            <w:tcW w:w="782" w:type="dxa"/>
            <w:tcBorders>
              <w:left w:val="single" w:color="000000" w:sz="4" w:space="0"/>
              <w:bottom w:val="single" w:color="000000" w:sz="12" w:space="0"/>
              <w:right w:val="single" w:color="000000" w:sz="12" w:space="0"/>
            </w:tcBorders>
            <w:vAlign w:val="center"/>
          </w:tcPr>
          <w:p>
            <w:pPr>
              <w:spacing w:before="31" w:beforeLines="10" w:after="31" w:afterLines="10"/>
              <w:jc w:val="center"/>
              <w:rPr>
                <w:color w:val="auto"/>
                <w:sz w:val="20"/>
                <w:szCs w:val="20"/>
                <w:highlight w:val="none"/>
              </w:rPr>
            </w:pPr>
            <w:r>
              <w:rPr>
                <w:color w:val="auto"/>
                <w:sz w:val="20"/>
                <w:szCs w:val="20"/>
                <w:highlight w:val="none"/>
              </w:rPr>
              <w:t>0.36</w:t>
            </w:r>
          </w:p>
        </w:tc>
      </w:tr>
    </w:tbl>
    <w:p>
      <w:pPr>
        <w:pStyle w:val="72"/>
        <w:spacing w:before="156" w:beforeLines="50" w:after="0"/>
        <w:rPr>
          <w:color w:val="auto"/>
          <w:szCs w:val="21"/>
          <w:highlight w:val="none"/>
        </w:rPr>
      </w:pPr>
      <w:r>
        <w:rPr>
          <w:color w:val="auto"/>
          <w:szCs w:val="21"/>
          <w:highlight w:val="none"/>
        </w:rPr>
        <w:t>表D.0.1-2　超重型动力触探锤击数修正系数</w:t>
      </w:r>
      <w:r>
        <w:rPr>
          <w:i/>
          <w:iCs/>
          <w:color w:val="auto"/>
          <w:szCs w:val="21"/>
          <w:highlight w:val="none"/>
        </w:rPr>
        <w:t>α</w:t>
      </w:r>
      <w:r>
        <w:rPr>
          <w:color w:val="auto"/>
          <w:szCs w:val="21"/>
          <w:highlight w:val="none"/>
          <w:vertAlign w:val="subscript"/>
        </w:rPr>
        <w:t>2</w:t>
      </w:r>
    </w:p>
    <w:tbl>
      <w:tblPr>
        <w:tblStyle w:val="23"/>
        <w:tblW w:w="8270"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10"/>
        <w:gridCol w:w="588"/>
        <w:gridCol w:w="588"/>
        <w:gridCol w:w="588"/>
        <w:gridCol w:w="588"/>
        <w:gridCol w:w="588"/>
        <w:gridCol w:w="588"/>
        <w:gridCol w:w="588"/>
        <w:gridCol w:w="588"/>
        <w:gridCol w:w="588"/>
        <w:gridCol w:w="588"/>
        <w:gridCol w:w="588"/>
        <w:gridCol w:w="5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0" w:type="dxa"/>
            <w:tcBorders>
              <w:top w:val="single" w:color="000000" w:sz="12" w:space="0"/>
              <w:left w:val="single" w:color="000000" w:sz="12" w:space="0"/>
              <w:right w:val="single" w:color="000000" w:sz="4" w:space="0"/>
              <w:tl2br w:val="single" w:color="auto" w:sz="4" w:space="0"/>
            </w:tcBorders>
            <w:vAlign w:val="center"/>
          </w:tcPr>
          <w:p>
            <w:pPr>
              <w:jc w:val="right"/>
              <w:rPr>
                <w:color w:val="auto"/>
                <w:sz w:val="20"/>
                <w:szCs w:val="20"/>
                <w:highlight w:val="none"/>
              </w:rPr>
            </w:pPr>
            <w:r>
              <w:rPr>
                <w:i/>
                <w:iCs/>
                <w:color w:val="auto"/>
                <w:sz w:val="20"/>
                <w:szCs w:val="20"/>
                <w:highlight w:val="none"/>
              </w:rPr>
              <w:t>N</w:t>
            </w:r>
            <w:r>
              <w:rPr>
                <w:color w:val="auto"/>
                <w:sz w:val="20"/>
                <w:szCs w:val="20"/>
                <w:highlight w:val="none"/>
              </w:rPr>
              <w:t>’</w:t>
            </w:r>
            <w:r>
              <w:rPr>
                <w:color w:val="auto"/>
                <w:sz w:val="20"/>
                <w:szCs w:val="20"/>
                <w:highlight w:val="none"/>
                <w:vertAlign w:val="subscript"/>
              </w:rPr>
              <w:t>120</w:t>
            </w:r>
          </w:p>
          <w:p>
            <w:pPr>
              <w:ind w:left="-42" w:leftChars="-20"/>
              <w:rPr>
                <w:color w:val="auto"/>
                <w:sz w:val="20"/>
                <w:szCs w:val="20"/>
                <w:highlight w:val="none"/>
              </w:rPr>
            </w:pPr>
            <w:r>
              <w:rPr>
                <w:rFonts w:hint="eastAsia" w:ascii="宋体" w:hAnsi="宋体" w:cs="宋体"/>
                <w:color w:val="auto"/>
                <w:sz w:val="20"/>
                <w:szCs w:val="20"/>
                <w:highlight w:val="none"/>
              </w:rPr>
              <w:t>杆长</w:t>
            </w:r>
            <w:r>
              <w:rPr>
                <w:color w:val="auto"/>
                <w:sz w:val="20"/>
                <w:szCs w:val="20"/>
                <w:highlight w:val="none"/>
              </w:rPr>
              <w:t>(m)</w:t>
            </w:r>
          </w:p>
        </w:tc>
        <w:tc>
          <w:tcPr>
            <w:tcW w:w="588"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1</w:t>
            </w:r>
          </w:p>
        </w:tc>
        <w:tc>
          <w:tcPr>
            <w:tcW w:w="588"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3</w:t>
            </w:r>
          </w:p>
        </w:tc>
        <w:tc>
          <w:tcPr>
            <w:tcW w:w="588"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5</w:t>
            </w:r>
          </w:p>
        </w:tc>
        <w:tc>
          <w:tcPr>
            <w:tcW w:w="588"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7</w:t>
            </w:r>
          </w:p>
        </w:tc>
        <w:tc>
          <w:tcPr>
            <w:tcW w:w="588"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9</w:t>
            </w:r>
          </w:p>
        </w:tc>
        <w:tc>
          <w:tcPr>
            <w:tcW w:w="588"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10</w:t>
            </w:r>
          </w:p>
        </w:tc>
        <w:tc>
          <w:tcPr>
            <w:tcW w:w="588"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15</w:t>
            </w:r>
          </w:p>
        </w:tc>
        <w:tc>
          <w:tcPr>
            <w:tcW w:w="588"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20</w:t>
            </w:r>
          </w:p>
        </w:tc>
        <w:tc>
          <w:tcPr>
            <w:tcW w:w="588"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25</w:t>
            </w:r>
          </w:p>
        </w:tc>
        <w:tc>
          <w:tcPr>
            <w:tcW w:w="588"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30</w:t>
            </w:r>
          </w:p>
        </w:tc>
        <w:tc>
          <w:tcPr>
            <w:tcW w:w="588"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35</w:t>
            </w:r>
          </w:p>
        </w:tc>
        <w:tc>
          <w:tcPr>
            <w:tcW w:w="592" w:type="dxa"/>
            <w:tcBorders>
              <w:top w:val="single" w:color="000000" w:sz="12" w:space="0"/>
              <w:left w:val="single" w:color="000000" w:sz="4" w:space="0"/>
              <w:right w:val="single" w:color="000000" w:sz="12" w:space="0"/>
            </w:tcBorders>
            <w:vAlign w:val="center"/>
          </w:tcPr>
          <w:p>
            <w:pPr>
              <w:jc w:val="center"/>
              <w:rPr>
                <w:color w:val="auto"/>
                <w:sz w:val="20"/>
                <w:szCs w:val="20"/>
                <w:highlight w:val="none"/>
              </w:rPr>
            </w:pPr>
            <w:r>
              <w:rPr>
                <w:color w:val="auto"/>
                <w:sz w:val="20"/>
                <w:szCs w:val="20"/>
                <w:highlight w:val="none"/>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0" w:type="dxa"/>
            <w:tcBorders>
              <w:left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1.00</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1.00</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1.00</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1.00</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1.00</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1.00</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1.00</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1.00</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1.00</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1.00</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1.00</w:t>
            </w:r>
          </w:p>
        </w:tc>
        <w:tc>
          <w:tcPr>
            <w:tcW w:w="592" w:type="dxa"/>
            <w:tcBorders>
              <w:left w:val="single" w:color="000000" w:sz="4" w:space="0"/>
              <w:right w:val="single" w:color="000000" w:sz="12" w:space="0"/>
            </w:tcBorders>
            <w:vAlign w:val="center"/>
          </w:tcPr>
          <w:p>
            <w:pPr>
              <w:spacing w:before="31" w:beforeLines="10" w:after="31" w:afterLines="10"/>
              <w:jc w:val="center"/>
              <w:rPr>
                <w:color w:val="auto"/>
                <w:sz w:val="20"/>
                <w:szCs w:val="20"/>
                <w:highlight w:val="none"/>
              </w:rPr>
            </w:pPr>
            <w:r>
              <w:rPr>
                <w:color w:val="auto"/>
                <w:sz w:val="20"/>
                <w:szCs w:val="20"/>
                <w:highlight w:val="none"/>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0" w:type="dxa"/>
            <w:tcBorders>
              <w:left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2</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0.96</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0.92</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0.91</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0.90</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0.90</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0.90</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0.90</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0.89</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0.89</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0.88</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0.88</w:t>
            </w:r>
          </w:p>
        </w:tc>
        <w:tc>
          <w:tcPr>
            <w:tcW w:w="592" w:type="dxa"/>
            <w:tcBorders>
              <w:left w:val="single" w:color="000000" w:sz="4" w:space="0"/>
              <w:right w:val="single" w:color="000000" w:sz="12" w:space="0"/>
            </w:tcBorders>
            <w:vAlign w:val="center"/>
          </w:tcPr>
          <w:p>
            <w:pPr>
              <w:spacing w:before="31" w:beforeLines="10" w:after="31" w:afterLines="10"/>
              <w:jc w:val="center"/>
              <w:rPr>
                <w:color w:val="auto"/>
                <w:sz w:val="20"/>
                <w:szCs w:val="20"/>
                <w:highlight w:val="none"/>
              </w:rPr>
            </w:pPr>
            <w:r>
              <w:rPr>
                <w:color w:val="auto"/>
                <w:sz w:val="20"/>
                <w:szCs w:val="20"/>
                <w:highlight w:val="none"/>
              </w:rPr>
              <w:t>0.88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0" w:type="dxa"/>
            <w:tcBorders>
              <w:left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3</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0.94</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0.88</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0.86</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0.85</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0.84</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0.84</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0.84</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0.83</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0.82</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0.82</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0.81</w:t>
            </w:r>
          </w:p>
        </w:tc>
        <w:tc>
          <w:tcPr>
            <w:tcW w:w="592" w:type="dxa"/>
            <w:tcBorders>
              <w:left w:val="single" w:color="000000" w:sz="4" w:space="0"/>
              <w:right w:val="single" w:color="000000" w:sz="12" w:space="0"/>
            </w:tcBorders>
            <w:vAlign w:val="center"/>
          </w:tcPr>
          <w:p>
            <w:pPr>
              <w:spacing w:before="31" w:beforeLines="10" w:after="31" w:afterLines="10"/>
              <w:jc w:val="center"/>
              <w:rPr>
                <w:color w:val="auto"/>
                <w:sz w:val="20"/>
                <w:szCs w:val="20"/>
                <w:highlight w:val="none"/>
              </w:rPr>
            </w:pPr>
            <w:r>
              <w:rPr>
                <w:color w:val="auto"/>
                <w:sz w:val="20"/>
                <w:szCs w:val="20"/>
                <w:highlight w:val="none"/>
              </w:rPr>
              <w:t>0.81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0" w:type="dxa"/>
            <w:tcBorders>
              <w:left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5</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0.92</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0.82</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0.79</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0.78</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0.77</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0.77</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0.76</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0.75</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0.74</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0.73</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0.72</w:t>
            </w:r>
          </w:p>
        </w:tc>
        <w:tc>
          <w:tcPr>
            <w:tcW w:w="592" w:type="dxa"/>
            <w:tcBorders>
              <w:left w:val="single" w:color="000000" w:sz="4" w:space="0"/>
              <w:right w:val="single" w:color="000000" w:sz="12" w:space="0"/>
            </w:tcBorders>
            <w:vAlign w:val="center"/>
          </w:tcPr>
          <w:p>
            <w:pPr>
              <w:spacing w:before="31" w:beforeLines="10" w:after="31" w:afterLines="10"/>
              <w:jc w:val="center"/>
              <w:rPr>
                <w:color w:val="auto"/>
                <w:sz w:val="20"/>
                <w:szCs w:val="20"/>
                <w:highlight w:val="none"/>
              </w:rPr>
            </w:pPr>
            <w:r>
              <w:rPr>
                <w:color w:val="auto"/>
                <w:sz w:val="20"/>
                <w:szCs w:val="20"/>
                <w:highlight w:val="none"/>
              </w:rPr>
              <w:t>0.72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0" w:type="dxa"/>
            <w:tcBorders>
              <w:left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7</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0.90</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0.78</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0.75</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0.74</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0.73</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0.72</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0.71</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0.70</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0.68</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0.68</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0.67</w:t>
            </w:r>
          </w:p>
        </w:tc>
        <w:tc>
          <w:tcPr>
            <w:tcW w:w="592" w:type="dxa"/>
            <w:tcBorders>
              <w:left w:val="single" w:color="000000" w:sz="4" w:space="0"/>
              <w:right w:val="single" w:color="000000" w:sz="12" w:space="0"/>
            </w:tcBorders>
            <w:vAlign w:val="center"/>
          </w:tcPr>
          <w:p>
            <w:pPr>
              <w:spacing w:before="31" w:beforeLines="10" w:after="31" w:afterLines="10"/>
              <w:jc w:val="center"/>
              <w:rPr>
                <w:color w:val="auto"/>
                <w:sz w:val="20"/>
                <w:szCs w:val="20"/>
                <w:highlight w:val="none"/>
              </w:rPr>
            </w:pPr>
            <w:r>
              <w:rPr>
                <w:color w:val="auto"/>
                <w:sz w:val="20"/>
                <w:szCs w:val="20"/>
                <w:highlight w:val="none"/>
              </w:rPr>
              <w:t>0.66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0" w:type="dxa"/>
            <w:tcBorders>
              <w:left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9</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0.88</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0.75</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0.72</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0.70</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0.69</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0.68</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0.67</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0.66</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0.64</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0.63</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0.62</w:t>
            </w:r>
          </w:p>
        </w:tc>
        <w:tc>
          <w:tcPr>
            <w:tcW w:w="592" w:type="dxa"/>
            <w:tcBorders>
              <w:left w:val="single" w:color="000000" w:sz="4" w:space="0"/>
              <w:right w:val="single" w:color="000000" w:sz="12" w:space="0"/>
            </w:tcBorders>
            <w:vAlign w:val="center"/>
          </w:tcPr>
          <w:p>
            <w:pPr>
              <w:spacing w:before="31" w:beforeLines="10" w:after="31" w:afterLines="10"/>
              <w:jc w:val="center"/>
              <w:rPr>
                <w:color w:val="auto"/>
                <w:sz w:val="20"/>
                <w:szCs w:val="20"/>
                <w:highlight w:val="none"/>
              </w:rPr>
            </w:pPr>
            <w:r>
              <w:rPr>
                <w:color w:val="auto"/>
                <w:sz w:val="20"/>
                <w:szCs w:val="20"/>
                <w:highlight w:val="none"/>
              </w:rPr>
              <w:t>0.62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0" w:type="dxa"/>
            <w:tcBorders>
              <w:left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11</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0.87</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0.73</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0.69</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0.67</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0.66</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0.66</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0.64</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0.62</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0.61</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0.60</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0.59</w:t>
            </w:r>
          </w:p>
        </w:tc>
        <w:tc>
          <w:tcPr>
            <w:tcW w:w="592" w:type="dxa"/>
            <w:tcBorders>
              <w:left w:val="single" w:color="000000" w:sz="4" w:space="0"/>
              <w:right w:val="single" w:color="000000" w:sz="12" w:space="0"/>
            </w:tcBorders>
            <w:vAlign w:val="center"/>
          </w:tcPr>
          <w:p>
            <w:pPr>
              <w:spacing w:before="31" w:beforeLines="10" w:after="31" w:afterLines="10"/>
              <w:jc w:val="center"/>
              <w:rPr>
                <w:color w:val="auto"/>
                <w:sz w:val="20"/>
                <w:szCs w:val="20"/>
                <w:highlight w:val="none"/>
              </w:rPr>
            </w:pPr>
            <w:r>
              <w:rPr>
                <w:color w:val="auto"/>
                <w:sz w:val="20"/>
                <w:szCs w:val="20"/>
                <w:highlight w:val="none"/>
              </w:rPr>
              <w:t>0.58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0" w:type="dxa"/>
            <w:tcBorders>
              <w:left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13</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0.86</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0.71</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0.67</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0.65</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0.64</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0.63</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0.61</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0.60</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0.58</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0.57</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0.56</w:t>
            </w:r>
          </w:p>
        </w:tc>
        <w:tc>
          <w:tcPr>
            <w:tcW w:w="592" w:type="dxa"/>
            <w:tcBorders>
              <w:left w:val="single" w:color="000000" w:sz="4" w:space="0"/>
              <w:right w:val="single" w:color="000000" w:sz="12" w:space="0"/>
            </w:tcBorders>
            <w:vAlign w:val="center"/>
          </w:tcPr>
          <w:p>
            <w:pPr>
              <w:spacing w:before="31" w:beforeLines="10" w:after="31" w:afterLines="10"/>
              <w:jc w:val="center"/>
              <w:rPr>
                <w:color w:val="auto"/>
                <w:sz w:val="20"/>
                <w:szCs w:val="20"/>
                <w:highlight w:val="none"/>
              </w:rPr>
            </w:pPr>
            <w:r>
              <w:rPr>
                <w:color w:val="auto"/>
                <w:sz w:val="20"/>
                <w:szCs w:val="20"/>
                <w:highlight w:val="none"/>
              </w:rPr>
              <w:t>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0" w:type="dxa"/>
            <w:tcBorders>
              <w:left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15</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0.86</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0.68</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0.65</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0.63</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0.62</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0.61</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0.59</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0.58</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0.56</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0.55</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0.54</w:t>
            </w:r>
          </w:p>
        </w:tc>
        <w:tc>
          <w:tcPr>
            <w:tcW w:w="592" w:type="dxa"/>
            <w:tcBorders>
              <w:left w:val="single" w:color="000000" w:sz="4" w:space="0"/>
              <w:right w:val="single" w:color="000000" w:sz="12" w:space="0"/>
            </w:tcBorders>
            <w:vAlign w:val="center"/>
          </w:tcPr>
          <w:p>
            <w:pPr>
              <w:spacing w:before="31" w:beforeLines="10" w:after="31" w:afterLines="10"/>
              <w:jc w:val="center"/>
              <w:rPr>
                <w:color w:val="auto"/>
                <w:sz w:val="20"/>
                <w:szCs w:val="20"/>
                <w:highlight w:val="none"/>
              </w:rPr>
            </w:pPr>
            <w:r>
              <w:rPr>
                <w:color w:val="auto"/>
                <w:sz w:val="20"/>
                <w:szCs w:val="20"/>
                <w:highlight w:val="none"/>
              </w:rPr>
              <w:t>0.53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0" w:type="dxa"/>
            <w:tcBorders>
              <w:left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17</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0.85</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0.68</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0.63</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0.61</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0.60</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0.60</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0.57</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0.56</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0.54</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0.53</w:t>
            </w:r>
          </w:p>
        </w:tc>
        <w:tc>
          <w:tcPr>
            <w:tcW w:w="588" w:type="dxa"/>
            <w:tcBorders>
              <w:left w:val="single" w:color="000000" w:sz="4"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0.52</w:t>
            </w:r>
          </w:p>
        </w:tc>
        <w:tc>
          <w:tcPr>
            <w:tcW w:w="592" w:type="dxa"/>
            <w:tcBorders>
              <w:left w:val="single" w:color="000000" w:sz="4" w:space="0"/>
              <w:right w:val="single" w:color="000000" w:sz="12" w:space="0"/>
            </w:tcBorders>
            <w:vAlign w:val="center"/>
          </w:tcPr>
          <w:p>
            <w:pPr>
              <w:spacing w:before="31" w:beforeLines="10" w:after="31" w:afterLines="10"/>
              <w:jc w:val="center"/>
              <w:rPr>
                <w:color w:val="auto"/>
                <w:sz w:val="20"/>
                <w:szCs w:val="20"/>
                <w:highlight w:val="none"/>
              </w:rPr>
            </w:pPr>
            <w:r>
              <w:rPr>
                <w:color w:val="auto"/>
                <w:sz w:val="20"/>
                <w:szCs w:val="20"/>
                <w:highlight w:val="none"/>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10" w:type="dxa"/>
            <w:tcBorders>
              <w:left w:val="single" w:color="000000" w:sz="12"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19</w:t>
            </w:r>
          </w:p>
        </w:tc>
        <w:tc>
          <w:tcPr>
            <w:tcW w:w="588"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0.84</w:t>
            </w:r>
          </w:p>
        </w:tc>
        <w:tc>
          <w:tcPr>
            <w:tcW w:w="588"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0.66</w:t>
            </w:r>
          </w:p>
        </w:tc>
        <w:tc>
          <w:tcPr>
            <w:tcW w:w="588"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0.62</w:t>
            </w:r>
          </w:p>
        </w:tc>
        <w:tc>
          <w:tcPr>
            <w:tcW w:w="588"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0.60</w:t>
            </w:r>
          </w:p>
        </w:tc>
        <w:tc>
          <w:tcPr>
            <w:tcW w:w="588"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0.58</w:t>
            </w:r>
          </w:p>
        </w:tc>
        <w:tc>
          <w:tcPr>
            <w:tcW w:w="588"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0.58</w:t>
            </w:r>
          </w:p>
        </w:tc>
        <w:tc>
          <w:tcPr>
            <w:tcW w:w="588"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0.56</w:t>
            </w:r>
          </w:p>
        </w:tc>
        <w:tc>
          <w:tcPr>
            <w:tcW w:w="588"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0.54</w:t>
            </w:r>
          </w:p>
        </w:tc>
        <w:tc>
          <w:tcPr>
            <w:tcW w:w="588"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0.52</w:t>
            </w:r>
          </w:p>
        </w:tc>
        <w:tc>
          <w:tcPr>
            <w:tcW w:w="588"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0.51</w:t>
            </w:r>
          </w:p>
        </w:tc>
        <w:tc>
          <w:tcPr>
            <w:tcW w:w="588"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0.50</w:t>
            </w:r>
          </w:p>
        </w:tc>
        <w:tc>
          <w:tcPr>
            <w:tcW w:w="592" w:type="dxa"/>
            <w:tcBorders>
              <w:left w:val="single" w:color="000000" w:sz="4" w:space="0"/>
              <w:bottom w:val="single" w:color="000000" w:sz="12" w:space="0"/>
              <w:right w:val="single" w:color="000000" w:sz="12" w:space="0"/>
            </w:tcBorders>
            <w:vAlign w:val="center"/>
          </w:tcPr>
          <w:p>
            <w:pPr>
              <w:spacing w:before="31" w:beforeLines="10" w:after="31" w:afterLines="10"/>
              <w:jc w:val="center"/>
              <w:rPr>
                <w:color w:val="auto"/>
                <w:sz w:val="20"/>
                <w:szCs w:val="20"/>
                <w:highlight w:val="none"/>
              </w:rPr>
            </w:pPr>
            <w:r>
              <w:rPr>
                <w:color w:val="auto"/>
                <w:sz w:val="20"/>
                <w:szCs w:val="20"/>
                <w:highlight w:val="none"/>
              </w:rPr>
              <w:t>0.48</w:t>
            </w:r>
          </w:p>
        </w:tc>
      </w:tr>
    </w:tbl>
    <w:p>
      <w:pPr>
        <w:spacing w:before="156" w:beforeLines="50" w:line="360" w:lineRule="auto"/>
        <w:rPr>
          <w:color w:val="auto"/>
          <w:szCs w:val="21"/>
          <w:highlight w:val="none"/>
        </w:rPr>
      </w:pPr>
      <w:r>
        <w:rPr>
          <w:b/>
          <w:bCs/>
          <w:color w:val="auto"/>
          <w:szCs w:val="21"/>
          <w:highlight w:val="none"/>
        </w:rPr>
        <w:t>D.0.2</w:t>
      </w:r>
      <w:r>
        <w:rPr>
          <w:rFonts w:hint="eastAsia"/>
          <w:b/>
          <w:bCs/>
          <w:color w:val="auto"/>
          <w:szCs w:val="21"/>
          <w:highlight w:val="none"/>
        </w:rPr>
        <w:t>　</w:t>
      </w:r>
      <w:r>
        <w:rPr>
          <w:color w:val="auto"/>
          <w:szCs w:val="21"/>
          <w:highlight w:val="none"/>
        </w:rPr>
        <w:t>当采用标准贯入试验判断岩土层的力学特性时，锤击数应乘以表D.0.2所示的修正系数</w:t>
      </w:r>
      <w:r>
        <w:rPr>
          <w:i/>
          <w:iCs/>
          <w:color w:val="auto"/>
          <w:szCs w:val="21"/>
          <w:highlight w:val="none"/>
        </w:rPr>
        <w:t>α</w:t>
      </w:r>
      <w:r>
        <w:rPr>
          <w:color w:val="auto"/>
          <w:szCs w:val="21"/>
          <w:highlight w:val="none"/>
          <w:vertAlign w:val="subscript"/>
        </w:rPr>
        <w:t>3</w:t>
      </w:r>
      <w:r>
        <w:rPr>
          <w:color w:val="auto"/>
          <w:szCs w:val="21"/>
          <w:highlight w:val="none"/>
        </w:rPr>
        <w:t>进行修正。</w:t>
      </w:r>
    </w:p>
    <w:p>
      <w:pPr>
        <w:pStyle w:val="72"/>
        <w:spacing w:before="156" w:beforeLines="50" w:after="0"/>
        <w:rPr>
          <w:color w:val="auto"/>
          <w:szCs w:val="21"/>
          <w:highlight w:val="none"/>
        </w:rPr>
      </w:pPr>
      <w:r>
        <w:rPr>
          <w:color w:val="auto"/>
          <w:szCs w:val="21"/>
          <w:highlight w:val="none"/>
        </w:rPr>
        <w:t>表D.0.2　标准贯入试验锤击数修正系数</w:t>
      </w:r>
      <w:r>
        <w:rPr>
          <w:i/>
          <w:iCs/>
          <w:color w:val="auto"/>
          <w:szCs w:val="21"/>
          <w:highlight w:val="none"/>
        </w:rPr>
        <w:t>α</w:t>
      </w:r>
      <w:r>
        <w:rPr>
          <w:color w:val="auto"/>
          <w:szCs w:val="21"/>
          <w:highlight w:val="none"/>
          <w:vertAlign w:val="subscript"/>
        </w:rPr>
        <w:t>3</w:t>
      </w:r>
    </w:p>
    <w:tbl>
      <w:tblPr>
        <w:tblStyle w:val="23"/>
        <w:tblW w:w="840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5"/>
        <w:gridCol w:w="623"/>
        <w:gridCol w:w="623"/>
        <w:gridCol w:w="623"/>
        <w:gridCol w:w="623"/>
        <w:gridCol w:w="623"/>
        <w:gridCol w:w="623"/>
        <w:gridCol w:w="623"/>
        <w:gridCol w:w="623"/>
        <w:gridCol w:w="623"/>
        <w:gridCol w:w="623"/>
        <w:gridCol w:w="623"/>
        <w:gridCol w:w="6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5" w:type="dxa"/>
            <w:tcBorders>
              <w:top w:val="single" w:color="000000" w:sz="12" w:space="0"/>
              <w:left w:val="single" w:color="000000" w:sz="12" w:space="0"/>
              <w:right w:val="single" w:color="000000" w:sz="4" w:space="0"/>
            </w:tcBorders>
            <w:vAlign w:val="center"/>
          </w:tcPr>
          <w:p>
            <w:pPr>
              <w:rPr>
                <w:color w:val="auto"/>
                <w:sz w:val="20"/>
                <w:szCs w:val="20"/>
                <w:highlight w:val="none"/>
              </w:rPr>
            </w:pPr>
            <w:r>
              <w:rPr>
                <w:color w:val="auto"/>
                <w:sz w:val="20"/>
                <w:szCs w:val="20"/>
                <w:highlight w:val="none"/>
              </w:rPr>
              <w:t>杆长(m)</w:t>
            </w:r>
          </w:p>
        </w:tc>
        <w:tc>
          <w:tcPr>
            <w:tcW w:w="623"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rFonts w:hint="eastAsia" w:ascii="宋体" w:hAnsi="宋体" w:cs="宋体"/>
                <w:color w:val="auto"/>
                <w:sz w:val="20"/>
                <w:szCs w:val="20"/>
                <w:highlight w:val="none"/>
              </w:rPr>
              <w:t>≤</w:t>
            </w:r>
            <w:r>
              <w:rPr>
                <w:color w:val="auto"/>
                <w:sz w:val="20"/>
                <w:szCs w:val="20"/>
                <w:highlight w:val="none"/>
              </w:rPr>
              <w:t>3</w:t>
            </w:r>
          </w:p>
        </w:tc>
        <w:tc>
          <w:tcPr>
            <w:tcW w:w="623"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6</w:t>
            </w:r>
          </w:p>
        </w:tc>
        <w:tc>
          <w:tcPr>
            <w:tcW w:w="623"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9</w:t>
            </w:r>
          </w:p>
        </w:tc>
        <w:tc>
          <w:tcPr>
            <w:tcW w:w="623"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12</w:t>
            </w:r>
          </w:p>
        </w:tc>
        <w:tc>
          <w:tcPr>
            <w:tcW w:w="623"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15</w:t>
            </w:r>
          </w:p>
        </w:tc>
        <w:tc>
          <w:tcPr>
            <w:tcW w:w="623"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18</w:t>
            </w:r>
          </w:p>
        </w:tc>
        <w:tc>
          <w:tcPr>
            <w:tcW w:w="623"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21</w:t>
            </w:r>
          </w:p>
        </w:tc>
        <w:tc>
          <w:tcPr>
            <w:tcW w:w="623"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24</w:t>
            </w:r>
          </w:p>
        </w:tc>
        <w:tc>
          <w:tcPr>
            <w:tcW w:w="623"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27</w:t>
            </w:r>
          </w:p>
        </w:tc>
        <w:tc>
          <w:tcPr>
            <w:tcW w:w="623"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30</w:t>
            </w:r>
          </w:p>
        </w:tc>
        <w:tc>
          <w:tcPr>
            <w:tcW w:w="623" w:type="dxa"/>
            <w:tcBorders>
              <w:top w:val="single" w:color="000000" w:sz="12" w:space="0"/>
              <w:left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33</w:t>
            </w:r>
          </w:p>
        </w:tc>
        <w:tc>
          <w:tcPr>
            <w:tcW w:w="627" w:type="dxa"/>
            <w:tcBorders>
              <w:top w:val="single" w:color="000000" w:sz="12" w:space="0"/>
              <w:left w:val="single" w:color="000000" w:sz="4" w:space="0"/>
              <w:right w:val="single" w:color="000000" w:sz="12" w:space="0"/>
            </w:tcBorders>
            <w:vAlign w:val="center"/>
          </w:tcPr>
          <w:p>
            <w:pPr>
              <w:jc w:val="center"/>
              <w:rPr>
                <w:color w:val="auto"/>
                <w:sz w:val="20"/>
                <w:szCs w:val="20"/>
                <w:highlight w:val="none"/>
              </w:rPr>
            </w:pPr>
            <w:r>
              <w:rPr>
                <w:color w:val="auto"/>
                <w:sz w:val="20"/>
                <w:szCs w:val="20"/>
                <w:highlight w:val="none"/>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5" w:type="dxa"/>
            <w:tcBorders>
              <w:left w:val="single" w:color="000000" w:sz="12"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α</w:t>
            </w:r>
            <w:r>
              <w:rPr>
                <w:color w:val="auto"/>
                <w:sz w:val="20"/>
                <w:szCs w:val="20"/>
                <w:highlight w:val="none"/>
                <w:vertAlign w:val="subscript"/>
              </w:rPr>
              <w:t>3</w:t>
            </w:r>
          </w:p>
        </w:tc>
        <w:tc>
          <w:tcPr>
            <w:tcW w:w="623"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1.00</w:t>
            </w:r>
          </w:p>
        </w:tc>
        <w:tc>
          <w:tcPr>
            <w:tcW w:w="623"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0.92</w:t>
            </w:r>
          </w:p>
        </w:tc>
        <w:tc>
          <w:tcPr>
            <w:tcW w:w="623"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0.86</w:t>
            </w:r>
          </w:p>
        </w:tc>
        <w:tc>
          <w:tcPr>
            <w:tcW w:w="623"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0.81</w:t>
            </w:r>
          </w:p>
        </w:tc>
        <w:tc>
          <w:tcPr>
            <w:tcW w:w="623"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0.77</w:t>
            </w:r>
          </w:p>
        </w:tc>
        <w:tc>
          <w:tcPr>
            <w:tcW w:w="623"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0.73</w:t>
            </w:r>
          </w:p>
        </w:tc>
        <w:tc>
          <w:tcPr>
            <w:tcW w:w="623"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0.70</w:t>
            </w:r>
          </w:p>
        </w:tc>
        <w:tc>
          <w:tcPr>
            <w:tcW w:w="623"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0.67</w:t>
            </w:r>
          </w:p>
        </w:tc>
        <w:tc>
          <w:tcPr>
            <w:tcW w:w="623"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0.64</w:t>
            </w:r>
          </w:p>
        </w:tc>
        <w:tc>
          <w:tcPr>
            <w:tcW w:w="623"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0.61</w:t>
            </w:r>
          </w:p>
        </w:tc>
        <w:tc>
          <w:tcPr>
            <w:tcW w:w="623" w:type="dxa"/>
            <w:tcBorders>
              <w:left w:val="single" w:color="000000" w:sz="4" w:space="0"/>
              <w:bottom w:val="single" w:color="000000" w:sz="12" w:space="0"/>
              <w:right w:val="single" w:color="000000" w:sz="4" w:space="0"/>
            </w:tcBorders>
            <w:vAlign w:val="center"/>
          </w:tcPr>
          <w:p>
            <w:pPr>
              <w:spacing w:before="31" w:beforeLines="10" w:after="31" w:afterLines="10"/>
              <w:jc w:val="center"/>
              <w:rPr>
                <w:color w:val="auto"/>
                <w:sz w:val="20"/>
                <w:szCs w:val="20"/>
                <w:highlight w:val="none"/>
              </w:rPr>
            </w:pPr>
            <w:r>
              <w:rPr>
                <w:color w:val="auto"/>
                <w:sz w:val="20"/>
                <w:szCs w:val="20"/>
                <w:highlight w:val="none"/>
              </w:rPr>
              <w:t>0.58</w:t>
            </w:r>
          </w:p>
        </w:tc>
        <w:tc>
          <w:tcPr>
            <w:tcW w:w="627" w:type="dxa"/>
            <w:tcBorders>
              <w:left w:val="single" w:color="000000" w:sz="4" w:space="0"/>
              <w:bottom w:val="single" w:color="000000" w:sz="12" w:space="0"/>
              <w:right w:val="single" w:color="000000" w:sz="12" w:space="0"/>
            </w:tcBorders>
            <w:vAlign w:val="center"/>
          </w:tcPr>
          <w:p>
            <w:pPr>
              <w:spacing w:before="31" w:beforeLines="10" w:after="31" w:afterLines="10"/>
              <w:jc w:val="center"/>
              <w:rPr>
                <w:color w:val="auto"/>
                <w:sz w:val="20"/>
                <w:szCs w:val="20"/>
                <w:highlight w:val="none"/>
              </w:rPr>
            </w:pPr>
            <w:r>
              <w:rPr>
                <w:color w:val="auto"/>
                <w:sz w:val="20"/>
                <w:szCs w:val="20"/>
                <w:highlight w:val="none"/>
              </w:rPr>
              <w:t>0.55</w:t>
            </w:r>
          </w:p>
        </w:tc>
      </w:tr>
    </w:tbl>
    <w:p>
      <w:pPr>
        <w:rPr>
          <w:color w:val="auto"/>
          <w:sz w:val="10"/>
          <w:szCs w:val="10"/>
          <w:highlight w:val="none"/>
        </w:rPr>
      </w:pPr>
      <w:r>
        <w:rPr>
          <w:color w:val="auto"/>
          <w:sz w:val="10"/>
          <w:szCs w:val="10"/>
          <w:highlight w:val="none"/>
        </w:rPr>
        <w:br w:type="page"/>
      </w:r>
    </w:p>
    <w:p>
      <w:pPr>
        <w:widowControl/>
        <w:jc w:val="left"/>
        <w:rPr>
          <w:color w:val="auto"/>
          <w:sz w:val="10"/>
          <w:szCs w:val="10"/>
          <w:highlight w:val="none"/>
        </w:rPr>
      </w:pPr>
    </w:p>
    <w:p>
      <w:pPr>
        <w:pStyle w:val="2"/>
        <w:rPr>
          <w:b/>
          <w:bCs/>
          <w:color w:val="auto"/>
          <w:sz w:val="32"/>
          <w:szCs w:val="32"/>
          <w:highlight w:val="none"/>
        </w:rPr>
      </w:pPr>
      <w:bookmarkStart w:id="295" w:name="_Toc11145"/>
      <w:bookmarkStart w:id="296" w:name="_Toc30141"/>
      <w:bookmarkStart w:id="297" w:name="_Toc32068"/>
      <w:r>
        <w:rPr>
          <w:b/>
          <w:bCs/>
          <w:color w:val="auto"/>
          <w:sz w:val="32"/>
          <w:szCs w:val="32"/>
          <w:highlight w:val="none"/>
        </w:rPr>
        <w:t>附录</w:t>
      </w:r>
      <w:r>
        <w:rPr>
          <w:rFonts w:hint="eastAsia"/>
          <w:b/>
          <w:bCs/>
          <w:color w:val="auto"/>
          <w:sz w:val="32"/>
          <w:szCs w:val="32"/>
          <w:highlight w:val="none"/>
        </w:rPr>
        <w:t>E　</w:t>
      </w:r>
      <w:r>
        <w:rPr>
          <w:b/>
          <w:bCs/>
          <w:color w:val="auto"/>
          <w:sz w:val="32"/>
          <w:szCs w:val="32"/>
          <w:highlight w:val="none"/>
        </w:rPr>
        <w:t>路基干湿状态</w:t>
      </w:r>
      <w:bookmarkEnd w:id="295"/>
      <w:bookmarkEnd w:id="296"/>
      <w:bookmarkEnd w:id="297"/>
    </w:p>
    <w:p>
      <w:pPr>
        <w:spacing w:line="360" w:lineRule="auto"/>
        <w:rPr>
          <w:color w:val="auto"/>
          <w:szCs w:val="21"/>
          <w:highlight w:val="none"/>
        </w:rPr>
      </w:pPr>
      <w:r>
        <w:rPr>
          <w:rFonts w:hint="eastAsia"/>
          <w:b/>
          <w:bCs/>
          <w:color w:val="auto"/>
          <w:szCs w:val="21"/>
          <w:highlight w:val="none"/>
        </w:rPr>
        <w:t>E</w:t>
      </w:r>
      <w:r>
        <w:rPr>
          <w:b/>
          <w:bCs/>
          <w:color w:val="auto"/>
          <w:szCs w:val="21"/>
          <w:highlight w:val="none"/>
        </w:rPr>
        <w:t>.0.</w:t>
      </w:r>
      <w:r>
        <w:rPr>
          <w:rFonts w:hint="eastAsia"/>
          <w:b/>
          <w:bCs/>
          <w:color w:val="auto"/>
          <w:szCs w:val="21"/>
          <w:highlight w:val="none"/>
        </w:rPr>
        <w:t>1</w:t>
      </w:r>
      <w:r>
        <w:rPr>
          <w:rFonts w:hint="eastAsia"/>
          <w:color w:val="auto"/>
          <w:szCs w:val="21"/>
          <w:highlight w:val="none"/>
        </w:rPr>
        <w:t>　路基干湿状态可根据土的稠度，按表E.0.1-1进行划分</w:t>
      </w:r>
      <w:r>
        <w:rPr>
          <w:color w:val="auto"/>
          <w:szCs w:val="21"/>
          <w:highlight w:val="none"/>
        </w:rPr>
        <w:t>。</w:t>
      </w:r>
      <w:r>
        <w:rPr>
          <w:rFonts w:hint="eastAsia"/>
          <w:color w:val="auto"/>
          <w:szCs w:val="21"/>
          <w:highlight w:val="none"/>
        </w:rPr>
        <w:t>当缺少资料时，也可根据路基相对高度，按表E.0.1-2确定。</w:t>
      </w:r>
    </w:p>
    <w:p>
      <w:pPr>
        <w:spacing w:line="360" w:lineRule="auto"/>
        <w:jc w:val="center"/>
        <w:rPr>
          <w:color w:val="auto"/>
          <w:szCs w:val="21"/>
          <w:highlight w:val="none"/>
        </w:rPr>
      </w:pPr>
      <w:r>
        <w:rPr>
          <w:b/>
          <w:bCs/>
          <w:color w:val="auto"/>
          <w:szCs w:val="21"/>
          <w:highlight w:val="none"/>
        </w:rPr>
        <w:t>表</w:t>
      </w:r>
      <w:r>
        <w:rPr>
          <w:rFonts w:hint="eastAsia"/>
          <w:b/>
          <w:bCs/>
          <w:color w:val="auto"/>
          <w:szCs w:val="21"/>
          <w:highlight w:val="none"/>
        </w:rPr>
        <w:t>E.0.1-1　</w:t>
      </w:r>
      <w:r>
        <w:rPr>
          <w:b/>
          <w:bCs/>
          <w:color w:val="auto"/>
          <w:szCs w:val="21"/>
          <w:highlight w:val="none"/>
        </w:rPr>
        <w:t>路基干湿状态的分界稠度值</w:t>
      </w:r>
    </w:p>
    <w:tbl>
      <w:tblPr>
        <w:tblStyle w:val="22"/>
        <w:tblW w:w="82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1705"/>
        <w:gridCol w:w="1705"/>
        <w:gridCol w:w="1705"/>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31" w:type="dxa"/>
            <w:vMerge w:val="restart"/>
            <w:tcBorders>
              <w:top w:val="single" w:color="000000" w:sz="12" w:space="0"/>
              <w:left w:val="single" w:color="000000" w:sz="12" w:space="0"/>
              <w:bottom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土质类别</w:t>
            </w:r>
          </w:p>
        </w:tc>
        <w:tc>
          <w:tcPr>
            <w:tcW w:w="6823" w:type="dxa"/>
            <w:gridSpan w:val="4"/>
            <w:tcBorders>
              <w:top w:val="single" w:color="000000" w:sz="12" w:space="0"/>
              <w:left w:val="single" w:color="000000" w:sz="4" w:space="0"/>
              <w:bottom w:val="single" w:color="000000" w:sz="4" w:space="0"/>
              <w:right w:val="single" w:color="000000" w:sz="12" w:space="0"/>
            </w:tcBorders>
            <w:vAlign w:val="center"/>
          </w:tcPr>
          <w:p>
            <w:pPr>
              <w:jc w:val="center"/>
              <w:rPr>
                <w:color w:val="auto"/>
                <w:sz w:val="20"/>
                <w:szCs w:val="20"/>
                <w:highlight w:val="none"/>
              </w:rPr>
            </w:pPr>
            <w:r>
              <w:rPr>
                <w:color w:val="auto"/>
                <w:sz w:val="20"/>
                <w:szCs w:val="20"/>
                <w:highlight w:val="none"/>
              </w:rPr>
              <w:t>干湿状态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31" w:type="dxa"/>
            <w:vMerge w:val="continue"/>
            <w:tcBorders>
              <w:top w:val="single" w:color="000000" w:sz="4" w:space="0"/>
              <w:left w:val="single" w:color="000000" w:sz="12" w:space="0"/>
              <w:bottom w:val="single" w:color="000000" w:sz="4" w:space="0"/>
              <w:right w:val="single" w:color="000000" w:sz="4" w:space="0"/>
            </w:tcBorders>
          </w:tcPr>
          <w:p>
            <w:pPr>
              <w:jc w:val="center"/>
              <w:rPr>
                <w:color w:val="auto"/>
                <w:sz w:val="20"/>
                <w:szCs w:val="20"/>
                <w:highlight w:val="none"/>
              </w:rPr>
            </w:pPr>
          </w:p>
        </w:tc>
        <w:tc>
          <w:tcPr>
            <w:tcW w:w="1705"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干燥</w:t>
            </w:r>
          </w:p>
        </w:tc>
        <w:tc>
          <w:tcPr>
            <w:tcW w:w="1705"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中湿</w:t>
            </w:r>
          </w:p>
        </w:tc>
        <w:tc>
          <w:tcPr>
            <w:tcW w:w="1705"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潮湿</w:t>
            </w:r>
          </w:p>
        </w:tc>
        <w:tc>
          <w:tcPr>
            <w:tcW w:w="1708" w:type="dxa"/>
            <w:tcBorders>
              <w:top w:val="single" w:color="000000" w:sz="4" w:space="0"/>
              <w:left w:val="single" w:color="000000" w:sz="4" w:space="0"/>
              <w:bottom w:val="single" w:color="000000" w:sz="4" w:space="0"/>
              <w:right w:val="single" w:color="000000" w:sz="12" w:space="0"/>
            </w:tcBorders>
            <w:vAlign w:val="center"/>
          </w:tcPr>
          <w:p>
            <w:pPr>
              <w:jc w:val="center"/>
              <w:rPr>
                <w:color w:val="auto"/>
                <w:sz w:val="20"/>
                <w:szCs w:val="20"/>
                <w:highlight w:val="none"/>
              </w:rPr>
            </w:pPr>
            <w:r>
              <w:rPr>
                <w:color w:val="auto"/>
                <w:sz w:val="20"/>
                <w:szCs w:val="20"/>
                <w:highlight w:val="none"/>
              </w:rPr>
              <w:t>过湿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31" w:type="dxa"/>
            <w:vMerge w:val="continue"/>
            <w:tcBorders>
              <w:top w:val="single" w:color="000000" w:sz="4" w:space="0"/>
              <w:left w:val="single" w:color="000000" w:sz="12" w:space="0"/>
              <w:bottom w:val="single" w:color="000000" w:sz="4" w:space="0"/>
              <w:right w:val="single" w:color="000000" w:sz="4" w:space="0"/>
            </w:tcBorders>
          </w:tcPr>
          <w:p>
            <w:pPr>
              <w:jc w:val="center"/>
              <w:rPr>
                <w:color w:val="auto"/>
                <w:sz w:val="20"/>
                <w:szCs w:val="20"/>
                <w:highlight w:val="none"/>
              </w:rPr>
            </w:pPr>
          </w:p>
        </w:tc>
        <w:tc>
          <w:tcPr>
            <w:tcW w:w="1705"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color w:val="auto"/>
                <w:sz w:val="20"/>
                <w:szCs w:val="20"/>
                <w:highlight w:val="none"/>
              </w:rPr>
            </w:pPr>
            <w:r>
              <w:rPr>
                <w:color w:val="auto"/>
                <w:position w:val="-8"/>
                <w:sz w:val="20"/>
                <w:szCs w:val="20"/>
                <w:highlight w:val="none"/>
              </w:rPr>
              <w:drawing>
                <wp:inline distT="0" distB="0" distL="114300" distR="114300">
                  <wp:extent cx="152400" cy="200025"/>
                  <wp:effectExtent l="0" t="0" r="0" b="6350"/>
                  <wp:docPr id="4"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3"/>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152400" cy="200025"/>
                          </a:xfrm>
                          <a:prstGeom prst="rect">
                            <a:avLst/>
                          </a:prstGeom>
                          <a:noFill/>
                          <a:ln>
                            <a:noFill/>
                          </a:ln>
                        </pic:spPr>
                      </pic:pic>
                    </a:graphicData>
                  </a:graphic>
                </wp:inline>
              </w:drawing>
            </w:r>
            <w:r>
              <w:rPr>
                <w:color w:val="auto"/>
                <w:sz w:val="20"/>
                <w:szCs w:val="20"/>
                <w:highlight w:val="none"/>
              </w:rPr>
              <w:fldChar w:fldCharType="begin"/>
            </w:r>
            <w:r>
              <w:rPr>
                <w:color w:val="auto"/>
                <w:sz w:val="20"/>
                <w:szCs w:val="20"/>
                <w:highlight w:val="none"/>
              </w:rPr>
              <w:instrText xml:space="preserve"> QUOTE </w:instrText>
            </w:r>
            <w:r>
              <w:rPr>
                <w:color w:val="auto"/>
                <w:position w:val="-8"/>
                <w:sz w:val="20"/>
                <w:szCs w:val="20"/>
                <w:highlight w:val="none"/>
              </w:rPr>
              <w:pict>
                <v:shape id="_x0000_i1038"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07CE8&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107CE8&quot; wsp:rsidP=&quot;00107CE8&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instrText xml:space="preserve"> </w:instrText>
            </w:r>
            <w:r>
              <w:rPr>
                <w:color w:val="auto"/>
                <w:sz w:val="20"/>
                <w:szCs w:val="20"/>
                <w:highlight w:val="none"/>
              </w:rPr>
              <w:fldChar w:fldCharType="end"/>
            </w:r>
            <w:r>
              <w:rPr>
                <w:rFonts w:hint="eastAsia" w:ascii="宋体" w:hAnsi="宋体" w:cs="宋体"/>
                <w:color w:val="auto"/>
                <w:sz w:val="20"/>
                <w:szCs w:val="20"/>
                <w:highlight w:val="none"/>
              </w:rPr>
              <w:t>≥</w:t>
            </w:r>
            <w:r>
              <w:rPr>
                <w:color w:val="auto"/>
                <w:sz w:val="20"/>
                <w:szCs w:val="20"/>
                <w:highlight w:val="none"/>
              </w:rPr>
              <w:fldChar w:fldCharType="begin"/>
            </w:r>
            <w:r>
              <w:rPr>
                <w:color w:val="auto"/>
                <w:sz w:val="20"/>
                <w:szCs w:val="20"/>
                <w:highlight w:val="none"/>
              </w:rPr>
              <w:instrText xml:space="preserve"> QUOTE </w:instrText>
            </w:r>
            <w:r>
              <w:rPr>
                <w:color w:val="auto"/>
                <w:position w:val="-8"/>
                <w:sz w:val="20"/>
                <w:szCs w:val="20"/>
                <w:highlight w:val="none"/>
              </w:rPr>
              <w:pict>
                <v:shape id="_x0000_i1039" o:spt="75" type="#_x0000_t75" style="height:15.75pt;width:16.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2B518F&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2B518F&quot; wsp:rsidP=&quot;002B518F&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30" chromakey="#FFFFFF" o:title=""/>
                  <o:lock v:ext="edit" aspectratio="t"/>
                  <w10:wrap type="none"/>
                  <w10:anchorlock/>
                </v:shape>
              </w:pict>
            </w:r>
            <w:r>
              <w:rPr>
                <w:color w:val="auto"/>
                <w:sz w:val="20"/>
                <w:szCs w:val="20"/>
                <w:highlight w:val="none"/>
              </w:rPr>
              <w:instrText xml:space="preserve"> </w:instrText>
            </w:r>
            <w:r>
              <w:rPr>
                <w:color w:val="auto"/>
                <w:sz w:val="20"/>
                <w:szCs w:val="20"/>
                <w:highlight w:val="none"/>
              </w:rPr>
              <w:fldChar w:fldCharType="separate"/>
            </w:r>
            <w:r>
              <w:rPr>
                <w:color w:val="auto"/>
                <w:position w:val="-8"/>
                <w:sz w:val="20"/>
                <w:szCs w:val="20"/>
                <w:highlight w:val="none"/>
              </w:rPr>
              <w:pict>
                <v:shape id="_x0000_i1040" o:spt="75" type="#_x0000_t75" style="height:15.75pt;width:16.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2B518F&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2B518F&quot; wsp:rsidP=&quot;002B518F&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30" chromakey="#FFFFFF" o:title=""/>
                  <o:lock v:ext="edit" aspectratio="t"/>
                  <w10:wrap type="none"/>
                  <w10:anchorlock/>
                </v:shape>
              </w:pict>
            </w:r>
            <w:r>
              <w:rPr>
                <w:color w:val="auto"/>
                <w:sz w:val="20"/>
                <w:szCs w:val="20"/>
                <w:highlight w:val="none"/>
              </w:rPr>
              <w:fldChar w:fldCharType="end"/>
            </w:r>
          </w:p>
        </w:tc>
        <w:tc>
          <w:tcPr>
            <w:tcW w:w="1705"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color w:val="auto"/>
                <w:sz w:val="20"/>
                <w:szCs w:val="20"/>
                <w:highlight w:val="none"/>
              </w:rPr>
            </w:pPr>
            <w:r>
              <w:rPr>
                <w:color w:val="auto"/>
                <w:sz w:val="20"/>
                <w:szCs w:val="20"/>
                <w:highlight w:val="none"/>
              </w:rPr>
              <w:fldChar w:fldCharType="begin"/>
            </w:r>
            <w:r>
              <w:rPr>
                <w:color w:val="auto"/>
                <w:sz w:val="20"/>
                <w:szCs w:val="20"/>
                <w:highlight w:val="none"/>
              </w:rPr>
              <w:instrText xml:space="preserve"> QUOTE </w:instrText>
            </w:r>
            <w:r>
              <w:rPr>
                <w:color w:val="auto"/>
                <w:position w:val="-8"/>
                <w:sz w:val="20"/>
                <w:szCs w:val="20"/>
                <w:highlight w:val="none"/>
              </w:rPr>
              <w:pict>
                <v:shape id="_x0000_i1041" o:spt="75" type="#_x0000_t75" style="height:15.75pt;width:16.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80299&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A80299&quot; wsp:rsidP=&quot;00A80299&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30" chromakey="#FFFFFF" o:title=""/>
                  <o:lock v:ext="edit" aspectratio="t"/>
                  <w10:wrap type="none"/>
                  <w10:anchorlock/>
                </v:shape>
              </w:pict>
            </w:r>
            <w:r>
              <w:rPr>
                <w:color w:val="auto"/>
                <w:sz w:val="20"/>
                <w:szCs w:val="20"/>
                <w:highlight w:val="none"/>
              </w:rPr>
              <w:instrText xml:space="preserve"> </w:instrText>
            </w:r>
            <w:r>
              <w:rPr>
                <w:color w:val="auto"/>
                <w:sz w:val="20"/>
                <w:szCs w:val="20"/>
                <w:highlight w:val="none"/>
              </w:rPr>
              <w:fldChar w:fldCharType="separate"/>
            </w:r>
            <w:r>
              <w:rPr>
                <w:color w:val="auto"/>
                <w:position w:val="-8"/>
                <w:sz w:val="20"/>
                <w:szCs w:val="20"/>
                <w:highlight w:val="none"/>
              </w:rPr>
              <w:pict>
                <v:shape id="_x0000_i1042" o:spt="75" type="#_x0000_t75" style="height:15.75pt;width:16.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80299&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A80299&quot; wsp:rsidP=&quot;00A80299&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30" chromakey="#FFFFFF" o:title=""/>
                  <o:lock v:ext="edit" aspectratio="t"/>
                  <w10:wrap type="none"/>
                  <w10:anchorlock/>
                </v:shape>
              </w:pict>
            </w:r>
            <w:r>
              <w:rPr>
                <w:color w:val="auto"/>
                <w:sz w:val="20"/>
                <w:szCs w:val="20"/>
                <w:highlight w:val="none"/>
              </w:rPr>
              <w:fldChar w:fldCharType="end"/>
            </w:r>
            <w:r>
              <w:rPr>
                <w:color w:val="auto"/>
                <w:sz w:val="20"/>
                <w:szCs w:val="20"/>
                <w:highlight w:val="none"/>
              </w:rPr>
              <w:t>&gt;</w:t>
            </w:r>
            <w:r>
              <w:rPr>
                <w:color w:val="auto"/>
                <w:sz w:val="20"/>
                <w:szCs w:val="20"/>
                <w:highlight w:val="none"/>
              </w:rPr>
              <w:fldChar w:fldCharType="begin"/>
            </w:r>
            <w:r>
              <w:rPr>
                <w:color w:val="auto"/>
                <w:sz w:val="20"/>
                <w:szCs w:val="20"/>
                <w:highlight w:val="none"/>
              </w:rPr>
              <w:instrText xml:space="preserve"> QUOTE </w:instrText>
            </w:r>
            <w:r>
              <w:rPr>
                <w:color w:val="auto"/>
                <w:position w:val="-8"/>
                <w:sz w:val="20"/>
                <w:szCs w:val="20"/>
                <w:highlight w:val="none"/>
              </w:rPr>
              <w:pict>
                <v:shape id="_x0000_i1043"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01DA7&quot;/&gt;&lt;wsp:rsid wsp:val=&quot;00F83540&quot;/&gt;&lt;/wsp:rsids&gt;&lt;/w:docPr&gt;&lt;w:body&gt;&lt;wx:sect&gt;&lt;w:p wsp:rsidR=&quot;00000000&quot; wsp:rsidRDefault=&quot;00F01DA7&quot; wsp:rsidP=&quot;00F01DA7&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instrText xml:space="preserve"> </w:instrText>
            </w:r>
            <w:r>
              <w:rPr>
                <w:color w:val="auto"/>
                <w:sz w:val="20"/>
                <w:szCs w:val="20"/>
                <w:highlight w:val="none"/>
              </w:rPr>
              <w:fldChar w:fldCharType="separate"/>
            </w:r>
            <w:r>
              <w:rPr>
                <w:color w:val="auto"/>
                <w:position w:val="-8"/>
                <w:sz w:val="20"/>
                <w:szCs w:val="20"/>
                <w:highlight w:val="none"/>
              </w:rPr>
              <w:pict>
                <v:shape id="_x0000_i1044"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01DA7&quot;/&gt;&lt;wsp:rsid wsp:val=&quot;00F83540&quot;/&gt;&lt;/wsp:rsids&gt;&lt;/w:docPr&gt;&lt;w:body&gt;&lt;wx:sect&gt;&lt;w:p wsp:rsidR=&quot;00000000&quot; wsp:rsidRDefault=&quot;00F01DA7&quot; wsp:rsidP=&quot;00F01DA7&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fldChar w:fldCharType="end"/>
            </w:r>
            <w:r>
              <w:rPr>
                <w:rFonts w:hint="eastAsia" w:ascii="宋体" w:hAnsi="宋体" w:cs="宋体"/>
                <w:color w:val="auto"/>
                <w:sz w:val="20"/>
                <w:szCs w:val="20"/>
                <w:highlight w:val="none"/>
              </w:rPr>
              <w:t>≥</w:t>
            </w:r>
            <w:r>
              <w:rPr>
                <w:color w:val="auto"/>
                <w:position w:val="-8"/>
                <w:sz w:val="20"/>
                <w:szCs w:val="20"/>
                <w:highlight w:val="none"/>
              </w:rPr>
              <w:drawing>
                <wp:inline distT="0" distB="0" distL="114300" distR="114300">
                  <wp:extent cx="209550" cy="200025"/>
                  <wp:effectExtent l="0" t="0" r="0" b="6350"/>
                  <wp:docPr id="2"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9"/>
                          <pic:cNvPicPr>
                            <a:picLocks noChangeAspect="1"/>
                          </pic:cNvPicPr>
                        </pic:nvPicPr>
                        <pic:blipFill>
                          <a:blip r:embed="rId31">
                            <a:clrChange>
                              <a:clrFrom>
                                <a:srgbClr val="FFFFFF"/>
                              </a:clrFrom>
                              <a:clrTo>
                                <a:srgbClr val="FFFFFF">
                                  <a:alpha val="0"/>
                                </a:srgbClr>
                              </a:clrTo>
                            </a:clrChange>
                          </a:blip>
                          <a:stretch>
                            <a:fillRect/>
                          </a:stretch>
                        </pic:blipFill>
                        <pic:spPr>
                          <a:xfrm>
                            <a:off x="0" y="0"/>
                            <a:ext cx="209550" cy="200025"/>
                          </a:xfrm>
                          <a:prstGeom prst="rect">
                            <a:avLst/>
                          </a:prstGeom>
                          <a:noFill/>
                          <a:ln>
                            <a:noFill/>
                          </a:ln>
                        </pic:spPr>
                      </pic:pic>
                    </a:graphicData>
                  </a:graphic>
                </wp:inline>
              </w:drawing>
            </w:r>
            <w:r>
              <w:rPr>
                <w:color w:val="auto"/>
                <w:sz w:val="20"/>
                <w:szCs w:val="20"/>
                <w:highlight w:val="none"/>
              </w:rPr>
              <w:fldChar w:fldCharType="begin"/>
            </w:r>
            <w:r>
              <w:rPr>
                <w:color w:val="auto"/>
                <w:sz w:val="20"/>
                <w:szCs w:val="20"/>
                <w:highlight w:val="none"/>
              </w:rPr>
              <w:instrText xml:space="preserve"> QUOTE </w:instrText>
            </w:r>
            <w:r>
              <w:rPr>
                <w:color w:val="auto"/>
                <w:position w:val="-8"/>
                <w:sz w:val="20"/>
                <w:szCs w:val="20"/>
                <w:highlight w:val="none"/>
              </w:rPr>
              <w:pict>
                <v:shape id="_x0000_i1045" o:spt="75" type="#_x0000_t75" style="height:15.75pt;width:16.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9B0EF4&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9B0EF4&quot; wsp:rsidP=&quot;009B0EF4&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31" chromakey="#FFFFFF" o:title=""/>
                  <o:lock v:ext="edit" aspectratio="t"/>
                  <w10:wrap type="none"/>
                  <w10:anchorlock/>
                </v:shape>
              </w:pict>
            </w:r>
            <w:r>
              <w:rPr>
                <w:color w:val="auto"/>
                <w:sz w:val="20"/>
                <w:szCs w:val="20"/>
                <w:highlight w:val="none"/>
              </w:rPr>
              <w:instrText xml:space="preserve"> </w:instrText>
            </w:r>
            <w:r>
              <w:rPr>
                <w:color w:val="auto"/>
                <w:sz w:val="20"/>
                <w:szCs w:val="20"/>
                <w:highlight w:val="none"/>
              </w:rPr>
              <w:fldChar w:fldCharType="end"/>
            </w:r>
          </w:p>
        </w:tc>
        <w:tc>
          <w:tcPr>
            <w:tcW w:w="1705"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color w:val="auto"/>
                <w:sz w:val="20"/>
                <w:szCs w:val="20"/>
                <w:highlight w:val="none"/>
              </w:rPr>
            </w:pPr>
            <w:r>
              <w:rPr>
                <w:color w:val="auto"/>
                <w:sz w:val="20"/>
                <w:szCs w:val="20"/>
                <w:highlight w:val="none"/>
              </w:rPr>
              <w:fldChar w:fldCharType="begin"/>
            </w:r>
            <w:r>
              <w:rPr>
                <w:color w:val="auto"/>
                <w:sz w:val="20"/>
                <w:szCs w:val="20"/>
                <w:highlight w:val="none"/>
              </w:rPr>
              <w:instrText xml:space="preserve"> QUOTE </w:instrText>
            </w:r>
            <w:r>
              <w:rPr>
                <w:color w:val="auto"/>
                <w:position w:val="-8"/>
                <w:sz w:val="20"/>
                <w:szCs w:val="20"/>
                <w:highlight w:val="none"/>
              </w:rPr>
              <w:pict>
                <v:shape id="_x0000_i1046" o:spt="75" type="#_x0000_t75" style="height:15.75pt;width:16.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1D7FF0&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1D7FF0&quot; wsp:rsidP=&quot;001D7FF0&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31" chromakey="#FFFFFF" o:title=""/>
                  <o:lock v:ext="edit" aspectratio="t"/>
                  <w10:wrap type="none"/>
                  <w10:anchorlock/>
                </v:shape>
              </w:pict>
            </w:r>
            <w:r>
              <w:rPr>
                <w:color w:val="auto"/>
                <w:sz w:val="20"/>
                <w:szCs w:val="20"/>
                <w:highlight w:val="none"/>
              </w:rPr>
              <w:instrText xml:space="preserve"> </w:instrText>
            </w:r>
            <w:r>
              <w:rPr>
                <w:color w:val="auto"/>
                <w:sz w:val="20"/>
                <w:szCs w:val="20"/>
                <w:highlight w:val="none"/>
              </w:rPr>
              <w:fldChar w:fldCharType="separate"/>
            </w:r>
            <w:r>
              <w:rPr>
                <w:color w:val="auto"/>
                <w:position w:val="-8"/>
                <w:sz w:val="20"/>
                <w:szCs w:val="20"/>
                <w:highlight w:val="none"/>
              </w:rPr>
              <w:pict>
                <v:shape id="_x0000_i1047" o:spt="75" type="#_x0000_t75" style="height:15.75pt;width:16.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1D7FF0&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1D7FF0&quot; wsp:rsidP=&quot;001D7FF0&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31" chromakey="#FFFFFF" o:title=""/>
                  <o:lock v:ext="edit" aspectratio="t"/>
                  <w10:wrap type="none"/>
                  <w10:anchorlock/>
                </v:shape>
              </w:pict>
            </w:r>
            <w:r>
              <w:rPr>
                <w:color w:val="auto"/>
                <w:sz w:val="20"/>
                <w:szCs w:val="20"/>
                <w:highlight w:val="none"/>
              </w:rPr>
              <w:fldChar w:fldCharType="end"/>
            </w:r>
            <w:r>
              <w:rPr>
                <w:color w:val="auto"/>
                <w:sz w:val="20"/>
                <w:szCs w:val="20"/>
                <w:highlight w:val="none"/>
              </w:rPr>
              <w:t>&gt;</w:t>
            </w:r>
            <w:r>
              <w:rPr>
                <w:color w:val="auto"/>
                <w:sz w:val="20"/>
                <w:szCs w:val="20"/>
                <w:highlight w:val="none"/>
              </w:rPr>
              <w:fldChar w:fldCharType="begin"/>
            </w:r>
            <w:r>
              <w:rPr>
                <w:color w:val="auto"/>
                <w:sz w:val="20"/>
                <w:szCs w:val="20"/>
                <w:highlight w:val="none"/>
              </w:rPr>
              <w:instrText xml:space="preserve"> QUOTE </w:instrText>
            </w:r>
            <w:r>
              <w:rPr>
                <w:color w:val="auto"/>
                <w:position w:val="-8"/>
                <w:sz w:val="20"/>
                <w:szCs w:val="20"/>
                <w:highlight w:val="none"/>
              </w:rPr>
              <w:pict>
                <v:shape id="_x0000_i1048"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D4725&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6D4725&quot; wsp:rsidP=&quot;006D4725&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instrText xml:space="preserve"> </w:instrText>
            </w:r>
            <w:r>
              <w:rPr>
                <w:color w:val="auto"/>
                <w:sz w:val="20"/>
                <w:szCs w:val="20"/>
                <w:highlight w:val="none"/>
              </w:rPr>
              <w:fldChar w:fldCharType="separate"/>
            </w:r>
            <w:r>
              <w:rPr>
                <w:color w:val="auto"/>
                <w:position w:val="-8"/>
                <w:sz w:val="20"/>
                <w:szCs w:val="20"/>
                <w:highlight w:val="none"/>
              </w:rPr>
              <w:pict>
                <v:shape id="_x0000_i1049"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D4725&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6D4725&quot; wsp:rsidP=&quot;006D4725&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fldChar w:fldCharType="end"/>
            </w:r>
            <w:r>
              <w:rPr>
                <w:rFonts w:hint="eastAsia" w:ascii="宋体" w:hAnsi="宋体" w:cs="宋体"/>
                <w:color w:val="auto"/>
                <w:sz w:val="20"/>
                <w:szCs w:val="20"/>
                <w:highlight w:val="none"/>
              </w:rPr>
              <w:t>≥</w:t>
            </w:r>
            <w:r>
              <w:rPr>
                <w:color w:val="auto"/>
                <w:sz w:val="20"/>
                <w:szCs w:val="20"/>
                <w:highlight w:val="none"/>
              </w:rPr>
              <w:fldChar w:fldCharType="begin"/>
            </w:r>
            <w:r>
              <w:rPr>
                <w:color w:val="auto"/>
                <w:sz w:val="20"/>
                <w:szCs w:val="20"/>
                <w:highlight w:val="none"/>
              </w:rPr>
              <w:instrText xml:space="preserve"> QUOTE </w:instrText>
            </w:r>
            <w:r>
              <w:rPr>
                <w:color w:val="auto"/>
                <w:position w:val="-8"/>
                <w:sz w:val="20"/>
                <w:szCs w:val="20"/>
                <w:highlight w:val="none"/>
              </w:rPr>
              <w:pict>
                <v:shape id="_x0000_i1050" o:spt="75" type="#_x0000_t75" style="height:15.75pt;width:16.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025C&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BB025C&quot; wsp:rsidP=&quot;00BB025C&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3&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32" chromakey="#FFFFFF" o:title=""/>
                  <o:lock v:ext="edit" aspectratio="t"/>
                  <w10:wrap type="none"/>
                  <w10:anchorlock/>
                </v:shape>
              </w:pict>
            </w:r>
            <w:r>
              <w:rPr>
                <w:color w:val="auto"/>
                <w:sz w:val="20"/>
                <w:szCs w:val="20"/>
                <w:highlight w:val="none"/>
              </w:rPr>
              <w:instrText xml:space="preserve"> </w:instrText>
            </w:r>
            <w:r>
              <w:rPr>
                <w:color w:val="auto"/>
                <w:sz w:val="20"/>
                <w:szCs w:val="20"/>
                <w:highlight w:val="none"/>
              </w:rPr>
              <w:fldChar w:fldCharType="separate"/>
            </w:r>
            <w:r>
              <w:rPr>
                <w:color w:val="auto"/>
                <w:position w:val="-8"/>
                <w:sz w:val="20"/>
                <w:szCs w:val="20"/>
                <w:highlight w:val="none"/>
              </w:rPr>
              <w:pict>
                <v:shape id="_x0000_i1051" o:spt="75" type="#_x0000_t75" style="height:15.75pt;width:16.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025C&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BB025C&quot; wsp:rsidP=&quot;00BB025C&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3&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32" chromakey="#FFFFFF" o:title=""/>
                  <o:lock v:ext="edit" aspectratio="t"/>
                  <w10:wrap type="none"/>
                  <w10:anchorlock/>
                </v:shape>
              </w:pict>
            </w:r>
            <w:r>
              <w:rPr>
                <w:color w:val="auto"/>
                <w:sz w:val="20"/>
                <w:szCs w:val="20"/>
                <w:highlight w:val="none"/>
              </w:rPr>
              <w:fldChar w:fldCharType="end"/>
            </w:r>
          </w:p>
        </w:tc>
        <w:tc>
          <w:tcPr>
            <w:tcW w:w="1708" w:type="dxa"/>
            <w:tcBorders>
              <w:top w:val="single" w:color="000000" w:sz="4" w:space="0"/>
              <w:left w:val="single" w:color="000000" w:sz="4" w:space="0"/>
              <w:bottom w:val="single" w:color="000000" w:sz="4" w:space="0"/>
              <w:right w:val="single" w:color="000000" w:sz="12" w:space="0"/>
            </w:tcBorders>
            <w:vAlign w:val="center"/>
          </w:tcPr>
          <w:p>
            <w:pPr>
              <w:spacing w:line="0" w:lineRule="atLeast"/>
              <w:jc w:val="center"/>
              <w:rPr>
                <w:color w:val="auto"/>
                <w:sz w:val="20"/>
                <w:szCs w:val="20"/>
                <w:highlight w:val="none"/>
              </w:rPr>
            </w:pPr>
            <w:r>
              <w:rPr>
                <w:color w:val="auto"/>
                <w:sz w:val="20"/>
                <w:szCs w:val="20"/>
                <w:highlight w:val="none"/>
              </w:rPr>
              <w:fldChar w:fldCharType="begin"/>
            </w:r>
            <w:r>
              <w:rPr>
                <w:color w:val="auto"/>
                <w:sz w:val="20"/>
                <w:szCs w:val="20"/>
                <w:highlight w:val="none"/>
              </w:rPr>
              <w:instrText xml:space="preserve"> QUOTE </w:instrText>
            </w:r>
            <w:r>
              <w:rPr>
                <w:color w:val="auto"/>
                <w:position w:val="-8"/>
                <w:sz w:val="20"/>
                <w:szCs w:val="20"/>
                <w:highlight w:val="none"/>
              </w:rPr>
              <w:pict>
                <v:shape id="_x0000_i1052"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5528D&quot;/&gt;&lt;wsp:rsid wsp:val=&quot;00F83540&quot;/&gt;&lt;/wsp:rsids&gt;&lt;/w:docPr&gt;&lt;w:body&gt;&lt;wx:sect&gt;&lt;w:p wsp:rsidR=&quot;00000000&quot; wsp:rsidRDefault=&quot;00F5528D&quot; wsp:rsidP=&quot;00F5528D&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instrText xml:space="preserve"> </w:instrText>
            </w:r>
            <w:r>
              <w:rPr>
                <w:color w:val="auto"/>
                <w:sz w:val="20"/>
                <w:szCs w:val="20"/>
                <w:highlight w:val="none"/>
              </w:rPr>
              <w:fldChar w:fldCharType="separate"/>
            </w:r>
            <w:r>
              <w:rPr>
                <w:color w:val="auto"/>
                <w:position w:val="-8"/>
                <w:sz w:val="20"/>
                <w:szCs w:val="20"/>
                <w:highlight w:val="none"/>
              </w:rPr>
              <w:pict>
                <v:shape id="_x0000_i1053"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5528D&quot;/&gt;&lt;wsp:rsid wsp:val=&quot;00F83540&quot;/&gt;&lt;/wsp:rsids&gt;&lt;/w:docPr&gt;&lt;w:body&gt;&lt;wx:sect&gt;&lt;w:p wsp:rsidR=&quot;00000000&quot; wsp:rsidRDefault=&quot;00F5528D&quot; wsp:rsidP=&quot;00F5528D&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fldChar w:fldCharType="end"/>
            </w:r>
            <w:r>
              <w:rPr>
                <w:color w:val="auto"/>
                <w:sz w:val="20"/>
                <w:szCs w:val="20"/>
                <w:highlight w:val="none"/>
              </w:rPr>
              <w:t>&lt;</w:t>
            </w:r>
            <m:oMath>
              <m:sSub>
                <m:sSubPr>
                  <m:ctrlPr>
                    <w:rPr>
                      <w:rFonts w:ascii="Cambria Math" w:hAnsi="Cambria Math"/>
                      <w:color w:val="auto"/>
                      <w:sz w:val="20"/>
                      <w:szCs w:val="20"/>
                      <w:highlight w:val="none"/>
                    </w:rPr>
                  </m:ctrlPr>
                </m:sSubPr>
                <m:e>
                  <m:r>
                    <m:rPr/>
                    <w:rPr>
                      <w:rFonts w:ascii="Cambria Math" w:hAnsi="Cambria Math"/>
                      <w:color w:val="auto"/>
                      <w:sz w:val="20"/>
                      <w:szCs w:val="20"/>
                      <w:highlight w:val="none"/>
                    </w:rPr>
                    <m:t>ω</m:t>
                  </m:r>
                  <m:ctrlPr>
                    <w:rPr>
                      <w:rFonts w:ascii="Cambria Math" w:hAnsi="Cambria Math"/>
                      <w:color w:val="auto"/>
                      <w:sz w:val="20"/>
                      <w:szCs w:val="20"/>
                      <w:highlight w:val="none"/>
                    </w:rPr>
                  </m:ctrlPr>
                </m:e>
                <m:sub>
                  <m:r>
                    <m:rPr/>
                    <w:rPr>
                      <w:rFonts w:ascii="Cambria Math" w:hAnsi="Cambria Math"/>
                      <w:color w:val="auto"/>
                      <w:sz w:val="20"/>
                      <w:szCs w:val="20"/>
                      <w:highlight w:val="none"/>
                    </w:rPr>
                    <m:t>c</m:t>
                  </m:r>
                  <m:r>
                    <m:rPr>
                      <m:sty m:val="p"/>
                    </m:rPr>
                    <w:rPr>
                      <w:rFonts w:ascii="Cambria Math" w:hAnsi="Cambria Math"/>
                      <w:color w:val="auto"/>
                      <w:sz w:val="20"/>
                      <w:szCs w:val="20"/>
                      <w:highlight w:val="none"/>
                    </w:rPr>
                    <m:t>3</m:t>
                  </m:r>
                  <m:ctrlPr>
                    <w:rPr>
                      <w:rFonts w:ascii="Cambria Math" w:hAnsi="Cambria Math"/>
                      <w:color w:val="auto"/>
                      <w:sz w:val="20"/>
                      <w:szCs w:val="20"/>
                      <w:highlight w:val="none"/>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31" w:type="dxa"/>
            <w:tcBorders>
              <w:top w:val="single" w:color="000000" w:sz="4" w:space="0"/>
              <w:left w:val="single" w:color="000000" w:sz="12" w:space="0"/>
              <w:bottom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砂土</w:t>
            </w:r>
          </w:p>
        </w:tc>
        <w:tc>
          <w:tcPr>
            <w:tcW w:w="1705" w:type="dxa"/>
            <w:tcBorders>
              <w:top w:val="single" w:color="000000" w:sz="4" w:space="0"/>
              <w:left w:val="single" w:color="000000" w:sz="4" w:space="0"/>
              <w:bottom w:val="single" w:color="000000" w:sz="4" w:space="0"/>
              <w:right w:val="single" w:color="000000" w:sz="4" w:space="0"/>
            </w:tcBorders>
            <w:vAlign w:val="center"/>
          </w:tcPr>
          <w:p>
            <w:pPr>
              <w:jc w:val="center"/>
              <w:rPr>
                <w:i/>
                <w:color w:val="auto"/>
                <w:sz w:val="20"/>
                <w:szCs w:val="20"/>
                <w:highlight w:val="none"/>
              </w:rPr>
            </w:pPr>
            <w:r>
              <w:rPr>
                <w:color w:val="auto"/>
                <w:sz w:val="20"/>
                <w:szCs w:val="20"/>
                <w:highlight w:val="none"/>
              </w:rPr>
              <w:fldChar w:fldCharType="begin"/>
            </w:r>
            <w:r>
              <w:rPr>
                <w:color w:val="auto"/>
                <w:sz w:val="20"/>
                <w:szCs w:val="20"/>
                <w:highlight w:val="none"/>
              </w:rPr>
              <w:instrText xml:space="preserve"> QUOTE </w:instrText>
            </w:r>
            <w:r>
              <w:rPr>
                <w:color w:val="auto"/>
                <w:position w:val="-8"/>
                <w:sz w:val="20"/>
                <w:szCs w:val="20"/>
                <w:highlight w:val="none"/>
              </w:rPr>
              <w:pict>
                <v:shape id="_x0000_i1054"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032F8&quot;/&gt;&lt;wsp:rsid wsp:val=&quot;00E60ECF&quot;/&gt;&lt;wsp:rsid wsp:val=&quot;00EC30E9&quot;/&gt;&lt;wsp:rsid wsp:val=&quot;00ED1A4B&quot;/&gt;&lt;wsp:rsid wsp:val=&quot;00EF51DC&quot;/&gt;&lt;wsp:rsid wsp:val=&quot;00F83540&quot;/&gt;&lt;/wsp:rsids&gt;&lt;/w:docPr&gt;&lt;w:body&gt;&lt;wx:sect&gt;&lt;w:p wsp:rsidR=&quot;00000000&quot; wsp:rsidRDefault=&quot;00E032F8&quot; wsp:rsidP=&quot;00E032F8&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instrText xml:space="preserve"> </w:instrText>
            </w:r>
            <w:r>
              <w:rPr>
                <w:color w:val="auto"/>
                <w:sz w:val="20"/>
                <w:szCs w:val="20"/>
                <w:highlight w:val="none"/>
              </w:rPr>
              <w:fldChar w:fldCharType="separate"/>
            </w:r>
            <w:r>
              <w:rPr>
                <w:color w:val="auto"/>
                <w:position w:val="-8"/>
                <w:sz w:val="20"/>
                <w:szCs w:val="20"/>
                <w:highlight w:val="none"/>
              </w:rPr>
              <w:pict>
                <v:shape id="_x0000_i1055"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032F8&quot;/&gt;&lt;wsp:rsid wsp:val=&quot;00E60ECF&quot;/&gt;&lt;wsp:rsid wsp:val=&quot;00EC30E9&quot;/&gt;&lt;wsp:rsid wsp:val=&quot;00ED1A4B&quot;/&gt;&lt;wsp:rsid wsp:val=&quot;00EF51DC&quot;/&gt;&lt;wsp:rsid wsp:val=&quot;00F83540&quot;/&gt;&lt;/wsp:rsids&gt;&lt;/w:docPr&gt;&lt;w:body&gt;&lt;wx:sect&gt;&lt;w:p wsp:rsidR=&quot;00000000&quot; wsp:rsidRDefault=&quot;00E032F8&quot; wsp:rsidP=&quot;00E032F8&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fldChar w:fldCharType="end"/>
            </w:r>
            <w:r>
              <w:rPr>
                <w:rFonts w:hint="eastAsia" w:ascii="宋体" w:hAnsi="宋体" w:cs="宋体"/>
                <w:color w:val="auto"/>
                <w:sz w:val="20"/>
                <w:szCs w:val="20"/>
                <w:highlight w:val="none"/>
              </w:rPr>
              <w:t>≥</w:t>
            </w:r>
            <w:r>
              <w:rPr>
                <w:color w:val="auto"/>
                <w:sz w:val="20"/>
                <w:szCs w:val="20"/>
                <w:highlight w:val="none"/>
              </w:rPr>
              <w:t>1.20</w:t>
            </w:r>
          </w:p>
        </w:tc>
        <w:tc>
          <w:tcPr>
            <w:tcW w:w="1705"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color w:val="auto"/>
                <w:sz w:val="20"/>
                <w:szCs w:val="20"/>
                <w:highlight w:val="none"/>
              </w:rPr>
            </w:pPr>
            <w:r>
              <w:rPr>
                <w:color w:val="auto"/>
                <w:sz w:val="20"/>
                <w:szCs w:val="20"/>
                <w:highlight w:val="none"/>
              </w:rPr>
              <w:t>1.20&gt;</w:t>
            </w:r>
            <w:r>
              <w:rPr>
                <w:color w:val="auto"/>
                <w:sz w:val="20"/>
                <w:szCs w:val="20"/>
                <w:highlight w:val="none"/>
              </w:rPr>
              <w:fldChar w:fldCharType="begin"/>
            </w:r>
            <w:r>
              <w:rPr>
                <w:color w:val="auto"/>
                <w:sz w:val="20"/>
                <w:szCs w:val="20"/>
                <w:highlight w:val="none"/>
              </w:rPr>
              <w:instrText xml:space="preserve"> QUOTE </w:instrText>
            </w:r>
            <w:r>
              <w:rPr>
                <w:color w:val="auto"/>
                <w:position w:val="-8"/>
                <w:sz w:val="20"/>
                <w:szCs w:val="20"/>
                <w:highlight w:val="none"/>
              </w:rPr>
              <w:pict>
                <v:shape id="_x0000_i1056"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2F5D&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042F5D&quot; wsp:rsidP=&quot;00042F5D&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instrText xml:space="preserve"> </w:instrText>
            </w:r>
            <w:r>
              <w:rPr>
                <w:color w:val="auto"/>
                <w:sz w:val="20"/>
                <w:szCs w:val="20"/>
                <w:highlight w:val="none"/>
              </w:rPr>
              <w:fldChar w:fldCharType="separate"/>
            </w:r>
            <w:r>
              <w:rPr>
                <w:color w:val="auto"/>
                <w:position w:val="-8"/>
                <w:sz w:val="20"/>
                <w:szCs w:val="20"/>
                <w:highlight w:val="none"/>
              </w:rPr>
              <w:pict>
                <v:shape id="_x0000_i1057"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2F5D&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042F5D&quot; wsp:rsidP=&quot;00042F5D&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fldChar w:fldCharType="end"/>
            </w:r>
            <w:r>
              <w:rPr>
                <w:rFonts w:hint="eastAsia" w:ascii="宋体" w:hAnsi="宋体" w:cs="宋体"/>
                <w:color w:val="auto"/>
                <w:sz w:val="20"/>
                <w:szCs w:val="20"/>
                <w:highlight w:val="none"/>
              </w:rPr>
              <w:t>≥</w:t>
            </w:r>
            <w:r>
              <w:rPr>
                <w:color w:val="auto"/>
                <w:sz w:val="20"/>
                <w:szCs w:val="20"/>
                <w:highlight w:val="none"/>
              </w:rPr>
              <w:t>1.00</w:t>
            </w:r>
          </w:p>
        </w:tc>
        <w:tc>
          <w:tcPr>
            <w:tcW w:w="1705"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color w:val="auto"/>
                <w:sz w:val="20"/>
                <w:szCs w:val="20"/>
                <w:highlight w:val="none"/>
              </w:rPr>
            </w:pPr>
            <w:r>
              <w:rPr>
                <w:color w:val="auto"/>
                <w:sz w:val="20"/>
                <w:szCs w:val="20"/>
                <w:highlight w:val="none"/>
              </w:rPr>
              <w:t>1.00&gt;</w:t>
            </w:r>
            <w:r>
              <w:rPr>
                <w:color w:val="auto"/>
                <w:sz w:val="20"/>
                <w:szCs w:val="20"/>
                <w:highlight w:val="none"/>
              </w:rPr>
              <w:fldChar w:fldCharType="begin"/>
            </w:r>
            <w:r>
              <w:rPr>
                <w:color w:val="auto"/>
                <w:sz w:val="20"/>
                <w:szCs w:val="20"/>
                <w:highlight w:val="none"/>
              </w:rPr>
              <w:instrText xml:space="preserve"> QUOTE </w:instrText>
            </w:r>
            <w:r>
              <w:rPr>
                <w:color w:val="auto"/>
                <w:position w:val="-8"/>
                <w:sz w:val="20"/>
                <w:szCs w:val="20"/>
                <w:highlight w:val="none"/>
              </w:rPr>
              <w:pict>
                <v:shape id="_x0000_i1058"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4F0660&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4F0660&quot; wsp:rsidP=&quot;004F0660&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instrText xml:space="preserve"> </w:instrText>
            </w:r>
            <w:r>
              <w:rPr>
                <w:color w:val="auto"/>
                <w:sz w:val="20"/>
                <w:szCs w:val="20"/>
                <w:highlight w:val="none"/>
              </w:rPr>
              <w:fldChar w:fldCharType="separate"/>
            </w:r>
            <w:r>
              <w:rPr>
                <w:color w:val="auto"/>
                <w:position w:val="-8"/>
                <w:sz w:val="20"/>
                <w:szCs w:val="20"/>
                <w:highlight w:val="none"/>
              </w:rPr>
              <w:pict>
                <v:shape id="_x0000_i1059"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4F0660&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4F0660&quot; wsp:rsidP=&quot;004F0660&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fldChar w:fldCharType="end"/>
            </w:r>
            <w:r>
              <w:rPr>
                <w:rFonts w:hint="eastAsia" w:ascii="宋体" w:hAnsi="宋体" w:cs="宋体"/>
                <w:color w:val="auto"/>
                <w:sz w:val="20"/>
                <w:szCs w:val="20"/>
                <w:highlight w:val="none"/>
              </w:rPr>
              <w:t>≥</w:t>
            </w:r>
            <w:r>
              <w:rPr>
                <w:color w:val="auto"/>
                <w:sz w:val="20"/>
                <w:szCs w:val="20"/>
                <w:highlight w:val="none"/>
              </w:rPr>
              <w:t>0.85</w:t>
            </w:r>
          </w:p>
        </w:tc>
        <w:tc>
          <w:tcPr>
            <w:tcW w:w="1708" w:type="dxa"/>
            <w:tcBorders>
              <w:top w:val="single" w:color="000000" w:sz="4" w:space="0"/>
              <w:left w:val="single" w:color="000000" w:sz="4" w:space="0"/>
              <w:bottom w:val="single" w:color="000000" w:sz="4" w:space="0"/>
              <w:right w:val="single" w:color="000000" w:sz="12" w:space="0"/>
            </w:tcBorders>
            <w:vAlign w:val="center"/>
          </w:tcPr>
          <w:p>
            <w:pPr>
              <w:spacing w:line="0" w:lineRule="atLeast"/>
              <w:jc w:val="center"/>
              <w:rPr>
                <w:color w:val="auto"/>
                <w:sz w:val="20"/>
                <w:szCs w:val="20"/>
                <w:highlight w:val="none"/>
              </w:rPr>
            </w:pPr>
            <w:r>
              <w:rPr>
                <w:color w:val="auto"/>
                <w:sz w:val="20"/>
                <w:szCs w:val="20"/>
                <w:highlight w:val="none"/>
              </w:rPr>
              <w:fldChar w:fldCharType="begin"/>
            </w:r>
            <w:r>
              <w:rPr>
                <w:color w:val="auto"/>
                <w:sz w:val="20"/>
                <w:szCs w:val="20"/>
                <w:highlight w:val="none"/>
              </w:rPr>
              <w:instrText xml:space="preserve"> QUOTE </w:instrText>
            </w:r>
            <w:r>
              <w:rPr>
                <w:color w:val="auto"/>
                <w:position w:val="-8"/>
                <w:sz w:val="20"/>
                <w:szCs w:val="20"/>
                <w:highlight w:val="none"/>
              </w:rPr>
              <w:pict>
                <v:shape id="_x0000_i1060"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2AF&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4022AF&quot; wsp:rsidP=&quot;004022AF&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instrText xml:space="preserve"> </w:instrText>
            </w:r>
            <w:r>
              <w:rPr>
                <w:color w:val="auto"/>
                <w:sz w:val="20"/>
                <w:szCs w:val="20"/>
                <w:highlight w:val="none"/>
              </w:rPr>
              <w:fldChar w:fldCharType="separate"/>
            </w:r>
            <w:r>
              <w:rPr>
                <w:color w:val="auto"/>
                <w:position w:val="-8"/>
                <w:sz w:val="20"/>
                <w:szCs w:val="20"/>
                <w:highlight w:val="none"/>
              </w:rPr>
              <w:pict>
                <v:shape id="_x0000_i1061"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2AF&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4022AF&quot; wsp:rsidP=&quot;004022AF&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fldChar w:fldCharType="end"/>
            </w:r>
            <w:r>
              <w:rPr>
                <w:color w:val="auto"/>
                <w:sz w:val="20"/>
                <w:szCs w:val="20"/>
                <w:highlight w:val="none"/>
              </w:rPr>
              <w:t>&lt;0.85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31" w:type="dxa"/>
            <w:tcBorders>
              <w:top w:val="single" w:color="000000" w:sz="4" w:space="0"/>
              <w:left w:val="single" w:color="000000" w:sz="12" w:space="0"/>
              <w:bottom w:val="single" w:color="000000" w:sz="4" w:space="0"/>
              <w:right w:val="single" w:color="000000" w:sz="4" w:space="0"/>
            </w:tcBorders>
            <w:vAlign w:val="center"/>
          </w:tcPr>
          <w:p>
            <w:pPr>
              <w:jc w:val="center"/>
              <w:rPr>
                <w:color w:val="auto"/>
                <w:sz w:val="20"/>
                <w:szCs w:val="20"/>
                <w:highlight w:val="none"/>
              </w:rPr>
            </w:pPr>
            <w:r>
              <w:rPr>
                <w:color w:val="auto"/>
                <w:sz w:val="20"/>
                <w:szCs w:val="20"/>
                <w:highlight w:val="none"/>
              </w:rPr>
              <w:t>黏性土</w:t>
            </w:r>
          </w:p>
        </w:tc>
        <w:tc>
          <w:tcPr>
            <w:tcW w:w="1705" w:type="dxa"/>
            <w:tcBorders>
              <w:top w:val="single" w:color="000000" w:sz="4" w:space="0"/>
              <w:left w:val="single" w:color="000000" w:sz="4" w:space="0"/>
              <w:bottom w:val="single" w:color="000000" w:sz="4" w:space="0"/>
              <w:right w:val="single" w:color="000000" w:sz="4" w:space="0"/>
            </w:tcBorders>
            <w:vAlign w:val="center"/>
          </w:tcPr>
          <w:p>
            <w:pPr>
              <w:jc w:val="center"/>
              <w:rPr>
                <w:i/>
                <w:color w:val="auto"/>
                <w:sz w:val="20"/>
                <w:szCs w:val="20"/>
                <w:highlight w:val="none"/>
              </w:rPr>
            </w:pPr>
            <w:r>
              <w:rPr>
                <w:color w:val="auto"/>
                <w:sz w:val="20"/>
                <w:szCs w:val="20"/>
                <w:highlight w:val="none"/>
              </w:rPr>
              <w:fldChar w:fldCharType="begin"/>
            </w:r>
            <w:r>
              <w:rPr>
                <w:color w:val="auto"/>
                <w:sz w:val="20"/>
                <w:szCs w:val="20"/>
                <w:highlight w:val="none"/>
              </w:rPr>
              <w:instrText xml:space="preserve"> QUOTE </w:instrText>
            </w:r>
            <w:r>
              <w:rPr>
                <w:color w:val="auto"/>
                <w:position w:val="-8"/>
                <w:sz w:val="20"/>
                <w:szCs w:val="20"/>
                <w:highlight w:val="none"/>
              </w:rPr>
              <w:pict>
                <v:shape id="_x0000_i1062"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908AC&quot;/&gt;&lt;wsp:rsid wsp:val=&quot;00EC30E9&quot;/&gt;&lt;wsp:rsid wsp:val=&quot;00ED1A4B&quot;/&gt;&lt;wsp:rsid wsp:val=&quot;00EF51DC&quot;/&gt;&lt;wsp:rsid wsp:val=&quot;00F83540&quot;/&gt;&lt;/wsp:rsids&gt;&lt;/w:docPr&gt;&lt;w:body&gt;&lt;wx:sect&gt;&lt;w:p wsp:rsidR=&quot;00000000&quot; wsp:rsidRDefault=&quot;00E908AC&quot; wsp:rsidP=&quot;00E908AC&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instrText xml:space="preserve"> </w:instrText>
            </w:r>
            <w:r>
              <w:rPr>
                <w:color w:val="auto"/>
                <w:sz w:val="20"/>
                <w:szCs w:val="20"/>
                <w:highlight w:val="none"/>
              </w:rPr>
              <w:fldChar w:fldCharType="separate"/>
            </w:r>
            <w:r>
              <w:rPr>
                <w:color w:val="auto"/>
                <w:position w:val="-8"/>
                <w:sz w:val="20"/>
                <w:szCs w:val="20"/>
                <w:highlight w:val="none"/>
              </w:rPr>
              <w:pict>
                <v:shape id="_x0000_i1063"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908AC&quot;/&gt;&lt;wsp:rsid wsp:val=&quot;00EC30E9&quot;/&gt;&lt;wsp:rsid wsp:val=&quot;00ED1A4B&quot;/&gt;&lt;wsp:rsid wsp:val=&quot;00EF51DC&quot;/&gt;&lt;wsp:rsid wsp:val=&quot;00F83540&quot;/&gt;&lt;/wsp:rsids&gt;&lt;/w:docPr&gt;&lt;w:body&gt;&lt;wx:sect&gt;&lt;w:p wsp:rsidR=&quot;00000000&quot; wsp:rsidRDefault=&quot;00E908AC&quot; wsp:rsidP=&quot;00E908AC&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fldChar w:fldCharType="end"/>
            </w:r>
            <w:r>
              <w:rPr>
                <w:rFonts w:hint="eastAsia" w:ascii="宋体" w:hAnsi="宋体" w:cs="宋体"/>
                <w:color w:val="auto"/>
                <w:sz w:val="20"/>
                <w:szCs w:val="20"/>
                <w:highlight w:val="none"/>
              </w:rPr>
              <w:t>≥</w:t>
            </w:r>
            <w:r>
              <w:rPr>
                <w:color w:val="auto"/>
                <w:sz w:val="20"/>
                <w:szCs w:val="20"/>
                <w:highlight w:val="none"/>
              </w:rPr>
              <w:t>1.10</w:t>
            </w:r>
          </w:p>
        </w:tc>
        <w:tc>
          <w:tcPr>
            <w:tcW w:w="1705"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color w:val="auto"/>
                <w:sz w:val="20"/>
                <w:szCs w:val="20"/>
                <w:highlight w:val="none"/>
              </w:rPr>
            </w:pPr>
            <w:r>
              <w:rPr>
                <w:color w:val="auto"/>
                <w:sz w:val="20"/>
                <w:szCs w:val="20"/>
                <w:highlight w:val="none"/>
              </w:rPr>
              <w:t>1.10&gt;</w:t>
            </w:r>
            <w:r>
              <w:rPr>
                <w:color w:val="auto"/>
                <w:sz w:val="20"/>
                <w:szCs w:val="20"/>
                <w:highlight w:val="none"/>
              </w:rPr>
              <w:fldChar w:fldCharType="begin"/>
            </w:r>
            <w:r>
              <w:rPr>
                <w:color w:val="auto"/>
                <w:sz w:val="20"/>
                <w:szCs w:val="20"/>
                <w:highlight w:val="none"/>
              </w:rPr>
              <w:instrText xml:space="preserve"> QUOTE </w:instrText>
            </w:r>
            <w:r>
              <w:rPr>
                <w:color w:val="auto"/>
                <w:position w:val="-8"/>
                <w:sz w:val="20"/>
                <w:szCs w:val="20"/>
                <w:highlight w:val="none"/>
              </w:rPr>
              <w:pict>
                <v:shape id="_x0000_i1064"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7274E&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37274E&quot; wsp:rsidP=&quot;0037274E&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instrText xml:space="preserve"> </w:instrText>
            </w:r>
            <w:r>
              <w:rPr>
                <w:color w:val="auto"/>
                <w:sz w:val="20"/>
                <w:szCs w:val="20"/>
                <w:highlight w:val="none"/>
              </w:rPr>
              <w:fldChar w:fldCharType="separate"/>
            </w:r>
            <w:r>
              <w:rPr>
                <w:color w:val="auto"/>
                <w:position w:val="-8"/>
                <w:sz w:val="20"/>
                <w:szCs w:val="20"/>
                <w:highlight w:val="none"/>
              </w:rPr>
              <w:pict>
                <v:shape id="_x0000_i1065"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7274E&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37274E&quot; wsp:rsidP=&quot;0037274E&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fldChar w:fldCharType="end"/>
            </w:r>
            <w:r>
              <w:rPr>
                <w:rFonts w:hint="eastAsia" w:ascii="宋体" w:hAnsi="宋体" w:cs="宋体"/>
                <w:color w:val="auto"/>
                <w:sz w:val="20"/>
                <w:szCs w:val="20"/>
                <w:highlight w:val="none"/>
              </w:rPr>
              <w:t>≥</w:t>
            </w:r>
            <w:r>
              <w:rPr>
                <w:color w:val="auto"/>
                <w:sz w:val="20"/>
                <w:szCs w:val="20"/>
                <w:highlight w:val="none"/>
              </w:rPr>
              <w:t>0.95</w:t>
            </w:r>
          </w:p>
        </w:tc>
        <w:tc>
          <w:tcPr>
            <w:tcW w:w="1705"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color w:val="auto"/>
                <w:sz w:val="20"/>
                <w:szCs w:val="20"/>
                <w:highlight w:val="none"/>
              </w:rPr>
            </w:pPr>
            <w:r>
              <w:rPr>
                <w:color w:val="auto"/>
                <w:sz w:val="20"/>
                <w:szCs w:val="20"/>
                <w:highlight w:val="none"/>
              </w:rPr>
              <w:t>0.95&gt;</w:t>
            </w:r>
            <w:r>
              <w:rPr>
                <w:color w:val="auto"/>
                <w:sz w:val="20"/>
                <w:szCs w:val="20"/>
                <w:highlight w:val="none"/>
              </w:rPr>
              <w:fldChar w:fldCharType="begin"/>
            </w:r>
            <w:r>
              <w:rPr>
                <w:color w:val="auto"/>
                <w:sz w:val="20"/>
                <w:szCs w:val="20"/>
                <w:highlight w:val="none"/>
              </w:rPr>
              <w:instrText xml:space="preserve"> QUOTE </w:instrText>
            </w:r>
            <w:r>
              <w:rPr>
                <w:color w:val="auto"/>
                <w:position w:val="-8"/>
                <w:sz w:val="20"/>
                <w:szCs w:val="20"/>
                <w:highlight w:val="none"/>
              </w:rPr>
              <w:pict>
                <v:shape id="_x0000_i1066"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B4028&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5B4028&quot; wsp:rsidP=&quot;005B4028&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instrText xml:space="preserve"> </w:instrText>
            </w:r>
            <w:r>
              <w:rPr>
                <w:color w:val="auto"/>
                <w:sz w:val="20"/>
                <w:szCs w:val="20"/>
                <w:highlight w:val="none"/>
              </w:rPr>
              <w:fldChar w:fldCharType="separate"/>
            </w:r>
            <w:r>
              <w:rPr>
                <w:color w:val="auto"/>
                <w:position w:val="-8"/>
                <w:sz w:val="20"/>
                <w:szCs w:val="20"/>
                <w:highlight w:val="none"/>
              </w:rPr>
              <w:pict>
                <v:shape id="_x0000_i1067"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B4028&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5B4028&quot; wsp:rsidP=&quot;005B4028&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fldChar w:fldCharType="end"/>
            </w:r>
            <w:r>
              <w:rPr>
                <w:rFonts w:hint="eastAsia" w:ascii="宋体" w:hAnsi="宋体" w:cs="宋体"/>
                <w:color w:val="auto"/>
                <w:sz w:val="20"/>
                <w:szCs w:val="20"/>
                <w:highlight w:val="none"/>
              </w:rPr>
              <w:t>≥</w:t>
            </w:r>
            <w:r>
              <w:rPr>
                <w:color w:val="auto"/>
                <w:sz w:val="20"/>
                <w:szCs w:val="20"/>
                <w:highlight w:val="none"/>
              </w:rPr>
              <w:t>0.80</w:t>
            </w:r>
          </w:p>
        </w:tc>
        <w:tc>
          <w:tcPr>
            <w:tcW w:w="1708" w:type="dxa"/>
            <w:tcBorders>
              <w:top w:val="single" w:color="000000" w:sz="4" w:space="0"/>
              <w:left w:val="single" w:color="000000" w:sz="4" w:space="0"/>
              <w:bottom w:val="single" w:color="000000" w:sz="4" w:space="0"/>
              <w:right w:val="single" w:color="000000" w:sz="12" w:space="0"/>
            </w:tcBorders>
            <w:vAlign w:val="center"/>
          </w:tcPr>
          <w:p>
            <w:pPr>
              <w:spacing w:line="0" w:lineRule="atLeast"/>
              <w:jc w:val="center"/>
              <w:rPr>
                <w:color w:val="auto"/>
                <w:sz w:val="20"/>
                <w:szCs w:val="20"/>
                <w:highlight w:val="none"/>
              </w:rPr>
            </w:pPr>
            <w:r>
              <w:rPr>
                <w:color w:val="auto"/>
                <w:sz w:val="20"/>
                <w:szCs w:val="20"/>
                <w:highlight w:val="none"/>
              </w:rPr>
              <w:fldChar w:fldCharType="begin"/>
            </w:r>
            <w:r>
              <w:rPr>
                <w:color w:val="auto"/>
                <w:sz w:val="20"/>
                <w:szCs w:val="20"/>
                <w:highlight w:val="none"/>
              </w:rPr>
              <w:instrText xml:space="preserve"> QUOTE </w:instrText>
            </w:r>
            <w:r>
              <w:rPr>
                <w:color w:val="auto"/>
                <w:position w:val="-8"/>
                <w:sz w:val="20"/>
                <w:szCs w:val="20"/>
                <w:highlight w:val="none"/>
              </w:rPr>
              <w:pict>
                <v:shape id="_x0000_i1068"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3094A&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C3094A&quot; wsp:rsidP=&quot;00C3094A&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instrText xml:space="preserve"> </w:instrText>
            </w:r>
            <w:r>
              <w:rPr>
                <w:color w:val="auto"/>
                <w:sz w:val="20"/>
                <w:szCs w:val="20"/>
                <w:highlight w:val="none"/>
              </w:rPr>
              <w:fldChar w:fldCharType="separate"/>
            </w:r>
            <w:r>
              <w:rPr>
                <w:color w:val="auto"/>
                <w:position w:val="-8"/>
                <w:sz w:val="20"/>
                <w:szCs w:val="20"/>
                <w:highlight w:val="none"/>
              </w:rPr>
              <w:pict>
                <v:shape id="_x0000_i1069"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3094A&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C3094A&quot; wsp:rsidP=&quot;00C3094A&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fldChar w:fldCharType="end"/>
            </w:r>
            <w:r>
              <w:rPr>
                <w:color w:val="auto"/>
                <w:sz w:val="20"/>
                <w:szCs w:val="20"/>
                <w:highlight w:val="none"/>
              </w:rPr>
              <w:t>&lt;0.80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31" w:type="dxa"/>
            <w:tcBorders>
              <w:top w:val="single" w:color="000000" w:sz="4" w:space="0"/>
              <w:left w:val="single" w:color="000000" w:sz="12" w:space="0"/>
              <w:bottom w:val="single" w:color="000000" w:sz="12" w:space="0"/>
              <w:right w:val="single" w:color="000000" w:sz="4" w:space="0"/>
            </w:tcBorders>
            <w:vAlign w:val="center"/>
          </w:tcPr>
          <w:p>
            <w:pPr>
              <w:jc w:val="center"/>
              <w:rPr>
                <w:color w:val="auto"/>
                <w:sz w:val="20"/>
                <w:szCs w:val="20"/>
                <w:highlight w:val="none"/>
              </w:rPr>
            </w:pPr>
            <w:r>
              <w:rPr>
                <w:color w:val="auto"/>
                <w:sz w:val="20"/>
                <w:szCs w:val="20"/>
                <w:highlight w:val="none"/>
              </w:rPr>
              <w:t>粉土</w:t>
            </w:r>
          </w:p>
        </w:tc>
        <w:tc>
          <w:tcPr>
            <w:tcW w:w="1705" w:type="dxa"/>
            <w:tcBorders>
              <w:top w:val="single" w:color="000000" w:sz="4" w:space="0"/>
              <w:left w:val="single" w:color="000000" w:sz="4" w:space="0"/>
              <w:bottom w:val="single" w:color="000000" w:sz="12" w:space="0"/>
              <w:right w:val="single" w:color="000000" w:sz="4" w:space="0"/>
            </w:tcBorders>
            <w:vAlign w:val="center"/>
          </w:tcPr>
          <w:p>
            <w:pPr>
              <w:jc w:val="center"/>
              <w:rPr>
                <w:color w:val="auto"/>
                <w:sz w:val="20"/>
                <w:szCs w:val="20"/>
                <w:highlight w:val="none"/>
              </w:rPr>
            </w:pPr>
            <w:r>
              <w:rPr>
                <w:color w:val="auto"/>
                <w:sz w:val="20"/>
                <w:szCs w:val="20"/>
                <w:highlight w:val="none"/>
              </w:rPr>
              <w:fldChar w:fldCharType="begin"/>
            </w:r>
            <w:r>
              <w:rPr>
                <w:color w:val="auto"/>
                <w:sz w:val="20"/>
                <w:szCs w:val="20"/>
                <w:highlight w:val="none"/>
              </w:rPr>
              <w:instrText xml:space="preserve"> QUOTE </w:instrText>
            </w:r>
            <w:r>
              <w:rPr>
                <w:color w:val="auto"/>
                <w:position w:val="-8"/>
                <w:sz w:val="20"/>
                <w:szCs w:val="20"/>
                <w:highlight w:val="none"/>
              </w:rPr>
              <w:pict>
                <v:shape id="_x0000_i1070"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B2FF9&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8B2FF9&quot; wsp:rsidP=&quot;008B2FF9&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instrText xml:space="preserve"> </w:instrText>
            </w:r>
            <w:r>
              <w:rPr>
                <w:color w:val="auto"/>
                <w:sz w:val="20"/>
                <w:szCs w:val="20"/>
                <w:highlight w:val="none"/>
              </w:rPr>
              <w:fldChar w:fldCharType="separate"/>
            </w:r>
            <w:r>
              <w:rPr>
                <w:color w:val="auto"/>
                <w:position w:val="-8"/>
                <w:sz w:val="20"/>
                <w:szCs w:val="20"/>
                <w:highlight w:val="none"/>
              </w:rPr>
              <w:pict>
                <v:shape id="_x0000_i1071"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B2FF9&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8B2FF9&quot; wsp:rsidP=&quot;008B2FF9&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fldChar w:fldCharType="end"/>
            </w:r>
            <w:r>
              <w:rPr>
                <w:rFonts w:hint="eastAsia" w:ascii="宋体" w:hAnsi="宋体" w:cs="宋体"/>
                <w:color w:val="auto"/>
                <w:sz w:val="20"/>
                <w:szCs w:val="20"/>
                <w:highlight w:val="none"/>
              </w:rPr>
              <w:t>≥</w:t>
            </w:r>
            <w:r>
              <w:rPr>
                <w:color w:val="auto"/>
                <w:sz w:val="20"/>
                <w:szCs w:val="20"/>
                <w:highlight w:val="none"/>
              </w:rPr>
              <w:t>1.05</w:t>
            </w:r>
          </w:p>
        </w:tc>
        <w:tc>
          <w:tcPr>
            <w:tcW w:w="1705" w:type="dxa"/>
            <w:tcBorders>
              <w:top w:val="single" w:color="000000" w:sz="4" w:space="0"/>
              <w:left w:val="single" w:color="000000" w:sz="4" w:space="0"/>
              <w:bottom w:val="single" w:color="000000" w:sz="12" w:space="0"/>
              <w:right w:val="single" w:color="000000" w:sz="4" w:space="0"/>
            </w:tcBorders>
            <w:vAlign w:val="center"/>
          </w:tcPr>
          <w:p>
            <w:pPr>
              <w:spacing w:line="0" w:lineRule="atLeast"/>
              <w:jc w:val="center"/>
              <w:rPr>
                <w:color w:val="auto"/>
                <w:sz w:val="20"/>
                <w:szCs w:val="20"/>
                <w:highlight w:val="none"/>
              </w:rPr>
            </w:pPr>
            <w:r>
              <w:rPr>
                <w:color w:val="auto"/>
                <w:sz w:val="20"/>
                <w:szCs w:val="20"/>
                <w:highlight w:val="none"/>
              </w:rPr>
              <w:t>1.05&gt;</w:t>
            </w:r>
            <w:r>
              <w:rPr>
                <w:color w:val="auto"/>
                <w:sz w:val="20"/>
                <w:szCs w:val="20"/>
                <w:highlight w:val="none"/>
              </w:rPr>
              <w:fldChar w:fldCharType="begin"/>
            </w:r>
            <w:r>
              <w:rPr>
                <w:color w:val="auto"/>
                <w:sz w:val="20"/>
                <w:szCs w:val="20"/>
                <w:highlight w:val="none"/>
              </w:rPr>
              <w:instrText xml:space="preserve"> QUOTE </w:instrText>
            </w:r>
            <w:r>
              <w:rPr>
                <w:color w:val="auto"/>
                <w:position w:val="-8"/>
                <w:sz w:val="20"/>
                <w:szCs w:val="20"/>
                <w:highlight w:val="none"/>
              </w:rPr>
              <w:pict>
                <v:shape id="_x0000_i1072"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 wsp:val=&quot;00FA064C&quot;/&gt;&lt;/wsp:rsids&gt;&lt;/w:docPr&gt;&lt;w:body&gt;&lt;wx:sect&gt;&lt;w:p wsp:rsidR=&quot;00000000&quot; wsp:rsidRDefault=&quot;00FA064C&quot; wsp:rsidP=&quot;00FA064C&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instrText xml:space="preserve"> </w:instrText>
            </w:r>
            <w:r>
              <w:rPr>
                <w:color w:val="auto"/>
                <w:sz w:val="20"/>
                <w:szCs w:val="20"/>
                <w:highlight w:val="none"/>
              </w:rPr>
              <w:fldChar w:fldCharType="separate"/>
            </w:r>
            <w:r>
              <w:rPr>
                <w:color w:val="auto"/>
                <w:position w:val="-8"/>
                <w:sz w:val="20"/>
                <w:szCs w:val="20"/>
                <w:highlight w:val="none"/>
              </w:rPr>
              <w:pict>
                <v:shape id="_x0000_i1073"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 wsp:val=&quot;00FA064C&quot;/&gt;&lt;/wsp:rsids&gt;&lt;/w:docPr&gt;&lt;w:body&gt;&lt;wx:sect&gt;&lt;w:p wsp:rsidR=&quot;00000000&quot; wsp:rsidRDefault=&quot;00FA064C&quot; wsp:rsidP=&quot;00FA064C&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fldChar w:fldCharType="end"/>
            </w:r>
            <w:r>
              <w:rPr>
                <w:rFonts w:hint="eastAsia" w:ascii="宋体" w:hAnsi="宋体" w:cs="宋体"/>
                <w:color w:val="auto"/>
                <w:sz w:val="20"/>
                <w:szCs w:val="20"/>
                <w:highlight w:val="none"/>
              </w:rPr>
              <w:t>≥</w:t>
            </w:r>
            <w:r>
              <w:rPr>
                <w:color w:val="auto"/>
                <w:sz w:val="20"/>
                <w:szCs w:val="20"/>
                <w:highlight w:val="none"/>
              </w:rPr>
              <w:t>0.90</w:t>
            </w:r>
          </w:p>
        </w:tc>
        <w:tc>
          <w:tcPr>
            <w:tcW w:w="1705" w:type="dxa"/>
            <w:tcBorders>
              <w:top w:val="single" w:color="000000" w:sz="4" w:space="0"/>
              <w:left w:val="single" w:color="000000" w:sz="4" w:space="0"/>
              <w:bottom w:val="single" w:color="000000" w:sz="12" w:space="0"/>
              <w:right w:val="single" w:color="000000" w:sz="4" w:space="0"/>
            </w:tcBorders>
            <w:vAlign w:val="center"/>
          </w:tcPr>
          <w:p>
            <w:pPr>
              <w:spacing w:line="0" w:lineRule="atLeast"/>
              <w:jc w:val="center"/>
              <w:rPr>
                <w:color w:val="auto"/>
                <w:sz w:val="20"/>
                <w:szCs w:val="20"/>
                <w:highlight w:val="none"/>
              </w:rPr>
            </w:pPr>
            <w:r>
              <w:rPr>
                <w:color w:val="auto"/>
                <w:sz w:val="20"/>
                <w:szCs w:val="20"/>
                <w:highlight w:val="none"/>
              </w:rPr>
              <w:t>0.90&gt;</w:t>
            </w:r>
            <w:r>
              <w:rPr>
                <w:color w:val="auto"/>
                <w:sz w:val="20"/>
                <w:szCs w:val="20"/>
                <w:highlight w:val="none"/>
              </w:rPr>
              <w:fldChar w:fldCharType="begin"/>
            </w:r>
            <w:r>
              <w:rPr>
                <w:color w:val="auto"/>
                <w:sz w:val="20"/>
                <w:szCs w:val="20"/>
                <w:highlight w:val="none"/>
              </w:rPr>
              <w:instrText xml:space="preserve"> QUOTE </w:instrText>
            </w:r>
            <w:r>
              <w:rPr>
                <w:color w:val="auto"/>
                <w:position w:val="-8"/>
                <w:sz w:val="20"/>
                <w:szCs w:val="20"/>
                <w:highlight w:val="none"/>
              </w:rPr>
              <w:pict>
                <v:shape id="_x0000_i1074"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11437&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911437&quot; wsp:rsidP=&quot;00911437&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instrText xml:space="preserve"> </w:instrText>
            </w:r>
            <w:r>
              <w:rPr>
                <w:color w:val="auto"/>
                <w:sz w:val="20"/>
                <w:szCs w:val="20"/>
                <w:highlight w:val="none"/>
              </w:rPr>
              <w:fldChar w:fldCharType="separate"/>
            </w:r>
            <w:r>
              <w:rPr>
                <w:color w:val="auto"/>
                <w:position w:val="-8"/>
                <w:sz w:val="20"/>
                <w:szCs w:val="20"/>
                <w:highlight w:val="none"/>
              </w:rPr>
              <w:pict>
                <v:shape id="_x0000_i1075"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11437&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911437&quot; wsp:rsidP=&quot;00911437&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fldChar w:fldCharType="end"/>
            </w:r>
            <w:r>
              <w:rPr>
                <w:rFonts w:hint="eastAsia" w:ascii="宋体" w:hAnsi="宋体" w:cs="宋体"/>
                <w:color w:val="auto"/>
                <w:sz w:val="20"/>
                <w:szCs w:val="20"/>
                <w:highlight w:val="none"/>
              </w:rPr>
              <w:t>≥</w:t>
            </w:r>
            <w:r>
              <w:rPr>
                <w:color w:val="auto"/>
                <w:sz w:val="20"/>
                <w:szCs w:val="20"/>
                <w:highlight w:val="none"/>
              </w:rPr>
              <w:t>0.75</w:t>
            </w:r>
          </w:p>
        </w:tc>
        <w:tc>
          <w:tcPr>
            <w:tcW w:w="1708" w:type="dxa"/>
            <w:tcBorders>
              <w:top w:val="single" w:color="000000" w:sz="4" w:space="0"/>
              <w:left w:val="single" w:color="000000" w:sz="4" w:space="0"/>
              <w:bottom w:val="single" w:color="000000" w:sz="12" w:space="0"/>
              <w:right w:val="single" w:color="000000" w:sz="12" w:space="0"/>
            </w:tcBorders>
            <w:vAlign w:val="center"/>
          </w:tcPr>
          <w:p>
            <w:pPr>
              <w:spacing w:line="0" w:lineRule="atLeast"/>
              <w:jc w:val="center"/>
              <w:rPr>
                <w:color w:val="auto"/>
                <w:sz w:val="20"/>
                <w:szCs w:val="20"/>
                <w:highlight w:val="none"/>
              </w:rPr>
            </w:pPr>
            <w:r>
              <w:rPr>
                <w:color w:val="auto"/>
                <w:sz w:val="20"/>
                <w:szCs w:val="20"/>
                <w:highlight w:val="none"/>
              </w:rPr>
              <w:fldChar w:fldCharType="begin"/>
            </w:r>
            <w:r>
              <w:rPr>
                <w:color w:val="auto"/>
                <w:sz w:val="20"/>
                <w:szCs w:val="20"/>
                <w:highlight w:val="none"/>
              </w:rPr>
              <w:instrText xml:space="preserve"> QUOTE </w:instrText>
            </w:r>
            <w:r>
              <w:rPr>
                <w:color w:val="auto"/>
                <w:position w:val="-8"/>
                <w:sz w:val="20"/>
                <w:szCs w:val="20"/>
                <w:highlight w:val="none"/>
              </w:rPr>
              <w:pict>
                <v:shape id="_x0000_i1076"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BB7AC6&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BB7AC6&quot; wsp:rsidP=&quot;00BB7AC6&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instrText xml:space="preserve"> </w:instrText>
            </w:r>
            <w:r>
              <w:rPr>
                <w:color w:val="auto"/>
                <w:sz w:val="20"/>
                <w:szCs w:val="20"/>
                <w:highlight w:val="none"/>
              </w:rPr>
              <w:fldChar w:fldCharType="separate"/>
            </w:r>
            <w:r>
              <w:rPr>
                <w:color w:val="auto"/>
                <w:position w:val="-8"/>
                <w:sz w:val="20"/>
                <w:szCs w:val="20"/>
                <w:highlight w:val="none"/>
              </w:rPr>
              <w:pict>
                <v:shape id="_x0000_i1077" o:spt="75" type="#_x0000_t75" style="height:15.75pt;width:1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BB7AC6&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BB7AC6&quot; wsp:rsidP=&quot;00BB7AC6&quot;&gt;&lt;m:oMathPara&gt;&lt;m:oMath&gt;&lt;m:sSub&gt;&lt;m:sSubPr&gt;&lt;m:ctrlPr&gt;&lt;w:rPr&gt;&lt;w:rFonts w:ascii=&quot;Cambria Math&quot; w:h-ansi=&quot;Cambria Math&quot;/&gt;&lt;wx:font wx:val=&quot;Cambria Math&quot;/&gt;&lt;w:i/&gt;&lt;w:color w:val=&quot;000000&quot;/&gt;&lt;w:sz-cs w:val=&quot;21&quot;/&gt;&lt;/w:rPr&gt;&lt;/m:ctrlPr&gt;&lt;/m:sSubPr&gt;&lt;m:e&gt;&lt;m:r&gt;&lt;w:rPr&gt;&lt;w:rFonts w:ascii=&quot;Cambria Math&quot; w:h-ansi=&quot;Cambria Math&quot;/&gt;&lt;wx:font wx:val=&quot;Cambria Math&quot;/&gt;&lt;w:i/&gt;&lt;w:color w:val=&quot;000000&quot;/&gt;&lt;w:sz-cs w:val=&quot;21&quot;/&gt;&lt;/w:rPr&gt;&lt;m:t&gt;蠅&lt;/m:t&gt;&lt;/m:r&gt;&lt;/m:e&gt;&lt;m:sub&gt;&lt;m:r&gt;&lt;w:rPr&gt;&lt;w:rFonts w:ascii=&quot;Cambria Math&quot; w:h-ansi=&quot;Cambria Math&quot;/::::::::::::::::::::::::::::::::::::&gt;&lt;wx:font wx:val=&quot;Cambria Math&quot;/&gt;&lt;w:i/&gt;&lt;w:color w:val=&quot;000000&quot;/&gt;&lt;w:sz-cs w:val=&quot;21&quot;/&gt;&lt;/w:rPr&gt;&lt;m:t&gt;c&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color w:val="auto"/>
                <w:sz w:val="20"/>
                <w:szCs w:val="20"/>
                <w:highlight w:val="none"/>
              </w:rPr>
              <w:fldChar w:fldCharType="end"/>
            </w:r>
            <w:r>
              <w:rPr>
                <w:color w:val="auto"/>
                <w:sz w:val="20"/>
                <w:szCs w:val="20"/>
                <w:highlight w:val="none"/>
              </w:rPr>
              <w:t>&lt;0.75</w:t>
            </w:r>
          </w:p>
        </w:tc>
      </w:tr>
    </w:tbl>
    <w:p>
      <w:pPr>
        <w:snapToGrid w:val="0"/>
        <w:spacing w:line="360" w:lineRule="auto"/>
        <w:ind w:left="1050" w:leftChars="200" w:hanging="630" w:hangingChars="350"/>
        <w:jc w:val="left"/>
        <w:rPr>
          <w:color w:val="auto"/>
          <w:sz w:val="18"/>
          <w:szCs w:val="18"/>
          <w:highlight w:val="none"/>
        </w:rPr>
      </w:pPr>
      <w:r>
        <w:rPr>
          <w:color w:val="auto"/>
          <w:sz w:val="18"/>
          <w:szCs w:val="18"/>
          <w:highlight w:val="none"/>
        </w:rPr>
        <w:t>注：</w:t>
      </w:r>
      <w:r>
        <w:rPr>
          <w:rFonts w:hint="eastAsia"/>
          <w:color w:val="auto"/>
          <w:sz w:val="18"/>
          <w:szCs w:val="18"/>
          <w:highlight w:val="none"/>
        </w:rPr>
        <w:t>1　</w:t>
      </w:r>
      <w:r>
        <w:rPr>
          <w:color w:val="auto"/>
          <w:position w:val="-12"/>
          <w:sz w:val="18"/>
          <w:szCs w:val="18"/>
          <w:highlight w:val="none"/>
        </w:rPr>
        <w:object>
          <v:shape id="_x0000_i1078" o:spt="75" type="#_x0000_t75" style="height:15.75pt;width:12.75pt;" o:ole="t" filled="f" o:preferrelative="t" stroked="f" coordsize="21600,21600">
            <v:path/>
            <v:fill on="f" focussize="0,0"/>
            <v:stroke on="f" joinstyle="miter"/>
            <v:imagedata r:id="rId34" o:title=""/>
            <o:lock v:ext="edit" aspectratio="t"/>
            <w10:wrap type="none"/>
            <w10:anchorlock/>
          </v:shape>
          <o:OLEObject Type="Embed" ProgID="Equation.3" ShapeID="_x0000_i1078" DrawAspect="Content" ObjectID="_1468075734" r:id="rId33">
            <o:LockedField>false</o:LockedField>
          </o:OLEObject>
        </w:object>
      </w:r>
      <w:r>
        <w:rPr>
          <w:color w:val="auto"/>
          <w:sz w:val="18"/>
          <w:szCs w:val="18"/>
          <w:highlight w:val="none"/>
        </w:rPr>
        <w:t>为路床顶面以下80cm深度内的平均稠度；</w:t>
      </w:r>
      <w:r>
        <w:rPr>
          <w:color w:val="auto"/>
          <w:position w:val="-12"/>
          <w:sz w:val="18"/>
          <w:szCs w:val="18"/>
          <w:highlight w:val="none"/>
        </w:rPr>
        <w:object>
          <v:shape id="_x0000_i1079" o:spt="75" type="#_x0000_t75" style="height:15.75pt;width:63pt;" o:ole="t" filled="f" o:preferrelative="t" stroked="f" coordsize="21600,21600">
            <v:path/>
            <v:fill on="f" focussize="0,0"/>
            <v:stroke on="f" joinstyle="miter"/>
            <v:imagedata r:id="rId36" o:title=""/>
            <o:lock v:ext="edit" aspectratio="t"/>
            <w10:wrap type="none"/>
            <w10:anchorlock/>
          </v:shape>
          <o:OLEObject Type="Embed" ProgID="Equation.3" ShapeID="_x0000_i1079" DrawAspect="Content" ObjectID="_1468075735" r:id="rId35">
            <o:LockedField>false</o:LockedField>
          </o:OLEObject>
        </w:object>
      </w:r>
      <w:r>
        <w:rPr>
          <w:color w:val="auto"/>
          <w:sz w:val="18"/>
          <w:szCs w:val="18"/>
          <w:highlight w:val="none"/>
        </w:rPr>
        <w:t>分别为</w:t>
      </w:r>
      <w:r>
        <w:rPr>
          <w:rFonts w:hint="eastAsia"/>
          <w:color w:val="auto"/>
          <w:sz w:val="18"/>
          <w:szCs w:val="18"/>
          <w:highlight w:val="none"/>
        </w:rPr>
        <w:t>路基</w:t>
      </w:r>
      <w:r>
        <w:rPr>
          <w:color w:val="auto"/>
          <w:sz w:val="18"/>
          <w:szCs w:val="18"/>
          <w:highlight w:val="none"/>
        </w:rPr>
        <w:t>干燥和中湿、中湿和潮湿、潮湿和过湿</w:t>
      </w:r>
      <w:r>
        <w:rPr>
          <w:rFonts w:hint="eastAsia"/>
          <w:color w:val="auto"/>
          <w:sz w:val="18"/>
          <w:szCs w:val="18"/>
          <w:highlight w:val="none"/>
        </w:rPr>
        <w:t>状态</w:t>
      </w:r>
      <w:r>
        <w:rPr>
          <w:color w:val="auto"/>
          <w:sz w:val="18"/>
          <w:szCs w:val="18"/>
          <w:highlight w:val="none"/>
        </w:rPr>
        <w:t>间的分界稠度</w:t>
      </w:r>
      <w:r>
        <w:rPr>
          <w:rFonts w:hint="eastAsia"/>
          <w:color w:val="auto"/>
          <w:sz w:val="18"/>
          <w:szCs w:val="18"/>
          <w:highlight w:val="none"/>
        </w:rPr>
        <w:t>；</w:t>
      </w:r>
    </w:p>
    <w:p>
      <w:pPr>
        <w:snapToGrid w:val="0"/>
        <w:spacing w:line="360" w:lineRule="auto"/>
        <w:ind w:left="1110" w:leftChars="400" w:hanging="270" w:hangingChars="150"/>
        <w:jc w:val="left"/>
        <w:rPr>
          <w:color w:val="auto"/>
          <w:sz w:val="18"/>
          <w:szCs w:val="18"/>
          <w:highlight w:val="none"/>
        </w:rPr>
      </w:pPr>
      <w:r>
        <w:rPr>
          <w:rFonts w:hint="eastAsia"/>
          <w:color w:val="auto"/>
          <w:sz w:val="18"/>
          <w:szCs w:val="18"/>
          <w:highlight w:val="none"/>
        </w:rPr>
        <w:t>2　稠度计算公式为</w:t>
      </w:r>
      <w:r>
        <w:rPr>
          <w:color w:val="auto"/>
          <w:position w:val="-14"/>
          <w:sz w:val="18"/>
          <w:szCs w:val="18"/>
          <w:highlight w:val="none"/>
        </w:rPr>
        <w:object>
          <v:shape id="_x0000_i1080" o:spt="75" type="#_x0000_t75" style="height:16.5pt;width:96.75pt;" o:ole="t" filled="f" o:preferrelative="t" stroked="f" coordsize="21600,21600">
            <v:path/>
            <v:fill on="f" focussize="0,0"/>
            <v:stroke on="f"/>
            <v:imagedata r:id="rId38" o:title=""/>
            <o:lock v:ext="edit" aspectratio="t"/>
            <w10:wrap type="none"/>
            <w10:anchorlock/>
          </v:shape>
          <o:OLEObject Type="Embed" ProgID="Equation.3" ShapeID="_x0000_i1080" DrawAspect="Content" ObjectID="_1468075736" r:id="rId37">
            <o:LockedField>false</o:LockedField>
          </o:OLEObject>
        </w:object>
      </w:r>
      <w:r>
        <w:rPr>
          <w:rFonts w:hint="eastAsia"/>
          <w:color w:val="auto"/>
          <w:sz w:val="18"/>
          <w:szCs w:val="18"/>
          <w:highlight w:val="none"/>
        </w:rPr>
        <w:t>；</w:t>
      </w:r>
      <w:r>
        <w:rPr>
          <w:color w:val="auto"/>
          <w:position w:val="-6"/>
          <w:sz w:val="18"/>
          <w:szCs w:val="18"/>
          <w:highlight w:val="none"/>
        </w:rPr>
        <w:object>
          <v:shape id="_x0000_i1081" o:spt="75" type="#_x0000_t75" style="height:9.75pt;width:10.5pt;" o:ole="t" filled="f" o:preferrelative="t" stroked="f" coordsize="21600,21600">
            <v:path/>
            <v:fill on="f" focussize="0,0"/>
            <v:stroke on="f" joinstyle="miter"/>
            <v:imagedata r:id="rId40" o:title=""/>
            <o:lock v:ext="edit" aspectratio="t"/>
            <w10:wrap type="none"/>
            <w10:anchorlock/>
          </v:shape>
          <o:OLEObject Type="Embed" ProgID="Equation.3" ShapeID="_x0000_i1081" DrawAspect="Content" ObjectID="_1468075737" r:id="rId39">
            <o:LockedField>false</o:LockedField>
          </o:OLEObject>
        </w:object>
      </w:r>
      <w:r>
        <w:rPr>
          <w:rFonts w:hint="eastAsia"/>
          <w:color w:val="auto"/>
          <w:sz w:val="18"/>
          <w:szCs w:val="18"/>
          <w:highlight w:val="none"/>
        </w:rPr>
        <w:t>、</w:t>
      </w:r>
      <w:r>
        <w:rPr>
          <w:color w:val="auto"/>
          <w:position w:val="-10"/>
          <w:sz w:val="18"/>
          <w:szCs w:val="18"/>
          <w:highlight w:val="none"/>
        </w:rPr>
        <w:object>
          <v:shape id="_x0000_i1082" o:spt="75" type="#_x0000_t75" style="height:15pt;width:13.5pt;" o:ole="t" filled="f" o:preferrelative="t" stroked="f" coordsize="21600,21600">
            <v:path/>
            <v:fill on="f" focussize="0,0"/>
            <v:stroke on="f" joinstyle="miter"/>
            <v:imagedata r:id="rId15" o:title=""/>
            <o:lock v:ext="edit" aspectratio="t"/>
            <w10:wrap type="none"/>
            <w10:anchorlock/>
          </v:shape>
          <o:OLEObject Type="Embed" ProgID="Equation.3" ShapeID="_x0000_i1082" DrawAspect="Content" ObjectID="_1468075738" r:id="rId41">
            <o:LockedField>false</o:LockedField>
          </o:OLEObject>
        </w:object>
      </w:r>
      <w:r>
        <w:rPr>
          <w:rFonts w:hint="eastAsia"/>
          <w:color w:val="auto"/>
          <w:sz w:val="18"/>
          <w:szCs w:val="18"/>
          <w:highlight w:val="none"/>
        </w:rPr>
        <w:t>、</w:t>
      </w:r>
      <w:r>
        <w:rPr>
          <w:color w:val="auto"/>
          <w:position w:val="-14"/>
          <w:sz w:val="18"/>
          <w:szCs w:val="18"/>
          <w:highlight w:val="none"/>
        </w:rPr>
        <w:object>
          <v:shape id="_x0000_i1083" o:spt="75" type="#_x0000_t75" style="height:16.5pt;width:13.5pt;" o:ole="t" filled="f" o:preferrelative="t" stroked="f" coordsize="21600,21600">
            <v:path/>
            <v:fill on="f" focussize="0,0"/>
            <v:stroke on="f" joinstyle="miter"/>
            <v:imagedata r:id="rId43" o:title=""/>
            <o:lock v:ext="edit" aspectratio="t"/>
            <w10:wrap type="none"/>
            <w10:anchorlock/>
          </v:shape>
          <o:OLEObject Type="Embed" ProgID="Equation.3" ShapeID="_x0000_i1083" DrawAspect="Content" ObjectID="_1468075739" r:id="rId42">
            <o:LockedField>false</o:LockedField>
          </o:OLEObject>
        </w:object>
      </w:r>
      <w:r>
        <w:rPr>
          <w:rFonts w:hint="eastAsia"/>
          <w:color w:val="auto"/>
          <w:sz w:val="18"/>
          <w:szCs w:val="18"/>
          <w:highlight w:val="none"/>
        </w:rPr>
        <w:t>分别为土的含水量、液限和塑限。</w:t>
      </w:r>
    </w:p>
    <w:p>
      <w:pPr>
        <w:spacing w:line="360" w:lineRule="auto"/>
        <w:jc w:val="center"/>
        <w:rPr>
          <w:color w:val="auto"/>
          <w:szCs w:val="21"/>
          <w:highlight w:val="none"/>
        </w:rPr>
      </w:pPr>
      <w:r>
        <w:rPr>
          <w:rFonts w:hint="eastAsia"/>
          <w:b/>
          <w:bCs/>
          <w:color w:val="auto"/>
          <w:szCs w:val="21"/>
          <w:highlight w:val="none"/>
        </w:rPr>
        <w:t>表E.0.1-2　</w:t>
      </w:r>
      <w:r>
        <w:rPr>
          <w:b/>
          <w:bCs/>
          <w:color w:val="auto"/>
          <w:szCs w:val="21"/>
          <w:highlight w:val="none"/>
        </w:rPr>
        <w:t>路基干湿状态的</w:t>
      </w:r>
      <w:r>
        <w:rPr>
          <w:rFonts w:hint="eastAsia"/>
          <w:b/>
          <w:bCs/>
          <w:color w:val="auto"/>
          <w:szCs w:val="21"/>
          <w:highlight w:val="none"/>
        </w:rPr>
        <w:t>路基相对高度判定标准</w:t>
      </w:r>
    </w:p>
    <w:tbl>
      <w:tblPr>
        <w:tblStyle w:val="22"/>
        <w:tblW w:w="8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1602"/>
        <w:gridCol w:w="5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31" w:type="dxa"/>
            <w:tcBorders>
              <w:top w:val="single" w:color="000000" w:sz="12" w:space="0"/>
              <w:left w:val="single" w:color="000000" w:sz="12" w:space="0"/>
              <w:bottom w:val="single" w:color="000000" w:sz="4" w:space="0"/>
              <w:right w:val="single" w:color="000000" w:sz="4" w:space="0"/>
            </w:tcBorders>
            <w:vAlign w:val="center"/>
          </w:tcPr>
          <w:p>
            <w:pPr>
              <w:jc w:val="center"/>
              <w:rPr>
                <w:color w:val="auto"/>
                <w:sz w:val="20"/>
                <w:szCs w:val="20"/>
                <w:highlight w:val="none"/>
              </w:rPr>
            </w:pPr>
            <w:r>
              <w:rPr>
                <w:rFonts w:hint="eastAsia"/>
                <w:color w:val="auto"/>
                <w:sz w:val="20"/>
                <w:szCs w:val="20"/>
                <w:highlight w:val="none"/>
              </w:rPr>
              <w:t>路基干湿类型</w:t>
            </w:r>
          </w:p>
        </w:tc>
        <w:tc>
          <w:tcPr>
            <w:tcW w:w="1602" w:type="dxa"/>
            <w:tcBorders>
              <w:top w:val="single" w:color="000000" w:sz="12" w:space="0"/>
              <w:left w:val="single" w:color="000000" w:sz="4" w:space="0"/>
              <w:bottom w:val="single" w:color="000000" w:sz="4" w:space="0"/>
              <w:right w:val="single" w:color="000000" w:sz="4" w:space="0"/>
            </w:tcBorders>
            <w:vAlign w:val="center"/>
          </w:tcPr>
          <w:p>
            <w:pPr>
              <w:ind w:left="-105" w:leftChars="-50" w:right="-105" w:rightChars="-50"/>
              <w:jc w:val="center"/>
              <w:rPr>
                <w:i/>
                <w:color w:val="auto"/>
                <w:sz w:val="20"/>
                <w:szCs w:val="20"/>
                <w:highlight w:val="none"/>
              </w:rPr>
            </w:pPr>
            <w:r>
              <w:rPr>
                <w:rFonts w:hint="eastAsia"/>
                <w:iCs/>
                <w:color w:val="auto"/>
                <w:sz w:val="20"/>
                <w:szCs w:val="20"/>
                <w:highlight w:val="none"/>
              </w:rPr>
              <w:t>路基相对高度</w:t>
            </w:r>
            <w:r>
              <w:rPr>
                <w:rFonts w:hint="eastAsia"/>
                <w:i/>
                <w:color w:val="auto"/>
                <w:sz w:val="20"/>
                <w:szCs w:val="20"/>
                <w:highlight w:val="none"/>
              </w:rPr>
              <w:t>H</w:t>
            </w:r>
          </w:p>
        </w:tc>
        <w:tc>
          <w:tcPr>
            <w:tcW w:w="5237" w:type="dxa"/>
            <w:tcBorders>
              <w:top w:val="single" w:color="000000" w:sz="12" w:space="0"/>
              <w:left w:val="single" w:color="000000" w:sz="4" w:space="0"/>
              <w:bottom w:val="single" w:color="000000" w:sz="4" w:space="0"/>
              <w:right w:val="single" w:color="000000" w:sz="12" w:space="0"/>
            </w:tcBorders>
            <w:vAlign w:val="center"/>
          </w:tcPr>
          <w:p>
            <w:pPr>
              <w:spacing w:line="0" w:lineRule="atLeast"/>
              <w:jc w:val="center"/>
              <w:rPr>
                <w:color w:val="auto"/>
                <w:sz w:val="20"/>
                <w:szCs w:val="20"/>
                <w:highlight w:val="none"/>
              </w:rPr>
            </w:pPr>
            <w:r>
              <w:rPr>
                <w:rFonts w:hint="eastAsia"/>
                <w:color w:val="auto"/>
                <w:sz w:val="20"/>
                <w:szCs w:val="20"/>
                <w:highlight w:val="none"/>
              </w:rPr>
              <w:t>一般特征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31" w:type="dxa"/>
            <w:tcBorders>
              <w:top w:val="single" w:color="000000" w:sz="4" w:space="0"/>
              <w:left w:val="single" w:color="000000" w:sz="12" w:space="0"/>
              <w:bottom w:val="single" w:color="000000" w:sz="4" w:space="0"/>
              <w:right w:val="single" w:color="000000" w:sz="4" w:space="0"/>
            </w:tcBorders>
            <w:vAlign w:val="center"/>
          </w:tcPr>
          <w:p>
            <w:pPr>
              <w:jc w:val="center"/>
              <w:rPr>
                <w:color w:val="auto"/>
                <w:sz w:val="20"/>
                <w:szCs w:val="20"/>
                <w:highlight w:val="none"/>
              </w:rPr>
            </w:pPr>
            <w:r>
              <w:rPr>
                <w:rFonts w:hint="eastAsia"/>
                <w:color w:val="auto"/>
                <w:sz w:val="20"/>
                <w:szCs w:val="20"/>
                <w:highlight w:val="none"/>
              </w:rPr>
              <w:t>干燥</w:t>
            </w:r>
          </w:p>
        </w:tc>
        <w:tc>
          <w:tcPr>
            <w:tcW w:w="1602" w:type="dxa"/>
            <w:tcBorders>
              <w:top w:val="single" w:color="000000" w:sz="4" w:space="0"/>
              <w:left w:val="single" w:color="000000" w:sz="4" w:space="0"/>
              <w:bottom w:val="single" w:color="000000" w:sz="4" w:space="0"/>
              <w:right w:val="single" w:color="000000" w:sz="4" w:space="0"/>
            </w:tcBorders>
            <w:vAlign w:val="center"/>
          </w:tcPr>
          <w:p>
            <w:pPr>
              <w:jc w:val="center"/>
              <w:rPr>
                <w:i/>
                <w:color w:val="auto"/>
                <w:sz w:val="20"/>
                <w:szCs w:val="20"/>
                <w:highlight w:val="none"/>
                <w:vertAlign w:val="subscript"/>
              </w:rPr>
            </w:pPr>
            <w:r>
              <w:rPr>
                <w:rFonts w:hint="eastAsia"/>
                <w:i/>
                <w:color w:val="auto"/>
                <w:sz w:val="20"/>
                <w:szCs w:val="20"/>
                <w:highlight w:val="none"/>
              </w:rPr>
              <w:t>H</w:t>
            </w:r>
            <w:r>
              <w:rPr>
                <w:rFonts w:hint="eastAsia" w:ascii="宋体" w:hAnsi="宋体" w:cs="宋体"/>
                <w:color w:val="auto"/>
                <w:sz w:val="20"/>
                <w:szCs w:val="20"/>
                <w:highlight w:val="none"/>
              </w:rPr>
              <w:t>≥</w:t>
            </w:r>
            <w:r>
              <w:rPr>
                <w:rFonts w:hint="eastAsia"/>
                <w:i/>
                <w:color w:val="auto"/>
                <w:sz w:val="20"/>
                <w:szCs w:val="20"/>
                <w:highlight w:val="none"/>
              </w:rPr>
              <w:t>H</w:t>
            </w:r>
            <w:r>
              <w:rPr>
                <w:rFonts w:hint="eastAsia"/>
                <w:iCs/>
                <w:color w:val="auto"/>
                <w:sz w:val="20"/>
                <w:szCs w:val="20"/>
                <w:highlight w:val="none"/>
                <w:vertAlign w:val="subscript"/>
              </w:rPr>
              <w:t>1</w:t>
            </w:r>
          </w:p>
        </w:tc>
        <w:tc>
          <w:tcPr>
            <w:tcW w:w="5237" w:type="dxa"/>
            <w:tcBorders>
              <w:top w:val="single" w:color="000000" w:sz="4" w:space="0"/>
              <w:left w:val="single" w:color="000000" w:sz="4" w:space="0"/>
              <w:bottom w:val="single" w:color="000000" w:sz="4" w:space="0"/>
              <w:right w:val="single" w:color="000000" w:sz="12" w:space="0"/>
            </w:tcBorders>
            <w:vAlign w:val="center"/>
          </w:tcPr>
          <w:p>
            <w:pPr>
              <w:spacing w:line="0" w:lineRule="atLeast"/>
              <w:jc w:val="left"/>
              <w:rPr>
                <w:color w:val="auto"/>
                <w:sz w:val="20"/>
                <w:szCs w:val="20"/>
                <w:highlight w:val="none"/>
              </w:rPr>
            </w:pPr>
            <w:r>
              <w:rPr>
                <w:rFonts w:hint="eastAsia"/>
                <w:color w:val="auto"/>
                <w:sz w:val="20"/>
                <w:szCs w:val="20"/>
                <w:highlight w:val="none"/>
              </w:rPr>
              <w:t>路基干燥、稳定，路面强度和稳定性不受地下水和地表积水的影响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31" w:type="dxa"/>
            <w:tcBorders>
              <w:top w:val="single" w:color="000000" w:sz="4" w:space="0"/>
              <w:left w:val="single" w:color="000000" w:sz="12" w:space="0"/>
              <w:bottom w:val="single" w:color="000000" w:sz="4" w:space="0"/>
              <w:right w:val="single" w:color="000000" w:sz="4" w:space="0"/>
            </w:tcBorders>
            <w:vAlign w:val="center"/>
          </w:tcPr>
          <w:p>
            <w:pPr>
              <w:jc w:val="center"/>
              <w:rPr>
                <w:color w:val="auto"/>
                <w:sz w:val="20"/>
                <w:szCs w:val="20"/>
                <w:highlight w:val="none"/>
              </w:rPr>
            </w:pPr>
            <w:r>
              <w:rPr>
                <w:rFonts w:hint="eastAsia"/>
                <w:color w:val="auto"/>
                <w:sz w:val="20"/>
                <w:szCs w:val="20"/>
                <w:highlight w:val="none"/>
              </w:rPr>
              <w:t>中湿</w:t>
            </w:r>
          </w:p>
        </w:tc>
        <w:tc>
          <w:tcPr>
            <w:tcW w:w="1602"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20"/>
                <w:szCs w:val="20"/>
                <w:highlight w:val="none"/>
              </w:rPr>
            </w:pPr>
            <w:r>
              <w:rPr>
                <w:rFonts w:hint="eastAsia"/>
                <w:i/>
                <w:color w:val="auto"/>
                <w:sz w:val="20"/>
                <w:szCs w:val="20"/>
                <w:highlight w:val="none"/>
              </w:rPr>
              <w:t>H</w:t>
            </w:r>
            <w:r>
              <w:rPr>
                <w:rFonts w:hint="eastAsia"/>
                <w:iCs/>
                <w:color w:val="auto"/>
                <w:sz w:val="20"/>
                <w:szCs w:val="20"/>
                <w:highlight w:val="none"/>
                <w:vertAlign w:val="subscript"/>
              </w:rPr>
              <w:t>2</w:t>
            </w:r>
            <w:r>
              <w:rPr>
                <w:rFonts w:hint="eastAsia" w:ascii="宋体" w:hAnsi="宋体" w:cs="宋体"/>
                <w:iCs/>
                <w:color w:val="auto"/>
                <w:sz w:val="20"/>
                <w:szCs w:val="20"/>
                <w:highlight w:val="none"/>
              </w:rPr>
              <w:t>≤</w:t>
            </w:r>
            <w:r>
              <w:rPr>
                <w:rFonts w:hint="eastAsia"/>
                <w:i/>
                <w:color w:val="auto"/>
                <w:sz w:val="20"/>
                <w:szCs w:val="20"/>
                <w:highlight w:val="none"/>
              </w:rPr>
              <w:t>H</w:t>
            </w:r>
            <w:r>
              <w:rPr>
                <w:rFonts w:hint="eastAsia"/>
                <w:color w:val="auto"/>
                <w:szCs w:val="21"/>
                <w:highlight w:val="none"/>
              </w:rPr>
              <w:t>&lt;</w:t>
            </w:r>
            <w:r>
              <w:rPr>
                <w:rFonts w:hint="eastAsia"/>
                <w:i/>
                <w:color w:val="auto"/>
                <w:sz w:val="20"/>
                <w:szCs w:val="20"/>
                <w:highlight w:val="none"/>
              </w:rPr>
              <w:t>H</w:t>
            </w:r>
            <w:r>
              <w:rPr>
                <w:rFonts w:hint="eastAsia"/>
                <w:iCs/>
                <w:color w:val="auto"/>
                <w:sz w:val="20"/>
                <w:szCs w:val="20"/>
                <w:highlight w:val="none"/>
                <w:vertAlign w:val="subscript"/>
              </w:rPr>
              <w:t>1</w:t>
            </w:r>
          </w:p>
        </w:tc>
        <w:tc>
          <w:tcPr>
            <w:tcW w:w="5237" w:type="dxa"/>
            <w:tcBorders>
              <w:top w:val="single" w:color="000000" w:sz="4" w:space="0"/>
              <w:left w:val="single" w:color="000000" w:sz="4" w:space="0"/>
              <w:bottom w:val="single" w:color="000000" w:sz="4" w:space="0"/>
              <w:right w:val="single" w:color="000000" w:sz="12" w:space="0"/>
            </w:tcBorders>
            <w:vAlign w:val="center"/>
          </w:tcPr>
          <w:p>
            <w:pPr>
              <w:spacing w:line="0" w:lineRule="atLeast"/>
              <w:jc w:val="left"/>
              <w:rPr>
                <w:color w:val="auto"/>
                <w:sz w:val="20"/>
                <w:szCs w:val="20"/>
                <w:highlight w:val="none"/>
              </w:rPr>
            </w:pPr>
            <w:r>
              <w:rPr>
                <w:rFonts w:hint="eastAsia"/>
                <w:color w:val="auto"/>
                <w:sz w:val="20"/>
                <w:szCs w:val="20"/>
                <w:highlight w:val="none"/>
              </w:rPr>
              <w:t>路基上部土层处于地下水或地表积水影响的过渡带区内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31" w:type="dxa"/>
            <w:tcBorders>
              <w:top w:val="single" w:color="000000" w:sz="4" w:space="0"/>
              <w:left w:val="single" w:color="000000" w:sz="12" w:space="0"/>
              <w:bottom w:val="single" w:color="000000" w:sz="4" w:space="0"/>
              <w:right w:val="single" w:color="000000" w:sz="4" w:space="0"/>
            </w:tcBorders>
            <w:vAlign w:val="center"/>
          </w:tcPr>
          <w:p>
            <w:pPr>
              <w:jc w:val="center"/>
              <w:rPr>
                <w:color w:val="auto"/>
                <w:sz w:val="20"/>
                <w:szCs w:val="20"/>
                <w:highlight w:val="none"/>
              </w:rPr>
            </w:pPr>
            <w:r>
              <w:rPr>
                <w:rFonts w:hint="eastAsia"/>
                <w:color w:val="auto"/>
                <w:sz w:val="20"/>
                <w:szCs w:val="20"/>
                <w:highlight w:val="none"/>
              </w:rPr>
              <w:t>潮湿</w:t>
            </w:r>
          </w:p>
        </w:tc>
        <w:tc>
          <w:tcPr>
            <w:tcW w:w="1602" w:type="dxa"/>
            <w:tcBorders>
              <w:top w:val="single" w:color="000000" w:sz="4" w:space="0"/>
              <w:left w:val="single" w:color="000000" w:sz="4" w:space="0"/>
              <w:bottom w:val="single" w:color="000000" w:sz="4" w:space="0"/>
              <w:right w:val="single" w:color="000000" w:sz="4" w:space="0"/>
            </w:tcBorders>
            <w:vAlign w:val="center"/>
          </w:tcPr>
          <w:p>
            <w:pPr>
              <w:jc w:val="center"/>
              <w:rPr>
                <w:color w:val="auto"/>
                <w:sz w:val="20"/>
                <w:szCs w:val="20"/>
                <w:highlight w:val="none"/>
              </w:rPr>
            </w:pPr>
            <w:r>
              <w:rPr>
                <w:rFonts w:hint="eastAsia"/>
                <w:i/>
                <w:color w:val="auto"/>
                <w:sz w:val="20"/>
                <w:szCs w:val="20"/>
                <w:highlight w:val="none"/>
              </w:rPr>
              <w:t>H</w:t>
            </w:r>
            <w:r>
              <w:rPr>
                <w:rFonts w:hint="eastAsia"/>
                <w:iCs/>
                <w:color w:val="auto"/>
                <w:sz w:val="20"/>
                <w:szCs w:val="20"/>
                <w:highlight w:val="none"/>
                <w:vertAlign w:val="subscript"/>
              </w:rPr>
              <w:t>3</w:t>
            </w:r>
            <w:r>
              <w:rPr>
                <w:rFonts w:hint="eastAsia" w:ascii="宋体" w:hAnsi="宋体" w:cs="宋体"/>
                <w:iCs/>
                <w:color w:val="auto"/>
                <w:sz w:val="20"/>
                <w:szCs w:val="20"/>
                <w:highlight w:val="none"/>
              </w:rPr>
              <w:t>≤</w:t>
            </w:r>
            <w:r>
              <w:rPr>
                <w:rFonts w:hint="eastAsia"/>
                <w:i/>
                <w:color w:val="auto"/>
                <w:sz w:val="20"/>
                <w:szCs w:val="20"/>
                <w:highlight w:val="none"/>
              </w:rPr>
              <w:t>H</w:t>
            </w:r>
            <w:r>
              <w:rPr>
                <w:rFonts w:hint="eastAsia"/>
                <w:color w:val="auto"/>
                <w:szCs w:val="21"/>
                <w:highlight w:val="none"/>
              </w:rPr>
              <w:t>&lt;</w:t>
            </w:r>
            <w:r>
              <w:rPr>
                <w:rFonts w:hint="eastAsia"/>
                <w:i/>
                <w:color w:val="auto"/>
                <w:sz w:val="20"/>
                <w:szCs w:val="20"/>
                <w:highlight w:val="none"/>
              </w:rPr>
              <w:t>H</w:t>
            </w:r>
            <w:r>
              <w:rPr>
                <w:rFonts w:hint="eastAsia"/>
                <w:iCs/>
                <w:color w:val="auto"/>
                <w:sz w:val="20"/>
                <w:szCs w:val="20"/>
                <w:highlight w:val="none"/>
                <w:vertAlign w:val="subscript"/>
              </w:rPr>
              <w:t>2</w:t>
            </w:r>
          </w:p>
        </w:tc>
        <w:tc>
          <w:tcPr>
            <w:tcW w:w="5237" w:type="dxa"/>
            <w:tcBorders>
              <w:top w:val="single" w:color="000000" w:sz="4" w:space="0"/>
              <w:left w:val="single" w:color="000000" w:sz="4" w:space="0"/>
              <w:bottom w:val="single" w:color="000000" w:sz="4" w:space="0"/>
              <w:right w:val="single" w:color="000000" w:sz="12" w:space="0"/>
            </w:tcBorders>
            <w:vAlign w:val="center"/>
          </w:tcPr>
          <w:p>
            <w:pPr>
              <w:spacing w:line="0" w:lineRule="atLeast"/>
              <w:jc w:val="left"/>
              <w:rPr>
                <w:color w:val="auto"/>
                <w:sz w:val="20"/>
                <w:szCs w:val="20"/>
                <w:highlight w:val="none"/>
              </w:rPr>
            </w:pPr>
            <w:r>
              <w:rPr>
                <w:rFonts w:hint="eastAsia"/>
                <w:color w:val="auto"/>
                <w:sz w:val="20"/>
                <w:szCs w:val="20"/>
                <w:highlight w:val="none"/>
              </w:rPr>
              <w:t>路基上部土层处于地下水或地表积水的毛细影响区内上段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431" w:type="dxa"/>
            <w:tcBorders>
              <w:top w:val="single" w:color="000000" w:sz="4" w:space="0"/>
              <w:left w:val="single" w:color="000000" w:sz="12" w:space="0"/>
              <w:bottom w:val="single" w:color="000000" w:sz="12" w:space="0"/>
              <w:right w:val="single" w:color="000000" w:sz="4" w:space="0"/>
            </w:tcBorders>
            <w:vAlign w:val="center"/>
          </w:tcPr>
          <w:p>
            <w:pPr>
              <w:jc w:val="center"/>
              <w:rPr>
                <w:color w:val="auto"/>
                <w:sz w:val="20"/>
                <w:szCs w:val="20"/>
                <w:highlight w:val="none"/>
              </w:rPr>
            </w:pPr>
            <w:r>
              <w:rPr>
                <w:rFonts w:hint="eastAsia"/>
                <w:color w:val="auto"/>
                <w:sz w:val="20"/>
                <w:szCs w:val="20"/>
                <w:highlight w:val="none"/>
              </w:rPr>
              <w:t>过湿</w:t>
            </w:r>
          </w:p>
        </w:tc>
        <w:tc>
          <w:tcPr>
            <w:tcW w:w="1602" w:type="dxa"/>
            <w:tcBorders>
              <w:top w:val="single" w:color="000000" w:sz="4" w:space="0"/>
              <w:left w:val="single" w:color="000000" w:sz="4" w:space="0"/>
              <w:bottom w:val="single" w:color="000000" w:sz="12" w:space="0"/>
              <w:right w:val="single" w:color="000000" w:sz="4" w:space="0"/>
            </w:tcBorders>
            <w:vAlign w:val="center"/>
          </w:tcPr>
          <w:p>
            <w:pPr>
              <w:jc w:val="center"/>
              <w:rPr>
                <w:color w:val="auto"/>
                <w:sz w:val="20"/>
                <w:szCs w:val="20"/>
                <w:highlight w:val="none"/>
              </w:rPr>
            </w:pPr>
            <w:r>
              <w:rPr>
                <w:rFonts w:hint="eastAsia"/>
                <w:i/>
                <w:color w:val="auto"/>
                <w:sz w:val="20"/>
                <w:szCs w:val="20"/>
                <w:highlight w:val="none"/>
              </w:rPr>
              <w:t>H</w:t>
            </w:r>
            <w:r>
              <w:rPr>
                <w:rFonts w:hint="eastAsia"/>
                <w:color w:val="auto"/>
                <w:szCs w:val="21"/>
                <w:highlight w:val="none"/>
              </w:rPr>
              <w:t>&lt;</w:t>
            </w:r>
            <w:r>
              <w:rPr>
                <w:rFonts w:hint="eastAsia"/>
                <w:i/>
                <w:color w:val="auto"/>
                <w:sz w:val="20"/>
                <w:szCs w:val="20"/>
                <w:highlight w:val="none"/>
              </w:rPr>
              <w:t>H</w:t>
            </w:r>
            <w:r>
              <w:rPr>
                <w:rFonts w:hint="eastAsia"/>
                <w:iCs/>
                <w:color w:val="auto"/>
                <w:sz w:val="20"/>
                <w:szCs w:val="20"/>
                <w:highlight w:val="none"/>
                <w:vertAlign w:val="subscript"/>
              </w:rPr>
              <w:t>3</w:t>
            </w:r>
          </w:p>
        </w:tc>
        <w:tc>
          <w:tcPr>
            <w:tcW w:w="5237" w:type="dxa"/>
            <w:tcBorders>
              <w:top w:val="single" w:color="000000" w:sz="4" w:space="0"/>
              <w:left w:val="single" w:color="000000" w:sz="4" w:space="0"/>
              <w:bottom w:val="single" w:color="000000" w:sz="12" w:space="0"/>
              <w:right w:val="single" w:color="000000" w:sz="12" w:space="0"/>
            </w:tcBorders>
            <w:vAlign w:val="center"/>
          </w:tcPr>
          <w:p>
            <w:pPr>
              <w:spacing w:line="0" w:lineRule="atLeast"/>
              <w:jc w:val="left"/>
              <w:rPr>
                <w:color w:val="auto"/>
                <w:sz w:val="20"/>
                <w:szCs w:val="20"/>
                <w:highlight w:val="none"/>
              </w:rPr>
            </w:pPr>
            <w:r>
              <w:rPr>
                <w:rFonts w:hint="eastAsia"/>
                <w:color w:val="auto"/>
                <w:sz w:val="20"/>
                <w:szCs w:val="20"/>
                <w:highlight w:val="none"/>
              </w:rPr>
              <w:t>路基上部土层处于地下水或地表积水的毛细影响区内下段</w:t>
            </w:r>
          </w:p>
        </w:tc>
      </w:tr>
    </w:tbl>
    <w:p>
      <w:pPr>
        <w:snapToGrid w:val="0"/>
        <w:spacing w:line="360" w:lineRule="auto"/>
        <w:ind w:left="1050" w:leftChars="200" w:hanging="630" w:hangingChars="350"/>
        <w:jc w:val="left"/>
        <w:rPr>
          <w:color w:val="auto"/>
          <w:sz w:val="18"/>
          <w:szCs w:val="18"/>
          <w:highlight w:val="none"/>
        </w:rPr>
      </w:pPr>
      <w:r>
        <w:rPr>
          <w:color w:val="auto"/>
          <w:sz w:val="18"/>
          <w:szCs w:val="18"/>
          <w:highlight w:val="none"/>
        </w:rPr>
        <w:t>注：</w:t>
      </w:r>
      <w:r>
        <w:rPr>
          <w:rFonts w:hint="eastAsia"/>
          <w:color w:val="auto"/>
          <w:sz w:val="18"/>
          <w:szCs w:val="18"/>
          <w:highlight w:val="none"/>
        </w:rPr>
        <w:t>1　路基相对高度</w:t>
      </w:r>
      <w:r>
        <w:rPr>
          <w:rFonts w:hint="eastAsia"/>
          <w:i/>
          <w:iCs/>
          <w:color w:val="auto"/>
          <w:sz w:val="18"/>
          <w:szCs w:val="18"/>
          <w:highlight w:val="none"/>
        </w:rPr>
        <w:t>H</w:t>
      </w:r>
      <w:r>
        <w:rPr>
          <w:rFonts w:hint="eastAsia"/>
          <w:color w:val="auto"/>
          <w:sz w:val="18"/>
          <w:szCs w:val="18"/>
          <w:highlight w:val="none"/>
        </w:rPr>
        <w:t>，是指路基底面相对于水位面的高度；</w:t>
      </w:r>
    </w:p>
    <w:p>
      <w:pPr>
        <w:snapToGrid w:val="0"/>
        <w:spacing w:line="360" w:lineRule="auto"/>
        <w:ind w:left="1088" w:leftChars="375" w:hanging="300" w:hangingChars="150"/>
        <w:jc w:val="left"/>
        <w:rPr>
          <w:color w:val="auto"/>
          <w:sz w:val="18"/>
          <w:szCs w:val="18"/>
          <w:highlight w:val="none"/>
        </w:rPr>
      </w:pPr>
      <w:r>
        <w:rPr>
          <w:rFonts w:hint="eastAsia"/>
          <w:iCs/>
          <w:color w:val="auto"/>
          <w:sz w:val="20"/>
          <w:szCs w:val="20"/>
          <w:highlight w:val="none"/>
        </w:rPr>
        <w:t>2　</w:t>
      </w:r>
      <w:r>
        <w:rPr>
          <w:rFonts w:hint="eastAsia"/>
          <w:i/>
          <w:color w:val="auto"/>
          <w:sz w:val="20"/>
          <w:szCs w:val="20"/>
          <w:highlight w:val="none"/>
        </w:rPr>
        <w:t>H</w:t>
      </w:r>
      <w:r>
        <w:rPr>
          <w:rFonts w:hint="eastAsia"/>
          <w:iCs/>
          <w:color w:val="auto"/>
          <w:sz w:val="20"/>
          <w:szCs w:val="20"/>
          <w:highlight w:val="none"/>
          <w:vertAlign w:val="subscript"/>
        </w:rPr>
        <w:t>1</w:t>
      </w:r>
      <w:r>
        <w:rPr>
          <w:rFonts w:hint="eastAsia"/>
          <w:color w:val="auto"/>
          <w:sz w:val="18"/>
          <w:szCs w:val="18"/>
          <w:highlight w:val="none"/>
        </w:rPr>
        <w:t>、</w:t>
      </w:r>
      <w:r>
        <w:rPr>
          <w:rFonts w:hint="eastAsia"/>
          <w:i/>
          <w:color w:val="auto"/>
          <w:sz w:val="20"/>
          <w:szCs w:val="20"/>
          <w:highlight w:val="none"/>
        </w:rPr>
        <w:t>H</w:t>
      </w:r>
      <w:r>
        <w:rPr>
          <w:rFonts w:hint="eastAsia"/>
          <w:iCs/>
          <w:color w:val="auto"/>
          <w:sz w:val="20"/>
          <w:szCs w:val="20"/>
          <w:highlight w:val="none"/>
          <w:vertAlign w:val="subscript"/>
        </w:rPr>
        <w:t>2</w:t>
      </w:r>
      <w:r>
        <w:rPr>
          <w:rFonts w:hint="eastAsia"/>
          <w:color w:val="auto"/>
          <w:sz w:val="18"/>
          <w:szCs w:val="18"/>
          <w:highlight w:val="none"/>
        </w:rPr>
        <w:t>、</w:t>
      </w:r>
      <w:r>
        <w:rPr>
          <w:rFonts w:hint="eastAsia"/>
          <w:i/>
          <w:color w:val="auto"/>
          <w:sz w:val="20"/>
          <w:szCs w:val="20"/>
          <w:highlight w:val="none"/>
        </w:rPr>
        <w:t>H</w:t>
      </w:r>
      <w:r>
        <w:rPr>
          <w:rFonts w:hint="eastAsia"/>
          <w:iCs/>
          <w:color w:val="auto"/>
          <w:sz w:val="20"/>
          <w:szCs w:val="20"/>
          <w:highlight w:val="none"/>
          <w:vertAlign w:val="subscript"/>
        </w:rPr>
        <w:t>3</w:t>
      </w:r>
      <w:r>
        <w:rPr>
          <w:color w:val="auto"/>
          <w:sz w:val="18"/>
          <w:szCs w:val="18"/>
          <w:highlight w:val="none"/>
        </w:rPr>
        <w:t>分别为</w:t>
      </w:r>
      <w:r>
        <w:rPr>
          <w:rFonts w:hint="eastAsia"/>
          <w:color w:val="auto"/>
          <w:sz w:val="18"/>
          <w:szCs w:val="18"/>
          <w:highlight w:val="none"/>
        </w:rPr>
        <w:t>路基</w:t>
      </w:r>
      <w:r>
        <w:rPr>
          <w:color w:val="auto"/>
          <w:sz w:val="18"/>
          <w:szCs w:val="18"/>
          <w:highlight w:val="none"/>
        </w:rPr>
        <w:t>干燥和中湿、中湿和潮湿、潮湿和过湿</w:t>
      </w:r>
      <w:r>
        <w:rPr>
          <w:rFonts w:hint="eastAsia"/>
          <w:color w:val="auto"/>
          <w:sz w:val="18"/>
          <w:szCs w:val="18"/>
          <w:highlight w:val="none"/>
        </w:rPr>
        <w:t>状态</w:t>
      </w:r>
      <w:r>
        <w:rPr>
          <w:color w:val="auto"/>
          <w:sz w:val="18"/>
          <w:szCs w:val="18"/>
          <w:highlight w:val="none"/>
        </w:rPr>
        <w:t>间的</w:t>
      </w:r>
      <w:r>
        <w:rPr>
          <w:rFonts w:hint="eastAsia"/>
          <w:color w:val="auto"/>
          <w:sz w:val="18"/>
          <w:szCs w:val="18"/>
          <w:highlight w:val="none"/>
        </w:rPr>
        <w:t>临界相对高度，其值与土的类型、水的情况相关</w:t>
      </w:r>
      <w:r>
        <w:rPr>
          <w:color w:val="auto"/>
          <w:sz w:val="18"/>
          <w:szCs w:val="18"/>
          <w:highlight w:val="none"/>
        </w:rPr>
        <w:t>。</w:t>
      </w:r>
    </w:p>
    <w:p>
      <w:pPr>
        <w:widowControl/>
        <w:jc w:val="left"/>
        <w:rPr>
          <w:color w:val="auto"/>
          <w:sz w:val="10"/>
          <w:szCs w:val="10"/>
          <w:highlight w:val="none"/>
        </w:rPr>
      </w:pPr>
      <w:r>
        <w:rPr>
          <w:color w:val="auto"/>
          <w:sz w:val="10"/>
          <w:szCs w:val="10"/>
          <w:highlight w:val="none"/>
        </w:rPr>
        <w:br w:type="page"/>
      </w:r>
    </w:p>
    <w:p>
      <w:pPr>
        <w:rPr>
          <w:color w:val="auto"/>
          <w:sz w:val="10"/>
          <w:szCs w:val="10"/>
          <w:highlight w:val="none"/>
        </w:rPr>
      </w:pPr>
    </w:p>
    <w:p>
      <w:pPr>
        <w:pStyle w:val="2"/>
        <w:rPr>
          <w:b/>
          <w:bCs/>
          <w:color w:val="auto"/>
          <w:sz w:val="32"/>
          <w:szCs w:val="32"/>
          <w:highlight w:val="none"/>
        </w:rPr>
      </w:pPr>
      <w:bookmarkStart w:id="298" w:name="_Toc23"/>
      <w:bookmarkStart w:id="299" w:name="_Toc24149"/>
      <w:bookmarkStart w:id="300" w:name="_Toc32659"/>
      <w:r>
        <w:rPr>
          <w:b/>
          <w:bCs/>
          <w:color w:val="auto"/>
          <w:sz w:val="32"/>
          <w:szCs w:val="32"/>
          <w:highlight w:val="none"/>
        </w:rPr>
        <w:t>附录</w:t>
      </w:r>
      <w:r>
        <w:rPr>
          <w:rFonts w:hint="eastAsia"/>
          <w:b/>
          <w:bCs/>
          <w:color w:val="auto"/>
          <w:sz w:val="32"/>
          <w:szCs w:val="32"/>
          <w:highlight w:val="none"/>
        </w:rPr>
        <w:t>F　</w:t>
      </w:r>
      <w:r>
        <w:rPr>
          <w:b/>
          <w:bCs/>
          <w:color w:val="auto"/>
          <w:sz w:val="32"/>
          <w:szCs w:val="32"/>
          <w:highlight w:val="none"/>
        </w:rPr>
        <w:t>隧道围岩分级</w:t>
      </w:r>
      <w:bookmarkEnd w:id="298"/>
      <w:bookmarkEnd w:id="299"/>
      <w:bookmarkEnd w:id="300"/>
    </w:p>
    <w:p>
      <w:pPr>
        <w:tabs>
          <w:tab w:val="center" w:pos="4410"/>
          <w:tab w:val="right" w:pos="9240"/>
        </w:tabs>
        <w:autoSpaceDE w:val="0"/>
        <w:autoSpaceDN w:val="0"/>
        <w:adjustRightInd w:val="0"/>
        <w:spacing w:line="360" w:lineRule="auto"/>
        <w:rPr>
          <w:color w:val="auto"/>
          <w:szCs w:val="21"/>
          <w:highlight w:val="none"/>
        </w:rPr>
      </w:pPr>
      <w:r>
        <w:rPr>
          <w:rFonts w:hint="eastAsia"/>
          <w:b/>
          <w:bCs/>
          <w:color w:val="auto"/>
          <w:szCs w:val="21"/>
          <w:highlight w:val="none"/>
        </w:rPr>
        <w:t>F.0.1</w:t>
      </w:r>
      <w:r>
        <w:rPr>
          <w:rFonts w:hint="eastAsia"/>
          <w:color w:val="auto"/>
          <w:szCs w:val="21"/>
          <w:highlight w:val="none"/>
        </w:rPr>
        <w:t>　隧道围岩可根据围岩定性特征或围岩弹性纵波速度按表F.0.1确定围岩级别。</w:t>
      </w:r>
    </w:p>
    <w:p>
      <w:pPr>
        <w:tabs>
          <w:tab w:val="center" w:pos="4410"/>
          <w:tab w:val="right" w:pos="9240"/>
        </w:tabs>
        <w:autoSpaceDE w:val="0"/>
        <w:autoSpaceDN w:val="0"/>
        <w:adjustRightInd w:val="0"/>
        <w:spacing w:line="360" w:lineRule="auto"/>
        <w:jc w:val="center"/>
        <w:rPr>
          <w:b/>
          <w:bCs/>
          <w:color w:val="auto"/>
          <w:szCs w:val="21"/>
          <w:highlight w:val="none"/>
        </w:rPr>
      </w:pPr>
      <w:r>
        <w:rPr>
          <w:b/>
          <w:bCs/>
          <w:color w:val="auto"/>
          <w:szCs w:val="21"/>
          <w:highlight w:val="none"/>
        </w:rPr>
        <w:t>表</w:t>
      </w:r>
      <w:r>
        <w:rPr>
          <w:rFonts w:hint="eastAsia"/>
          <w:b/>
          <w:bCs/>
          <w:color w:val="auto"/>
          <w:szCs w:val="21"/>
          <w:highlight w:val="none"/>
        </w:rPr>
        <w:t>F.0.1　</w:t>
      </w:r>
      <w:r>
        <w:rPr>
          <w:b/>
          <w:bCs/>
          <w:color w:val="auto"/>
          <w:szCs w:val="21"/>
          <w:highlight w:val="none"/>
        </w:rPr>
        <w:t>隧道围岩分级</w:t>
      </w:r>
    </w:p>
    <w:tbl>
      <w:tblPr>
        <w:tblStyle w:val="22"/>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4063"/>
        <w:gridCol w:w="1167"/>
        <w:gridCol w:w="1386"/>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restart"/>
            <w:tcBorders>
              <w:top w:val="single" w:color="000000" w:sz="12" w:space="0"/>
              <w:left w:val="single" w:color="000000" w:sz="12" w:space="0"/>
              <w:bottom w:val="single" w:color="000000" w:sz="4" w:space="0"/>
              <w:right w:val="single" w:color="000000" w:sz="4" w:space="0"/>
            </w:tcBorders>
            <w:vAlign w:val="center"/>
          </w:tcPr>
          <w:p>
            <w:pPr>
              <w:tabs>
                <w:tab w:val="center" w:pos="4410"/>
                <w:tab w:val="right" w:pos="9240"/>
              </w:tabs>
              <w:autoSpaceDE w:val="0"/>
              <w:autoSpaceDN w:val="0"/>
              <w:adjustRightInd w:val="0"/>
              <w:ind w:left="-105" w:leftChars="-50" w:right="-105" w:rightChars="-50"/>
              <w:jc w:val="center"/>
              <w:rPr>
                <w:color w:val="auto"/>
                <w:sz w:val="20"/>
                <w:szCs w:val="20"/>
                <w:highlight w:val="none"/>
              </w:rPr>
            </w:pPr>
            <w:r>
              <w:rPr>
                <w:color w:val="auto"/>
                <w:sz w:val="20"/>
                <w:szCs w:val="20"/>
                <w:highlight w:val="none"/>
              </w:rPr>
              <w:t>围岩级别</w:t>
            </w:r>
          </w:p>
        </w:tc>
        <w:tc>
          <w:tcPr>
            <w:tcW w:w="5230" w:type="dxa"/>
            <w:gridSpan w:val="2"/>
            <w:tcBorders>
              <w:top w:val="single" w:color="000000" w:sz="12"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jc w:val="center"/>
              <w:rPr>
                <w:color w:val="auto"/>
                <w:sz w:val="20"/>
                <w:szCs w:val="20"/>
                <w:highlight w:val="none"/>
              </w:rPr>
            </w:pPr>
            <w:r>
              <w:rPr>
                <w:color w:val="auto"/>
                <w:sz w:val="20"/>
                <w:szCs w:val="20"/>
                <w:highlight w:val="none"/>
              </w:rPr>
              <w:t>围岩主要工程地质条件</w:t>
            </w:r>
          </w:p>
        </w:tc>
        <w:tc>
          <w:tcPr>
            <w:tcW w:w="1386" w:type="dxa"/>
            <w:vMerge w:val="restart"/>
            <w:tcBorders>
              <w:top w:val="single" w:color="000000" w:sz="12"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ind w:left="-105" w:leftChars="-50" w:right="-105" w:rightChars="-50"/>
              <w:jc w:val="center"/>
              <w:rPr>
                <w:color w:val="auto"/>
                <w:sz w:val="20"/>
                <w:szCs w:val="20"/>
                <w:highlight w:val="none"/>
              </w:rPr>
            </w:pPr>
            <w:r>
              <w:rPr>
                <w:color w:val="auto"/>
                <w:sz w:val="20"/>
                <w:szCs w:val="20"/>
                <w:highlight w:val="none"/>
              </w:rPr>
              <w:t>围岩开挖后的稳定状态（单线）</w:t>
            </w:r>
          </w:p>
        </w:tc>
        <w:tc>
          <w:tcPr>
            <w:tcW w:w="1090" w:type="dxa"/>
            <w:vMerge w:val="restart"/>
            <w:tcBorders>
              <w:top w:val="single" w:color="000000" w:sz="12" w:space="0"/>
              <w:left w:val="single" w:color="000000" w:sz="4" w:space="0"/>
              <w:bottom w:val="single" w:color="000000" w:sz="4" w:space="0"/>
              <w:right w:val="single" w:color="000000" w:sz="12" w:space="0"/>
            </w:tcBorders>
            <w:vAlign w:val="center"/>
          </w:tcPr>
          <w:p>
            <w:pPr>
              <w:tabs>
                <w:tab w:val="center" w:pos="4410"/>
                <w:tab w:val="right" w:pos="9240"/>
              </w:tabs>
              <w:autoSpaceDE w:val="0"/>
              <w:autoSpaceDN w:val="0"/>
              <w:adjustRightInd w:val="0"/>
              <w:ind w:left="-105" w:leftChars="-50" w:right="-105" w:rightChars="-50"/>
              <w:jc w:val="center"/>
              <w:rPr>
                <w:color w:val="auto"/>
                <w:sz w:val="20"/>
                <w:szCs w:val="20"/>
                <w:highlight w:val="none"/>
              </w:rPr>
            </w:pPr>
            <w:r>
              <w:rPr>
                <w:color w:val="auto"/>
                <w:sz w:val="20"/>
                <w:szCs w:val="20"/>
                <w:highlight w:val="none"/>
              </w:rPr>
              <w:t>围岩弹性纵波</w:t>
            </w:r>
            <w:r>
              <w:rPr>
                <w:rFonts w:hint="eastAsia"/>
                <w:color w:val="auto"/>
                <w:sz w:val="20"/>
                <w:szCs w:val="20"/>
                <w:highlight w:val="none"/>
              </w:rPr>
              <w:t>速度</w:t>
            </w:r>
            <w:r>
              <w:rPr>
                <w:i/>
                <w:iCs/>
                <w:color w:val="auto"/>
                <w:sz w:val="20"/>
                <w:szCs w:val="20"/>
                <w:highlight w:val="none"/>
              </w:rPr>
              <w:t>v</w:t>
            </w:r>
            <w:r>
              <w:rPr>
                <w:color w:val="auto"/>
                <w:sz w:val="20"/>
                <w:szCs w:val="20"/>
                <w:highlight w:val="none"/>
                <w:vertAlign w:val="subscript"/>
              </w:rPr>
              <w:t>p</w:t>
            </w:r>
            <w:r>
              <w:rPr>
                <w:rFonts w:hint="eastAsia"/>
                <w:color w:val="auto"/>
                <w:sz w:val="20"/>
                <w:szCs w:val="20"/>
                <w:highlight w:val="none"/>
                <w:vertAlign w:val="subscript"/>
              </w:rPr>
              <w:t>m</w:t>
            </w:r>
            <w:r>
              <w:rPr>
                <w:color w:val="auto"/>
                <w:sz w:val="20"/>
                <w:szCs w:val="20"/>
                <w:highlight w:val="none"/>
              </w:rPr>
              <w:t>（km/s）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continue"/>
            <w:tcBorders>
              <w:top w:val="single" w:color="000000" w:sz="4" w:space="0"/>
              <w:left w:val="single" w:color="000000" w:sz="12" w:space="0"/>
              <w:bottom w:val="single" w:color="000000" w:sz="4" w:space="0"/>
              <w:right w:val="single" w:color="000000" w:sz="4" w:space="0"/>
            </w:tcBorders>
            <w:vAlign w:val="center"/>
          </w:tcPr>
          <w:p>
            <w:pPr>
              <w:tabs>
                <w:tab w:val="center" w:pos="4410"/>
                <w:tab w:val="right" w:pos="9240"/>
              </w:tabs>
              <w:autoSpaceDE w:val="0"/>
              <w:autoSpaceDN w:val="0"/>
              <w:adjustRightInd w:val="0"/>
              <w:jc w:val="center"/>
              <w:rPr>
                <w:color w:val="auto"/>
                <w:sz w:val="20"/>
                <w:szCs w:val="20"/>
                <w:highlight w:val="none"/>
              </w:rPr>
            </w:pPr>
          </w:p>
        </w:tc>
        <w:tc>
          <w:tcPr>
            <w:tcW w:w="4063" w:type="dxa"/>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jc w:val="center"/>
              <w:rPr>
                <w:color w:val="auto"/>
                <w:sz w:val="20"/>
                <w:szCs w:val="20"/>
                <w:highlight w:val="none"/>
              </w:rPr>
            </w:pPr>
            <w:r>
              <w:rPr>
                <w:color w:val="auto"/>
                <w:sz w:val="20"/>
                <w:szCs w:val="20"/>
                <w:highlight w:val="none"/>
              </w:rPr>
              <w:t>主要工程地质特征</w:t>
            </w:r>
          </w:p>
        </w:tc>
        <w:tc>
          <w:tcPr>
            <w:tcW w:w="1167" w:type="dxa"/>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pacing w:before="62" w:beforeLines="20" w:after="62" w:afterLines="20"/>
              <w:ind w:left="-105" w:leftChars="-50" w:right="-105" w:rightChars="-50"/>
              <w:jc w:val="center"/>
              <w:rPr>
                <w:color w:val="auto"/>
                <w:sz w:val="20"/>
                <w:szCs w:val="20"/>
                <w:highlight w:val="none"/>
              </w:rPr>
            </w:pPr>
            <w:r>
              <w:rPr>
                <w:color w:val="auto"/>
                <w:sz w:val="20"/>
                <w:szCs w:val="20"/>
                <w:highlight w:val="none"/>
              </w:rPr>
              <w:t>结构形态和完整状态</w:t>
            </w:r>
          </w:p>
        </w:tc>
        <w:tc>
          <w:tcPr>
            <w:tcW w:w="1386" w:type="dxa"/>
            <w:vMerge w:val="continue"/>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jc w:val="center"/>
              <w:rPr>
                <w:color w:val="auto"/>
                <w:sz w:val="20"/>
                <w:szCs w:val="20"/>
                <w:highlight w:val="none"/>
              </w:rPr>
            </w:pPr>
          </w:p>
        </w:tc>
        <w:tc>
          <w:tcPr>
            <w:tcW w:w="1090" w:type="dxa"/>
            <w:vMerge w:val="continue"/>
            <w:tcBorders>
              <w:top w:val="single" w:color="000000" w:sz="4" w:space="0"/>
              <w:left w:val="single" w:color="000000" w:sz="4" w:space="0"/>
              <w:bottom w:val="single" w:color="000000" w:sz="4" w:space="0"/>
              <w:right w:val="single" w:color="000000" w:sz="12" w:space="0"/>
            </w:tcBorders>
            <w:vAlign w:val="center"/>
          </w:tcPr>
          <w:p>
            <w:pPr>
              <w:tabs>
                <w:tab w:val="center" w:pos="4410"/>
                <w:tab w:val="right" w:pos="9240"/>
              </w:tabs>
              <w:autoSpaceDE w:val="0"/>
              <w:autoSpaceDN w:val="0"/>
              <w:adjustRightInd w:val="0"/>
              <w:jc w:val="center"/>
              <w:rPr>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tcBorders>
              <w:top w:val="single" w:color="000000" w:sz="4" w:space="0"/>
              <w:left w:val="single" w:color="000000" w:sz="12"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center"/>
              <w:rPr>
                <w:color w:val="auto"/>
                <w:sz w:val="20"/>
                <w:szCs w:val="20"/>
                <w:highlight w:val="none"/>
              </w:rPr>
            </w:pPr>
            <w:r>
              <w:rPr>
                <w:color w:val="auto"/>
                <w:sz w:val="20"/>
                <w:szCs w:val="20"/>
                <w:highlight w:val="none"/>
              </w:rPr>
              <w:t>Ⅰ</w:t>
            </w:r>
          </w:p>
        </w:tc>
        <w:tc>
          <w:tcPr>
            <w:tcW w:w="4063" w:type="dxa"/>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rPr>
            </w:pPr>
            <w:r>
              <w:rPr>
                <w:color w:val="auto"/>
                <w:sz w:val="20"/>
                <w:szCs w:val="20"/>
                <w:highlight w:val="none"/>
                <w:shd w:val="clear" w:color="auto" w:fill="FFFFFF"/>
              </w:rPr>
              <w:t>坚硬岩（</w:t>
            </w:r>
            <w:r>
              <w:rPr>
                <w:rFonts w:hint="eastAsia"/>
                <w:i/>
                <w:iCs/>
                <w:color w:val="auto"/>
                <w:highlight w:val="none"/>
              </w:rPr>
              <w:t>f</w:t>
            </w:r>
            <w:r>
              <w:rPr>
                <w:rFonts w:hint="eastAsia"/>
                <w:color w:val="auto"/>
                <w:highlight w:val="none"/>
                <w:vertAlign w:val="subscript"/>
              </w:rPr>
              <w:t>r</w:t>
            </w:r>
            <w:r>
              <w:rPr>
                <w:color w:val="auto"/>
                <w:sz w:val="20"/>
                <w:szCs w:val="20"/>
                <w:highlight w:val="none"/>
                <w:shd w:val="clear" w:color="auto" w:fill="FFFFFF"/>
              </w:rPr>
              <w:t>&gt;60MPa）；受地质构造影响轻微，节理不发育，无软弱面（或夹层）；层状岩层为巨厚层或厚层，层间结合良好，岩体完整</w:t>
            </w:r>
          </w:p>
        </w:tc>
        <w:tc>
          <w:tcPr>
            <w:tcW w:w="1167" w:type="dxa"/>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r>
              <w:rPr>
                <w:color w:val="auto"/>
                <w:sz w:val="20"/>
                <w:szCs w:val="20"/>
                <w:highlight w:val="none"/>
                <w:shd w:val="clear" w:color="auto" w:fill="FFFFFF"/>
              </w:rPr>
              <w:t>呈巨块状整体结构</w:t>
            </w:r>
          </w:p>
        </w:tc>
        <w:tc>
          <w:tcPr>
            <w:tcW w:w="1386" w:type="dxa"/>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ind w:right="-105" w:rightChars="-50"/>
              <w:jc w:val="left"/>
              <w:rPr>
                <w:color w:val="auto"/>
                <w:sz w:val="20"/>
                <w:szCs w:val="20"/>
                <w:highlight w:val="none"/>
                <w:shd w:val="clear" w:color="auto" w:fill="FFFFFF"/>
              </w:rPr>
            </w:pPr>
            <w:r>
              <w:rPr>
                <w:color w:val="auto"/>
                <w:sz w:val="20"/>
                <w:szCs w:val="20"/>
                <w:highlight w:val="none"/>
                <w:shd w:val="clear" w:color="auto" w:fill="FFFFFF"/>
              </w:rPr>
              <w:t>围岩稳定，无</w:t>
            </w:r>
            <w:r>
              <w:rPr>
                <w:color w:val="auto"/>
                <w:sz w:val="20"/>
                <w:szCs w:val="20"/>
                <w:highlight w:val="none"/>
              </w:rPr>
              <w:t>坍塌</w:t>
            </w:r>
            <w:r>
              <w:rPr>
                <w:color w:val="auto"/>
                <w:sz w:val="20"/>
                <w:szCs w:val="20"/>
                <w:highlight w:val="none"/>
                <w:shd w:val="clear" w:color="auto" w:fill="FFFFFF"/>
              </w:rPr>
              <w:t>，可能产生岩爆</w:t>
            </w:r>
          </w:p>
        </w:tc>
        <w:tc>
          <w:tcPr>
            <w:tcW w:w="1090" w:type="dxa"/>
            <w:tcBorders>
              <w:top w:val="single" w:color="000000" w:sz="4" w:space="0"/>
              <w:left w:val="single" w:color="000000" w:sz="4" w:space="0"/>
              <w:bottom w:val="single" w:color="000000" w:sz="4" w:space="0"/>
              <w:right w:val="single" w:color="000000" w:sz="12" w:space="0"/>
            </w:tcBorders>
            <w:vAlign w:val="center"/>
          </w:tcPr>
          <w:p>
            <w:pPr>
              <w:tabs>
                <w:tab w:val="center" w:pos="4410"/>
                <w:tab w:val="right" w:pos="9240"/>
              </w:tabs>
              <w:autoSpaceDE w:val="0"/>
              <w:autoSpaceDN w:val="0"/>
              <w:adjustRightInd w:val="0"/>
              <w:snapToGrid w:val="0"/>
              <w:spacing w:before="62" w:beforeLines="20" w:after="62" w:afterLines="20"/>
              <w:jc w:val="center"/>
              <w:rPr>
                <w:color w:val="auto"/>
                <w:sz w:val="20"/>
                <w:szCs w:val="20"/>
                <w:highlight w:val="none"/>
              </w:rPr>
            </w:pPr>
            <w:r>
              <w:rPr>
                <w:color w:val="auto"/>
                <w:sz w:val="20"/>
                <w:szCs w:val="20"/>
                <w:highlight w:val="none"/>
                <w:shd w:val="clear" w:color="auto" w:fill="FFFFFF"/>
              </w:rPr>
              <w:t>&gt;4.5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restart"/>
            <w:tcBorders>
              <w:top w:val="single" w:color="000000" w:sz="4" w:space="0"/>
              <w:left w:val="single" w:color="000000" w:sz="12"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center"/>
              <w:rPr>
                <w:color w:val="auto"/>
                <w:sz w:val="20"/>
                <w:szCs w:val="20"/>
                <w:highlight w:val="none"/>
              </w:rPr>
            </w:pPr>
            <w:r>
              <w:rPr>
                <w:color w:val="auto"/>
                <w:sz w:val="20"/>
                <w:szCs w:val="20"/>
                <w:highlight w:val="none"/>
              </w:rPr>
              <w:t>Ⅱ</w:t>
            </w:r>
          </w:p>
        </w:tc>
        <w:tc>
          <w:tcPr>
            <w:tcW w:w="4063" w:type="dxa"/>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r>
              <w:rPr>
                <w:color w:val="auto"/>
                <w:sz w:val="20"/>
                <w:szCs w:val="20"/>
                <w:highlight w:val="none"/>
                <w:shd w:val="clear" w:color="auto" w:fill="FFFFFF"/>
              </w:rPr>
              <w:t>坚硬岩（</w:t>
            </w:r>
            <w:r>
              <w:rPr>
                <w:rFonts w:hint="eastAsia"/>
                <w:i/>
                <w:iCs/>
                <w:color w:val="auto"/>
                <w:highlight w:val="none"/>
              </w:rPr>
              <w:t>f</w:t>
            </w:r>
            <w:r>
              <w:rPr>
                <w:rFonts w:hint="eastAsia"/>
                <w:color w:val="auto"/>
                <w:highlight w:val="none"/>
                <w:vertAlign w:val="subscript"/>
              </w:rPr>
              <w:t>r</w:t>
            </w:r>
            <w:r>
              <w:rPr>
                <w:color w:val="auto"/>
                <w:sz w:val="20"/>
                <w:szCs w:val="20"/>
                <w:highlight w:val="none"/>
                <w:shd w:val="clear" w:color="auto" w:fill="FFFFFF"/>
              </w:rPr>
              <w:t>&gt;60MPa）：受地质构造影响较重，节理较发育，有少量软弱面（或夹层）和贯通微张节理，但其产状及组合关系不致产生滑动；层状岩层为中厚层或厚层，层间结合一般，很少有分离现象；或为硬质岩石偶夹软质岩石，岩体较完整</w:t>
            </w:r>
          </w:p>
        </w:tc>
        <w:tc>
          <w:tcPr>
            <w:tcW w:w="1167" w:type="dxa"/>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r>
              <w:rPr>
                <w:color w:val="auto"/>
                <w:sz w:val="20"/>
                <w:szCs w:val="20"/>
                <w:highlight w:val="none"/>
                <w:shd w:val="clear" w:color="auto" w:fill="FFFFFF"/>
              </w:rPr>
              <w:t>呈大块状砌体结构</w:t>
            </w:r>
          </w:p>
        </w:tc>
        <w:tc>
          <w:tcPr>
            <w:tcW w:w="1386" w:type="dxa"/>
            <w:vMerge w:val="restart"/>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ind w:right="-105" w:rightChars="-50"/>
              <w:jc w:val="left"/>
              <w:rPr>
                <w:color w:val="auto"/>
                <w:sz w:val="20"/>
                <w:szCs w:val="20"/>
                <w:highlight w:val="none"/>
                <w:shd w:val="clear" w:color="auto" w:fill="FFFFFF"/>
              </w:rPr>
            </w:pPr>
            <w:r>
              <w:rPr>
                <w:color w:val="auto"/>
                <w:sz w:val="20"/>
                <w:szCs w:val="20"/>
                <w:highlight w:val="none"/>
                <w:shd w:val="clear" w:color="auto" w:fill="FFFFFF"/>
              </w:rPr>
              <w:t>暴露时间长，可能会出现局部小坍塌；侧壁稳定；层间结合差的平缓岩层，顶板易塌落</w:t>
            </w:r>
          </w:p>
        </w:tc>
        <w:tc>
          <w:tcPr>
            <w:tcW w:w="1090" w:type="dxa"/>
            <w:vMerge w:val="restart"/>
            <w:tcBorders>
              <w:top w:val="single" w:color="000000" w:sz="4" w:space="0"/>
              <w:left w:val="single" w:color="000000" w:sz="4" w:space="0"/>
              <w:bottom w:val="single" w:color="000000" w:sz="4" w:space="0"/>
              <w:right w:val="single" w:color="000000" w:sz="12" w:space="0"/>
            </w:tcBorders>
            <w:vAlign w:val="center"/>
          </w:tcPr>
          <w:p>
            <w:pPr>
              <w:tabs>
                <w:tab w:val="center" w:pos="4410"/>
                <w:tab w:val="right" w:pos="9240"/>
              </w:tabs>
              <w:autoSpaceDE w:val="0"/>
              <w:autoSpaceDN w:val="0"/>
              <w:adjustRightInd w:val="0"/>
              <w:snapToGrid w:val="0"/>
              <w:spacing w:before="62" w:beforeLines="20" w:after="62" w:afterLines="20"/>
              <w:jc w:val="center"/>
              <w:rPr>
                <w:color w:val="auto"/>
                <w:sz w:val="20"/>
                <w:szCs w:val="20"/>
                <w:highlight w:val="none"/>
              </w:rPr>
            </w:pPr>
            <w:r>
              <w:rPr>
                <w:color w:val="auto"/>
                <w:sz w:val="20"/>
                <w:szCs w:val="20"/>
                <w:highlight w:val="none"/>
                <w:shd w:val="clear" w:color="auto" w:fill="FFFFFF"/>
              </w:rPr>
              <w:t>3.5～4.5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continue"/>
            <w:tcBorders>
              <w:top w:val="single" w:color="000000" w:sz="4" w:space="0"/>
              <w:left w:val="single" w:color="000000" w:sz="12"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center"/>
              <w:rPr>
                <w:color w:val="auto"/>
                <w:sz w:val="20"/>
                <w:szCs w:val="20"/>
                <w:highlight w:val="none"/>
              </w:rPr>
            </w:pPr>
          </w:p>
        </w:tc>
        <w:tc>
          <w:tcPr>
            <w:tcW w:w="4063" w:type="dxa"/>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r>
              <w:rPr>
                <w:color w:val="auto"/>
                <w:sz w:val="20"/>
                <w:szCs w:val="20"/>
                <w:highlight w:val="none"/>
                <w:shd w:val="clear" w:color="auto" w:fill="FFFFFF"/>
              </w:rPr>
              <w:t>较硬岩（30MPa&lt;</w:t>
            </w:r>
            <w:r>
              <w:rPr>
                <w:rFonts w:hint="eastAsia"/>
                <w:i/>
                <w:iCs/>
                <w:color w:val="auto"/>
                <w:highlight w:val="none"/>
              </w:rPr>
              <w:t>f</w:t>
            </w:r>
            <w:r>
              <w:rPr>
                <w:rFonts w:hint="eastAsia"/>
                <w:color w:val="auto"/>
                <w:highlight w:val="none"/>
                <w:vertAlign w:val="subscript"/>
              </w:rPr>
              <w:t>r</w:t>
            </w:r>
            <w:r>
              <w:rPr>
                <w:rFonts w:hint="eastAsia" w:ascii="宋体" w:hAnsi="宋体" w:cs="宋体"/>
                <w:color w:val="auto"/>
                <w:sz w:val="20"/>
                <w:szCs w:val="20"/>
                <w:highlight w:val="none"/>
                <w:shd w:val="clear" w:color="auto" w:fill="FFFFFF"/>
              </w:rPr>
              <w:t>≤</w:t>
            </w:r>
            <w:r>
              <w:rPr>
                <w:color w:val="auto"/>
                <w:sz w:val="20"/>
                <w:szCs w:val="20"/>
                <w:highlight w:val="none"/>
                <w:shd w:val="clear" w:color="auto" w:fill="FFFFFF"/>
              </w:rPr>
              <w:t>60MPa）：受地质构造影响轻微，节理不发育；层状岩层为巨厚层或厚层，层间结合良好，岩体完整</w:t>
            </w:r>
          </w:p>
        </w:tc>
        <w:tc>
          <w:tcPr>
            <w:tcW w:w="1167" w:type="dxa"/>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r>
              <w:rPr>
                <w:color w:val="auto"/>
                <w:sz w:val="20"/>
                <w:szCs w:val="20"/>
                <w:highlight w:val="none"/>
                <w:shd w:val="clear" w:color="auto" w:fill="FFFFFF"/>
              </w:rPr>
              <w:t>呈巨块状整体结构</w:t>
            </w:r>
          </w:p>
        </w:tc>
        <w:tc>
          <w:tcPr>
            <w:tcW w:w="1386" w:type="dxa"/>
            <w:vMerge w:val="continue"/>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p>
        </w:tc>
        <w:tc>
          <w:tcPr>
            <w:tcW w:w="1090" w:type="dxa"/>
            <w:vMerge w:val="continue"/>
            <w:tcBorders>
              <w:top w:val="single" w:color="000000" w:sz="4" w:space="0"/>
              <w:left w:val="single" w:color="000000" w:sz="4" w:space="0"/>
              <w:bottom w:val="single" w:color="000000" w:sz="4" w:space="0"/>
              <w:right w:val="single" w:color="000000" w:sz="12" w:space="0"/>
            </w:tcBorders>
            <w:vAlign w:val="center"/>
          </w:tcPr>
          <w:p>
            <w:pPr>
              <w:tabs>
                <w:tab w:val="center" w:pos="4410"/>
                <w:tab w:val="right" w:pos="9240"/>
              </w:tabs>
              <w:autoSpaceDE w:val="0"/>
              <w:autoSpaceDN w:val="0"/>
              <w:adjustRightInd w:val="0"/>
              <w:snapToGrid w:val="0"/>
              <w:spacing w:before="62" w:beforeLines="20" w:after="62" w:afterLines="20"/>
              <w:jc w:val="center"/>
              <w:rPr>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restart"/>
            <w:tcBorders>
              <w:top w:val="single" w:color="000000" w:sz="4" w:space="0"/>
              <w:left w:val="single" w:color="000000" w:sz="12"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center"/>
              <w:rPr>
                <w:color w:val="auto"/>
                <w:sz w:val="20"/>
                <w:szCs w:val="20"/>
                <w:highlight w:val="none"/>
              </w:rPr>
            </w:pPr>
            <w:r>
              <w:rPr>
                <w:color w:val="auto"/>
                <w:sz w:val="20"/>
                <w:szCs w:val="20"/>
                <w:highlight w:val="none"/>
              </w:rPr>
              <w:t>Ⅲ</w:t>
            </w:r>
          </w:p>
        </w:tc>
        <w:tc>
          <w:tcPr>
            <w:tcW w:w="4063" w:type="dxa"/>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r>
              <w:rPr>
                <w:color w:val="auto"/>
                <w:sz w:val="20"/>
                <w:szCs w:val="20"/>
                <w:highlight w:val="none"/>
                <w:shd w:val="clear" w:color="auto" w:fill="FFFFFF"/>
              </w:rPr>
              <w:t>坚硬岩和较硬岩：受地质构造影响严重，节理发育，有层状软弱面（或夹层），但其产状组合关系不致产生滑动；层状岩层为薄层或中厚层，层间结合差，多有分离现象；或为硬、软质岩石互层</w:t>
            </w:r>
          </w:p>
        </w:tc>
        <w:tc>
          <w:tcPr>
            <w:tcW w:w="1167" w:type="dxa"/>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r>
              <w:rPr>
                <w:color w:val="auto"/>
                <w:sz w:val="20"/>
                <w:szCs w:val="20"/>
                <w:highlight w:val="none"/>
                <w:shd w:val="clear" w:color="auto" w:fill="FFFFFF"/>
              </w:rPr>
              <w:t>呈块石、碎石状镶嵌结构</w:t>
            </w:r>
          </w:p>
        </w:tc>
        <w:tc>
          <w:tcPr>
            <w:tcW w:w="1386" w:type="dxa"/>
            <w:vMerge w:val="restart"/>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ind w:right="-105" w:rightChars="-50"/>
              <w:jc w:val="left"/>
              <w:rPr>
                <w:color w:val="auto"/>
                <w:sz w:val="20"/>
                <w:szCs w:val="20"/>
                <w:highlight w:val="none"/>
                <w:shd w:val="clear" w:color="auto" w:fill="FFFFFF"/>
              </w:rPr>
            </w:pPr>
            <w:r>
              <w:rPr>
                <w:color w:val="auto"/>
                <w:sz w:val="20"/>
                <w:szCs w:val="20"/>
                <w:highlight w:val="none"/>
                <w:shd w:val="clear" w:color="auto" w:fill="FFFFFF"/>
              </w:rPr>
              <w:t>拱部无支护时可</w:t>
            </w:r>
            <w:r>
              <w:rPr>
                <w:color w:val="auto"/>
                <w:sz w:val="20"/>
                <w:szCs w:val="20"/>
                <w:highlight w:val="none"/>
              </w:rPr>
              <w:t>产生</w:t>
            </w:r>
            <w:r>
              <w:rPr>
                <w:color w:val="auto"/>
                <w:sz w:val="20"/>
                <w:szCs w:val="20"/>
                <w:highlight w:val="none"/>
                <w:shd w:val="clear" w:color="auto" w:fill="FFFFFF"/>
              </w:rPr>
              <w:t>小坍塌，侧壁基本稳定，爆破震动过大易塌落</w:t>
            </w:r>
          </w:p>
        </w:tc>
        <w:tc>
          <w:tcPr>
            <w:tcW w:w="1090" w:type="dxa"/>
            <w:vMerge w:val="restart"/>
            <w:tcBorders>
              <w:top w:val="single" w:color="000000" w:sz="4" w:space="0"/>
              <w:left w:val="single" w:color="000000" w:sz="4" w:space="0"/>
              <w:bottom w:val="single" w:color="000000" w:sz="4" w:space="0"/>
              <w:right w:val="single" w:color="000000" w:sz="12" w:space="0"/>
            </w:tcBorders>
            <w:vAlign w:val="center"/>
          </w:tcPr>
          <w:p>
            <w:pPr>
              <w:tabs>
                <w:tab w:val="center" w:pos="4410"/>
                <w:tab w:val="right" w:pos="9240"/>
              </w:tabs>
              <w:autoSpaceDE w:val="0"/>
              <w:autoSpaceDN w:val="0"/>
              <w:adjustRightInd w:val="0"/>
              <w:snapToGrid w:val="0"/>
              <w:spacing w:before="62" w:beforeLines="20" w:after="62" w:afterLines="20"/>
              <w:jc w:val="center"/>
              <w:rPr>
                <w:color w:val="auto"/>
                <w:sz w:val="20"/>
                <w:szCs w:val="20"/>
                <w:highlight w:val="none"/>
              </w:rPr>
            </w:pPr>
            <w:r>
              <w:rPr>
                <w:color w:val="auto"/>
                <w:sz w:val="20"/>
                <w:szCs w:val="20"/>
                <w:highlight w:val="none"/>
                <w:shd w:val="clear" w:color="auto" w:fill="FFFFFF"/>
              </w:rPr>
              <w:t>2.5～4.0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continue"/>
            <w:tcBorders>
              <w:top w:val="single" w:color="000000" w:sz="4" w:space="0"/>
              <w:left w:val="single" w:color="000000" w:sz="12"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center"/>
              <w:rPr>
                <w:color w:val="auto"/>
                <w:sz w:val="20"/>
                <w:szCs w:val="20"/>
                <w:highlight w:val="none"/>
              </w:rPr>
            </w:pPr>
          </w:p>
        </w:tc>
        <w:tc>
          <w:tcPr>
            <w:tcW w:w="4063" w:type="dxa"/>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r>
              <w:rPr>
                <w:color w:val="auto"/>
                <w:sz w:val="20"/>
                <w:szCs w:val="20"/>
                <w:highlight w:val="none"/>
                <w:shd w:val="clear" w:color="auto" w:fill="FFFFFF"/>
              </w:rPr>
              <w:t>较软岩（15MPa&lt;</w:t>
            </w:r>
            <w:r>
              <w:rPr>
                <w:rFonts w:hint="eastAsia"/>
                <w:i/>
                <w:iCs/>
                <w:color w:val="auto"/>
                <w:highlight w:val="none"/>
              </w:rPr>
              <w:t>f</w:t>
            </w:r>
            <w:r>
              <w:rPr>
                <w:rFonts w:hint="eastAsia"/>
                <w:color w:val="auto"/>
                <w:highlight w:val="none"/>
                <w:vertAlign w:val="subscript"/>
              </w:rPr>
              <w:t>r</w:t>
            </w:r>
            <w:r>
              <w:rPr>
                <w:rFonts w:hint="eastAsia" w:ascii="宋体" w:hAnsi="宋体" w:cs="宋体"/>
                <w:color w:val="auto"/>
                <w:sz w:val="20"/>
                <w:szCs w:val="20"/>
                <w:highlight w:val="none"/>
                <w:shd w:val="clear" w:color="auto" w:fill="FFFFFF"/>
              </w:rPr>
              <w:t>≤</w:t>
            </w:r>
            <w:r>
              <w:rPr>
                <w:color w:val="auto"/>
                <w:sz w:val="20"/>
                <w:szCs w:val="20"/>
                <w:highlight w:val="none"/>
                <w:shd w:val="clear" w:color="auto" w:fill="FFFFFF"/>
              </w:rPr>
              <w:t>30MPa）和软岩（5MPa&lt;</w:t>
            </w:r>
            <w:r>
              <w:rPr>
                <w:rFonts w:hint="eastAsia"/>
                <w:i/>
                <w:iCs/>
                <w:color w:val="auto"/>
                <w:highlight w:val="none"/>
              </w:rPr>
              <w:t>f</w:t>
            </w:r>
            <w:r>
              <w:rPr>
                <w:rFonts w:hint="eastAsia"/>
                <w:color w:val="auto"/>
                <w:highlight w:val="none"/>
                <w:vertAlign w:val="subscript"/>
              </w:rPr>
              <w:t>r</w:t>
            </w:r>
            <w:r>
              <w:rPr>
                <w:rFonts w:hint="eastAsia" w:ascii="宋体" w:hAnsi="宋体" w:cs="宋体"/>
                <w:color w:val="auto"/>
                <w:sz w:val="20"/>
                <w:szCs w:val="20"/>
                <w:highlight w:val="none"/>
                <w:shd w:val="clear" w:color="auto" w:fill="FFFFFF"/>
              </w:rPr>
              <w:t>≤</w:t>
            </w:r>
            <w:r>
              <w:rPr>
                <w:color w:val="auto"/>
                <w:sz w:val="20"/>
                <w:szCs w:val="20"/>
                <w:highlight w:val="none"/>
                <w:shd w:val="clear" w:color="auto" w:fill="FFFFFF"/>
              </w:rPr>
              <w:t>15MPa）：受地质构造影响较重，节理较发育；层状岩层为薄层、中厚层或厚层，层间结合一般</w:t>
            </w:r>
          </w:p>
        </w:tc>
        <w:tc>
          <w:tcPr>
            <w:tcW w:w="1167" w:type="dxa"/>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r>
              <w:rPr>
                <w:color w:val="auto"/>
                <w:sz w:val="20"/>
                <w:szCs w:val="20"/>
                <w:highlight w:val="none"/>
                <w:shd w:val="clear" w:color="auto" w:fill="FFFFFF"/>
              </w:rPr>
              <w:t>呈大块状砌体结构</w:t>
            </w:r>
          </w:p>
        </w:tc>
        <w:tc>
          <w:tcPr>
            <w:tcW w:w="1386" w:type="dxa"/>
            <w:vMerge w:val="continue"/>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p>
        </w:tc>
        <w:tc>
          <w:tcPr>
            <w:tcW w:w="1090" w:type="dxa"/>
            <w:vMerge w:val="continue"/>
            <w:tcBorders>
              <w:top w:val="single" w:color="000000" w:sz="4" w:space="0"/>
              <w:left w:val="single" w:color="000000" w:sz="4" w:space="0"/>
              <w:bottom w:val="single" w:color="000000" w:sz="4" w:space="0"/>
              <w:right w:val="single" w:color="000000" w:sz="12" w:space="0"/>
            </w:tcBorders>
            <w:vAlign w:val="center"/>
          </w:tcPr>
          <w:p>
            <w:pPr>
              <w:tabs>
                <w:tab w:val="center" w:pos="4410"/>
                <w:tab w:val="right" w:pos="9240"/>
              </w:tabs>
              <w:autoSpaceDE w:val="0"/>
              <w:autoSpaceDN w:val="0"/>
              <w:adjustRightInd w:val="0"/>
              <w:snapToGrid w:val="0"/>
              <w:spacing w:before="62" w:beforeLines="20" w:after="62" w:afterLines="20"/>
              <w:jc w:val="center"/>
              <w:rPr>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restart"/>
            <w:tcBorders>
              <w:top w:val="single" w:color="000000" w:sz="4" w:space="0"/>
              <w:left w:val="single" w:color="000000" w:sz="12"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center"/>
              <w:rPr>
                <w:color w:val="auto"/>
                <w:sz w:val="20"/>
                <w:szCs w:val="20"/>
                <w:highlight w:val="none"/>
              </w:rPr>
            </w:pPr>
            <w:r>
              <w:rPr>
                <w:color w:val="auto"/>
                <w:sz w:val="20"/>
                <w:szCs w:val="20"/>
                <w:highlight w:val="none"/>
              </w:rPr>
              <w:t>Ⅳ</w:t>
            </w:r>
          </w:p>
        </w:tc>
        <w:tc>
          <w:tcPr>
            <w:tcW w:w="4063" w:type="dxa"/>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r>
              <w:rPr>
                <w:color w:val="auto"/>
                <w:sz w:val="20"/>
                <w:szCs w:val="20"/>
                <w:highlight w:val="none"/>
                <w:shd w:val="clear" w:color="auto" w:fill="FFFFFF"/>
              </w:rPr>
              <w:t>坚硬岩和较硬岩（</w:t>
            </w:r>
            <w:r>
              <w:rPr>
                <w:rFonts w:hint="eastAsia"/>
                <w:i/>
                <w:iCs/>
                <w:color w:val="auto"/>
                <w:highlight w:val="none"/>
              </w:rPr>
              <w:t>f</w:t>
            </w:r>
            <w:r>
              <w:rPr>
                <w:rFonts w:hint="eastAsia"/>
                <w:color w:val="auto"/>
                <w:highlight w:val="none"/>
                <w:vertAlign w:val="subscript"/>
              </w:rPr>
              <w:t>r</w:t>
            </w:r>
            <w:r>
              <w:rPr>
                <w:color w:val="auto"/>
                <w:sz w:val="20"/>
                <w:szCs w:val="20"/>
                <w:highlight w:val="none"/>
                <w:shd w:val="clear" w:color="auto" w:fill="FFFFFF"/>
              </w:rPr>
              <w:t>&gt;</w:t>
            </w:r>
            <w:r>
              <w:rPr>
                <w:rFonts w:hint="eastAsia"/>
                <w:color w:val="auto"/>
                <w:sz w:val="20"/>
                <w:szCs w:val="20"/>
                <w:highlight w:val="none"/>
                <w:shd w:val="clear" w:color="auto" w:fill="FFFFFF"/>
              </w:rPr>
              <w:t>3</w:t>
            </w:r>
            <w:r>
              <w:rPr>
                <w:color w:val="auto"/>
                <w:sz w:val="20"/>
                <w:szCs w:val="20"/>
                <w:highlight w:val="none"/>
                <w:shd w:val="clear" w:color="auto" w:fill="FFFFFF"/>
              </w:rPr>
              <w:t>0MPa）：受地质构造影响极严重，节理很发育，层状软弱面（或夹层）已基本破坏</w:t>
            </w:r>
          </w:p>
        </w:tc>
        <w:tc>
          <w:tcPr>
            <w:tcW w:w="1167" w:type="dxa"/>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r>
              <w:rPr>
                <w:color w:val="auto"/>
                <w:sz w:val="20"/>
                <w:szCs w:val="20"/>
                <w:highlight w:val="none"/>
                <w:shd w:val="clear" w:color="auto" w:fill="FFFFFF"/>
              </w:rPr>
              <w:t>呈碎石状压碎结构</w:t>
            </w:r>
          </w:p>
        </w:tc>
        <w:tc>
          <w:tcPr>
            <w:tcW w:w="1386" w:type="dxa"/>
            <w:vMerge w:val="restart"/>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ind w:right="-105" w:rightChars="-50"/>
              <w:jc w:val="left"/>
              <w:rPr>
                <w:color w:val="auto"/>
                <w:sz w:val="20"/>
                <w:szCs w:val="20"/>
                <w:highlight w:val="none"/>
                <w:shd w:val="clear" w:color="auto" w:fill="FFFFFF"/>
              </w:rPr>
            </w:pPr>
            <w:r>
              <w:rPr>
                <w:color w:val="auto"/>
                <w:sz w:val="20"/>
                <w:szCs w:val="20"/>
                <w:highlight w:val="none"/>
                <w:shd w:val="clear" w:color="auto" w:fill="FFFFFF"/>
              </w:rPr>
              <w:t>拱部无支护时，可产生较大的坍塌，侧壁有时失去稳定</w:t>
            </w:r>
          </w:p>
        </w:tc>
        <w:tc>
          <w:tcPr>
            <w:tcW w:w="1090" w:type="dxa"/>
            <w:vMerge w:val="restart"/>
            <w:tcBorders>
              <w:top w:val="single" w:color="000000" w:sz="4" w:space="0"/>
              <w:left w:val="single" w:color="000000" w:sz="4" w:space="0"/>
              <w:bottom w:val="single" w:color="000000" w:sz="4" w:space="0"/>
              <w:right w:val="single" w:color="000000" w:sz="12" w:space="0"/>
            </w:tcBorders>
            <w:vAlign w:val="center"/>
          </w:tcPr>
          <w:p>
            <w:pPr>
              <w:tabs>
                <w:tab w:val="center" w:pos="4410"/>
                <w:tab w:val="right" w:pos="9240"/>
              </w:tabs>
              <w:autoSpaceDE w:val="0"/>
              <w:autoSpaceDN w:val="0"/>
              <w:adjustRightInd w:val="0"/>
              <w:snapToGrid w:val="0"/>
              <w:spacing w:before="62" w:beforeLines="20" w:after="62" w:afterLines="20"/>
              <w:jc w:val="center"/>
              <w:rPr>
                <w:color w:val="auto"/>
                <w:sz w:val="20"/>
                <w:szCs w:val="20"/>
                <w:highlight w:val="none"/>
                <w:shd w:val="clear" w:color="auto" w:fill="FFFFFF"/>
              </w:rPr>
            </w:pPr>
            <w:r>
              <w:rPr>
                <w:color w:val="auto"/>
                <w:sz w:val="20"/>
                <w:szCs w:val="20"/>
                <w:highlight w:val="none"/>
                <w:shd w:val="clear" w:color="auto" w:fill="FFFFFF"/>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continue"/>
            <w:tcBorders>
              <w:top w:val="single" w:color="000000" w:sz="4" w:space="0"/>
              <w:left w:val="single" w:color="000000" w:sz="12"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center"/>
              <w:rPr>
                <w:color w:val="auto"/>
                <w:sz w:val="20"/>
                <w:szCs w:val="20"/>
                <w:highlight w:val="none"/>
              </w:rPr>
            </w:pPr>
          </w:p>
        </w:tc>
        <w:tc>
          <w:tcPr>
            <w:tcW w:w="4063" w:type="dxa"/>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r>
              <w:rPr>
                <w:color w:val="auto"/>
                <w:sz w:val="20"/>
                <w:szCs w:val="20"/>
                <w:highlight w:val="none"/>
                <w:shd w:val="clear" w:color="auto" w:fill="FFFFFF"/>
              </w:rPr>
              <w:t>较软岩和软岩（5MPa&lt;</w:t>
            </w:r>
            <w:r>
              <w:rPr>
                <w:rFonts w:hint="eastAsia"/>
                <w:i/>
                <w:iCs/>
                <w:color w:val="auto"/>
                <w:highlight w:val="none"/>
              </w:rPr>
              <w:t>f</w:t>
            </w:r>
            <w:r>
              <w:rPr>
                <w:rFonts w:hint="eastAsia"/>
                <w:color w:val="auto"/>
                <w:highlight w:val="none"/>
                <w:vertAlign w:val="subscript"/>
              </w:rPr>
              <w:t>r</w:t>
            </w:r>
            <w:r>
              <w:rPr>
                <w:rFonts w:hint="eastAsia" w:ascii="宋体" w:hAnsi="宋体" w:cs="宋体"/>
                <w:color w:val="auto"/>
                <w:sz w:val="20"/>
                <w:szCs w:val="20"/>
                <w:highlight w:val="none"/>
                <w:shd w:val="clear" w:color="auto" w:fill="FFFFFF"/>
              </w:rPr>
              <w:t>≤</w:t>
            </w:r>
            <w:r>
              <w:rPr>
                <w:rFonts w:hint="eastAsia"/>
                <w:color w:val="auto"/>
                <w:sz w:val="20"/>
                <w:szCs w:val="20"/>
                <w:highlight w:val="none"/>
                <w:shd w:val="clear" w:color="auto" w:fill="FFFFFF"/>
              </w:rPr>
              <w:t>30</w:t>
            </w:r>
            <w:r>
              <w:rPr>
                <w:color w:val="auto"/>
                <w:sz w:val="20"/>
                <w:szCs w:val="20"/>
                <w:highlight w:val="none"/>
                <w:shd w:val="clear" w:color="auto" w:fill="FFFFFF"/>
              </w:rPr>
              <w:t>MPa）：受地质构造影响严重，节理发育</w:t>
            </w:r>
          </w:p>
        </w:tc>
        <w:tc>
          <w:tcPr>
            <w:tcW w:w="1167" w:type="dxa"/>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r>
              <w:rPr>
                <w:color w:val="auto"/>
                <w:sz w:val="20"/>
                <w:szCs w:val="20"/>
                <w:highlight w:val="none"/>
                <w:shd w:val="clear" w:color="auto" w:fill="FFFFFF"/>
              </w:rPr>
              <w:t>呈块石、碎石状镶嵌结构</w:t>
            </w:r>
          </w:p>
        </w:tc>
        <w:tc>
          <w:tcPr>
            <w:tcW w:w="1386" w:type="dxa"/>
            <w:vMerge w:val="continue"/>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p>
        </w:tc>
        <w:tc>
          <w:tcPr>
            <w:tcW w:w="1090" w:type="dxa"/>
            <w:vMerge w:val="continue"/>
            <w:tcBorders>
              <w:top w:val="single" w:color="000000" w:sz="4" w:space="0"/>
              <w:left w:val="single" w:color="000000" w:sz="4" w:space="0"/>
              <w:bottom w:val="single" w:color="000000" w:sz="4" w:space="0"/>
              <w:right w:val="single" w:color="000000" w:sz="12" w:space="0"/>
            </w:tcBorders>
            <w:vAlign w:val="center"/>
          </w:tcPr>
          <w:p>
            <w:pPr>
              <w:tabs>
                <w:tab w:val="center" w:pos="4410"/>
                <w:tab w:val="right" w:pos="9240"/>
              </w:tabs>
              <w:autoSpaceDE w:val="0"/>
              <w:autoSpaceDN w:val="0"/>
              <w:adjustRightInd w:val="0"/>
              <w:snapToGrid w:val="0"/>
              <w:spacing w:before="62" w:beforeLines="20" w:after="62" w:afterLines="20"/>
              <w:jc w:val="center"/>
              <w:rPr>
                <w:color w:val="auto"/>
                <w:sz w:val="20"/>
                <w:szCs w:val="20"/>
                <w:highlight w:val="none"/>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591" w:type="dxa"/>
            <w:vMerge w:val="continue"/>
            <w:tcBorders>
              <w:top w:val="single" w:color="000000" w:sz="4" w:space="0"/>
              <w:left w:val="single" w:color="000000" w:sz="12"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center"/>
              <w:rPr>
                <w:color w:val="auto"/>
                <w:sz w:val="20"/>
                <w:szCs w:val="20"/>
                <w:highlight w:val="none"/>
              </w:rPr>
            </w:pPr>
          </w:p>
        </w:tc>
        <w:tc>
          <w:tcPr>
            <w:tcW w:w="4063" w:type="dxa"/>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r>
              <w:rPr>
                <w:color w:val="auto"/>
                <w:sz w:val="20"/>
                <w:szCs w:val="20"/>
                <w:highlight w:val="none"/>
                <w:shd w:val="clear" w:color="auto" w:fill="FFFFFF"/>
              </w:rPr>
              <w:t>土体：1、具压密或成岩作用的黏性土、粉土及砂类土；2、一般钙质、铁质胶结的碎石土、卵石土、大块石土</w:t>
            </w:r>
          </w:p>
        </w:tc>
        <w:tc>
          <w:tcPr>
            <w:tcW w:w="1167" w:type="dxa"/>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ind w:right="-105" w:rightChars="-50"/>
              <w:jc w:val="left"/>
              <w:rPr>
                <w:color w:val="auto"/>
                <w:sz w:val="20"/>
                <w:szCs w:val="20"/>
                <w:highlight w:val="none"/>
                <w:shd w:val="clear" w:color="auto" w:fill="FFFFFF"/>
              </w:rPr>
            </w:pPr>
            <w:r>
              <w:rPr>
                <w:color w:val="auto"/>
                <w:sz w:val="20"/>
                <w:szCs w:val="20"/>
                <w:highlight w:val="none"/>
                <w:shd w:val="clear" w:color="auto" w:fill="FFFFFF"/>
              </w:rPr>
              <w:t>1.呈大块状压密结构，2.呈巨块状整体结构</w:t>
            </w:r>
          </w:p>
        </w:tc>
        <w:tc>
          <w:tcPr>
            <w:tcW w:w="1386" w:type="dxa"/>
            <w:vMerge w:val="continue"/>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p>
        </w:tc>
        <w:tc>
          <w:tcPr>
            <w:tcW w:w="1090" w:type="dxa"/>
            <w:vMerge w:val="continue"/>
            <w:tcBorders>
              <w:top w:val="single" w:color="000000" w:sz="4" w:space="0"/>
              <w:left w:val="single" w:color="000000" w:sz="4" w:space="0"/>
              <w:bottom w:val="single" w:color="000000" w:sz="4" w:space="0"/>
              <w:right w:val="single" w:color="000000" w:sz="12" w:space="0"/>
            </w:tcBorders>
            <w:vAlign w:val="center"/>
          </w:tcPr>
          <w:p>
            <w:pPr>
              <w:tabs>
                <w:tab w:val="center" w:pos="4410"/>
                <w:tab w:val="right" w:pos="9240"/>
              </w:tabs>
              <w:autoSpaceDE w:val="0"/>
              <w:autoSpaceDN w:val="0"/>
              <w:adjustRightInd w:val="0"/>
              <w:snapToGrid w:val="0"/>
              <w:spacing w:before="62" w:beforeLines="20" w:after="62" w:afterLines="20"/>
              <w:jc w:val="center"/>
              <w:rPr>
                <w:color w:val="auto"/>
                <w:sz w:val="20"/>
                <w:szCs w:val="20"/>
                <w:highlight w:val="none"/>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restart"/>
            <w:tcBorders>
              <w:top w:val="single" w:color="000000" w:sz="4" w:space="0"/>
              <w:left w:val="single" w:color="000000" w:sz="12"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center"/>
              <w:rPr>
                <w:color w:val="auto"/>
                <w:sz w:val="20"/>
                <w:szCs w:val="20"/>
                <w:highlight w:val="none"/>
              </w:rPr>
            </w:pPr>
            <w:r>
              <w:rPr>
                <w:color w:val="auto"/>
                <w:sz w:val="20"/>
                <w:szCs w:val="20"/>
                <w:highlight w:val="none"/>
              </w:rPr>
              <w:t>Ⅴ</w:t>
            </w:r>
          </w:p>
        </w:tc>
        <w:tc>
          <w:tcPr>
            <w:tcW w:w="4063" w:type="dxa"/>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r>
              <w:rPr>
                <w:color w:val="auto"/>
                <w:sz w:val="20"/>
                <w:szCs w:val="20"/>
                <w:highlight w:val="none"/>
                <w:shd w:val="clear" w:color="auto" w:fill="FFFFFF"/>
              </w:rPr>
              <w:t>岩体：全部极破碎岩；软岩，岩体破碎至极破碎；全部极软岩；受构造影响严重的破碎带</w:t>
            </w:r>
          </w:p>
        </w:tc>
        <w:tc>
          <w:tcPr>
            <w:tcW w:w="1167" w:type="dxa"/>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r>
              <w:rPr>
                <w:color w:val="auto"/>
                <w:sz w:val="20"/>
                <w:szCs w:val="20"/>
                <w:highlight w:val="none"/>
                <w:shd w:val="clear" w:color="auto" w:fill="FFFFFF"/>
              </w:rPr>
              <w:t>呈角砾碎石状松散结构</w:t>
            </w:r>
          </w:p>
        </w:tc>
        <w:tc>
          <w:tcPr>
            <w:tcW w:w="1386" w:type="dxa"/>
            <w:vMerge w:val="restart"/>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ind w:right="-105" w:rightChars="-50"/>
              <w:jc w:val="left"/>
              <w:rPr>
                <w:color w:val="auto"/>
                <w:sz w:val="20"/>
                <w:szCs w:val="20"/>
                <w:highlight w:val="none"/>
                <w:shd w:val="clear" w:color="auto" w:fill="FFFFFF"/>
              </w:rPr>
            </w:pPr>
            <w:r>
              <w:rPr>
                <w:color w:val="auto"/>
                <w:sz w:val="20"/>
                <w:szCs w:val="20"/>
                <w:highlight w:val="none"/>
                <w:shd w:val="clear" w:color="auto" w:fill="FFFFFF"/>
              </w:rPr>
              <w:t>围岩易坍塌，处理不当会出现大坍塌，侧壁经常小坍塌；浅埋时易出现地表下沉</w:t>
            </w:r>
            <w:r>
              <w:rPr>
                <w:color w:val="auto"/>
                <w:spacing w:val="-20"/>
                <w:sz w:val="20"/>
                <w:szCs w:val="20"/>
                <w:highlight w:val="none"/>
                <w:shd w:val="clear" w:color="auto" w:fill="FFFFFF"/>
              </w:rPr>
              <w:t>（陷）</w:t>
            </w:r>
            <w:r>
              <w:rPr>
                <w:color w:val="auto"/>
                <w:spacing w:val="-6"/>
                <w:sz w:val="20"/>
                <w:szCs w:val="20"/>
                <w:highlight w:val="none"/>
                <w:shd w:val="clear" w:color="auto" w:fill="FFFFFF"/>
              </w:rPr>
              <w:t>或塌至地表</w:t>
            </w:r>
          </w:p>
        </w:tc>
        <w:tc>
          <w:tcPr>
            <w:tcW w:w="1090" w:type="dxa"/>
            <w:vMerge w:val="restart"/>
            <w:tcBorders>
              <w:top w:val="single" w:color="000000" w:sz="4" w:space="0"/>
              <w:left w:val="single" w:color="000000" w:sz="4" w:space="0"/>
              <w:bottom w:val="single" w:color="000000" w:sz="4" w:space="0"/>
              <w:right w:val="single" w:color="000000" w:sz="12" w:space="0"/>
            </w:tcBorders>
            <w:vAlign w:val="center"/>
          </w:tcPr>
          <w:p>
            <w:pPr>
              <w:tabs>
                <w:tab w:val="center" w:pos="4410"/>
                <w:tab w:val="right" w:pos="9240"/>
              </w:tabs>
              <w:autoSpaceDE w:val="0"/>
              <w:autoSpaceDN w:val="0"/>
              <w:adjustRightInd w:val="0"/>
              <w:snapToGrid w:val="0"/>
              <w:spacing w:before="62" w:beforeLines="20" w:after="62" w:afterLines="20"/>
              <w:jc w:val="center"/>
              <w:rPr>
                <w:color w:val="auto"/>
                <w:sz w:val="20"/>
                <w:szCs w:val="20"/>
                <w:highlight w:val="none"/>
                <w:shd w:val="clear" w:color="auto" w:fill="FFFFFF"/>
              </w:rPr>
            </w:pPr>
            <w:r>
              <w:rPr>
                <w:color w:val="auto"/>
                <w:sz w:val="20"/>
                <w:szCs w:val="20"/>
                <w:highlight w:val="none"/>
                <w:shd w:val="clear" w:color="auto" w:fill="FFFFFF"/>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continue"/>
            <w:tcBorders>
              <w:top w:val="single" w:color="000000" w:sz="4" w:space="0"/>
              <w:left w:val="single" w:color="000000" w:sz="12"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center"/>
              <w:rPr>
                <w:color w:val="auto"/>
                <w:sz w:val="20"/>
                <w:szCs w:val="20"/>
                <w:highlight w:val="none"/>
              </w:rPr>
            </w:pPr>
          </w:p>
        </w:tc>
        <w:tc>
          <w:tcPr>
            <w:tcW w:w="4063" w:type="dxa"/>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r>
              <w:rPr>
                <w:color w:val="auto"/>
                <w:sz w:val="20"/>
                <w:szCs w:val="20"/>
                <w:highlight w:val="none"/>
                <w:shd w:val="clear" w:color="auto" w:fill="FFFFFF"/>
              </w:rPr>
              <w:t>土体：一般第四系坚硬、硬塑黏性土，稍密及以上、稍湿或潮湿的碎石土、粉土</w:t>
            </w:r>
          </w:p>
        </w:tc>
        <w:tc>
          <w:tcPr>
            <w:tcW w:w="1167" w:type="dxa"/>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r>
              <w:rPr>
                <w:color w:val="auto"/>
                <w:sz w:val="20"/>
                <w:szCs w:val="20"/>
                <w:highlight w:val="none"/>
                <w:shd w:val="clear" w:color="auto" w:fill="FFFFFF"/>
              </w:rPr>
              <w:t>非黏性土呈松散结构，黏性土呈松软结构</w:t>
            </w:r>
          </w:p>
        </w:tc>
        <w:tc>
          <w:tcPr>
            <w:tcW w:w="1386" w:type="dxa"/>
            <w:vMerge w:val="continue"/>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p>
        </w:tc>
        <w:tc>
          <w:tcPr>
            <w:tcW w:w="1090" w:type="dxa"/>
            <w:vMerge w:val="continue"/>
            <w:tcBorders>
              <w:top w:val="single" w:color="000000" w:sz="4" w:space="0"/>
              <w:left w:val="single" w:color="000000" w:sz="4" w:space="0"/>
              <w:bottom w:val="single" w:color="000000" w:sz="4" w:space="0"/>
              <w:right w:val="single" w:color="000000" w:sz="12" w:space="0"/>
            </w:tcBorders>
            <w:vAlign w:val="center"/>
          </w:tcPr>
          <w:p>
            <w:pPr>
              <w:tabs>
                <w:tab w:val="center" w:pos="4410"/>
                <w:tab w:val="right" w:pos="9240"/>
              </w:tabs>
              <w:autoSpaceDE w:val="0"/>
              <w:autoSpaceDN w:val="0"/>
              <w:adjustRightInd w:val="0"/>
              <w:snapToGrid w:val="0"/>
              <w:spacing w:before="62" w:beforeLines="20" w:after="62" w:afterLines="20"/>
              <w:jc w:val="center"/>
              <w:rPr>
                <w:color w:val="auto"/>
                <w:sz w:val="20"/>
                <w:szCs w:val="20"/>
                <w:highlight w:val="none"/>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restart"/>
            <w:tcBorders>
              <w:top w:val="single" w:color="000000" w:sz="4" w:space="0"/>
              <w:left w:val="single" w:color="000000" w:sz="12"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center"/>
              <w:rPr>
                <w:color w:val="auto"/>
                <w:sz w:val="20"/>
                <w:szCs w:val="20"/>
                <w:highlight w:val="none"/>
              </w:rPr>
            </w:pPr>
            <w:r>
              <w:rPr>
                <w:color w:val="auto"/>
                <w:sz w:val="20"/>
                <w:szCs w:val="20"/>
                <w:highlight w:val="none"/>
              </w:rPr>
              <w:t>Ⅵ</w:t>
            </w:r>
          </w:p>
        </w:tc>
        <w:tc>
          <w:tcPr>
            <w:tcW w:w="4063" w:type="dxa"/>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r>
              <w:rPr>
                <w:color w:val="auto"/>
                <w:sz w:val="20"/>
                <w:szCs w:val="20"/>
                <w:highlight w:val="none"/>
                <w:shd w:val="clear" w:color="auto" w:fill="FFFFFF"/>
              </w:rPr>
              <w:t>岩体：受构造影响严重而呈碎石、角砾及粉末、泥土状的断层带</w:t>
            </w:r>
          </w:p>
        </w:tc>
        <w:tc>
          <w:tcPr>
            <w:tcW w:w="1167" w:type="dxa"/>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r>
              <w:rPr>
                <w:color w:val="auto"/>
                <w:sz w:val="20"/>
                <w:szCs w:val="20"/>
                <w:highlight w:val="none"/>
                <w:shd w:val="clear" w:color="auto" w:fill="FFFFFF"/>
              </w:rPr>
              <w:t>呈松散状</w:t>
            </w:r>
          </w:p>
        </w:tc>
        <w:tc>
          <w:tcPr>
            <w:tcW w:w="1386" w:type="dxa"/>
            <w:vMerge w:val="restart"/>
            <w:tcBorders>
              <w:top w:val="single" w:color="000000" w:sz="4" w:space="0"/>
              <w:left w:val="single" w:color="000000" w:sz="4" w:space="0"/>
              <w:bottom w:val="single" w:color="000000" w:sz="4" w:space="0"/>
              <w:right w:val="single" w:color="000000" w:sz="4" w:space="0"/>
            </w:tcBorders>
            <w:vAlign w:val="center"/>
          </w:tcPr>
          <w:p>
            <w:pPr>
              <w:tabs>
                <w:tab w:val="center" w:pos="4410"/>
                <w:tab w:val="right" w:pos="9240"/>
              </w:tabs>
              <w:autoSpaceDE w:val="0"/>
              <w:autoSpaceDN w:val="0"/>
              <w:adjustRightInd w:val="0"/>
              <w:ind w:right="-105" w:rightChars="-50"/>
              <w:jc w:val="left"/>
              <w:rPr>
                <w:color w:val="auto"/>
                <w:sz w:val="20"/>
                <w:szCs w:val="20"/>
                <w:highlight w:val="none"/>
                <w:shd w:val="clear" w:color="auto" w:fill="FFFFFF"/>
              </w:rPr>
            </w:pPr>
            <w:r>
              <w:rPr>
                <w:color w:val="auto"/>
                <w:sz w:val="20"/>
                <w:szCs w:val="20"/>
                <w:highlight w:val="none"/>
                <w:shd w:val="clear" w:color="auto" w:fill="FFFFFF"/>
              </w:rPr>
              <w:t>围岩极易坍塌变形，有水时土砂常与水一齐涌出；浅埋时易塌至地表</w:t>
            </w:r>
          </w:p>
        </w:tc>
        <w:tc>
          <w:tcPr>
            <w:tcW w:w="1090" w:type="dxa"/>
            <w:vMerge w:val="restart"/>
            <w:tcBorders>
              <w:top w:val="single" w:color="000000" w:sz="4" w:space="0"/>
              <w:left w:val="single" w:color="000000" w:sz="4" w:space="0"/>
              <w:bottom w:val="single" w:color="000000" w:sz="4" w:space="0"/>
              <w:right w:val="single" w:color="000000" w:sz="12" w:space="0"/>
            </w:tcBorders>
            <w:vAlign w:val="center"/>
          </w:tcPr>
          <w:p>
            <w:pPr>
              <w:tabs>
                <w:tab w:val="center" w:pos="4410"/>
                <w:tab w:val="right" w:pos="9240"/>
              </w:tabs>
              <w:autoSpaceDE w:val="0"/>
              <w:autoSpaceDN w:val="0"/>
              <w:adjustRightInd w:val="0"/>
              <w:snapToGrid w:val="0"/>
              <w:spacing w:before="62" w:beforeLines="20" w:after="62" w:afterLines="20"/>
              <w:jc w:val="center"/>
              <w:rPr>
                <w:color w:val="auto"/>
                <w:sz w:val="20"/>
                <w:szCs w:val="20"/>
                <w:highlight w:val="none"/>
                <w:shd w:val="clear" w:color="auto" w:fill="FFFFFF"/>
              </w:rPr>
            </w:pPr>
            <w:r>
              <w:rPr>
                <w:color w:val="auto"/>
                <w:sz w:val="20"/>
                <w:szCs w:val="20"/>
                <w:highlight w:val="none"/>
                <w:shd w:val="clear" w:color="auto" w:fill="FFFFFF"/>
              </w:rPr>
              <w:t>&lt;1.0</w:t>
            </w:r>
          </w:p>
          <w:p>
            <w:pPr>
              <w:tabs>
                <w:tab w:val="center" w:pos="4410"/>
                <w:tab w:val="right" w:pos="9240"/>
              </w:tabs>
              <w:autoSpaceDE w:val="0"/>
              <w:autoSpaceDN w:val="0"/>
              <w:adjustRightInd w:val="0"/>
              <w:snapToGrid w:val="0"/>
              <w:spacing w:before="62" w:beforeLines="20" w:after="62" w:afterLines="20"/>
              <w:ind w:left="-105" w:leftChars="-50" w:right="-105" w:rightChars="-50"/>
              <w:jc w:val="center"/>
              <w:rPr>
                <w:color w:val="auto"/>
                <w:sz w:val="20"/>
                <w:szCs w:val="20"/>
                <w:highlight w:val="none"/>
                <w:shd w:val="clear" w:color="auto" w:fill="FFFFFF"/>
              </w:rPr>
            </w:pPr>
            <w:r>
              <w:rPr>
                <w:color w:val="auto"/>
                <w:sz w:val="20"/>
                <w:szCs w:val="20"/>
                <w:highlight w:val="none"/>
                <w:shd w:val="clear" w:color="auto" w:fill="FFFFFF"/>
              </w:rPr>
              <w:t>（饱和状态的土&lt;1.5）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continue"/>
            <w:tcBorders>
              <w:top w:val="single" w:color="000000" w:sz="4" w:space="0"/>
              <w:left w:val="single" w:color="000000" w:sz="12" w:space="0"/>
              <w:bottom w:val="single" w:color="000000" w:sz="12"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center"/>
              <w:rPr>
                <w:color w:val="auto"/>
                <w:sz w:val="20"/>
                <w:szCs w:val="20"/>
                <w:highlight w:val="none"/>
              </w:rPr>
            </w:pPr>
          </w:p>
        </w:tc>
        <w:tc>
          <w:tcPr>
            <w:tcW w:w="4063" w:type="dxa"/>
            <w:tcBorders>
              <w:top w:val="single" w:color="000000" w:sz="4" w:space="0"/>
              <w:left w:val="single" w:color="000000" w:sz="4" w:space="0"/>
              <w:bottom w:val="single" w:color="000000" w:sz="12"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r>
              <w:rPr>
                <w:color w:val="auto"/>
                <w:sz w:val="20"/>
                <w:szCs w:val="20"/>
                <w:highlight w:val="none"/>
                <w:shd w:val="clear" w:color="auto" w:fill="FFFFFF"/>
              </w:rPr>
              <w:t>土体：软塑或可塑状黏性土、饱和的粉土、砂类土等</w:t>
            </w:r>
          </w:p>
        </w:tc>
        <w:tc>
          <w:tcPr>
            <w:tcW w:w="1167" w:type="dxa"/>
            <w:tcBorders>
              <w:top w:val="single" w:color="000000" w:sz="4" w:space="0"/>
              <w:left w:val="single" w:color="000000" w:sz="4" w:space="0"/>
              <w:bottom w:val="single" w:color="000000" w:sz="12"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r>
              <w:rPr>
                <w:color w:val="auto"/>
                <w:sz w:val="20"/>
                <w:szCs w:val="20"/>
                <w:highlight w:val="none"/>
                <w:shd w:val="clear" w:color="auto" w:fill="FFFFFF"/>
              </w:rPr>
              <w:t>黏性土呈易</w:t>
            </w:r>
            <w:r>
              <w:rPr>
                <w:rFonts w:hint="eastAsia"/>
                <w:color w:val="auto"/>
                <w:sz w:val="20"/>
                <w:szCs w:val="20"/>
                <w:highlight w:val="none"/>
                <w:shd w:val="clear" w:color="auto" w:fill="FFFFFF"/>
              </w:rPr>
              <w:t>蠕动</w:t>
            </w:r>
            <w:r>
              <w:rPr>
                <w:color w:val="auto"/>
                <w:sz w:val="20"/>
                <w:szCs w:val="20"/>
                <w:highlight w:val="none"/>
                <w:shd w:val="clear" w:color="auto" w:fill="FFFFFF"/>
              </w:rPr>
              <w:t>的松软结构，砂性土呈潮湿松散结构</w:t>
            </w:r>
          </w:p>
        </w:tc>
        <w:tc>
          <w:tcPr>
            <w:tcW w:w="1386" w:type="dxa"/>
            <w:vMerge w:val="continue"/>
            <w:tcBorders>
              <w:top w:val="single" w:color="000000" w:sz="4" w:space="0"/>
              <w:left w:val="single" w:color="000000" w:sz="4" w:space="0"/>
              <w:bottom w:val="single" w:color="000000" w:sz="12" w:space="0"/>
              <w:right w:val="single" w:color="000000" w:sz="4" w:space="0"/>
            </w:tcBorders>
            <w:vAlign w:val="center"/>
          </w:tcPr>
          <w:p>
            <w:pPr>
              <w:tabs>
                <w:tab w:val="center" w:pos="4410"/>
                <w:tab w:val="right" w:pos="9240"/>
              </w:tabs>
              <w:autoSpaceDE w:val="0"/>
              <w:autoSpaceDN w:val="0"/>
              <w:adjustRightInd w:val="0"/>
              <w:snapToGrid w:val="0"/>
              <w:spacing w:before="62" w:beforeLines="20" w:after="62" w:afterLines="20"/>
              <w:jc w:val="left"/>
              <w:rPr>
                <w:color w:val="auto"/>
                <w:sz w:val="20"/>
                <w:szCs w:val="20"/>
                <w:highlight w:val="none"/>
                <w:shd w:val="clear" w:color="auto" w:fill="FFFFFF"/>
              </w:rPr>
            </w:pPr>
          </w:p>
        </w:tc>
        <w:tc>
          <w:tcPr>
            <w:tcW w:w="1090" w:type="dxa"/>
            <w:vMerge w:val="continue"/>
            <w:tcBorders>
              <w:top w:val="single" w:color="000000" w:sz="4" w:space="0"/>
              <w:left w:val="single" w:color="000000" w:sz="4" w:space="0"/>
              <w:bottom w:val="single" w:color="000000" w:sz="12" w:space="0"/>
              <w:right w:val="single" w:color="000000" w:sz="12" w:space="0"/>
            </w:tcBorders>
            <w:vAlign w:val="center"/>
          </w:tcPr>
          <w:p>
            <w:pPr>
              <w:tabs>
                <w:tab w:val="center" w:pos="4410"/>
                <w:tab w:val="right" w:pos="9240"/>
              </w:tabs>
              <w:autoSpaceDE w:val="0"/>
              <w:autoSpaceDN w:val="0"/>
              <w:adjustRightInd w:val="0"/>
              <w:snapToGrid w:val="0"/>
              <w:spacing w:before="62" w:beforeLines="20" w:after="62" w:afterLines="20"/>
              <w:jc w:val="center"/>
              <w:rPr>
                <w:color w:val="auto"/>
                <w:sz w:val="20"/>
                <w:szCs w:val="20"/>
                <w:highlight w:val="none"/>
                <w:shd w:val="clear" w:color="auto" w:fill="FFFFFF"/>
              </w:rPr>
            </w:pPr>
          </w:p>
        </w:tc>
      </w:tr>
    </w:tbl>
    <w:p>
      <w:pPr>
        <w:snapToGrid w:val="0"/>
        <w:spacing w:line="360" w:lineRule="auto"/>
        <w:ind w:left="1050" w:leftChars="200" w:hanging="630" w:hangingChars="350"/>
        <w:jc w:val="left"/>
        <w:rPr>
          <w:color w:val="auto"/>
          <w:sz w:val="18"/>
          <w:szCs w:val="18"/>
          <w:highlight w:val="none"/>
        </w:rPr>
      </w:pPr>
      <w:r>
        <w:rPr>
          <w:color w:val="auto"/>
          <w:sz w:val="18"/>
          <w:szCs w:val="18"/>
          <w:highlight w:val="none"/>
        </w:rPr>
        <w:t>注：1</w:t>
      </w:r>
      <w:r>
        <w:rPr>
          <w:rFonts w:hint="eastAsia"/>
          <w:b/>
          <w:bCs/>
          <w:color w:val="auto"/>
          <w:sz w:val="18"/>
          <w:szCs w:val="18"/>
          <w:highlight w:val="none"/>
        </w:rPr>
        <w:t>　</w:t>
      </w:r>
      <w:r>
        <w:rPr>
          <w:color w:val="auto"/>
          <w:sz w:val="18"/>
          <w:szCs w:val="18"/>
          <w:highlight w:val="none"/>
        </w:rPr>
        <w:t>以上不包括膨胀性围岩</w:t>
      </w:r>
      <w:r>
        <w:rPr>
          <w:rFonts w:hint="eastAsia"/>
          <w:color w:val="auto"/>
          <w:sz w:val="18"/>
          <w:szCs w:val="18"/>
          <w:highlight w:val="none"/>
        </w:rPr>
        <w:t>。</w:t>
      </w:r>
    </w:p>
    <w:p>
      <w:pPr>
        <w:tabs>
          <w:tab w:val="center" w:pos="4410"/>
          <w:tab w:val="right" w:pos="9240"/>
        </w:tabs>
        <w:autoSpaceDE w:val="0"/>
        <w:autoSpaceDN w:val="0"/>
        <w:adjustRightInd w:val="0"/>
        <w:snapToGrid w:val="0"/>
        <w:spacing w:line="360" w:lineRule="auto"/>
        <w:ind w:left="1148" w:leftChars="375" w:hanging="360" w:hangingChars="200"/>
        <w:jc w:val="left"/>
        <w:rPr>
          <w:color w:val="auto"/>
          <w:sz w:val="18"/>
          <w:szCs w:val="18"/>
          <w:highlight w:val="none"/>
        </w:rPr>
      </w:pPr>
      <w:r>
        <w:rPr>
          <w:color w:val="auto"/>
          <w:sz w:val="18"/>
          <w:szCs w:val="18"/>
          <w:highlight w:val="none"/>
        </w:rPr>
        <w:t>2</w:t>
      </w:r>
      <w:r>
        <w:rPr>
          <w:rFonts w:hint="eastAsia"/>
          <w:b/>
          <w:bCs/>
          <w:color w:val="auto"/>
          <w:sz w:val="18"/>
          <w:szCs w:val="18"/>
          <w:highlight w:val="none"/>
        </w:rPr>
        <w:t>　</w:t>
      </w:r>
      <w:r>
        <w:rPr>
          <w:color w:val="auto"/>
          <w:sz w:val="18"/>
          <w:szCs w:val="18"/>
          <w:highlight w:val="none"/>
        </w:rPr>
        <w:t>软质岩石Ⅱ、Ⅲ类围岩遇有地下水时，可根据具体情况和施工条件适当降低围岩级别。</w:t>
      </w:r>
    </w:p>
    <w:p>
      <w:pPr>
        <w:tabs>
          <w:tab w:val="center" w:pos="4410"/>
          <w:tab w:val="right" w:pos="9240"/>
        </w:tabs>
        <w:autoSpaceDE w:val="0"/>
        <w:autoSpaceDN w:val="0"/>
        <w:adjustRightInd w:val="0"/>
        <w:spacing w:line="360" w:lineRule="auto"/>
        <w:rPr>
          <w:color w:val="auto"/>
          <w:szCs w:val="21"/>
          <w:highlight w:val="none"/>
        </w:rPr>
      </w:pPr>
      <w:r>
        <w:rPr>
          <w:rFonts w:hint="eastAsia"/>
          <w:b/>
          <w:bCs/>
          <w:color w:val="auto"/>
          <w:szCs w:val="21"/>
          <w:highlight w:val="none"/>
        </w:rPr>
        <w:t>F.0.2</w:t>
      </w:r>
      <w:r>
        <w:rPr>
          <w:rFonts w:hint="eastAsia"/>
          <w:b/>
          <w:bCs/>
          <w:color w:val="auto"/>
          <w:sz w:val="18"/>
          <w:szCs w:val="18"/>
          <w:highlight w:val="none"/>
        </w:rPr>
        <w:t>　</w:t>
      </w:r>
      <w:r>
        <w:rPr>
          <w:rFonts w:hint="eastAsia"/>
          <w:color w:val="auto"/>
          <w:szCs w:val="21"/>
          <w:highlight w:val="none"/>
        </w:rPr>
        <w:t>隧道岩质围岩可根据围岩基本质量指标</w:t>
      </w:r>
      <w:r>
        <w:rPr>
          <w:rFonts w:hint="eastAsia"/>
          <w:i/>
          <w:iCs/>
          <w:color w:val="auto"/>
          <w:szCs w:val="21"/>
          <w:highlight w:val="none"/>
        </w:rPr>
        <w:t>BQ</w:t>
      </w:r>
      <w:r>
        <w:rPr>
          <w:rFonts w:hint="eastAsia"/>
          <w:color w:val="auto"/>
          <w:szCs w:val="21"/>
          <w:highlight w:val="none"/>
        </w:rPr>
        <w:t>或岩体修正质量指标[</w:t>
      </w:r>
      <w:r>
        <w:rPr>
          <w:rFonts w:hint="eastAsia"/>
          <w:i/>
          <w:iCs/>
          <w:color w:val="auto"/>
          <w:szCs w:val="21"/>
          <w:highlight w:val="none"/>
        </w:rPr>
        <w:t>BQ</w:t>
      </w:r>
      <w:r>
        <w:rPr>
          <w:rFonts w:hint="eastAsia"/>
          <w:color w:val="auto"/>
          <w:szCs w:val="21"/>
          <w:highlight w:val="none"/>
        </w:rPr>
        <w:t>]按表F.0.2确定围岩级别。</w:t>
      </w:r>
    </w:p>
    <w:p>
      <w:pPr>
        <w:autoSpaceDE w:val="0"/>
        <w:autoSpaceDN w:val="0"/>
        <w:adjustRightInd w:val="0"/>
        <w:spacing w:line="360" w:lineRule="auto"/>
        <w:jc w:val="center"/>
        <w:rPr>
          <w:b/>
          <w:bCs/>
          <w:color w:val="auto"/>
          <w:szCs w:val="21"/>
          <w:highlight w:val="none"/>
        </w:rPr>
      </w:pPr>
      <w:r>
        <w:rPr>
          <w:b/>
          <w:bCs/>
          <w:color w:val="auto"/>
          <w:spacing w:val="12"/>
          <w:kern w:val="0"/>
          <w:szCs w:val="18"/>
          <w:highlight w:val="none"/>
        </w:rPr>
        <w:t>表</w:t>
      </w:r>
      <w:r>
        <w:rPr>
          <w:rFonts w:hint="eastAsia"/>
          <w:b/>
          <w:bCs/>
          <w:color w:val="auto"/>
          <w:spacing w:val="12"/>
          <w:kern w:val="0"/>
          <w:szCs w:val="18"/>
          <w:highlight w:val="none"/>
        </w:rPr>
        <w:t>F.0.</w:t>
      </w:r>
      <w:r>
        <w:rPr>
          <w:b/>
          <w:bCs/>
          <w:color w:val="auto"/>
          <w:spacing w:val="12"/>
          <w:kern w:val="0"/>
          <w:szCs w:val="18"/>
          <w:highlight w:val="none"/>
        </w:rPr>
        <w:t>2</w:t>
      </w:r>
      <w:r>
        <w:rPr>
          <w:rFonts w:hint="eastAsia"/>
          <w:b/>
          <w:bCs/>
          <w:color w:val="auto"/>
          <w:spacing w:val="12"/>
          <w:kern w:val="0"/>
          <w:szCs w:val="18"/>
          <w:highlight w:val="none"/>
          <w:lang w:val="en-US" w:eastAsia="zh-CN"/>
        </w:rPr>
        <w:t xml:space="preserve"> </w:t>
      </w:r>
      <w:r>
        <w:rPr>
          <w:b/>
          <w:bCs/>
          <w:color w:val="auto"/>
          <w:szCs w:val="21"/>
          <w:highlight w:val="none"/>
        </w:rPr>
        <w:t xml:space="preserve"> </w:t>
      </w:r>
      <w:r>
        <w:rPr>
          <w:rFonts w:hint="eastAsia"/>
          <w:b/>
          <w:bCs/>
          <w:color w:val="auto"/>
          <w:szCs w:val="21"/>
          <w:highlight w:val="none"/>
        </w:rPr>
        <w:t>隧道岩质围岩分级</w:t>
      </w:r>
    </w:p>
    <w:tbl>
      <w:tblPr>
        <w:tblStyle w:val="22"/>
        <w:tblW w:w="8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9"/>
        <w:gridCol w:w="1212"/>
        <w:gridCol w:w="1212"/>
        <w:gridCol w:w="1212"/>
        <w:gridCol w:w="1212"/>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289" w:type="dxa"/>
            <w:tcBorders>
              <w:top w:val="single" w:color="000000" w:sz="12" w:space="0"/>
              <w:left w:val="single" w:color="000000" w:sz="12"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围岩</w:t>
            </w:r>
            <w:r>
              <w:rPr>
                <w:color w:val="auto"/>
                <w:sz w:val="20"/>
                <w:szCs w:val="20"/>
                <w:highlight w:val="none"/>
              </w:rPr>
              <w:t>级别</w:t>
            </w:r>
          </w:p>
        </w:tc>
        <w:tc>
          <w:tcPr>
            <w:tcW w:w="1212" w:type="dxa"/>
            <w:tcBorders>
              <w:top w:val="single" w:color="000000" w:sz="12"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color w:val="auto"/>
                <w:sz w:val="20"/>
                <w:szCs w:val="20"/>
                <w:highlight w:val="none"/>
              </w:rPr>
              <w:t>Ⅰ</w:t>
            </w:r>
          </w:p>
        </w:tc>
        <w:tc>
          <w:tcPr>
            <w:tcW w:w="1212" w:type="dxa"/>
            <w:tcBorders>
              <w:top w:val="single" w:color="000000" w:sz="12"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color w:val="auto"/>
                <w:sz w:val="20"/>
                <w:szCs w:val="20"/>
                <w:highlight w:val="none"/>
              </w:rPr>
              <w:t>Ⅱ</w:t>
            </w:r>
          </w:p>
        </w:tc>
        <w:tc>
          <w:tcPr>
            <w:tcW w:w="1212" w:type="dxa"/>
            <w:tcBorders>
              <w:top w:val="single" w:color="000000" w:sz="12"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color w:val="auto"/>
                <w:sz w:val="20"/>
                <w:szCs w:val="20"/>
                <w:highlight w:val="none"/>
              </w:rPr>
              <w:t>Ⅲ</w:t>
            </w:r>
          </w:p>
        </w:tc>
        <w:tc>
          <w:tcPr>
            <w:tcW w:w="1212" w:type="dxa"/>
            <w:tcBorders>
              <w:top w:val="single" w:color="000000" w:sz="12"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color w:val="auto"/>
                <w:sz w:val="20"/>
                <w:szCs w:val="20"/>
                <w:highlight w:val="none"/>
              </w:rPr>
              <w:t>Ⅳ</w:t>
            </w:r>
          </w:p>
        </w:tc>
        <w:tc>
          <w:tcPr>
            <w:tcW w:w="1212" w:type="dxa"/>
            <w:tcBorders>
              <w:top w:val="single" w:color="000000" w:sz="12" w:space="0"/>
              <w:left w:val="single" w:color="000000" w:sz="4" w:space="0"/>
              <w:bottom w:val="single" w:color="000000" w:sz="4" w:space="0"/>
              <w:right w:val="single" w:color="000000" w:sz="12" w:space="0"/>
            </w:tcBorders>
            <w:vAlign w:val="center"/>
          </w:tcPr>
          <w:p>
            <w:pPr>
              <w:autoSpaceDE w:val="0"/>
              <w:autoSpaceDN w:val="0"/>
              <w:adjustRightInd w:val="0"/>
              <w:jc w:val="center"/>
              <w:rPr>
                <w:color w:val="auto"/>
                <w:sz w:val="20"/>
                <w:szCs w:val="20"/>
                <w:highlight w:val="none"/>
              </w:rPr>
            </w:pPr>
            <w:r>
              <w:rPr>
                <w:color w:val="auto"/>
                <w:sz w:val="20"/>
                <w:szCs w:val="20"/>
                <w:highlight w:val="none"/>
              </w:rPr>
              <w:t>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2289" w:type="dxa"/>
            <w:tcBorders>
              <w:top w:val="single" w:color="000000" w:sz="4" w:space="0"/>
              <w:left w:val="single" w:color="000000" w:sz="12" w:space="0"/>
              <w:bottom w:val="single" w:color="000000" w:sz="12"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岩体</w:t>
            </w:r>
            <w:r>
              <w:rPr>
                <w:color w:val="auto"/>
                <w:sz w:val="20"/>
                <w:szCs w:val="20"/>
                <w:highlight w:val="none"/>
              </w:rPr>
              <w:t>基本质量指标</w:t>
            </w:r>
            <w:r>
              <w:rPr>
                <w:i/>
                <w:iCs/>
                <w:color w:val="auto"/>
                <w:sz w:val="20"/>
                <w:szCs w:val="20"/>
                <w:highlight w:val="none"/>
              </w:rPr>
              <w:t>BQ</w:t>
            </w:r>
            <w:r>
              <w:rPr>
                <w:rFonts w:hint="eastAsia"/>
                <w:color w:val="auto"/>
                <w:sz w:val="20"/>
                <w:szCs w:val="20"/>
                <w:highlight w:val="none"/>
              </w:rPr>
              <w:t>或岩体修正质量指标[</w:t>
            </w:r>
            <w:r>
              <w:rPr>
                <w:rFonts w:hint="eastAsia"/>
                <w:i/>
                <w:iCs/>
                <w:color w:val="auto"/>
                <w:sz w:val="20"/>
                <w:szCs w:val="20"/>
                <w:highlight w:val="none"/>
              </w:rPr>
              <w:t>BQ</w:t>
            </w:r>
            <w:r>
              <w:rPr>
                <w:rFonts w:hint="eastAsia"/>
                <w:color w:val="auto"/>
                <w:sz w:val="20"/>
                <w:szCs w:val="20"/>
                <w:highlight w:val="none"/>
              </w:rPr>
              <w:t>]</w:t>
            </w:r>
          </w:p>
        </w:tc>
        <w:tc>
          <w:tcPr>
            <w:tcW w:w="1212" w:type="dxa"/>
            <w:tcBorders>
              <w:top w:val="single" w:color="000000" w:sz="4" w:space="0"/>
              <w:left w:val="single" w:color="000000" w:sz="4" w:space="0"/>
              <w:bottom w:val="single" w:color="000000" w:sz="12" w:space="0"/>
              <w:right w:val="single" w:color="000000" w:sz="4" w:space="0"/>
            </w:tcBorders>
            <w:vAlign w:val="center"/>
          </w:tcPr>
          <w:p>
            <w:pPr>
              <w:autoSpaceDE w:val="0"/>
              <w:autoSpaceDN w:val="0"/>
              <w:adjustRightInd w:val="0"/>
              <w:jc w:val="center"/>
              <w:rPr>
                <w:color w:val="auto"/>
                <w:sz w:val="20"/>
                <w:szCs w:val="20"/>
                <w:highlight w:val="none"/>
              </w:rPr>
            </w:pPr>
            <w:r>
              <w:rPr>
                <w:color w:val="auto"/>
                <w:sz w:val="20"/>
                <w:szCs w:val="20"/>
                <w:highlight w:val="none"/>
              </w:rPr>
              <w:t>&gt;550</w:t>
            </w:r>
          </w:p>
        </w:tc>
        <w:tc>
          <w:tcPr>
            <w:tcW w:w="1212" w:type="dxa"/>
            <w:tcBorders>
              <w:top w:val="single" w:color="000000" w:sz="4" w:space="0"/>
              <w:left w:val="single" w:color="000000" w:sz="4" w:space="0"/>
              <w:bottom w:val="single" w:color="000000" w:sz="12" w:space="0"/>
              <w:right w:val="single" w:color="000000" w:sz="4" w:space="0"/>
            </w:tcBorders>
            <w:vAlign w:val="center"/>
          </w:tcPr>
          <w:p>
            <w:pPr>
              <w:autoSpaceDE w:val="0"/>
              <w:autoSpaceDN w:val="0"/>
              <w:adjustRightInd w:val="0"/>
              <w:jc w:val="center"/>
              <w:rPr>
                <w:color w:val="auto"/>
                <w:sz w:val="20"/>
                <w:szCs w:val="20"/>
                <w:highlight w:val="none"/>
              </w:rPr>
            </w:pPr>
            <w:r>
              <w:rPr>
                <w:color w:val="auto"/>
                <w:sz w:val="20"/>
                <w:szCs w:val="20"/>
                <w:highlight w:val="none"/>
              </w:rPr>
              <w:t>550~451</w:t>
            </w:r>
          </w:p>
        </w:tc>
        <w:tc>
          <w:tcPr>
            <w:tcW w:w="1212" w:type="dxa"/>
            <w:tcBorders>
              <w:top w:val="single" w:color="000000" w:sz="4" w:space="0"/>
              <w:left w:val="single" w:color="000000" w:sz="4" w:space="0"/>
              <w:bottom w:val="single" w:color="000000" w:sz="12" w:space="0"/>
              <w:right w:val="single" w:color="000000" w:sz="4" w:space="0"/>
            </w:tcBorders>
            <w:vAlign w:val="center"/>
          </w:tcPr>
          <w:p>
            <w:pPr>
              <w:autoSpaceDE w:val="0"/>
              <w:autoSpaceDN w:val="0"/>
              <w:adjustRightInd w:val="0"/>
              <w:jc w:val="center"/>
              <w:rPr>
                <w:color w:val="auto"/>
                <w:sz w:val="20"/>
                <w:szCs w:val="20"/>
                <w:highlight w:val="none"/>
              </w:rPr>
            </w:pPr>
            <w:r>
              <w:rPr>
                <w:color w:val="auto"/>
                <w:sz w:val="20"/>
                <w:szCs w:val="20"/>
                <w:highlight w:val="none"/>
              </w:rPr>
              <w:t>450~351</w:t>
            </w:r>
          </w:p>
        </w:tc>
        <w:tc>
          <w:tcPr>
            <w:tcW w:w="1212" w:type="dxa"/>
            <w:tcBorders>
              <w:top w:val="single" w:color="000000" w:sz="4" w:space="0"/>
              <w:left w:val="single" w:color="000000" w:sz="4" w:space="0"/>
              <w:bottom w:val="single" w:color="000000" w:sz="12" w:space="0"/>
              <w:right w:val="single" w:color="000000" w:sz="4" w:space="0"/>
            </w:tcBorders>
            <w:vAlign w:val="center"/>
          </w:tcPr>
          <w:p>
            <w:pPr>
              <w:autoSpaceDE w:val="0"/>
              <w:autoSpaceDN w:val="0"/>
              <w:adjustRightInd w:val="0"/>
              <w:jc w:val="center"/>
              <w:rPr>
                <w:color w:val="auto"/>
                <w:sz w:val="20"/>
                <w:szCs w:val="20"/>
                <w:highlight w:val="none"/>
              </w:rPr>
            </w:pPr>
            <w:r>
              <w:rPr>
                <w:color w:val="auto"/>
                <w:sz w:val="20"/>
                <w:szCs w:val="20"/>
                <w:highlight w:val="none"/>
              </w:rPr>
              <w:t>350~251</w:t>
            </w:r>
          </w:p>
        </w:tc>
        <w:tc>
          <w:tcPr>
            <w:tcW w:w="1212" w:type="dxa"/>
            <w:tcBorders>
              <w:top w:val="single" w:color="000000" w:sz="4" w:space="0"/>
              <w:left w:val="single" w:color="000000" w:sz="4" w:space="0"/>
              <w:bottom w:val="single" w:color="000000" w:sz="12" w:space="0"/>
              <w:right w:val="single" w:color="000000" w:sz="12" w:space="0"/>
            </w:tcBorders>
            <w:vAlign w:val="center"/>
          </w:tcPr>
          <w:p>
            <w:pPr>
              <w:autoSpaceDE w:val="0"/>
              <w:autoSpaceDN w:val="0"/>
              <w:adjustRightInd w:val="0"/>
              <w:jc w:val="center"/>
              <w:rPr>
                <w:color w:val="auto"/>
                <w:sz w:val="20"/>
                <w:szCs w:val="20"/>
                <w:highlight w:val="none"/>
              </w:rPr>
            </w:pPr>
            <w:r>
              <w:rPr>
                <w:rFonts w:hint="eastAsia" w:ascii="宋体" w:hAnsi="宋体" w:cs="宋体"/>
                <w:color w:val="auto"/>
                <w:sz w:val="20"/>
                <w:szCs w:val="20"/>
                <w:highlight w:val="none"/>
              </w:rPr>
              <w:t>≤</w:t>
            </w:r>
            <w:r>
              <w:rPr>
                <w:color w:val="auto"/>
                <w:sz w:val="20"/>
                <w:szCs w:val="20"/>
                <w:highlight w:val="none"/>
              </w:rPr>
              <w:t>250</w:t>
            </w:r>
          </w:p>
        </w:tc>
      </w:tr>
    </w:tbl>
    <w:p>
      <w:pPr>
        <w:tabs>
          <w:tab w:val="center" w:pos="4410"/>
          <w:tab w:val="right" w:pos="9240"/>
        </w:tabs>
        <w:autoSpaceDE w:val="0"/>
        <w:autoSpaceDN w:val="0"/>
        <w:adjustRightInd w:val="0"/>
        <w:spacing w:line="360" w:lineRule="auto"/>
        <w:ind w:firstLine="0" w:firstLineChars="0"/>
        <w:rPr>
          <w:rFonts w:hint="eastAsia" w:eastAsia="宋体"/>
          <w:color w:val="auto"/>
          <w:szCs w:val="21"/>
          <w:highlight w:val="none"/>
          <w:lang w:eastAsia="zh-CN"/>
        </w:rPr>
      </w:pPr>
      <w:r>
        <w:rPr>
          <w:rFonts w:hint="eastAsia"/>
          <w:b/>
          <w:bCs/>
          <w:color w:val="auto"/>
          <w:szCs w:val="21"/>
          <w:highlight w:val="none"/>
        </w:rPr>
        <w:t>F.0.</w:t>
      </w:r>
      <w:r>
        <w:rPr>
          <w:rFonts w:hint="eastAsia"/>
          <w:b/>
          <w:bCs/>
          <w:color w:val="auto"/>
          <w:szCs w:val="21"/>
          <w:highlight w:val="none"/>
          <w:lang w:val="en-US" w:eastAsia="zh-CN"/>
        </w:rPr>
        <w:t>3</w:t>
      </w:r>
      <w:r>
        <w:rPr>
          <w:rFonts w:hint="eastAsia"/>
          <w:b/>
          <w:bCs/>
          <w:color w:val="auto"/>
          <w:sz w:val="18"/>
          <w:szCs w:val="18"/>
          <w:highlight w:val="none"/>
        </w:rPr>
        <w:t>　</w:t>
      </w:r>
      <w:r>
        <w:rPr>
          <w:rFonts w:hint="eastAsia"/>
          <w:color w:val="auto"/>
          <w:szCs w:val="21"/>
          <w:highlight w:val="none"/>
        </w:rPr>
        <w:t>岩体基本质量指标</w:t>
      </w:r>
      <w:r>
        <w:rPr>
          <w:i/>
          <w:iCs/>
          <w:color w:val="auto"/>
          <w:szCs w:val="21"/>
          <w:highlight w:val="none"/>
        </w:rPr>
        <w:t>BQ</w:t>
      </w:r>
      <w:r>
        <w:rPr>
          <w:color w:val="auto"/>
          <w:szCs w:val="21"/>
          <w:highlight w:val="none"/>
        </w:rPr>
        <w:t>应根据岩石</w:t>
      </w:r>
      <w:r>
        <w:rPr>
          <w:rFonts w:hint="eastAsia"/>
          <w:color w:val="auto"/>
          <w:szCs w:val="21"/>
          <w:highlight w:val="none"/>
        </w:rPr>
        <w:t>饱和单轴抗压强度</w:t>
      </w:r>
      <w:r>
        <w:rPr>
          <w:rFonts w:hint="eastAsia"/>
          <w:i/>
          <w:iCs/>
          <w:color w:val="auto"/>
          <w:highlight w:val="none"/>
        </w:rPr>
        <w:t>f</w:t>
      </w:r>
      <w:r>
        <w:rPr>
          <w:rFonts w:hint="eastAsia"/>
          <w:color w:val="auto"/>
          <w:highlight w:val="none"/>
          <w:vertAlign w:val="subscript"/>
        </w:rPr>
        <w:t>r</w:t>
      </w:r>
      <w:r>
        <w:rPr>
          <w:color w:val="auto"/>
          <w:szCs w:val="21"/>
          <w:highlight w:val="none"/>
        </w:rPr>
        <w:t>和</w:t>
      </w:r>
      <w:r>
        <w:rPr>
          <w:color w:val="auto"/>
          <w:kern w:val="0"/>
          <w:szCs w:val="15"/>
          <w:highlight w:val="none"/>
        </w:rPr>
        <w:t>完整性</w:t>
      </w:r>
      <w:r>
        <w:rPr>
          <w:rFonts w:hint="eastAsia"/>
          <w:color w:val="auto"/>
          <w:kern w:val="0"/>
          <w:szCs w:val="15"/>
          <w:highlight w:val="none"/>
        </w:rPr>
        <w:t>系</w:t>
      </w:r>
      <w:r>
        <w:rPr>
          <w:color w:val="auto"/>
          <w:kern w:val="0"/>
          <w:szCs w:val="15"/>
          <w:highlight w:val="none"/>
        </w:rPr>
        <w:t>数</w:t>
      </w:r>
      <w:r>
        <w:rPr>
          <w:i/>
          <w:iCs/>
          <w:color w:val="auto"/>
          <w:kern w:val="0"/>
          <w:szCs w:val="15"/>
          <w:highlight w:val="none"/>
        </w:rPr>
        <w:t>K</w:t>
      </w:r>
      <w:r>
        <w:rPr>
          <w:color w:val="auto"/>
          <w:kern w:val="0"/>
          <w:szCs w:val="15"/>
          <w:highlight w:val="none"/>
          <w:vertAlign w:val="subscript"/>
        </w:rPr>
        <w:t>v</w:t>
      </w:r>
      <w:r>
        <w:rPr>
          <w:color w:val="auto"/>
          <w:szCs w:val="21"/>
          <w:highlight w:val="none"/>
        </w:rPr>
        <w:t>按</w:t>
      </w:r>
      <w:r>
        <w:rPr>
          <w:rFonts w:hint="eastAsia"/>
          <w:color w:val="auto"/>
          <w:szCs w:val="21"/>
          <w:highlight w:val="none"/>
          <w:lang w:eastAsia="zh-CN"/>
        </w:rPr>
        <w:t>下</w:t>
      </w:r>
      <w:r>
        <w:rPr>
          <w:color w:val="auto"/>
          <w:szCs w:val="21"/>
          <w:highlight w:val="none"/>
        </w:rPr>
        <w:t>式计算：</w:t>
      </w:r>
    </w:p>
    <w:p>
      <w:pPr>
        <w:tabs>
          <w:tab w:val="center" w:pos="4200"/>
          <w:tab w:val="center" w:pos="8190"/>
        </w:tabs>
        <w:autoSpaceDE w:val="0"/>
        <w:autoSpaceDN w:val="0"/>
        <w:adjustRightInd w:val="0"/>
        <w:spacing w:line="360" w:lineRule="auto"/>
        <w:jc w:val="left"/>
        <w:rPr>
          <w:color w:val="auto"/>
          <w:szCs w:val="21"/>
          <w:highlight w:val="none"/>
        </w:rPr>
      </w:pPr>
      <w:r>
        <w:rPr>
          <w:rFonts w:hint="eastAsia" w:ascii="Cambria Math" w:hAnsi="Cambria Math"/>
          <w:color w:val="auto"/>
          <w:szCs w:val="21"/>
          <w:highlight w:val="none"/>
        </w:rPr>
        <w:tab/>
      </w:r>
      <w:r>
        <w:rPr>
          <w:rFonts w:ascii="Cambria Math" w:hAnsi="Cambria Math"/>
          <w:i/>
          <w:color w:val="auto"/>
          <w:position w:val="-12"/>
          <w:szCs w:val="21"/>
          <w:highlight w:val="none"/>
        </w:rPr>
        <w:object>
          <v:shape id="_x0000_i1084" o:spt="75" type="#_x0000_t75" style="height:18pt;width:116.25pt;" o:ole="t" filled="f" o:preferrelative="t" stroked="f" coordsize="21600,21600">
            <v:path/>
            <v:fill on="f" focussize="0,0"/>
            <v:stroke on="f" joinstyle="miter"/>
            <v:imagedata r:id="rId45" o:title=""/>
            <o:lock v:ext="edit" aspectratio="t"/>
            <w10:wrap type="none"/>
            <w10:anchorlock/>
          </v:shape>
          <o:OLEObject Type="Embed" ProgID="Equation.3" ShapeID="_x0000_i1084" DrawAspect="Content" ObjectID="_1468075740" r:id="rId44">
            <o:LockedField>false</o:LockedField>
          </o:OLEObject>
        </w:object>
      </w:r>
      <w:r>
        <w:rPr>
          <w:color w:val="auto"/>
          <w:szCs w:val="21"/>
          <w:highlight w:val="none"/>
        </w:rPr>
        <w:tab/>
      </w:r>
      <w:r>
        <w:rPr>
          <w:color w:val="auto"/>
          <w:szCs w:val="21"/>
          <w:highlight w:val="none"/>
        </w:rPr>
        <w:t>（</w:t>
      </w:r>
      <w:r>
        <w:rPr>
          <w:rFonts w:hint="eastAsia"/>
          <w:color w:val="auto"/>
          <w:szCs w:val="21"/>
          <w:highlight w:val="none"/>
        </w:rPr>
        <w:t>F</w:t>
      </w:r>
      <w:r>
        <w:rPr>
          <w:rFonts w:hint="eastAsia"/>
          <w:color w:val="auto"/>
          <w:szCs w:val="21"/>
          <w:highlight w:val="none"/>
          <w:lang w:val="en-US" w:eastAsia="zh-CN"/>
        </w:rPr>
        <w:t>.0.3</w:t>
      </w:r>
      <w:r>
        <w:rPr>
          <w:color w:val="auto"/>
          <w:szCs w:val="21"/>
          <w:highlight w:val="none"/>
        </w:rPr>
        <w:t>-1）</w:t>
      </w:r>
    </w:p>
    <w:p>
      <w:pPr>
        <w:tabs>
          <w:tab w:val="center" w:pos="4200"/>
          <w:tab w:val="center" w:pos="8190"/>
        </w:tabs>
        <w:autoSpaceDE w:val="0"/>
        <w:autoSpaceDN w:val="0"/>
        <w:adjustRightInd w:val="0"/>
        <w:spacing w:line="360" w:lineRule="auto"/>
        <w:jc w:val="left"/>
        <w:rPr>
          <w:color w:val="auto"/>
          <w:szCs w:val="21"/>
          <w:highlight w:val="none"/>
        </w:rPr>
      </w:pPr>
      <w:r>
        <w:rPr>
          <w:color w:val="auto"/>
          <w:szCs w:val="21"/>
          <w:highlight w:val="none"/>
        </w:rPr>
        <w:tab/>
      </w:r>
      <w:r>
        <w:rPr>
          <w:color w:val="auto"/>
          <w:szCs w:val="21"/>
          <w:highlight w:val="none"/>
        </w:rPr>
        <w:fldChar w:fldCharType="begin"/>
      </w:r>
      <w:r>
        <w:rPr>
          <w:color w:val="auto"/>
          <w:szCs w:val="21"/>
          <w:highlight w:val="none"/>
        </w:rPr>
        <w:instrText xml:space="preserve"> QUOTE </w:instrText>
      </w:r>
      <w:r>
        <w:rPr>
          <w:color w:val="auto"/>
          <w:position w:val="-39"/>
          <w:highlight w:val="none"/>
        </w:rPr>
        <w:pict>
          <v:shape id="_x0000_i1085" o:spt="75" type="#_x0000_t75" style="height:46.5pt;width:204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9630D&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69630D&quot; wsp:rsidP=&quot;0069630D&quot;&gt;&lt;m:oMathPara&gt;&lt;m:oMath&gt;&lt;m:d&gt;&lt;m:dPr&gt;&lt;m:begChr m:val=&quot;{&quot;/&gt;&lt;m:endChr m:val=&quot;&quot;/&gt;&lt;m:ctrlPr&gt;&lt;w:rPr&gt;&lt;w:rFonts w:ascii=&quot;Cambria Math&quot; w:h-ansi=&quot;Cambria Math&quot;/&gt;&lt;wx:font wx:val=&quot;Cambria Math&quot;/&gt;&lt;w:i/&gt;&lt;w:sz-cs w:val=&quot;21&quot;/&gt;&lt;/w:rPr&gt;&lt;/m:ctrlPr&gt;&lt;/m:dPr&gt;&lt;m:e&gt;&lt;m:m&gt;&lt;m:mPr&gt;&lt;m:mcs&gt;&lt;m:mc&gt;&lt;m:mcPr&gt;&lt;m:count m:val=&quot;1&quot;/&gt;&lt;m:mcJc m:val=&quot;center&quot;/&gt;&lt;/m:mcPr&gt;&lt;/m:mc&gt;&lt;/m:mcs&gt;&lt;m:ctrlPr&gt;&lt;w:rPr&gt;&lt;w:rFonts w:ascii=&quot;Cambria Math&quot; w:h-ansi=&quot;Cambria Math&quot;/&gt;&lt;wx:font wx:val=&quot;Cambria Math&quot;/&gt;&lt;w:i/&gt;&lt;w:sz-cs w:val=&quot;21&quot;/&gt;&lt;/w:rPr&gt;&lt;/m:ctrlPr&gt;&lt;/m:mPr&gt;&lt;m:mr&gt;&lt;m:e&gt;&lt;m:r&gt;&lt;m:rPr&gt;&lt;m:sty m:val=&quot;p&quot;/&gt;&lt;/m:rPr&gt;&lt;w:rPr&gt;&lt;w:rFonts w:ascii=&quot;Cambria Math&quot; w:h-ansi=&quot;Times New Roman&quot; w:hint=&quot;fareast&quot;/&gt;&lt;w:sz-cs w:val=&quot;21&quot;/&gt;&lt;/w:rPr&gt;&lt;m:t&gt;鍙?/m:t&gt;&lt;/m:r&gt;&lt;m:sSub&gt;&lt;m:sSubPr&gt;&lt;m:ctrlPr&gt;&lt;w:rPr&gt;&lt;w:rFonts w:ascii=&quot;Cambria Math&lt;////////////////////////////////////&quot; w:h-ansi=&quot;Cambria Math&quot;/&gt;&lt;wx:font wx:val=&quot;Cambria Math&quot;/&gt;&lt;w:i/&gt;&lt;w:sz-cs w:val=&quot;21&quot;/&gt;&lt;/w:rPr&gt;&lt;/m:ctrlPr&gt;&lt;/m:sSubPr&gt;&lt;m:e&gt;&lt;m:r&gt;&lt;w:rPr&gt;&lt;w:rFonts w:ascii=&quot;Cambria Math&quot; w:h-ansi=&quot;Cambria Math&quot;/&gt;&lt;wx:font wx:val=&quot;Cambria Math&quot;/&gt;&lt;w:i/&gt;&lt;w:sz-cs w:val=&quot;21&quot;/&gt;&lt;/w:rPr&gt;&lt;m:t&gt;f&lt;/m:t&gt;&lt;/m:r&gt;&lt;/m:e&gt;&lt;m:sub&gt;&lt;m:r&gt;&lt;w:rPr&gt;&lt;w:rFonts w:ascii=&quot;Cambria Math&quot; w:h-ansi=&quot;Cambria Math&quot;/&gt;&lt;wx:font wx:val=&quot;Cambria Math&quot;/&gt;&lt;w:i/&gt;&lt;w:sz-cs w:val=&quot;21&quot;/&gt;&lt;/w:rPr&gt;&lt;m:t&gt;rk&lt;/m:t&gt;&lt;/m:r&gt;&lt;/m:sub&gt;&lt;/m:sSub&gt;&lt;m:r&gt;&lt;w:rPr&gt;&lt;w:rFonts w:ascii=&quot;Cambria Math&quot; w:h-ansi=&quot;Times New Roman&quot;/&gt;&lt;wx:font wx:val=&quot;Cambria Math&quot;/&gt;&lt;w:i/&gt;&lt;w:sz-cs w:val=&quot;21&quot;/&gt;&lt;/w:rPr&gt;&lt;m:t&gt;=90&lt;/m:t&gt;&lt;/m:r&gt;&lt;m:sSub&gt;&lt;m:sSubPr&gt;&lt;m:ctrlPr&gt;&lt;w:rPr&gt;&lt;w:rFonts w:ascii=&quot;Cambria Math&quot; w:h-ansi=&quot;Times New Roman&quot;/&gt;&lt;wx:font wx:val=&quot;Cambria Math&quot;/&gt;&lt;w:i/&gt;&lt;w:sz-cs w:val=&quot;21&quot;/&gt;&lt;/w:rPr&gt;&lt;/m:ctrlPr&gt;&lt;/m:sSubPr&gt;&lt;m:e&gt;&lt;m:r&gt;&lt;w:rPr&gt;&lt;w:rFonts w:ascii=&quot;Cambria Math&quot; w:h-ansi=&quot;Times New Roman&quot;/&gt;&lt;wx:font wx:val=&quot;Cambria Math&quot;/&gt;&lt;w:i/&gt;&lt;w:sz-cs w:val=&quot;21&quot;/&gt;&lt;/w:rPr&gt;&lt;m:t&gt;K&lt;/m:t&gt;&lt;/m:r&gt;&lt;/m:e&gt;&lt;m:sub&gt;&lt;m:r&gt;&lt;w:rPr&gt;&lt;w:rFonts w:ascii=&quot;Cambria Math&quot; w:h-ansi=&quot;Times New Roman&quot;/&gt;&lt;wx:font wx:val=&quot;Cambria Math&quot;/&gt;&lt;w:i/&gt;&lt;w:sz-cs w:val=&quot;21&quot;/&gt;&lt;/w:rPr&gt;&lt;m:t&gt;v&lt;/m:t&gt;&lt;/m:r&gt;&lt;/m:sub&gt;&lt;/m:sSub&gt;&lt;m:r&gt;&lt;w:rPr&gt;&lt;w:rFonts w:ascii=&quot;Cambria Math&quot; w:h-ansi=&quot;Times New Roman&quot;/&gt;&lt;wx:font wx:val=&quot;Cambria Math&quot;/&gt;&lt;w:i/&gt;&lt;w:sz-cs w:val=&quot;21&quot;/&gt;&lt;/w:rPr&gt;&lt;m:t&gt;+30&lt;/m:t&gt;&lt;/m:r&gt;&lt;m:r&gt;&lt;m:rPr&gt;&lt;m:sty m:val=&quot;p&quot;/&gt;&lt;/m:rPr&gt;&lt;w:rPr&gt;&lt;w:rFonts w:ascii=&quot;Cambria Math&quot; w:h-ansi=&quot;Times New Roman&quot; w:hint=&quot;fareast&quot;/&gt;&lt;w:sz-cs w:val=&quot;21&quot;/&gt;&lt;/w:rPr&gt;&lt;m:t&gt;锛?/m:t&gt;&lt;/m:r&gt;&lt;m:r&gt;&lt; mw:xr:Pvra&gt;l&lt;=m&quot;:Csatmyb rmi:av aMla=t&quot;hp&quot;&quot;//&gt;&gt;&lt;&lt;w/:mi:/r&gt;P&lt;rw&gt;:&lt;swzz-:rPr&gt;&lt;w:rFonts w:ascii=&quot;Cambria Math&quot; w:h-ansi=&quot;Times New Roman&quot;/&gt;&lt;w:sz-cs w:val=&quot;21&quot;/&gt;&lt;/w:rPr&gt;&lt;m:t&gt;褰?/m:t&gt;&lt;/m:r&gt;&lt;m:sSub&gt;&lt;m:sSubPr&gt;&lt;m:ctrlPr&gt;&lt;w:rPr&gt;&lt;w:rFonts w:ascii=&quot;Cambria Math&quot; w:h -awnsxi=:&quot;Cvamabrlia= M&quot;atCh&quot;a/&gt;m&lt;wbx:rfointa w x:Mvaal=t&quot;Cham&quot;br/ia&gt; M&lt;atwh&quot;:/&gt;i&lt;w/:i&gt;/&gt;&lt;&lt;ww:s:z-scsz z-w:val=&quot;21&quot;/&gt;&lt;/w:rPr&gt;&lt;/m:ctrlPr&gt;&lt;/m:sSubPr&gt;&lt;m:e&gt;&lt;m:r&gt;&lt;w:rPr&gt;&lt;w:rFonts w:ascii=&quot;Cambria Math&quot; w:h-ansi=&quot;Cambria Math&quot;/&gt;&lt;wx:font wx:val=&quot;Cambria Math&quot;/&gt;&lt;w:i/&gt;&lt;w:sz-cs w:val=&quot;21&quot;/&gt;&lt;/w:rPr&gt;&lt;m:t&gt;f&lt;/m:t&gt;&lt;/m:r&gt;&lt;/m:e&gt;&lt;m:sub&gt;&lt;m:r&gt;&lt;w:rPr&gt;&lt;w:rFonts w:ascii=&quot;Cambria Math&quot; w:h-ansi=&quot;Cambria Math&quot;/&gt;&lt;wx:font wx:val=&quot;Cambria Math&quot;/&gt;&lt;w:i/&gt;&lt;w:sz-cs w:val=&quot;21&quot;/&gt;&lt;/w:rPr&gt;&lt;m:t&gt;rk&lt;/m:t&gt;&lt;/m:r&gt;&lt;/m:sub&gt;&lt;/m:sSub&gt;&lt;m:r&gt;&lt;w:rPr&gt;&lt;w:rFonts w:ascii=&quot;Cambria Math&quot; w:h-ansi=&quot;Times New Roman&quot;/&gt;&lt;wx:font wx:val=&quot;Cambria Math&quot;/&gt;&lt;w:i/&gt;&lt;w:sz-cs w:val=&quot;21&quot;/&gt;&lt;/w:rPr&gt;&lt;m:t&gt;&amp;gt;90&lt;/m:t&gt;&lt;/m:r&gt;&lt;m:sSub&gt;&lt;m:sSubPr&gt;&lt;m:ctrlPr&gt;&lt;w:rPr&gt;&lt;w:rFonts w:ascii=&quot;Cambria Math&quot; w:h-ansi=&quot;Times New Roman&quot;/&gt;&lt;wx:font wx:val=&quot;Cambria Math&quot;/&gt;&lt;w:i/&gt;&lt;w:sz-cs w:val=&quot;21&quot;/&gt;&lt;/w:rPr&gt;&lt;/m:ctrlPr&gt;&lt;/m:sSubPr&gt;&lt;m:e&gt;&lt;m:r&gt;&lt;w:rPr&gt;&lt;w:rFonts w:ascii=&quot;Cambria Math&quot; w:h-ansi=&quot;Times New Roman&quot;/&gt;&lt;wx:font wx:val=&quot;Cambria Math&quot;/&gt;&lt;w:i/&gt;&lt;w:sz-cs w:val=&quot;21&quot;/&gt;&lt;/w:rPr&gt;&lt;m:t&gt;K&lt;/m:t&gt;&lt;/m:r&gt;&lt;/m:e&gt;&lt;m:sub&gt;&lt;m:r&gt;&lt;w:rPr&gt;&lt;w:rFonts w:ascii=&quot;Cambria Math&quot; w:h-ansi=&quot;Times New Roman&quot;/&gt;&lt;wx:font wx:val=&quot;Cambria Math&quot;/&gt;&lt;w:i/&gt;&lt;w:sz-cs w:val=&quot;21&quot;/&gt;&lt;/w:rPr&gt;&lt;m:t&gt;v&lt;/m:t&gt;&lt;/m:r&gt;&lt;/m:sub&gt;&lt;/m:sSub&gt;&lt;m:r&gt;&lt;w:rPr&gt;&lt;w:rFonts w:ascii=&quot;Cambria Math&quot; w:h-ansi=&quot;Times New Roman&quot;/&gt;&lt;wx:font wx:val=&quot;Cambria Math&quot;/&gt;&lt;w:i/&gt;&lt;w:sz-cs w:val=&quot;21&quot;/&gt;&lt;/w:rPr&gt;&lt;m:t&gt;+30&lt;/m:t&gt;&lt;/m:r&gt;&lt;/m:e&gt;&lt;/m:mr&gt;&lt;m:mr&gt;&lt;m:e&gt;&lt;m:r&gt;&lt;m:rPr&gt;&lt;m:sty m:val=&quot;p&quot;/&gt;&lt;/m:rPr&gt;&lt;w:rPr&gt;&lt;w:rFonts w:ascii=&quot;Cambria Math&quot; w:h-ansi=&quot;Times New Roman&quot; w:hint=&quot;fareast&quot;/&gt;&lt;w:sz-cs w:val=&quot;21&quot;/&gt;&lt;/w:rPr&gt;&lt;m:t&gt;鍙?=/m:at&gt;&lt;r/m: r&gt;&lt;tm:s/Subw&gt;&lt;m/:sSwubPzr&gt;&lt;sm:c:trllPr&gt;2&lt;w:/rPr/&gt;&lt;wr:rF&gt;ont:s w+:as&lt;cii:=&quot;C&lt;amb:ria&lt; Ma:th&quot;&lt; w::h-a&gt;nsi:=&quot;T&gt;ime:s N&lt;ew:r Roman&quot;/&gt;&lt;wx:font wx:val=&quot;Cambria Math&quot;/&gt;&lt;w:i/&gt;&lt;w:sz-cs w:val=&quot;21&quot;/&gt;&lt;/w:rPr&gt;&lt;/m:ctrlPr&gt;&lt;/m:sSubPr&gt;&lt;m:e&gt;&lt;m:r&gt;&lt;w:rPr&gt;&lt;mw:r&gt;Fonts w:ascii=&quot;Cambria Math&quot; w:h-ansi=&quot;Times New Roman&quot;/&gt;&lt;wx:font wx:val=&quot;Cambria Math&quot;/&gt;&lt;w:i/&gt;&lt;w:sz-cs w:val=&quot;21&quot;/&gt;&lt;/w:rPr&gt;&lt;m:t&gt;K&lt;/m:t&gt;&lt;/m:r&gt;&lt;/m:e&gt;&lt;m:sub&gt;&lt;m:r&gt;&lt;w:rPr&gt;&lt;w:rFonts w:ascii=&quot;Cambria Math&quot; w:h-ansi=&quot;Times New Roman&quot;/&gt;&lt;wx:font wx:val=&quot;Cambria Math&quot;/&gt;&lt;w:i/&gt;&lt;w:sz-cs w:val=&quot;21&quot;/&gt;&lt;/w:rPr&gt;&lt;m:t&gt;v&lt;/m:t&gt;&lt;/m:r&gt;&lt;/m:sub&gt;&lt;/m:sSub&gt;&lt;m:r&gt;&lt;w:rPr&gt;&lt;w:rFonts w:ascii=&quot;Cambria Math&quot; w:h-ansi=&quot;Times New Roman&quot;/&gt;&lt;wx:font wx:val=&quot;Cambria Math&quot;/&gt;&lt;w:i/&gt;&lt;w:sz-cs w:val=&quot;21&quot;/&gt;&lt;/w:rPr&gt;&lt;m:t&gt;=0.04&lt;/m:t&gt;&lt;/m:r&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gt;&lt;wx:font wx:val=&quot;Cambria Math&quot;/&gt;&lt;w:i/&gt;&lt;w:sz-cs w:val=&quot;21&quot;/&gt;&lt;/w:rPr&gt;&lt;m:t&gt;f&lt;/m:t&gt;&lt;/m:r&gt;&lt;/m:e&gt;&lt;m:sub&gt;&lt;m:r&gt;&lt;w:rPr&gt;&lt;w:rFonts w:ascii=&quot;Cambria Math&quot; w:h-ansi=&quot;Cambria Math&quot;/&gt;&lt;wx:font wx:val=&quot;Cambria Math&quot;/&gt;&lt;w:i/&gt;&lt;w:sz-cs w:val=&quot;21&quot;/&gt;&lt;/w:rPr&gt;&lt;m:t&gt;rk&lt;/m:t&gt;&lt;/m:r&gt;&lt;/m:sub&gt;&lt;/m:sSub&gt;&lt;m:r&gt;&lt;w:rPr&gt;&lt;w:rFonts w:ascii=&quot;Cambria Math&quot; w:h-ansi=&quot;Times New Roman&quot;/&gt;&lt;wx:font wx:val=&quot;Cambria Math&quot;/&gt;&lt;w:i/&gt;&lt;w:sz-cs w:val=&quot;21&quot;/&gt;&lt;/w:rPr&gt;&lt;m:t&gt;+0.4&lt;/m:t&gt;&lt;/m:r&gt;&lt;m:r&gt;&lt;m:rPr&gt;&lt;m:sty m:val=&quot;p&quot;/&gt;&lt;/m:rPr&gt;&lt;w:rPr&gt;&lt;w:rFonts w:ascii=&quot;Cambria Math&quot; w:h-ansi=&quot;Times New Roman&quot; w:hint=&quot;fareast&quot;/&gt;&lt;w:sz-cs w:val=&quot;21&quot;/&gt;&lt;/w:rPr&gt;&lt;m:t&gt;?紝?om?/mn&quot;/:t&gt;&lt;&lt;wx/m:rfon&gt;&lt;m: wxsSubval&gt;&lt;m:&quot;CasSubbriPr&gt;&lt; Mam:cth&quot;/rlPr&lt;w:&gt;&lt;w:/&gt;&lt;rPr&gt;:sz&lt;w:rcs Font:vas w:=&quot;2asci&quot;/&gt;i=&quot;C/w:ambria Math&quot; w:h-ansi=&quot;Times New Roman&quot;/&gt;&lt;wx:font wx:val=&quot;Cambriia Ma th&quot;/ &gt;&lt;w:ai/&gt;&lt;ww:szn-cs fw:vaal=&quot;2/1&quot;/&gt;:&lt;/w:crPr&gt;:&lt;/m:=ctrl&quot;Pr&gt;&lt;//m:sPSubPmr&gt;&lt;&gt;?m:e&gt;&lt;mm:r&gt;&lt;w:rPr&gt;&lt;w:rFonts w:ascii=&quot;Cambria Math&quot; w:h-ansi=&quot;Times New Roman&quot;/&gt;&lt;wx:font wx:val=&quot;Cambria Math&quot;/&gt;&lt;w:i/&gt;&lt;w:sz-cs w:val=&quot;21&quot;/&gt;&lt;/w:rPr&gt;&lt;m:t&gt;K&lt;/m:t&gt;&lt;/m:r&gt;&lt;/m:e&gt;&lt;m:sub&gt;&lt;m:r&gt;&lt;w:rPr&gt;&lt;w:rFonts w:ascii=&quot;Cambria Math&quot; w:h-ansi=&quot;Times New Roman&quot;/&gt;&lt;wx:font wx:val=&quot;Cambria Math&quot;/&gt;&lt;w:i/&gt;&lt;w:sz-cs w:val=&quot;21&quot;/&gt;&lt;/w:rPr&gt;&lt;m:t&gt;v&lt;/m:t&gt;&lt;/m:r&gt;&lt;/m:sub&gt;&lt;/m:sSub&gt;&lt;m:r&gt;&lt;w:rPr&gt;&lt;w:rFonts w:ascii=&quot;Cambria Math&quot; w:h-ansi=&quot;Times New Roman&quot;/&gt;&lt;wx:font wx:val=&quot;Cambria Math&quot;/&gt;&lt;w:i/&gt;&lt;w:sz-cs w:val=&quot;21&quot;/&gt;&lt;/w:rPr&gt;&lt;m:t&gt;&amp;gt;0.04&lt;/m:t&gt;&lt;/m:r&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gt;&lt;wx:font wx:val=&quot;Cambria Math&quot;/&gt;&lt;w:i/&gt;&lt;w:sz-cs w:val=&quot;21&quot;/&gt;&lt;/w:rPr&gt;&lt;m:t&gt;f&lt;/m:t&gt;&lt;/m:r&gt;&lt;/m:e&gt;&lt;m:sub&gt;&lt;m:r&gt;&lt;w:rPr&gt;&lt;w:rFonts w:ascii=&quot;Cambria Math&quot; w:h-ansi=&quot;Cambria Math&quot;/&gt;&lt;wx:font wx:val=&quot;Cambria Math&quot;/&gt;&lt;w:i/&gt;&lt;w:sz-cs w:val=&quot;21&quot;/&gt;&lt;/w:rPr&gt;&lt;m:t&gt;rk&lt;/m:t&gt;&lt;/m:r&gt;&lt;/m:sub&gt;&lt;/m:sSub&gt;&lt;m:r&gt;&lt;w:rPr&gt;&lt;w:rFonts w:ascii=&quot;Cambria Math&quot; w:h-ansi=&quot;Times New Roman&quot;/&gt;&lt;wx:font wx:val=&quot;Cambria Math&quot;/&gt;&lt;w:i/&gt;&lt;w:sz-cs w:val=&quot;21&quot;/&gt;&lt;/w:rPr&gt;&lt;m:t&gt;+0.4&lt;/m:t&gt;&lt;/m:r&gt;&lt;m:ctrlPr&gt;&lt;w:rPr&gt;&lt;w:rFonts w:ascii=&quot;Cambria Math&quot; w:h-ansi=&quot;Times New Roman&quot;/&gt;&lt;wx:font wx:val=&quot;Cambria Math&quot;/&gt;&lt;w:i/&gt;&lt;w:sz-cs w:val=&quot;21&quot;/&gt;&lt;/w:rPr&gt;&lt;/m:ctrlPr&gt;&lt;/m:e&gt;&lt;/m:mr&gt;&lt;/m:m&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46" chromakey="#FFFFFF" o:title=""/>
            <o:lock v:ext="edit" aspectratio="t"/>
            <w10:wrap type="none"/>
            <w10:anchorlock/>
          </v:shape>
        </w:pict>
      </w:r>
      <w:r>
        <w:rPr>
          <w:color w:val="auto"/>
          <w:szCs w:val="21"/>
          <w:highlight w:val="none"/>
        </w:rPr>
        <w:instrText xml:space="preserve"> </w:instrText>
      </w:r>
      <w:r>
        <w:rPr>
          <w:color w:val="auto"/>
          <w:szCs w:val="21"/>
          <w:highlight w:val="none"/>
        </w:rPr>
        <w:fldChar w:fldCharType="end"/>
      </w:r>
      <w:r>
        <w:rPr>
          <w:color w:val="auto"/>
          <w:position w:val="-32"/>
          <w:szCs w:val="21"/>
          <w:highlight w:val="none"/>
        </w:rPr>
        <w:object>
          <v:shape id="_x0000_i1086" o:spt="75" type="#_x0000_t75" style="height:36.75pt;width:201.75pt;" o:ole="t" filled="f" o:preferrelative="t" stroked="f" coordsize="21600,21600">
            <v:path/>
            <v:fill on="f" focussize="0,0"/>
            <v:stroke on="f" joinstyle="miter"/>
            <v:imagedata r:id="rId48" o:title=""/>
            <o:lock v:ext="edit" aspectratio="t"/>
            <w10:wrap type="none"/>
            <w10:anchorlock/>
          </v:shape>
          <o:OLEObject Type="Embed" ProgID="Equation.3" ShapeID="_x0000_i1086" DrawAspect="Content" ObjectID="_1468075741" r:id="rId47">
            <o:LockedField>false</o:LockedField>
          </o:OLEObject>
        </w:object>
      </w:r>
      <w:r>
        <w:rPr>
          <w:color w:val="auto"/>
          <w:szCs w:val="21"/>
          <w:highlight w:val="none"/>
        </w:rPr>
        <w:tab/>
      </w:r>
      <w:r>
        <w:rPr>
          <w:color w:val="auto"/>
          <w:szCs w:val="21"/>
          <w:highlight w:val="none"/>
        </w:rPr>
        <w:t>（</w:t>
      </w:r>
      <w:r>
        <w:rPr>
          <w:rFonts w:hint="eastAsia"/>
          <w:color w:val="auto"/>
          <w:szCs w:val="21"/>
          <w:highlight w:val="none"/>
        </w:rPr>
        <w:t>F</w:t>
      </w:r>
      <w:r>
        <w:rPr>
          <w:rFonts w:hint="eastAsia"/>
          <w:color w:val="auto"/>
          <w:szCs w:val="21"/>
          <w:highlight w:val="none"/>
          <w:lang w:val="en-US" w:eastAsia="zh-CN"/>
        </w:rPr>
        <w:t>.0.3</w:t>
      </w:r>
      <w:r>
        <w:rPr>
          <w:color w:val="auto"/>
          <w:szCs w:val="21"/>
          <w:highlight w:val="none"/>
        </w:rPr>
        <w:t>-2）</w:t>
      </w:r>
    </w:p>
    <w:p>
      <w:pPr>
        <w:tabs>
          <w:tab w:val="center" w:pos="4410"/>
          <w:tab w:val="right" w:pos="9240"/>
        </w:tabs>
        <w:autoSpaceDE w:val="0"/>
        <w:autoSpaceDN w:val="0"/>
        <w:adjustRightInd w:val="0"/>
        <w:spacing w:line="360" w:lineRule="auto"/>
        <w:ind w:firstLine="0" w:firstLineChars="0"/>
        <w:rPr>
          <w:color w:val="auto"/>
          <w:szCs w:val="21"/>
          <w:highlight w:val="none"/>
        </w:rPr>
      </w:pPr>
      <w:r>
        <w:rPr>
          <w:rFonts w:hint="eastAsia"/>
          <w:b/>
          <w:bCs/>
          <w:color w:val="auto"/>
          <w:szCs w:val="21"/>
          <w:highlight w:val="none"/>
        </w:rPr>
        <w:t>F.0.</w:t>
      </w:r>
      <w:r>
        <w:rPr>
          <w:rFonts w:hint="eastAsia"/>
          <w:b/>
          <w:bCs/>
          <w:color w:val="auto"/>
          <w:szCs w:val="21"/>
          <w:highlight w:val="none"/>
          <w:lang w:val="en-US" w:eastAsia="zh-CN"/>
        </w:rPr>
        <w:t>4</w:t>
      </w:r>
      <w:r>
        <w:rPr>
          <w:rFonts w:hint="eastAsia"/>
          <w:b/>
          <w:bCs/>
          <w:color w:val="auto"/>
          <w:sz w:val="18"/>
          <w:szCs w:val="18"/>
          <w:highlight w:val="none"/>
        </w:rPr>
        <w:t>　</w:t>
      </w:r>
      <w:r>
        <w:rPr>
          <w:rFonts w:hint="eastAsia"/>
          <w:color w:val="auto"/>
          <w:szCs w:val="21"/>
          <w:highlight w:val="none"/>
        </w:rPr>
        <w:t>岩质围岩详细定级时，</w:t>
      </w:r>
      <w:r>
        <w:rPr>
          <w:rFonts w:hint="eastAsia"/>
          <w:color w:val="auto"/>
          <w:szCs w:val="21"/>
          <w:highlight w:val="none"/>
          <w:lang w:eastAsia="zh-CN"/>
        </w:rPr>
        <w:t>可</w:t>
      </w:r>
      <w:r>
        <w:rPr>
          <w:rFonts w:hint="eastAsia"/>
          <w:color w:val="auto"/>
          <w:szCs w:val="21"/>
          <w:highlight w:val="none"/>
        </w:rPr>
        <w:t>根据地下水、主要软弱结构面、初始应力状态的影响程度，对岩体基本质量指标</w:t>
      </w:r>
      <w:r>
        <w:rPr>
          <w:i/>
          <w:iCs/>
          <w:color w:val="auto"/>
          <w:szCs w:val="21"/>
          <w:highlight w:val="none"/>
        </w:rPr>
        <w:t>BQ</w:t>
      </w:r>
      <w:r>
        <w:rPr>
          <w:rFonts w:hint="eastAsia"/>
          <w:color w:val="auto"/>
          <w:szCs w:val="21"/>
          <w:highlight w:val="none"/>
        </w:rPr>
        <w:t>按式（F</w:t>
      </w:r>
      <w:r>
        <w:rPr>
          <w:rFonts w:hint="eastAsia"/>
          <w:color w:val="auto"/>
          <w:szCs w:val="21"/>
          <w:highlight w:val="none"/>
          <w:lang w:val="en-US" w:eastAsia="zh-CN"/>
        </w:rPr>
        <w:t>.0.4</w:t>
      </w:r>
      <w:r>
        <w:rPr>
          <w:rFonts w:hint="eastAsia"/>
          <w:color w:val="auto"/>
          <w:szCs w:val="21"/>
          <w:highlight w:val="none"/>
        </w:rPr>
        <w:t>）修正，得到岩体修正质量指标[</w:t>
      </w:r>
      <w:r>
        <w:rPr>
          <w:rFonts w:hint="eastAsia"/>
          <w:i/>
          <w:iCs/>
          <w:color w:val="auto"/>
          <w:szCs w:val="21"/>
          <w:highlight w:val="none"/>
        </w:rPr>
        <w:t>BQ</w:t>
      </w:r>
      <w:r>
        <w:rPr>
          <w:rFonts w:hint="eastAsia"/>
          <w:color w:val="auto"/>
          <w:szCs w:val="21"/>
          <w:highlight w:val="none"/>
        </w:rPr>
        <w:t>]：</w:t>
      </w:r>
    </w:p>
    <w:p>
      <w:pPr>
        <w:tabs>
          <w:tab w:val="center" w:pos="4200"/>
          <w:tab w:val="center" w:pos="8190"/>
        </w:tabs>
        <w:autoSpaceDE w:val="0"/>
        <w:autoSpaceDN w:val="0"/>
        <w:adjustRightInd w:val="0"/>
        <w:spacing w:line="360" w:lineRule="auto"/>
        <w:jc w:val="left"/>
        <w:rPr>
          <w:color w:val="auto"/>
          <w:szCs w:val="21"/>
          <w:highlight w:val="none"/>
        </w:rPr>
      </w:pPr>
      <w:r>
        <w:rPr>
          <w:rFonts w:hint="eastAsia"/>
          <w:color w:val="auto"/>
          <w:szCs w:val="21"/>
          <w:highlight w:val="none"/>
        </w:rPr>
        <w:tab/>
      </w:r>
      <w:r>
        <w:rPr>
          <w:rFonts w:hint="eastAsia"/>
          <w:color w:val="auto"/>
          <w:position w:val="-12"/>
          <w:szCs w:val="21"/>
          <w:highlight w:val="none"/>
        </w:rPr>
        <w:object>
          <v:shape id="_x0000_i1087" o:spt="75" type="#_x0000_t75" style="height:17.25pt;width:144.75pt;" o:ole="t" filled="f" o:preferrelative="t" stroked="f" coordsize="21600,21600">
            <v:path/>
            <v:fill on="f" focussize="0,0"/>
            <v:stroke on="f" joinstyle="miter"/>
            <v:imagedata r:id="rId50" o:title=""/>
            <o:lock v:ext="edit" aspectratio="t"/>
            <w10:wrap type="none"/>
            <w10:anchorlock/>
          </v:shape>
          <o:OLEObject Type="Embed" ProgID="Equation.3" ShapeID="_x0000_i1087" DrawAspect="Content" ObjectID="_1468075742" r:id="rId49">
            <o:LockedField>false</o:LockedField>
          </o:OLEObject>
        </w:object>
      </w:r>
      <w:r>
        <w:rPr>
          <w:rFonts w:hint="eastAsia"/>
          <w:color w:val="auto"/>
          <w:szCs w:val="21"/>
          <w:highlight w:val="none"/>
        </w:rPr>
        <w:tab/>
      </w:r>
      <w:r>
        <w:rPr>
          <w:rFonts w:hint="eastAsia"/>
          <w:color w:val="auto"/>
          <w:szCs w:val="21"/>
          <w:highlight w:val="none"/>
        </w:rPr>
        <w:t>（F</w:t>
      </w:r>
      <w:r>
        <w:rPr>
          <w:rFonts w:hint="eastAsia"/>
          <w:color w:val="auto"/>
          <w:szCs w:val="21"/>
          <w:highlight w:val="none"/>
          <w:lang w:val="en-US" w:eastAsia="zh-CN"/>
        </w:rPr>
        <w:t>.0.4</w:t>
      </w:r>
      <w:r>
        <w:rPr>
          <w:rFonts w:hint="eastAsia"/>
          <w:color w:val="auto"/>
          <w:szCs w:val="21"/>
          <w:highlight w:val="none"/>
        </w:rPr>
        <w:t>）</w:t>
      </w:r>
    </w:p>
    <w:p>
      <w:pPr>
        <w:keepNext w:val="0"/>
        <w:keepLines w:val="0"/>
        <w:pageBreakBefore w:val="0"/>
        <w:widowControl w:val="0"/>
        <w:tabs>
          <w:tab w:val="center" w:pos="4200"/>
          <w:tab w:val="center" w:pos="8190"/>
        </w:tabs>
        <w:kinsoku/>
        <w:wordWrap/>
        <w:overflowPunct/>
        <w:topLinePunct w:val="0"/>
        <w:autoSpaceDE w:val="0"/>
        <w:autoSpaceDN w:val="0"/>
        <w:bidi w:val="0"/>
        <w:adjustRightInd w:val="0"/>
        <w:snapToGrid/>
        <w:spacing w:line="360" w:lineRule="auto"/>
        <w:ind w:firstLine="0" w:firstLineChars="0"/>
        <w:jc w:val="left"/>
        <w:textAlignment w:val="auto"/>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式中：</w:t>
      </w:r>
      <w:r>
        <w:rPr>
          <w:rFonts w:hint="default" w:ascii="Times New Roman" w:hAnsi="Times New Roman" w:cs="Times New Roman"/>
          <w:i/>
          <w:iCs/>
          <w:color w:val="auto"/>
          <w:szCs w:val="21"/>
          <w:highlight w:val="none"/>
        </w:rPr>
        <w:t>K</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——地下水影响修正系数</w:t>
      </w:r>
      <w:r>
        <w:rPr>
          <w:rFonts w:hint="eastAsia" w:cs="Times New Roman"/>
          <w:color w:val="auto"/>
          <w:szCs w:val="21"/>
          <w:highlight w:val="none"/>
          <w:lang w:eastAsia="zh-CN"/>
        </w:rPr>
        <w:t>，</w:t>
      </w:r>
      <w:r>
        <w:rPr>
          <w:rFonts w:hint="eastAsia"/>
          <w:i/>
          <w:iCs/>
          <w:color w:val="auto"/>
          <w:szCs w:val="21"/>
          <w:highlight w:val="none"/>
        </w:rPr>
        <w:t>K</w:t>
      </w:r>
      <w:r>
        <w:rPr>
          <w:rFonts w:hint="eastAsia"/>
          <w:color w:val="auto"/>
          <w:szCs w:val="21"/>
          <w:highlight w:val="none"/>
          <w:vertAlign w:val="subscript"/>
        </w:rPr>
        <w:t>1</w:t>
      </w:r>
      <w:r>
        <w:rPr>
          <w:rFonts w:hint="eastAsia"/>
          <w:color w:val="auto"/>
          <w:szCs w:val="21"/>
          <w:highlight w:val="none"/>
        </w:rPr>
        <w:t>可按表F.0.</w:t>
      </w:r>
      <w:r>
        <w:rPr>
          <w:rFonts w:hint="eastAsia"/>
          <w:color w:val="auto"/>
          <w:szCs w:val="21"/>
          <w:highlight w:val="none"/>
          <w:lang w:val="en-US" w:eastAsia="zh-CN"/>
        </w:rPr>
        <w:t>4</w:t>
      </w:r>
      <w:r>
        <w:rPr>
          <w:rFonts w:hint="eastAsia"/>
          <w:color w:val="auto"/>
          <w:szCs w:val="21"/>
          <w:highlight w:val="none"/>
        </w:rPr>
        <w:t>-</w:t>
      </w:r>
      <w:r>
        <w:rPr>
          <w:rFonts w:hint="eastAsia"/>
          <w:color w:val="auto"/>
          <w:szCs w:val="21"/>
          <w:highlight w:val="none"/>
          <w:lang w:val="en-US" w:eastAsia="zh-CN"/>
        </w:rPr>
        <w:t>1</w:t>
      </w:r>
      <w:r>
        <w:rPr>
          <w:rFonts w:hint="eastAsia"/>
          <w:color w:val="auto"/>
          <w:szCs w:val="21"/>
          <w:highlight w:val="none"/>
          <w:lang w:eastAsia="zh-CN"/>
        </w:rPr>
        <w:t>确定；</w:t>
      </w:r>
    </w:p>
    <w:p>
      <w:pPr>
        <w:keepNext w:val="0"/>
        <w:keepLines w:val="0"/>
        <w:pageBreakBefore w:val="0"/>
        <w:widowControl w:val="0"/>
        <w:tabs>
          <w:tab w:val="center" w:pos="4200"/>
          <w:tab w:val="center" w:pos="8190"/>
        </w:tabs>
        <w:kinsoku/>
        <w:wordWrap/>
        <w:overflowPunct/>
        <w:topLinePunct w:val="0"/>
        <w:autoSpaceDE w:val="0"/>
        <w:autoSpaceDN w:val="0"/>
        <w:bidi w:val="0"/>
        <w:adjustRightInd w:val="0"/>
        <w:snapToGrid/>
        <w:spacing w:line="360" w:lineRule="auto"/>
        <w:ind w:left="630" w:leftChars="3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i/>
          <w:iCs/>
          <w:color w:val="auto"/>
          <w:szCs w:val="21"/>
          <w:highlight w:val="none"/>
        </w:rPr>
        <w:t>K</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——主要软弱结构面产状影响系数</w:t>
      </w:r>
      <w:r>
        <w:rPr>
          <w:rFonts w:hint="eastAsia" w:cs="Times New Roman"/>
          <w:color w:val="auto"/>
          <w:szCs w:val="21"/>
          <w:highlight w:val="none"/>
          <w:lang w:eastAsia="zh-CN"/>
        </w:rPr>
        <w:t>，</w:t>
      </w:r>
      <w:r>
        <w:rPr>
          <w:rFonts w:hint="eastAsia"/>
          <w:i/>
          <w:iCs/>
          <w:color w:val="auto"/>
          <w:szCs w:val="21"/>
          <w:highlight w:val="none"/>
        </w:rPr>
        <w:t>K</w:t>
      </w:r>
      <w:r>
        <w:rPr>
          <w:rFonts w:hint="eastAsia"/>
          <w:color w:val="auto"/>
          <w:szCs w:val="21"/>
          <w:highlight w:val="none"/>
          <w:vertAlign w:val="subscript"/>
        </w:rPr>
        <w:t>2</w:t>
      </w:r>
      <w:r>
        <w:rPr>
          <w:rFonts w:hint="eastAsia"/>
          <w:color w:val="auto"/>
          <w:szCs w:val="21"/>
          <w:highlight w:val="none"/>
        </w:rPr>
        <w:t>可按表F.0.</w:t>
      </w:r>
      <w:r>
        <w:rPr>
          <w:rFonts w:hint="eastAsia"/>
          <w:color w:val="auto"/>
          <w:szCs w:val="21"/>
          <w:highlight w:val="none"/>
          <w:lang w:val="en-US" w:eastAsia="zh-CN"/>
        </w:rPr>
        <w:t>4</w:t>
      </w:r>
      <w:r>
        <w:rPr>
          <w:rFonts w:hint="eastAsia"/>
          <w:color w:val="auto"/>
          <w:szCs w:val="21"/>
          <w:highlight w:val="none"/>
        </w:rPr>
        <w:t>-</w:t>
      </w:r>
      <w:r>
        <w:rPr>
          <w:rFonts w:hint="eastAsia"/>
          <w:color w:val="auto"/>
          <w:szCs w:val="21"/>
          <w:highlight w:val="none"/>
          <w:lang w:val="en-US" w:eastAsia="zh-CN"/>
        </w:rPr>
        <w:t>2</w:t>
      </w:r>
      <w:r>
        <w:rPr>
          <w:rFonts w:hint="eastAsia"/>
          <w:color w:val="auto"/>
          <w:szCs w:val="21"/>
          <w:highlight w:val="none"/>
          <w:lang w:eastAsia="zh-CN"/>
        </w:rPr>
        <w:t>确定；</w:t>
      </w:r>
    </w:p>
    <w:p>
      <w:pPr>
        <w:keepNext w:val="0"/>
        <w:keepLines w:val="0"/>
        <w:pageBreakBefore w:val="0"/>
        <w:widowControl w:val="0"/>
        <w:tabs>
          <w:tab w:val="center" w:pos="4200"/>
          <w:tab w:val="center" w:pos="8190"/>
        </w:tabs>
        <w:kinsoku/>
        <w:wordWrap/>
        <w:overflowPunct/>
        <w:topLinePunct w:val="0"/>
        <w:autoSpaceDE w:val="0"/>
        <w:autoSpaceDN w:val="0"/>
        <w:bidi w:val="0"/>
        <w:adjustRightInd w:val="0"/>
        <w:snapToGrid/>
        <w:spacing w:line="360" w:lineRule="auto"/>
        <w:ind w:left="630" w:leftChars="3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i/>
          <w:iCs/>
          <w:color w:val="auto"/>
          <w:szCs w:val="21"/>
          <w:highlight w:val="none"/>
        </w:rPr>
        <w:t>K</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——初始地应力状态影响修正系数。</w:t>
      </w:r>
      <w:r>
        <w:rPr>
          <w:rFonts w:hint="eastAsia"/>
          <w:i/>
          <w:iCs/>
          <w:color w:val="auto"/>
          <w:szCs w:val="21"/>
          <w:highlight w:val="none"/>
        </w:rPr>
        <w:t>K</w:t>
      </w:r>
      <w:r>
        <w:rPr>
          <w:rFonts w:hint="eastAsia"/>
          <w:color w:val="auto"/>
          <w:szCs w:val="21"/>
          <w:highlight w:val="none"/>
          <w:vertAlign w:val="subscript"/>
        </w:rPr>
        <w:t>3</w:t>
      </w:r>
      <w:r>
        <w:rPr>
          <w:rFonts w:hint="eastAsia"/>
          <w:color w:val="auto"/>
          <w:szCs w:val="21"/>
          <w:highlight w:val="none"/>
        </w:rPr>
        <w:t>可按表F.0.</w:t>
      </w:r>
      <w:r>
        <w:rPr>
          <w:rFonts w:hint="eastAsia"/>
          <w:color w:val="auto"/>
          <w:szCs w:val="21"/>
          <w:highlight w:val="none"/>
          <w:lang w:val="en-US" w:eastAsia="zh-CN"/>
        </w:rPr>
        <w:t>4</w:t>
      </w:r>
      <w:r>
        <w:rPr>
          <w:rFonts w:hint="eastAsia"/>
          <w:color w:val="auto"/>
          <w:szCs w:val="21"/>
          <w:highlight w:val="none"/>
        </w:rPr>
        <w:t>-</w:t>
      </w:r>
      <w:r>
        <w:rPr>
          <w:rFonts w:hint="eastAsia"/>
          <w:color w:val="auto"/>
          <w:szCs w:val="21"/>
          <w:highlight w:val="none"/>
          <w:lang w:val="en-US" w:eastAsia="zh-CN"/>
        </w:rPr>
        <w:t>3</w:t>
      </w:r>
      <w:r>
        <w:rPr>
          <w:rFonts w:hint="eastAsia"/>
          <w:color w:val="auto"/>
          <w:szCs w:val="21"/>
          <w:highlight w:val="none"/>
          <w:lang w:eastAsia="zh-CN"/>
        </w:rPr>
        <w:t>确定。</w:t>
      </w:r>
    </w:p>
    <w:p>
      <w:pPr>
        <w:autoSpaceDE w:val="0"/>
        <w:autoSpaceDN w:val="0"/>
        <w:adjustRightInd w:val="0"/>
        <w:spacing w:line="360" w:lineRule="auto"/>
        <w:jc w:val="center"/>
        <w:rPr>
          <w:b/>
          <w:bCs/>
          <w:color w:val="auto"/>
          <w:szCs w:val="21"/>
          <w:highlight w:val="none"/>
        </w:rPr>
      </w:pPr>
      <w:r>
        <w:rPr>
          <w:b/>
          <w:bCs/>
          <w:color w:val="auto"/>
          <w:spacing w:val="12"/>
          <w:kern w:val="0"/>
          <w:szCs w:val="18"/>
          <w:highlight w:val="none"/>
        </w:rPr>
        <w:t>表</w:t>
      </w:r>
      <w:r>
        <w:rPr>
          <w:rFonts w:hint="eastAsia"/>
          <w:b/>
          <w:bCs/>
          <w:color w:val="auto"/>
          <w:spacing w:val="12"/>
          <w:kern w:val="0"/>
          <w:szCs w:val="18"/>
          <w:highlight w:val="none"/>
        </w:rPr>
        <w:t>F.0.</w:t>
      </w:r>
      <w:r>
        <w:rPr>
          <w:rFonts w:hint="eastAsia"/>
          <w:b/>
          <w:bCs/>
          <w:color w:val="auto"/>
          <w:spacing w:val="12"/>
          <w:kern w:val="0"/>
          <w:szCs w:val="18"/>
          <w:highlight w:val="none"/>
          <w:lang w:val="en-US" w:eastAsia="zh-CN"/>
        </w:rPr>
        <w:t>4</w:t>
      </w:r>
      <w:r>
        <w:rPr>
          <w:rFonts w:hint="eastAsia"/>
          <w:b/>
          <w:bCs/>
          <w:color w:val="auto"/>
          <w:spacing w:val="12"/>
          <w:kern w:val="0"/>
          <w:szCs w:val="18"/>
          <w:highlight w:val="none"/>
        </w:rPr>
        <w:t>-</w:t>
      </w:r>
      <w:r>
        <w:rPr>
          <w:rFonts w:hint="eastAsia"/>
          <w:b/>
          <w:bCs/>
          <w:color w:val="auto"/>
          <w:spacing w:val="12"/>
          <w:kern w:val="0"/>
          <w:szCs w:val="18"/>
          <w:highlight w:val="none"/>
          <w:lang w:val="en-US" w:eastAsia="zh-CN"/>
        </w:rPr>
        <w:t>1</w:t>
      </w:r>
      <w:r>
        <w:rPr>
          <w:rFonts w:hint="eastAsia"/>
          <w:b/>
          <w:bCs/>
          <w:color w:val="auto"/>
          <w:szCs w:val="21"/>
          <w:highlight w:val="none"/>
        </w:rPr>
        <w:t>　地下水影响修正系数</w:t>
      </w:r>
      <w:r>
        <w:rPr>
          <w:rFonts w:hint="eastAsia"/>
          <w:b/>
          <w:bCs/>
          <w:i/>
          <w:iCs/>
          <w:color w:val="auto"/>
          <w:szCs w:val="21"/>
          <w:highlight w:val="none"/>
        </w:rPr>
        <w:t>K</w:t>
      </w:r>
      <w:r>
        <w:rPr>
          <w:rFonts w:hint="eastAsia"/>
          <w:b/>
          <w:bCs/>
          <w:color w:val="auto"/>
          <w:szCs w:val="21"/>
          <w:highlight w:val="none"/>
          <w:vertAlign w:val="subscript"/>
        </w:rPr>
        <w:t>1</w:t>
      </w:r>
    </w:p>
    <w:tbl>
      <w:tblPr>
        <w:tblStyle w:val="22"/>
        <w:tblW w:w="8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5"/>
        <w:gridCol w:w="1050"/>
        <w:gridCol w:w="1050"/>
        <w:gridCol w:w="1050"/>
        <w:gridCol w:w="1050"/>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3065" w:type="dxa"/>
            <w:tcBorders>
              <w:top w:val="single" w:color="000000" w:sz="12" w:space="0"/>
              <w:left w:val="single" w:color="000000" w:sz="12" w:space="0"/>
              <w:bottom w:val="single" w:color="000000" w:sz="4" w:space="0"/>
              <w:right w:val="single" w:color="000000" w:sz="4" w:space="0"/>
              <w:tl2br w:val="single" w:color="auto" w:sz="4" w:space="0"/>
            </w:tcBorders>
            <w:vAlign w:val="center"/>
          </w:tcPr>
          <w:p>
            <w:pPr>
              <w:autoSpaceDE w:val="0"/>
              <w:autoSpaceDN w:val="0"/>
              <w:adjustRightInd w:val="0"/>
              <w:spacing w:after="156" w:afterLines="50" w:line="0" w:lineRule="atLeast"/>
              <w:jc w:val="right"/>
              <w:rPr>
                <w:color w:val="auto"/>
                <w:sz w:val="20"/>
                <w:szCs w:val="20"/>
                <w:highlight w:val="none"/>
              </w:rPr>
            </w:pPr>
            <w:r>
              <w:rPr>
                <w:rFonts w:hint="eastAsia"/>
                <w:color w:val="auto"/>
                <w:sz w:val="20"/>
                <w:szCs w:val="20"/>
                <w:highlight w:val="none"/>
              </w:rPr>
              <w:t>岩体</w:t>
            </w:r>
            <w:r>
              <w:rPr>
                <w:color w:val="auto"/>
                <w:sz w:val="20"/>
                <w:szCs w:val="20"/>
                <w:highlight w:val="none"/>
              </w:rPr>
              <w:t>基本质量指标</w:t>
            </w:r>
            <w:r>
              <w:rPr>
                <w:i/>
                <w:iCs/>
                <w:color w:val="auto"/>
                <w:sz w:val="20"/>
                <w:szCs w:val="20"/>
                <w:highlight w:val="none"/>
              </w:rPr>
              <w:t>BQ</w:t>
            </w:r>
          </w:p>
          <w:p>
            <w:pPr>
              <w:autoSpaceDE w:val="0"/>
              <w:autoSpaceDN w:val="0"/>
              <w:adjustRightInd w:val="0"/>
              <w:jc w:val="left"/>
              <w:rPr>
                <w:color w:val="auto"/>
                <w:sz w:val="20"/>
                <w:szCs w:val="20"/>
                <w:highlight w:val="none"/>
              </w:rPr>
            </w:pPr>
            <w:r>
              <w:rPr>
                <w:rFonts w:hint="eastAsia"/>
                <w:color w:val="auto"/>
                <w:sz w:val="20"/>
                <w:szCs w:val="20"/>
                <w:highlight w:val="none"/>
              </w:rPr>
              <w:t>地下水出水状态</w:t>
            </w:r>
          </w:p>
        </w:tc>
        <w:tc>
          <w:tcPr>
            <w:tcW w:w="1050" w:type="dxa"/>
            <w:tcBorders>
              <w:top w:val="single" w:color="000000" w:sz="12"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color w:val="auto"/>
                <w:sz w:val="20"/>
                <w:szCs w:val="20"/>
                <w:highlight w:val="none"/>
              </w:rPr>
              <w:t>&gt;550</w:t>
            </w:r>
          </w:p>
        </w:tc>
        <w:tc>
          <w:tcPr>
            <w:tcW w:w="1050" w:type="dxa"/>
            <w:tcBorders>
              <w:top w:val="single" w:color="000000" w:sz="12"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color w:val="auto"/>
                <w:sz w:val="20"/>
                <w:szCs w:val="20"/>
                <w:highlight w:val="none"/>
              </w:rPr>
              <w:t>550~451</w:t>
            </w:r>
          </w:p>
        </w:tc>
        <w:tc>
          <w:tcPr>
            <w:tcW w:w="1050" w:type="dxa"/>
            <w:tcBorders>
              <w:top w:val="single" w:color="000000" w:sz="12"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color w:val="auto"/>
                <w:sz w:val="20"/>
                <w:szCs w:val="20"/>
                <w:highlight w:val="none"/>
              </w:rPr>
              <w:t>450~351</w:t>
            </w:r>
          </w:p>
        </w:tc>
        <w:tc>
          <w:tcPr>
            <w:tcW w:w="1050" w:type="dxa"/>
            <w:tcBorders>
              <w:top w:val="single" w:color="000000" w:sz="12"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color w:val="auto"/>
                <w:sz w:val="20"/>
                <w:szCs w:val="20"/>
                <w:highlight w:val="none"/>
              </w:rPr>
              <w:t>350~251</w:t>
            </w:r>
          </w:p>
        </w:tc>
        <w:tc>
          <w:tcPr>
            <w:tcW w:w="1054" w:type="dxa"/>
            <w:tcBorders>
              <w:top w:val="single" w:color="000000" w:sz="12" w:space="0"/>
              <w:left w:val="single" w:color="000000" w:sz="4" w:space="0"/>
              <w:bottom w:val="single" w:color="000000" w:sz="4" w:space="0"/>
              <w:right w:val="single" w:color="000000" w:sz="12" w:space="0"/>
            </w:tcBorders>
            <w:vAlign w:val="center"/>
          </w:tcPr>
          <w:p>
            <w:pPr>
              <w:autoSpaceDE w:val="0"/>
              <w:autoSpaceDN w:val="0"/>
              <w:adjustRightInd w:val="0"/>
              <w:jc w:val="center"/>
              <w:rPr>
                <w:color w:val="auto"/>
                <w:sz w:val="20"/>
                <w:szCs w:val="20"/>
                <w:highlight w:val="none"/>
              </w:rPr>
            </w:pPr>
            <w:r>
              <w:rPr>
                <w:rFonts w:hint="eastAsia" w:ascii="宋体" w:hAnsi="宋体" w:cs="宋体"/>
                <w:color w:val="auto"/>
                <w:sz w:val="20"/>
                <w:szCs w:val="20"/>
                <w:highlight w:val="none"/>
              </w:rPr>
              <w:t>≤</w:t>
            </w:r>
            <w:r>
              <w:rPr>
                <w:color w:val="auto"/>
                <w:sz w:val="20"/>
                <w:szCs w:val="20"/>
                <w:highlight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3065" w:type="dxa"/>
            <w:tcBorders>
              <w:top w:val="single" w:color="000000" w:sz="4" w:space="0"/>
              <w:left w:val="single" w:color="000000" w:sz="12"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潮湿或点滴状出水</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0</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0</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0~0.1</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0.2~0.3</w:t>
            </w:r>
          </w:p>
        </w:tc>
        <w:tc>
          <w:tcPr>
            <w:tcW w:w="1054" w:type="dxa"/>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0.4~0.6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3065" w:type="dxa"/>
            <w:tcBorders>
              <w:top w:val="single" w:color="000000" w:sz="4" w:space="0"/>
              <w:left w:val="single" w:color="000000" w:sz="12"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淋雨状或线流状出水</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0~0.1</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0.1~0.2</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0.2~0.3</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0.4~0.6</w:t>
            </w:r>
          </w:p>
        </w:tc>
        <w:tc>
          <w:tcPr>
            <w:tcW w:w="1054" w:type="dxa"/>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0.7~0.9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3065" w:type="dxa"/>
            <w:tcBorders>
              <w:top w:val="single" w:color="000000" w:sz="4" w:space="0"/>
              <w:left w:val="single" w:color="000000" w:sz="12" w:space="0"/>
              <w:bottom w:val="single" w:color="000000" w:sz="12"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涌流状出水</w:t>
            </w:r>
          </w:p>
        </w:tc>
        <w:tc>
          <w:tcPr>
            <w:tcW w:w="1050" w:type="dxa"/>
            <w:tcBorders>
              <w:top w:val="single" w:color="000000" w:sz="4" w:space="0"/>
              <w:left w:val="single" w:color="000000" w:sz="4" w:space="0"/>
              <w:bottom w:val="single" w:color="000000" w:sz="12"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0.1~0.2</w:t>
            </w:r>
          </w:p>
        </w:tc>
        <w:tc>
          <w:tcPr>
            <w:tcW w:w="1050" w:type="dxa"/>
            <w:tcBorders>
              <w:top w:val="single" w:color="000000" w:sz="4" w:space="0"/>
              <w:left w:val="single" w:color="000000" w:sz="4" w:space="0"/>
              <w:bottom w:val="single" w:color="000000" w:sz="12"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0.2~0.3</w:t>
            </w:r>
          </w:p>
        </w:tc>
        <w:tc>
          <w:tcPr>
            <w:tcW w:w="1050" w:type="dxa"/>
            <w:tcBorders>
              <w:top w:val="single" w:color="000000" w:sz="4" w:space="0"/>
              <w:left w:val="single" w:color="000000" w:sz="4" w:space="0"/>
              <w:bottom w:val="single" w:color="000000" w:sz="12"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0.4~0.6</w:t>
            </w:r>
          </w:p>
        </w:tc>
        <w:tc>
          <w:tcPr>
            <w:tcW w:w="1050" w:type="dxa"/>
            <w:tcBorders>
              <w:top w:val="single" w:color="000000" w:sz="4" w:space="0"/>
              <w:left w:val="single" w:color="000000" w:sz="4" w:space="0"/>
              <w:bottom w:val="single" w:color="000000" w:sz="12"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0.7~0.9</w:t>
            </w:r>
          </w:p>
        </w:tc>
        <w:tc>
          <w:tcPr>
            <w:tcW w:w="1054" w:type="dxa"/>
            <w:tcBorders>
              <w:top w:val="single" w:color="000000" w:sz="4" w:space="0"/>
              <w:left w:val="single" w:color="000000" w:sz="4" w:space="0"/>
              <w:bottom w:val="single" w:color="000000" w:sz="12" w:space="0"/>
              <w:right w:val="single" w:color="000000" w:sz="12"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1.0</w:t>
            </w:r>
          </w:p>
        </w:tc>
      </w:tr>
    </w:tbl>
    <w:p>
      <w:pPr>
        <w:autoSpaceDE w:val="0"/>
        <w:autoSpaceDN w:val="0"/>
        <w:adjustRightInd w:val="0"/>
        <w:spacing w:before="156" w:beforeLines="50" w:line="360" w:lineRule="auto"/>
        <w:jc w:val="center"/>
        <w:rPr>
          <w:b/>
          <w:bCs/>
          <w:color w:val="auto"/>
          <w:szCs w:val="21"/>
          <w:highlight w:val="none"/>
        </w:rPr>
      </w:pPr>
      <w:r>
        <w:rPr>
          <w:b/>
          <w:bCs/>
          <w:color w:val="auto"/>
          <w:spacing w:val="12"/>
          <w:kern w:val="0"/>
          <w:szCs w:val="18"/>
          <w:highlight w:val="none"/>
        </w:rPr>
        <w:t>表</w:t>
      </w:r>
      <w:r>
        <w:rPr>
          <w:rFonts w:hint="eastAsia"/>
          <w:b/>
          <w:bCs/>
          <w:color w:val="auto"/>
          <w:spacing w:val="12"/>
          <w:kern w:val="0"/>
          <w:szCs w:val="18"/>
          <w:highlight w:val="none"/>
        </w:rPr>
        <w:t>F.0.</w:t>
      </w:r>
      <w:r>
        <w:rPr>
          <w:rFonts w:hint="eastAsia"/>
          <w:b/>
          <w:bCs/>
          <w:color w:val="auto"/>
          <w:spacing w:val="12"/>
          <w:kern w:val="0"/>
          <w:szCs w:val="18"/>
          <w:highlight w:val="none"/>
          <w:lang w:val="en-US" w:eastAsia="zh-CN"/>
        </w:rPr>
        <w:t>4</w:t>
      </w:r>
      <w:r>
        <w:rPr>
          <w:rFonts w:hint="eastAsia"/>
          <w:b/>
          <w:bCs/>
          <w:color w:val="auto"/>
          <w:spacing w:val="12"/>
          <w:kern w:val="0"/>
          <w:szCs w:val="18"/>
          <w:highlight w:val="none"/>
        </w:rPr>
        <w:t>-</w:t>
      </w:r>
      <w:r>
        <w:rPr>
          <w:rFonts w:hint="eastAsia"/>
          <w:b/>
          <w:bCs/>
          <w:color w:val="auto"/>
          <w:spacing w:val="12"/>
          <w:kern w:val="0"/>
          <w:szCs w:val="18"/>
          <w:highlight w:val="none"/>
          <w:lang w:val="en-US" w:eastAsia="zh-CN"/>
        </w:rPr>
        <w:t>2</w:t>
      </w:r>
      <w:r>
        <w:rPr>
          <w:rFonts w:hint="eastAsia"/>
          <w:b/>
          <w:bCs/>
          <w:color w:val="auto"/>
          <w:szCs w:val="21"/>
          <w:highlight w:val="none"/>
        </w:rPr>
        <w:t>　主要结构面产状影响修正系数</w:t>
      </w:r>
      <w:r>
        <w:rPr>
          <w:rFonts w:hint="eastAsia"/>
          <w:b/>
          <w:bCs/>
          <w:i/>
          <w:iCs/>
          <w:color w:val="auto"/>
          <w:szCs w:val="21"/>
          <w:highlight w:val="none"/>
        </w:rPr>
        <w:t>K</w:t>
      </w:r>
      <w:r>
        <w:rPr>
          <w:rFonts w:hint="eastAsia"/>
          <w:b/>
          <w:bCs/>
          <w:color w:val="auto"/>
          <w:szCs w:val="21"/>
          <w:highlight w:val="none"/>
          <w:vertAlign w:val="subscript"/>
        </w:rPr>
        <w:t>2</w:t>
      </w:r>
    </w:p>
    <w:tbl>
      <w:tblPr>
        <w:tblStyle w:val="23"/>
        <w:tblW w:w="8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3"/>
        <w:gridCol w:w="2576"/>
        <w:gridCol w:w="2580"/>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3" w:type="dxa"/>
            <w:tcBorders>
              <w:top w:val="single" w:color="000000" w:sz="12" w:space="0"/>
              <w:left w:val="single" w:color="000000" w:sz="12" w:space="0"/>
              <w:bottom w:val="single" w:color="000000" w:sz="4" w:space="0"/>
              <w:right w:val="single" w:color="000000" w:sz="4" w:space="0"/>
            </w:tcBorders>
          </w:tcPr>
          <w:p>
            <w:pPr>
              <w:tabs>
                <w:tab w:val="center" w:pos="4410"/>
                <w:tab w:val="right" w:pos="9240"/>
              </w:tabs>
              <w:autoSpaceDE w:val="0"/>
              <w:autoSpaceDN w:val="0"/>
              <w:adjustRightInd w:val="0"/>
              <w:jc w:val="center"/>
              <w:rPr>
                <w:color w:val="auto"/>
                <w:sz w:val="20"/>
                <w:szCs w:val="20"/>
                <w:highlight w:val="none"/>
              </w:rPr>
            </w:pPr>
            <w:r>
              <w:rPr>
                <w:rFonts w:hint="eastAsia"/>
                <w:color w:val="auto"/>
                <w:sz w:val="20"/>
                <w:szCs w:val="20"/>
                <w:highlight w:val="none"/>
              </w:rPr>
              <w:t>结构面产状及其与洞轴线的组合关系</w:t>
            </w:r>
          </w:p>
        </w:tc>
        <w:tc>
          <w:tcPr>
            <w:tcW w:w="2576" w:type="dxa"/>
            <w:tcBorders>
              <w:top w:val="single" w:color="000000" w:sz="12" w:space="0"/>
              <w:left w:val="single" w:color="000000" w:sz="4" w:space="0"/>
              <w:bottom w:val="single" w:color="000000" w:sz="4" w:space="0"/>
              <w:right w:val="single" w:color="000000" w:sz="4" w:space="0"/>
            </w:tcBorders>
          </w:tcPr>
          <w:p>
            <w:pPr>
              <w:tabs>
                <w:tab w:val="center" w:pos="4410"/>
                <w:tab w:val="right" w:pos="9240"/>
              </w:tabs>
              <w:autoSpaceDE w:val="0"/>
              <w:autoSpaceDN w:val="0"/>
              <w:adjustRightInd w:val="0"/>
              <w:jc w:val="center"/>
              <w:rPr>
                <w:color w:val="auto"/>
                <w:sz w:val="20"/>
                <w:szCs w:val="20"/>
                <w:highlight w:val="none"/>
              </w:rPr>
            </w:pPr>
            <w:r>
              <w:rPr>
                <w:rFonts w:hint="eastAsia"/>
                <w:color w:val="auto"/>
                <w:sz w:val="20"/>
                <w:szCs w:val="20"/>
                <w:highlight w:val="none"/>
              </w:rPr>
              <w:t>结构面倾角30°~75°</w:t>
            </w:r>
          </w:p>
          <w:p>
            <w:pPr>
              <w:tabs>
                <w:tab w:val="center" w:pos="4410"/>
                <w:tab w:val="right" w:pos="9240"/>
              </w:tabs>
              <w:autoSpaceDE w:val="0"/>
              <w:autoSpaceDN w:val="0"/>
              <w:adjustRightInd w:val="0"/>
              <w:jc w:val="center"/>
              <w:rPr>
                <w:color w:val="auto"/>
                <w:sz w:val="20"/>
                <w:szCs w:val="20"/>
                <w:highlight w:val="none"/>
              </w:rPr>
            </w:pPr>
            <w:r>
              <w:rPr>
                <w:rFonts w:hint="eastAsia"/>
                <w:color w:val="auto"/>
                <w:sz w:val="20"/>
                <w:szCs w:val="20"/>
                <w:highlight w:val="none"/>
              </w:rPr>
              <w:t>结构面与洞轴线夹角&lt;30°</w:t>
            </w:r>
          </w:p>
        </w:tc>
        <w:tc>
          <w:tcPr>
            <w:tcW w:w="2580" w:type="dxa"/>
            <w:tcBorders>
              <w:top w:val="single" w:color="000000" w:sz="12" w:space="0"/>
              <w:left w:val="single" w:color="000000" w:sz="4" w:space="0"/>
              <w:bottom w:val="single" w:color="000000" w:sz="4" w:space="0"/>
              <w:right w:val="single" w:color="000000" w:sz="4" w:space="0"/>
            </w:tcBorders>
          </w:tcPr>
          <w:p>
            <w:pPr>
              <w:tabs>
                <w:tab w:val="center" w:pos="4410"/>
                <w:tab w:val="right" w:pos="9240"/>
              </w:tabs>
              <w:autoSpaceDE w:val="0"/>
              <w:autoSpaceDN w:val="0"/>
              <w:adjustRightInd w:val="0"/>
              <w:jc w:val="center"/>
              <w:rPr>
                <w:color w:val="auto"/>
                <w:sz w:val="20"/>
                <w:szCs w:val="20"/>
                <w:highlight w:val="none"/>
              </w:rPr>
            </w:pPr>
            <w:r>
              <w:rPr>
                <w:rFonts w:hint="eastAsia"/>
                <w:color w:val="auto"/>
                <w:sz w:val="20"/>
                <w:szCs w:val="20"/>
                <w:highlight w:val="none"/>
              </w:rPr>
              <w:t>结构面倾角&gt;75°</w:t>
            </w:r>
          </w:p>
          <w:p>
            <w:pPr>
              <w:tabs>
                <w:tab w:val="center" w:pos="4410"/>
                <w:tab w:val="right" w:pos="9240"/>
              </w:tabs>
              <w:autoSpaceDE w:val="0"/>
              <w:autoSpaceDN w:val="0"/>
              <w:adjustRightInd w:val="0"/>
              <w:jc w:val="center"/>
              <w:rPr>
                <w:color w:val="auto"/>
                <w:sz w:val="20"/>
                <w:szCs w:val="20"/>
                <w:highlight w:val="none"/>
              </w:rPr>
            </w:pPr>
            <w:r>
              <w:rPr>
                <w:rFonts w:hint="eastAsia"/>
                <w:color w:val="auto"/>
                <w:sz w:val="20"/>
                <w:szCs w:val="20"/>
                <w:highlight w:val="none"/>
              </w:rPr>
              <w:t>结构面与洞轴线夹角&gt;60°</w:t>
            </w:r>
          </w:p>
        </w:tc>
        <w:tc>
          <w:tcPr>
            <w:tcW w:w="1198" w:type="dxa"/>
            <w:tcBorders>
              <w:top w:val="single" w:color="000000" w:sz="12" w:space="0"/>
              <w:left w:val="single" w:color="000000" w:sz="4" w:space="0"/>
              <w:bottom w:val="single" w:color="000000" w:sz="4" w:space="0"/>
              <w:right w:val="single" w:color="000000" w:sz="12" w:space="0"/>
            </w:tcBorders>
            <w:vAlign w:val="center"/>
          </w:tcPr>
          <w:p>
            <w:pPr>
              <w:tabs>
                <w:tab w:val="center" w:pos="4410"/>
                <w:tab w:val="right" w:pos="9240"/>
              </w:tabs>
              <w:autoSpaceDE w:val="0"/>
              <w:autoSpaceDN w:val="0"/>
              <w:adjustRightInd w:val="0"/>
              <w:jc w:val="center"/>
              <w:rPr>
                <w:color w:val="auto"/>
                <w:sz w:val="20"/>
                <w:szCs w:val="20"/>
                <w:highlight w:val="none"/>
              </w:rPr>
            </w:pPr>
            <w:r>
              <w:rPr>
                <w:rFonts w:hint="eastAsia"/>
                <w:color w:val="auto"/>
                <w:sz w:val="20"/>
                <w:szCs w:val="20"/>
                <w:highlight w:val="none"/>
              </w:rPr>
              <w:t>其他组合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2013" w:type="dxa"/>
            <w:tcBorders>
              <w:top w:val="single" w:color="000000" w:sz="4" w:space="0"/>
              <w:left w:val="single" w:color="000000" w:sz="12" w:space="0"/>
              <w:bottom w:val="single" w:color="000000" w:sz="12" w:space="0"/>
              <w:right w:val="single" w:color="000000" w:sz="4" w:space="0"/>
            </w:tcBorders>
          </w:tcPr>
          <w:p>
            <w:pPr>
              <w:tabs>
                <w:tab w:val="center" w:pos="4410"/>
                <w:tab w:val="right" w:pos="9240"/>
              </w:tabs>
              <w:autoSpaceDE w:val="0"/>
              <w:autoSpaceDN w:val="0"/>
              <w:adjustRightInd w:val="0"/>
              <w:jc w:val="center"/>
              <w:rPr>
                <w:color w:val="auto"/>
                <w:sz w:val="20"/>
                <w:szCs w:val="20"/>
                <w:highlight w:val="none"/>
              </w:rPr>
            </w:pPr>
            <w:r>
              <w:rPr>
                <w:rFonts w:hint="eastAsia"/>
                <w:i/>
                <w:iCs/>
                <w:color w:val="auto"/>
                <w:sz w:val="20"/>
                <w:szCs w:val="20"/>
                <w:highlight w:val="none"/>
              </w:rPr>
              <w:t>K</w:t>
            </w:r>
            <w:r>
              <w:rPr>
                <w:rFonts w:hint="eastAsia"/>
                <w:color w:val="auto"/>
                <w:sz w:val="20"/>
                <w:szCs w:val="20"/>
                <w:highlight w:val="none"/>
                <w:vertAlign w:val="subscript"/>
              </w:rPr>
              <w:t>2</w:t>
            </w:r>
          </w:p>
        </w:tc>
        <w:tc>
          <w:tcPr>
            <w:tcW w:w="2576" w:type="dxa"/>
            <w:tcBorders>
              <w:top w:val="single" w:color="000000" w:sz="4" w:space="0"/>
              <w:left w:val="single" w:color="000000" w:sz="4" w:space="0"/>
              <w:bottom w:val="single" w:color="000000" w:sz="12" w:space="0"/>
              <w:right w:val="single" w:color="000000" w:sz="4" w:space="0"/>
            </w:tcBorders>
          </w:tcPr>
          <w:p>
            <w:pPr>
              <w:tabs>
                <w:tab w:val="center" w:pos="4410"/>
                <w:tab w:val="right" w:pos="9240"/>
              </w:tabs>
              <w:autoSpaceDE w:val="0"/>
              <w:autoSpaceDN w:val="0"/>
              <w:adjustRightInd w:val="0"/>
              <w:jc w:val="center"/>
              <w:rPr>
                <w:color w:val="auto"/>
                <w:sz w:val="20"/>
                <w:szCs w:val="20"/>
                <w:highlight w:val="none"/>
              </w:rPr>
            </w:pPr>
            <w:r>
              <w:rPr>
                <w:rFonts w:hint="eastAsia"/>
                <w:color w:val="auto"/>
                <w:sz w:val="20"/>
                <w:szCs w:val="20"/>
                <w:highlight w:val="none"/>
              </w:rPr>
              <w:t>0.4~0.6</w:t>
            </w:r>
          </w:p>
        </w:tc>
        <w:tc>
          <w:tcPr>
            <w:tcW w:w="2580" w:type="dxa"/>
            <w:tcBorders>
              <w:top w:val="single" w:color="000000" w:sz="4" w:space="0"/>
              <w:left w:val="single" w:color="000000" w:sz="4" w:space="0"/>
              <w:bottom w:val="single" w:color="000000" w:sz="12" w:space="0"/>
              <w:right w:val="single" w:color="000000" w:sz="4" w:space="0"/>
            </w:tcBorders>
          </w:tcPr>
          <w:p>
            <w:pPr>
              <w:tabs>
                <w:tab w:val="center" w:pos="4410"/>
                <w:tab w:val="right" w:pos="9240"/>
              </w:tabs>
              <w:autoSpaceDE w:val="0"/>
              <w:autoSpaceDN w:val="0"/>
              <w:adjustRightInd w:val="0"/>
              <w:jc w:val="center"/>
              <w:rPr>
                <w:color w:val="auto"/>
                <w:sz w:val="20"/>
                <w:szCs w:val="20"/>
                <w:highlight w:val="none"/>
              </w:rPr>
            </w:pPr>
            <w:r>
              <w:rPr>
                <w:rFonts w:hint="eastAsia"/>
                <w:color w:val="auto"/>
                <w:sz w:val="20"/>
                <w:szCs w:val="20"/>
                <w:highlight w:val="none"/>
              </w:rPr>
              <w:t>0~0.2</w:t>
            </w:r>
          </w:p>
        </w:tc>
        <w:tc>
          <w:tcPr>
            <w:tcW w:w="1198" w:type="dxa"/>
            <w:tcBorders>
              <w:top w:val="single" w:color="000000" w:sz="4" w:space="0"/>
              <w:left w:val="single" w:color="000000" w:sz="4" w:space="0"/>
              <w:bottom w:val="single" w:color="000000" w:sz="12" w:space="0"/>
              <w:right w:val="single" w:color="000000" w:sz="12" w:space="0"/>
            </w:tcBorders>
          </w:tcPr>
          <w:p>
            <w:pPr>
              <w:tabs>
                <w:tab w:val="center" w:pos="4410"/>
                <w:tab w:val="right" w:pos="9240"/>
              </w:tabs>
              <w:autoSpaceDE w:val="0"/>
              <w:autoSpaceDN w:val="0"/>
              <w:adjustRightInd w:val="0"/>
              <w:jc w:val="center"/>
              <w:rPr>
                <w:color w:val="auto"/>
                <w:sz w:val="20"/>
                <w:szCs w:val="20"/>
                <w:highlight w:val="none"/>
              </w:rPr>
            </w:pPr>
            <w:r>
              <w:rPr>
                <w:rFonts w:hint="eastAsia"/>
                <w:color w:val="auto"/>
                <w:sz w:val="20"/>
                <w:szCs w:val="20"/>
                <w:highlight w:val="none"/>
              </w:rPr>
              <w:t>0.2~0.4</w:t>
            </w:r>
          </w:p>
        </w:tc>
      </w:tr>
    </w:tbl>
    <w:p>
      <w:pPr>
        <w:keepNext w:val="0"/>
        <w:keepLines w:val="0"/>
        <w:pageBreakBefore w:val="0"/>
        <w:widowControl w:val="0"/>
        <w:tabs>
          <w:tab w:val="center" w:pos="4410"/>
          <w:tab w:val="right" w:pos="9240"/>
        </w:tabs>
        <w:kinsoku/>
        <w:wordWrap/>
        <w:overflowPunct/>
        <w:topLinePunct w:val="0"/>
        <w:autoSpaceDE w:val="0"/>
        <w:autoSpaceDN w:val="0"/>
        <w:bidi w:val="0"/>
        <w:adjustRightInd w:val="0"/>
        <w:snapToGrid w:val="0"/>
        <w:spacing w:line="360" w:lineRule="auto"/>
        <w:ind w:left="0" w:leftChars="0" w:firstLine="360" w:firstLineChars="200"/>
        <w:jc w:val="left"/>
        <w:textAlignment w:val="auto"/>
        <w:rPr>
          <w:color w:val="auto"/>
          <w:sz w:val="18"/>
          <w:szCs w:val="18"/>
          <w:highlight w:val="none"/>
        </w:rPr>
      </w:pPr>
      <w:r>
        <w:rPr>
          <w:color w:val="auto"/>
          <w:sz w:val="18"/>
          <w:szCs w:val="18"/>
          <w:highlight w:val="none"/>
        </w:rPr>
        <w:t>注：</w:t>
      </w:r>
      <w:r>
        <w:rPr>
          <w:rFonts w:hint="eastAsia"/>
          <w:color w:val="auto"/>
          <w:sz w:val="18"/>
          <w:szCs w:val="18"/>
          <w:highlight w:val="none"/>
        </w:rPr>
        <w:t>本表特指存在一组起控制作用结构面的情况，不适用于有两组或两组以上起控制作用结构面的情况。</w:t>
      </w:r>
    </w:p>
    <w:p>
      <w:pPr>
        <w:autoSpaceDE w:val="0"/>
        <w:autoSpaceDN w:val="0"/>
        <w:adjustRightInd w:val="0"/>
        <w:spacing w:line="360" w:lineRule="auto"/>
        <w:jc w:val="center"/>
        <w:rPr>
          <w:b/>
          <w:bCs/>
          <w:color w:val="auto"/>
          <w:szCs w:val="21"/>
          <w:highlight w:val="none"/>
        </w:rPr>
      </w:pPr>
      <w:r>
        <w:rPr>
          <w:b/>
          <w:bCs/>
          <w:color w:val="auto"/>
          <w:spacing w:val="12"/>
          <w:kern w:val="0"/>
          <w:szCs w:val="18"/>
          <w:highlight w:val="none"/>
        </w:rPr>
        <w:t>表</w:t>
      </w:r>
      <w:r>
        <w:rPr>
          <w:rFonts w:hint="eastAsia"/>
          <w:b/>
          <w:bCs/>
          <w:color w:val="auto"/>
          <w:spacing w:val="12"/>
          <w:kern w:val="0"/>
          <w:szCs w:val="18"/>
          <w:highlight w:val="none"/>
        </w:rPr>
        <w:t>F.0.</w:t>
      </w:r>
      <w:r>
        <w:rPr>
          <w:rFonts w:hint="eastAsia"/>
          <w:b/>
          <w:bCs/>
          <w:color w:val="auto"/>
          <w:spacing w:val="12"/>
          <w:kern w:val="0"/>
          <w:szCs w:val="18"/>
          <w:highlight w:val="none"/>
          <w:lang w:val="en-US" w:eastAsia="zh-CN"/>
        </w:rPr>
        <w:t>4</w:t>
      </w:r>
      <w:r>
        <w:rPr>
          <w:rFonts w:hint="eastAsia"/>
          <w:b/>
          <w:bCs/>
          <w:color w:val="auto"/>
          <w:spacing w:val="12"/>
          <w:kern w:val="0"/>
          <w:szCs w:val="18"/>
          <w:highlight w:val="none"/>
        </w:rPr>
        <w:t>-</w:t>
      </w:r>
      <w:r>
        <w:rPr>
          <w:rFonts w:hint="eastAsia"/>
          <w:b/>
          <w:bCs/>
          <w:color w:val="auto"/>
          <w:spacing w:val="12"/>
          <w:kern w:val="0"/>
          <w:szCs w:val="18"/>
          <w:highlight w:val="none"/>
          <w:lang w:val="en-US" w:eastAsia="zh-CN"/>
        </w:rPr>
        <w:t>3</w:t>
      </w:r>
      <w:r>
        <w:rPr>
          <w:rFonts w:hint="eastAsia"/>
          <w:b/>
          <w:bCs/>
          <w:color w:val="auto"/>
          <w:szCs w:val="21"/>
          <w:highlight w:val="none"/>
        </w:rPr>
        <w:t>　初始地应力状态影响修正系数</w:t>
      </w:r>
      <w:r>
        <w:rPr>
          <w:rFonts w:hint="eastAsia"/>
          <w:b/>
          <w:bCs/>
          <w:i/>
          <w:iCs/>
          <w:color w:val="auto"/>
          <w:szCs w:val="21"/>
          <w:highlight w:val="none"/>
        </w:rPr>
        <w:t>K</w:t>
      </w:r>
      <w:r>
        <w:rPr>
          <w:rFonts w:hint="eastAsia"/>
          <w:b/>
          <w:bCs/>
          <w:color w:val="auto"/>
          <w:szCs w:val="21"/>
          <w:highlight w:val="none"/>
          <w:vertAlign w:val="subscript"/>
        </w:rPr>
        <w:t>3</w:t>
      </w:r>
    </w:p>
    <w:tbl>
      <w:tblPr>
        <w:tblStyle w:val="22"/>
        <w:tblW w:w="8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5"/>
        <w:gridCol w:w="1050"/>
        <w:gridCol w:w="1050"/>
        <w:gridCol w:w="1050"/>
        <w:gridCol w:w="1050"/>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3065" w:type="dxa"/>
            <w:tcBorders>
              <w:top w:val="single" w:color="000000" w:sz="12" w:space="0"/>
              <w:left w:val="single" w:color="000000" w:sz="12" w:space="0"/>
              <w:bottom w:val="single" w:color="000000" w:sz="4" w:space="0"/>
              <w:right w:val="single" w:color="000000" w:sz="4" w:space="0"/>
              <w:tl2br w:val="single" w:color="auto" w:sz="4" w:space="0"/>
            </w:tcBorders>
            <w:vAlign w:val="center"/>
          </w:tcPr>
          <w:p>
            <w:pPr>
              <w:autoSpaceDE w:val="0"/>
              <w:autoSpaceDN w:val="0"/>
              <w:adjustRightInd w:val="0"/>
              <w:spacing w:after="156" w:afterLines="50" w:line="0" w:lineRule="atLeast"/>
              <w:jc w:val="right"/>
              <w:rPr>
                <w:color w:val="auto"/>
                <w:sz w:val="20"/>
                <w:szCs w:val="20"/>
                <w:highlight w:val="none"/>
              </w:rPr>
            </w:pPr>
            <w:r>
              <w:rPr>
                <w:rFonts w:hint="eastAsia"/>
                <w:color w:val="auto"/>
                <w:sz w:val="20"/>
                <w:szCs w:val="20"/>
                <w:highlight w:val="none"/>
              </w:rPr>
              <w:t>岩体</w:t>
            </w:r>
            <w:r>
              <w:rPr>
                <w:color w:val="auto"/>
                <w:sz w:val="20"/>
                <w:szCs w:val="20"/>
                <w:highlight w:val="none"/>
              </w:rPr>
              <w:t>基本质量指标</w:t>
            </w:r>
            <w:r>
              <w:rPr>
                <w:i/>
                <w:iCs/>
                <w:color w:val="auto"/>
                <w:sz w:val="20"/>
                <w:szCs w:val="20"/>
                <w:highlight w:val="none"/>
              </w:rPr>
              <w:t>BQ</w:t>
            </w:r>
          </w:p>
          <w:p>
            <w:pPr>
              <w:autoSpaceDE w:val="0"/>
              <w:autoSpaceDN w:val="0"/>
              <w:adjustRightInd w:val="0"/>
              <w:jc w:val="left"/>
              <w:rPr>
                <w:color w:val="auto"/>
                <w:sz w:val="20"/>
                <w:szCs w:val="20"/>
                <w:highlight w:val="none"/>
              </w:rPr>
            </w:pPr>
            <w:r>
              <w:rPr>
                <w:rFonts w:hint="eastAsia"/>
                <w:color w:val="auto"/>
                <w:sz w:val="20"/>
                <w:szCs w:val="20"/>
                <w:highlight w:val="none"/>
              </w:rPr>
              <w:t>初始地应力状态</w:t>
            </w:r>
          </w:p>
        </w:tc>
        <w:tc>
          <w:tcPr>
            <w:tcW w:w="1050" w:type="dxa"/>
            <w:tcBorders>
              <w:top w:val="single" w:color="000000" w:sz="12"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color w:val="auto"/>
                <w:sz w:val="20"/>
                <w:szCs w:val="20"/>
                <w:highlight w:val="none"/>
              </w:rPr>
              <w:t>&gt;550</w:t>
            </w:r>
          </w:p>
        </w:tc>
        <w:tc>
          <w:tcPr>
            <w:tcW w:w="1050" w:type="dxa"/>
            <w:tcBorders>
              <w:top w:val="single" w:color="000000" w:sz="12"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color w:val="auto"/>
                <w:sz w:val="20"/>
                <w:szCs w:val="20"/>
                <w:highlight w:val="none"/>
              </w:rPr>
              <w:t>550~451</w:t>
            </w:r>
          </w:p>
        </w:tc>
        <w:tc>
          <w:tcPr>
            <w:tcW w:w="1050" w:type="dxa"/>
            <w:tcBorders>
              <w:top w:val="single" w:color="000000" w:sz="12"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color w:val="auto"/>
                <w:sz w:val="20"/>
                <w:szCs w:val="20"/>
                <w:highlight w:val="none"/>
              </w:rPr>
              <w:t>450~351</w:t>
            </w:r>
          </w:p>
        </w:tc>
        <w:tc>
          <w:tcPr>
            <w:tcW w:w="1050" w:type="dxa"/>
            <w:tcBorders>
              <w:top w:val="single" w:color="000000" w:sz="12"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color w:val="auto"/>
                <w:sz w:val="20"/>
                <w:szCs w:val="20"/>
                <w:highlight w:val="none"/>
              </w:rPr>
              <w:t>350~251</w:t>
            </w:r>
          </w:p>
        </w:tc>
        <w:tc>
          <w:tcPr>
            <w:tcW w:w="1054" w:type="dxa"/>
            <w:tcBorders>
              <w:top w:val="single" w:color="000000" w:sz="12" w:space="0"/>
              <w:left w:val="single" w:color="000000" w:sz="4" w:space="0"/>
              <w:bottom w:val="single" w:color="000000" w:sz="4" w:space="0"/>
              <w:right w:val="single" w:color="000000" w:sz="12" w:space="0"/>
            </w:tcBorders>
            <w:vAlign w:val="center"/>
          </w:tcPr>
          <w:p>
            <w:pPr>
              <w:autoSpaceDE w:val="0"/>
              <w:autoSpaceDN w:val="0"/>
              <w:adjustRightInd w:val="0"/>
              <w:jc w:val="center"/>
              <w:rPr>
                <w:color w:val="auto"/>
                <w:sz w:val="20"/>
                <w:szCs w:val="20"/>
                <w:highlight w:val="none"/>
              </w:rPr>
            </w:pPr>
            <w:r>
              <w:rPr>
                <w:rFonts w:hint="eastAsia" w:ascii="宋体" w:hAnsi="宋体" w:cs="宋体"/>
                <w:color w:val="auto"/>
                <w:sz w:val="20"/>
                <w:szCs w:val="20"/>
                <w:highlight w:val="none"/>
              </w:rPr>
              <w:t>≤</w:t>
            </w:r>
            <w:r>
              <w:rPr>
                <w:color w:val="auto"/>
                <w:sz w:val="20"/>
                <w:szCs w:val="20"/>
                <w:highlight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3065" w:type="dxa"/>
            <w:tcBorders>
              <w:top w:val="single" w:color="000000" w:sz="4" w:space="0"/>
              <w:left w:val="single" w:color="000000" w:sz="12"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极高地应力区</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1.0</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1.0</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1.0~1.5</w:t>
            </w:r>
          </w:p>
        </w:tc>
        <w:tc>
          <w:tcPr>
            <w:tcW w:w="105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1.0~1.5</w:t>
            </w:r>
          </w:p>
        </w:tc>
        <w:tc>
          <w:tcPr>
            <w:tcW w:w="1054" w:type="dxa"/>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3065" w:type="dxa"/>
            <w:tcBorders>
              <w:top w:val="single" w:color="000000" w:sz="4" w:space="0"/>
              <w:left w:val="single" w:color="000000" w:sz="12" w:space="0"/>
              <w:bottom w:val="single" w:color="000000" w:sz="12"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高地应力区</w:t>
            </w:r>
          </w:p>
        </w:tc>
        <w:tc>
          <w:tcPr>
            <w:tcW w:w="1050" w:type="dxa"/>
            <w:tcBorders>
              <w:top w:val="single" w:color="000000" w:sz="4" w:space="0"/>
              <w:left w:val="single" w:color="000000" w:sz="4" w:space="0"/>
              <w:bottom w:val="single" w:color="000000" w:sz="12"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0.5</w:t>
            </w:r>
          </w:p>
        </w:tc>
        <w:tc>
          <w:tcPr>
            <w:tcW w:w="1050" w:type="dxa"/>
            <w:tcBorders>
              <w:top w:val="single" w:color="000000" w:sz="4" w:space="0"/>
              <w:left w:val="single" w:color="000000" w:sz="4" w:space="0"/>
              <w:bottom w:val="single" w:color="000000" w:sz="12"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0.5</w:t>
            </w:r>
          </w:p>
        </w:tc>
        <w:tc>
          <w:tcPr>
            <w:tcW w:w="1050" w:type="dxa"/>
            <w:tcBorders>
              <w:top w:val="single" w:color="000000" w:sz="4" w:space="0"/>
              <w:left w:val="single" w:color="000000" w:sz="4" w:space="0"/>
              <w:bottom w:val="single" w:color="000000" w:sz="12"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0.5</w:t>
            </w:r>
          </w:p>
        </w:tc>
        <w:tc>
          <w:tcPr>
            <w:tcW w:w="1050" w:type="dxa"/>
            <w:tcBorders>
              <w:top w:val="single" w:color="000000" w:sz="4" w:space="0"/>
              <w:left w:val="single" w:color="000000" w:sz="4" w:space="0"/>
              <w:bottom w:val="single" w:color="000000" w:sz="12"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0.5~1.0</w:t>
            </w:r>
          </w:p>
        </w:tc>
        <w:tc>
          <w:tcPr>
            <w:tcW w:w="1054" w:type="dxa"/>
            <w:tcBorders>
              <w:top w:val="single" w:color="000000" w:sz="4" w:space="0"/>
              <w:left w:val="single" w:color="000000" w:sz="4" w:space="0"/>
              <w:bottom w:val="single" w:color="000000" w:sz="12" w:space="0"/>
              <w:right w:val="single" w:color="000000" w:sz="12"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0.5~1.0</w:t>
            </w:r>
          </w:p>
        </w:tc>
      </w:tr>
    </w:tbl>
    <w:p>
      <w:pPr>
        <w:tabs>
          <w:tab w:val="center" w:pos="4410"/>
          <w:tab w:val="right" w:pos="9240"/>
        </w:tabs>
        <w:autoSpaceDE w:val="0"/>
        <w:autoSpaceDN w:val="0"/>
        <w:adjustRightInd w:val="0"/>
        <w:spacing w:line="360" w:lineRule="auto"/>
        <w:rPr>
          <w:color w:val="auto"/>
          <w:szCs w:val="21"/>
          <w:highlight w:val="none"/>
        </w:rPr>
      </w:pPr>
      <w:r>
        <w:rPr>
          <w:rFonts w:hint="eastAsia"/>
          <w:b/>
          <w:bCs/>
          <w:color w:val="auto"/>
          <w:szCs w:val="21"/>
          <w:highlight w:val="none"/>
        </w:rPr>
        <w:t>F.0.</w:t>
      </w:r>
      <w:r>
        <w:rPr>
          <w:rFonts w:hint="eastAsia"/>
          <w:b/>
          <w:bCs/>
          <w:color w:val="auto"/>
          <w:szCs w:val="21"/>
          <w:highlight w:val="none"/>
          <w:lang w:val="en-US" w:eastAsia="zh-CN"/>
        </w:rPr>
        <w:t>5</w:t>
      </w:r>
      <w:r>
        <w:rPr>
          <w:rFonts w:hint="eastAsia"/>
          <w:color w:val="auto"/>
          <w:szCs w:val="21"/>
          <w:highlight w:val="none"/>
        </w:rPr>
        <w:t>　隧道岩质围岩初始地应力状态，当无实测资料时，可按表F.0.</w:t>
      </w:r>
      <w:r>
        <w:rPr>
          <w:rFonts w:hint="eastAsia"/>
          <w:color w:val="auto"/>
          <w:szCs w:val="21"/>
          <w:highlight w:val="none"/>
          <w:lang w:val="en-US" w:eastAsia="zh-CN"/>
        </w:rPr>
        <w:t>5</w:t>
      </w:r>
      <w:r>
        <w:rPr>
          <w:rFonts w:hint="eastAsia"/>
          <w:color w:val="auto"/>
          <w:szCs w:val="21"/>
          <w:highlight w:val="none"/>
        </w:rPr>
        <w:t>评估。</w:t>
      </w:r>
    </w:p>
    <w:p>
      <w:pPr>
        <w:autoSpaceDE w:val="0"/>
        <w:autoSpaceDN w:val="0"/>
        <w:adjustRightInd w:val="0"/>
        <w:spacing w:line="360" w:lineRule="auto"/>
        <w:jc w:val="center"/>
        <w:rPr>
          <w:b/>
          <w:bCs/>
          <w:color w:val="auto"/>
          <w:szCs w:val="21"/>
          <w:highlight w:val="none"/>
        </w:rPr>
      </w:pPr>
      <w:r>
        <w:rPr>
          <w:b/>
          <w:bCs/>
          <w:color w:val="auto"/>
          <w:spacing w:val="12"/>
          <w:kern w:val="0"/>
          <w:szCs w:val="18"/>
          <w:highlight w:val="none"/>
        </w:rPr>
        <w:t>表</w:t>
      </w:r>
      <w:r>
        <w:rPr>
          <w:rFonts w:hint="eastAsia"/>
          <w:b/>
          <w:bCs/>
          <w:color w:val="auto"/>
          <w:spacing w:val="12"/>
          <w:kern w:val="0"/>
          <w:szCs w:val="18"/>
          <w:highlight w:val="none"/>
        </w:rPr>
        <w:t>F.0.</w:t>
      </w:r>
      <w:r>
        <w:rPr>
          <w:rFonts w:hint="eastAsia"/>
          <w:b/>
          <w:bCs/>
          <w:color w:val="auto"/>
          <w:spacing w:val="12"/>
          <w:kern w:val="0"/>
          <w:szCs w:val="18"/>
          <w:highlight w:val="none"/>
          <w:lang w:val="en-US" w:eastAsia="zh-CN"/>
        </w:rPr>
        <w:t>5</w:t>
      </w:r>
      <w:r>
        <w:rPr>
          <w:rFonts w:hint="eastAsia"/>
          <w:b/>
          <w:bCs/>
          <w:color w:val="auto"/>
          <w:szCs w:val="21"/>
          <w:highlight w:val="none"/>
        </w:rPr>
        <w:t>　初始地应力状态评估基准</w:t>
      </w:r>
    </w:p>
    <w:tbl>
      <w:tblPr>
        <w:tblStyle w:val="23"/>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1020"/>
        <w:gridCol w:w="5070"/>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tcBorders>
              <w:top w:val="single" w:color="000000" w:sz="12" w:space="0"/>
              <w:left w:val="single" w:color="000000" w:sz="12"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初始地应力状态</w:t>
            </w:r>
          </w:p>
        </w:tc>
        <w:tc>
          <w:tcPr>
            <w:tcW w:w="6090" w:type="dxa"/>
            <w:gridSpan w:val="2"/>
            <w:tcBorders>
              <w:top w:val="single" w:color="000000" w:sz="12"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主要现象</w:t>
            </w:r>
          </w:p>
        </w:tc>
        <w:tc>
          <w:tcPr>
            <w:tcW w:w="1142" w:type="dxa"/>
            <w:tcBorders>
              <w:top w:val="single" w:color="000000" w:sz="12" w:space="0"/>
              <w:left w:val="single" w:color="000000" w:sz="4" w:space="0"/>
              <w:bottom w:val="single" w:color="000000" w:sz="4" w:space="0"/>
              <w:right w:val="single" w:color="000000" w:sz="12"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评估基准（</w:t>
            </w:r>
            <w:r>
              <w:rPr>
                <w:rFonts w:hint="eastAsia"/>
                <w:i/>
                <w:iCs/>
                <w:color w:val="auto"/>
                <w:sz w:val="20"/>
                <w:szCs w:val="20"/>
                <w:highlight w:val="none"/>
              </w:rPr>
              <w:t>f</w:t>
            </w:r>
            <w:r>
              <w:rPr>
                <w:rFonts w:hint="eastAsia"/>
                <w:color w:val="auto"/>
                <w:sz w:val="20"/>
                <w:szCs w:val="20"/>
                <w:highlight w:val="none"/>
                <w:vertAlign w:val="subscript"/>
              </w:rPr>
              <w:t>r</w:t>
            </w:r>
            <w:r>
              <w:rPr>
                <w:rFonts w:hint="eastAsia"/>
                <w:color w:val="auto"/>
                <w:sz w:val="20"/>
                <w:szCs w:val="20"/>
                <w:highlight w:val="none"/>
              </w:rPr>
              <w:t>/</w:t>
            </w:r>
            <w:r>
              <w:rPr>
                <w:rFonts w:hint="eastAsia" w:ascii="微软雅黑" w:hAnsi="微软雅黑" w:eastAsia="微软雅黑" w:cs="微软雅黑"/>
                <w:i/>
                <w:iCs/>
                <w:color w:val="auto"/>
                <w:sz w:val="20"/>
                <w:szCs w:val="20"/>
                <w:highlight w:val="none"/>
              </w:rPr>
              <w:t>σ</w:t>
            </w:r>
            <w:r>
              <w:rPr>
                <w:rFonts w:hint="eastAsia"/>
                <w:color w:val="auto"/>
                <w:sz w:val="20"/>
                <w:szCs w:val="20"/>
                <w:highlight w:val="none"/>
                <w:vertAlign w:val="subscript"/>
              </w:rPr>
              <w:t>max</w:t>
            </w:r>
            <w:r>
              <w:rPr>
                <w:rFonts w:hint="eastAsia"/>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vMerge w:val="restart"/>
            <w:tcBorders>
              <w:top w:val="single" w:color="000000" w:sz="4" w:space="0"/>
              <w:left w:val="single" w:color="000000" w:sz="12"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一般地应力</w:t>
            </w:r>
          </w:p>
        </w:tc>
        <w:tc>
          <w:tcPr>
            <w:tcW w:w="102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硬质岩</w:t>
            </w:r>
          </w:p>
        </w:tc>
        <w:tc>
          <w:tcPr>
            <w:tcW w:w="507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left"/>
              <w:rPr>
                <w:color w:val="auto"/>
                <w:sz w:val="20"/>
                <w:szCs w:val="20"/>
                <w:highlight w:val="none"/>
              </w:rPr>
            </w:pPr>
            <w:r>
              <w:rPr>
                <w:rFonts w:hint="eastAsia"/>
                <w:color w:val="auto"/>
                <w:sz w:val="20"/>
                <w:szCs w:val="20"/>
                <w:highlight w:val="none"/>
              </w:rPr>
              <w:t>开挖过程中不会出现岩爆，新生裂隙较少，成洞条件一般较好</w:t>
            </w:r>
          </w:p>
        </w:tc>
        <w:tc>
          <w:tcPr>
            <w:tcW w:w="1142" w:type="dxa"/>
            <w:vMerge w:val="restart"/>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&gt;7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vMerge w:val="continue"/>
            <w:tcBorders>
              <w:top w:val="single" w:color="000000" w:sz="4" w:space="0"/>
              <w:left w:val="single" w:color="000000" w:sz="12"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p>
        </w:tc>
        <w:tc>
          <w:tcPr>
            <w:tcW w:w="102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软质岩</w:t>
            </w:r>
          </w:p>
        </w:tc>
        <w:tc>
          <w:tcPr>
            <w:tcW w:w="507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left"/>
              <w:rPr>
                <w:color w:val="auto"/>
                <w:sz w:val="20"/>
                <w:szCs w:val="20"/>
                <w:highlight w:val="none"/>
              </w:rPr>
            </w:pPr>
            <w:r>
              <w:rPr>
                <w:rFonts w:hint="eastAsia"/>
                <w:color w:val="auto"/>
                <w:sz w:val="20"/>
                <w:szCs w:val="20"/>
                <w:highlight w:val="none"/>
              </w:rPr>
              <w:t>岩芯无或少饼化现象，开挖过程中洞壁岩体有一定位移，成洞条件一般较好</w:t>
            </w:r>
          </w:p>
        </w:tc>
        <w:tc>
          <w:tcPr>
            <w:tcW w:w="1142" w:type="dxa"/>
            <w:vMerge w:val="continue"/>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jc w:val="center"/>
              <w:rPr>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vMerge w:val="restart"/>
            <w:tcBorders>
              <w:top w:val="single" w:color="000000" w:sz="4" w:space="0"/>
              <w:left w:val="single" w:color="000000" w:sz="12"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高地应力</w:t>
            </w:r>
          </w:p>
        </w:tc>
        <w:tc>
          <w:tcPr>
            <w:tcW w:w="102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硬质岩</w:t>
            </w:r>
          </w:p>
        </w:tc>
        <w:tc>
          <w:tcPr>
            <w:tcW w:w="507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left"/>
              <w:rPr>
                <w:color w:val="auto"/>
                <w:sz w:val="20"/>
                <w:szCs w:val="20"/>
                <w:highlight w:val="none"/>
              </w:rPr>
            </w:pPr>
            <w:r>
              <w:rPr>
                <w:rFonts w:hint="eastAsia"/>
                <w:color w:val="auto"/>
                <w:sz w:val="20"/>
                <w:szCs w:val="20"/>
                <w:highlight w:val="none"/>
              </w:rPr>
              <w:t>开挖过程中可能出现岩爆，洞壁岩体有剥离和掉块现象，新生裂隙较多，成洞条件较差</w:t>
            </w:r>
          </w:p>
        </w:tc>
        <w:tc>
          <w:tcPr>
            <w:tcW w:w="1142" w:type="dxa"/>
            <w:vMerge w:val="restart"/>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vMerge w:val="continue"/>
            <w:tcBorders>
              <w:top w:val="single" w:color="000000" w:sz="4" w:space="0"/>
              <w:left w:val="single" w:color="000000" w:sz="12"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p>
        </w:tc>
        <w:tc>
          <w:tcPr>
            <w:tcW w:w="102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软质岩</w:t>
            </w:r>
          </w:p>
        </w:tc>
        <w:tc>
          <w:tcPr>
            <w:tcW w:w="507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left"/>
              <w:rPr>
                <w:color w:val="auto"/>
                <w:sz w:val="20"/>
                <w:szCs w:val="20"/>
                <w:highlight w:val="none"/>
              </w:rPr>
            </w:pPr>
            <w:r>
              <w:rPr>
                <w:rFonts w:hint="eastAsia"/>
                <w:color w:val="auto"/>
                <w:sz w:val="20"/>
                <w:szCs w:val="20"/>
                <w:highlight w:val="none"/>
              </w:rPr>
              <w:t>岩芯时有饼化现象，开挖过程中洞壁岩体位移显著，持续时间较长，成洞条件差</w:t>
            </w:r>
          </w:p>
        </w:tc>
        <w:tc>
          <w:tcPr>
            <w:tcW w:w="1142" w:type="dxa"/>
            <w:vMerge w:val="continue"/>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jc w:val="center"/>
              <w:rPr>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vMerge w:val="restart"/>
            <w:tcBorders>
              <w:top w:val="single" w:color="000000" w:sz="4" w:space="0"/>
              <w:left w:val="single" w:color="000000" w:sz="12"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极高地应力</w:t>
            </w:r>
          </w:p>
        </w:tc>
        <w:tc>
          <w:tcPr>
            <w:tcW w:w="102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硬质岩</w:t>
            </w:r>
          </w:p>
        </w:tc>
        <w:tc>
          <w:tcPr>
            <w:tcW w:w="507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left"/>
              <w:rPr>
                <w:color w:val="auto"/>
                <w:sz w:val="20"/>
                <w:szCs w:val="20"/>
                <w:highlight w:val="none"/>
              </w:rPr>
            </w:pPr>
            <w:r>
              <w:rPr>
                <w:rFonts w:hint="eastAsia"/>
                <w:color w:val="auto"/>
                <w:sz w:val="20"/>
                <w:szCs w:val="20"/>
                <w:highlight w:val="none"/>
              </w:rPr>
              <w:t>开挖过程中有岩爆发生，有岩块弹出，洞壁岩体发生剥离，新生裂隙多，成洞条件差</w:t>
            </w:r>
          </w:p>
        </w:tc>
        <w:tc>
          <w:tcPr>
            <w:tcW w:w="1142" w:type="dxa"/>
            <w:vMerge w:val="restart"/>
            <w:tcBorders>
              <w:top w:val="single" w:color="000000" w:sz="4" w:space="0"/>
              <w:left w:val="single" w:color="000000" w:sz="4" w:space="0"/>
              <w:bottom w:val="single" w:color="000000" w:sz="4" w:space="0"/>
              <w:right w:val="single" w:color="000000" w:sz="12"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&lt;4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vMerge w:val="continue"/>
            <w:tcBorders>
              <w:top w:val="single" w:color="000000" w:sz="4" w:space="0"/>
              <w:left w:val="single" w:color="000000" w:sz="12" w:space="0"/>
              <w:bottom w:val="single" w:color="000000" w:sz="12" w:space="0"/>
              <w:right w:val="single" w:color="000000" w:sz="4" w:space="0"/>
            </w:tcBorders>
            <w:vAlign w:val="center"/>
          </w:tcPr>
          <w:p>
            <w:pPr>
              <w:autoSpaceDE w:val="0"/>
              <w:autoSpaceDN w:val="0"/>
              <w:adjustRightInd w:val="0"/>
              <w:jc w:val="center"/>
              <w:rPr>
                <w:color w:val="auto"/>
                <w:sz w:val="20"/>
                <w:szCs w:val="20"/>
                <w:highlight w:val="none"/>
              </w:rPr>
            </w:pPr>
          </w:p>
        </w:tc>
        <w:tc>
          <w:tcPr>
            <w:tcW w:w="1020" w:type="dxa"/>
            <w:tcBorders>
              <w:top w:val="single" w:color="000000" w:sz="4" w:space="0"/>
              <w:left w:val="single" w:color="000000" w:sz="4" w:space="0"/>
              <w:bottom w:val="single" w:color="000000" w:sz="12" w:space="0"/>
              <w:right w:val="single" w:color="000000" w:sz="4" w:space="0"/>
            </w:tcBorders>
            <w:vAlign w:val="center"/>
          </w:tcPr>
          <w:p>
            <w:pPr>
              <w:autoSpaceDE w:val="0"/>
              <w:autoSpaceDN w:val="0"/>
              <w:adjustRightInd w:val="0"/>
              <w:jc w:val="center"/>
              <w:rPr>
                <w:color w:val="auto"/>
                <w:sz w:val="20"/>
                <w:szCs w:val="20"/>
                <w:highlight w:val="none"/>
              </w:rPr>
            </w:pPr>
            <w:r>
              <w:rPr>
                <w:rFonts w:hint="eastAsia"/>
                <w:color w:val="auto"/>
                <w:sz w:val="20"/>
                <w:szCs w:val="20"/>
                <w:highlight w:val="none"/>
              </w:rPr>
              <w:t>软质岩</w:t>
            </w:r>
          </w:p>
        </w:tc>
        <w:tc>
          <w:tcPr>
            <w:tcW w:w="5070" w:type="dxa"/>
            <w:tcBorders>
              <w:top w:val="single" w:color="000000" w:sz="4" w:space="0"/>
              <w:left w:val="single" w:color="000000" w:sz="4" w:space="0"/>
              <w:bottom w:val="single" w:color="000000" w:sz="12" w:space="0"/>
              <w:right w:val="single" w:color="000000" w:sz="4" w:space="0"/>
            </w:tcBorders>
            <w:vAlign w:val="center"/>
          </w:tcPr>
          <w:p>
            <w:pPr>
              <w:autoSpaceDE w:val="0"/>
              <w:autoSpaceDN w:val="0"/>
              <w:adjustRightInd w:val="0"/>
              <w:jc w:val="left"/>
              <w:rPr>
                <w:color w:val="auto"/>
                <w:sz w:val="20"/>
                <w:szCs w:val="20"/>
                <w:highlight w:val="none"/>
              </w:rPr>
            </w:pPr>
            <w:r>
              <w:rPr>
                <w:rFonts w:hint="eastAsia"/>
                <w:color w:val="auto"/>
                <w:sz w:val="20"/>
                <w:szCs w:val="20"/>
                <w:highlight w:val="none"/>
              </w:rPr>
              <w:t>岩芯时常有饼化现象，开挖过程中洞壁岩体有剥离，位移极为显著，甚至发生大位移，持续时间长，不易成洞</w:t>
            </w:r>
          </w:p>
        </w:tc>
        <w:tc>
          <w:tcPr>
            <w:tcW w:w="1142" w:type="dxa"/>
            <w:vMerge w:val="continue"/>
            <w:tcBorders>
              <w:top w:val="single" w:color="000000" w:sz="4" w:space="0"/>
              <w:left w:val="single" w:color="000000" w:sz="4" w:space="0"/>
              <w:bottom w:val="single" w:color="000000" w:sz="12" w:space="0"/>
              <w:right w:val="single" w:color="000000" w:sz="12" w:space="0"/>
            </w:tcBorders>
            <w:vAlign w:val="center"/>
          </w:tcPr>
          <w:p>
            <w:pPr>
              <w:autoSpaceDE w:val="0"/>
              <w:autoSpaceDN w:val="0"/>
              <w:adjustRightInd w:val="0"/>
              <w:jc w:val="center"/>
              <w:rPr>
                <w:color w:val="auto"/>
                <w:sz w:val="20"/>
                <w:szCs w:val="20"/>
                <w:highlight w:val="none"/>
              </w:rPr>
            </w:pPr>
          </w:p>
        </w:tc>
      </w:tr>
    </w:tbl>
    <w:p>
      <w:pPr>
        <w:tabs>
          <w:tab w:val="center" w:pos="4410"/>
          <w:tab w:val="right" w:pos="9240"/>
        </w:tabs>
        <w:autoSpaceDE w:val="0"/>
        <w:autoSpaceDN w:val="0"/>
        <w:adjustRightInd w:val="0"/>
        <w:snapToGrid w:val="0"/>
        <w:spacing w:line="360" w:lineRule="auto"/>
        <w:ind w:left="820" w:leftChars="200" w:hanging="400" w:hangingChars="200"/>
        <w:jc w:val="left"/>
        <w:rPr>
          <w:color w:val="auto"/>
          <w:sz w:val="20"/>
          <w:szCs w:val="20"/>
          <w:highlight w:val="none"/>
        </w:rPr>
      </w:pPr>
      <w:r>
        <w:rPr>
          <w:rFonts w:hint="eastAsia"/>
          <w:color w:val="auto"/>
          <w:sz w:val="20"/>
          <w:szCs w:val="20"/>
          <w:highlight w:val="none"/>
        </w:rPr>
        <w:t>注：</w:t>
      </w:r>
      <w:r>
        <w:rPr>
          <w:rFonts w:hint="eastAsia"/>
          <w:i/>
          <w:iCs/>
          <w:color w:val="auto"/>
          <w:sz w:val="20"/>
          <w:szCs w:val="21"/>
          <w:highlight w:val="none"/>
        </w:rPr>
        <w:t>f</w:t>
      </w:r>
      <w:r>
        <w:rPr>
          <w:rFonts w:hint="eastAsia"/>
          <w:color w:val="auto"/>
          <w:sz w:val="20"/>
          <w:szCs w:val="21"/>
          <w:highlight w:val="none"/>
          <w:vertAlign w:val="subscript"/>
        </w:rPr>
        <w:t>r</w:t>
      </w:r>
      <w:r>
        <w:rPr>
          <w:rFonts w:hint="eastAsia"/>
          <w:color w:val="auto"/>
          <w:sz w:val="20"/>
          <w:szCs w:val="20"/>
          <w:highlight w:val="none"/>
        </w:rPr>
        <w:t>为岩石饱和单轴抗压强度(MPa)，</w:t>
      </w:r>
      <w:r>
        <w:rPr>
          <w:rFonts w:hint="eastAsia" w:ascii="微软雅黑" w:hAnsi="微软雅黑" w:eastAsia="微软雅黑" w:cs="微软雅黑"/>
          <w:i/>
          <w:iCs/>
          <w:color w:val="auto"/>
          <w:sz w:val="20"/>
          <w:szCs w:val="20"/>
          <w:highlight w:val="none"/>
        </w:rPr>
        <w:t>σ</w:t>
      </w:r>
      <w:r>
        <w:rPr>
          <w:rFonts w:hint="eastAsia"/>
          <w:color w:val="auto"/>
          <w:sz w:val="20"/>
          <w:szCs w:val="20"/>
          <w:highlight w:val="none"/>
          <w:vertAlign w:val="subscript"/>
        </w:rPr>
        <w:t>max</w:t>
      </w:r>
      <w:r>
        <w:rPr>
          <w:rFonts w:hint="eastAsia"/>
          <w:color w:val="auto"/>
          <w:sz w:val="20"/>
          <w:szCs w:val="20"/>
          <w:highlight w:val="none"/>
        </w:rPr>
        <w:t>为垂直洞轴线方向的最大初始地应力值(MPa)。</w:t>
      </w:r>
    </w:p>
    <w:p>
      <w:pPr>
        <w:tabs>
          <w:tab w:val="center" w:pos="4410"/>
          <w:tab w:val="right" w:pos="9240"/>
        </w:tabs>
        <w:autoSpaceDE w:val="0"/>
        <w:autoSpaceDN w:val="0"/>
        <w:adjustRightInd w:val="0"/>
        <w:spacing w:line="360" w:lineRule="auto"/>
        <w:rPr>
          <w:color w:val="auto"/>
          <w:szCs w:val="21"/>
          <w:highlight w:val="none"/>
        </w:rPr>
      </w:pPr>
      <w:r>
        <w:rPr>
          <w:rFonts w:hint="eastAsia"/>
          <w:color w:val="auto"/>
          <w:szCs w:val="21"/>
          <w:highlight w:val="none"/>
        </w:rPr>
        <w:br w:type="page"/>
      </w:r>
    </w:p>
    <w:p>
      <w:pPr>
        <w:pStyle w:val="2"/>
        <w:rPr>
          <w:b/>
          <w:bCs/>
          <w:color w:val="auto"/>
          <w:sz w:val="32"/>
          <w:szCs w:val="32"/>
          <w:highlight w:val="none"/>
        </w:rPr>
      </w:pPr>
      <w:bookmarkStart w:id="301" w:name="_Toc24813"/>
      <w:bookmarkStart w:id="302" w:name="_Toc20581"/>
      <w:bookmarkStart w:id="303" w:name="_Toc27489"/>
      <w:r>
        <w:rPr>
          <w:b/>
          <w:bCs/>
          <w:color w:val="auto"/>
          <w:sz w:val="32"/>
          <w:szCs w:val="32"/>
          <w:highlight w:val="none"/>
        </w:rPr>
        <w:t>附录</w:t>
      </w:r>
      <w:r>
        <w:rPr>
          <w:rFonts w:hint="eastAsia"/>
          <w:b/>
          <w:bCs/>
          <w:color w:val="auto"/>
          <w:sz w:val="32"/>
          <w:szCs w:val="32"/>
          <w:highlight w:val="none"/>
        </w:rPr>
        <w:t>G</w:t>
      </w:r>
      <w:r>
        <w:rPr>
          <w:rFonts w:hint="eastAsia"/>
          <w:b/>
          <w:bCs/>
          <w:color w:val="auto"/>
          <w:szCs w:val="21"/>
          <w:highlight w:val="none"/>
        </w:rPr>
        <w:t>　</w:t>
      </w:r>
      <w:r>
        <w:rPr>
          <w:b/>
          <w:bCs/>
          <w:color w:val="auto"/>
          <w:sz w:val="32"/>
          <w:szCs w:val="32"/>
          <w:highlight w:val="none"/>
        </w:rPr>
        <w:t>土石工程分级</w:t>
      </w:r>
      <w:bookmarkEnd w:id="301"/>
      <w:bookmarkEnd w:id="302"/>
      <w:bookmarkEnd w:id="303"/>
    </w:p>
    <w:p>
      <w:pPr>
        <w:spacing w:line="360" w:lineRule="auto"/>
        <w:jc w:val="left"/>
        <w:rPr>
          <w:color w:val="auto"/>
          <w:szCs w:val="21"/>
          <w:highlight w:val="none"/>
        </w:rPr>
      </w:pPr>
      <w:r>
        <w:rPr>
          <w:rFonts w:hint="eastAsia"/>
          <w:b/>
          <w:bCs/>
          <w:color w:val="auto"/>
          <w:szCs w:val="21"/>
          <w:highlight w:val="none"/>
        </w:rPr>
        <w:t>G</w:t>
      </w:r>
      <w:r>
        <w:rPr>
          <w:b/>
          <w:bCs/>
          <w:color w:val="auto"/>
          <w:szCs w:val="21"/>
          <w:highlight w:val="none"/>
        </w:rPr>
        <w:t>.0.1</w:t>
      </w:r>
      <w:r>
        <w:rPr>
          <w:rFonts w:hint="eastAsia"/>
          <w:b/>
          <w:bCs/>
          <w:color w:val="auto"/>
          <w:szCs w:val="21"/>
          <w:highlight w:val="none"/>
        </w:rPr>
        <w:t>　</w:t>
      </w:r>
      <w:r>
        <w:rPr>
          <w:rFonts w:hint="eastAsia"/>
          <w:color w:val="auto"/>
          <w:szCs w:val="21"/>
          <w:highlight w:val="none"/>
        </w:rPr>
        <w:t>土</w:t>
      </w:r>
      <w:r>
        <w:rPr>
          <w:color w:val="auto"/>
          <w:szCs w:val="21"/>
          <w:highlight w:val="none"/>
        </w:rPr>
        <w:t>、石工程分级</w:t>
      </w:r>
      <w:r>
        <w:rPr>
          <w:rFonts w:hint="eastAsia"/>
          <w:color w:val="auto"/>
          <w:szCs w:val="21"/>
          <w:highlight w:val="none"/>
        </w:rPr>
        <w:t>也称岩土施工工程分级。</w:t>
      </w:r>
      <w:r>
        <w:rPr>
          <w:color w:val="auto"/>
          <w:szCs w:val="21"/>
          <w:highlight w:val="none"/>
        </w:rPr>
        <w:t>涉及土石方开挖的市政工程项目，土、石工程分级应</w:t>
      </w:r>
      <w:r>
        <w:rPr>
          <w:rFonts w:hint="eastAsia"/>
          <w:color w:val="auto"/>
          <w:szCs w:val="21"/>
          <w:highlight w:val="none"/>
        </w:rPr>
        <w:t>符合</w:t>
      </w:r>
      <w:r>
        <w:rPr>
          <w:color w:val="auto"/>
          <w:szCs w:val="21"/>
          <w:highlight w:val="none"/>
        </w:rPr>
        <w:t>表</w:t>
      </w:r>
      <w:r>
        <w:rPr>
          <w:rFonts w:hint="eastAsia"/>
          <w:color w:val="auto"/>
          <w:szCs w:val="21"/>
          <w:highlight w:val="none"/>
        </w:rPr>
        <w:t>G的规定</w:t>
      </w:r>
      <w:r>
        <w:rPr>
          <w:color w:val="auto"/>
          <w:szCs w:val="21"/>
          <w:highlight w:val="none"/>
        </w:rPr>
        <w:t>。</w:t>
      </w:r>
    </w:p>
    <w:p>
      <w:pPr>
        <w:spacing w:line="360" w:lineRule="auto"/>
        <w:jc w:val="center"/>
        <w:rPr>
          <w:b/>
          <w:bCs/>
          <w:color w:val="auto"/>
          <w:highlight w:val="none"/>
        </w:rPr>
      </w:pPr>
      <w:r>
        <w:rPr>
          <w:b/>
          <w:bCs/>
          <w:color w:val="auto"/>
          <w:szCs w:val="21"/>
          <w:highlight w:val="none"/>
        </w:rPr>
        <w:t>表</w:t>
      </w:r>
      <w:r>
        <w:rPr>
          <w:rFonts w:hint="eastAsia"/>
          <w:b/>
          <w:bCs/>
          <w:color w:val="auto"/>
          <w:szCs w:val="21"/>
          <w:highlight w:val="none"/>
        </w:rPr>
        <w:t>G　</w:t>
      </w:r>
      <w:r>
        <w:rPr>
          <w:b/>
          <w:bCs/>
          <w:color w:val="auto"/>
          <w:szCs w:val="21"/>
          <w:highlight w:val="none"/>
        </w:rPr>
        <w:t>土、石工程分级</w:t>
      </w:r>
    </w:p>
    <w:tbl>
      <w:tblPr>
        <w:tblStyle w:val="22"/>
        <w:tblW w:w="8290" w:type="dxa"/>
        <w:jc w:val="center"/>
        <w:tblLayout w:type="fixed"/>
        <w:tblCellMar>
          <w:top w:w="0" w:type="dxa"/>
          <w:left w:w="108" w:type="dxa"/>
          <w:bottom w:w="0" w:type="dxa"/>
          <w:right w:w="108" w:type="dxa"/>
        </w:tblCellMar>
      </w:tblPr>
      <w:tblGrid>
        <w:gridCol w:w="787"/>
        <w:gridCol w:w="768"/>
        <w:gridCol w:w="3827"/>
        <w:gridCol w:w="2908"/>
      </w:tblGrid>
      <w:tr>
        <w:tblPrEx>
          <w:tblCellMar>
            <w:top w:w="0" w:type="dxa"/>
            <w:left w:w="108" w:type="dxa"/>
            <w:bottom w:w="0" w:type="dxa"/>
            <w:right w:w="108" w:type="dxa"/>
          </w:tblCellMar>
        </w:tblPrEx>
        <w:trPr>
          <w:trHeight w:val="465" w:hRule="atLeast"/>
          <w:jc w:val="center"/>
        </w:trPr>
        <w:tc>
          <w:tcPr>
            <w:tcW w:w="787" w:type="dxa"/>
            <w:tcBorders>
              <w:top w:val="single" w:color="000000" w:sz="12" w:space="0"/>
              <w:left w:val="single" w:color="000000" w:sz="12" w:space="0"/>
              <w:bottom w:val="single" w:color="000000" w:sz="4" w:space="0"/>
              <w:right w:val="single" w:color="000000" w:sz="4" w:space="0"/>
            </w:tcBorders>
            <w:shd w:val="clear" w:color="000000" w:fill="FFFFFF"/>
            <w:vAlign w:val="center"/>
          </w:tcPr>
          <w:p>
            <w:pPr>
              <w:widowControl/>
              <w:ind w:left="-105" w:leftChars="-50" w:right="-105" w:rightChars="-50"/>
              <w:jc w:val="center"/>
              <w:rPr>
                <w:color w:val="auto"/>
                <w:kern w:val="0"/>
                <w:sz w:val="18"/>
                <w:szCs w:val="18"/>
                <w:highlight w:val="none"/>
              </w:rPr>
            </w:pPr>
            <w:r>
              <w:rPr>
                <w:color w:val="auto"/>
                <w:kern w:val="0"/>
                <w:sz w:val="18"/>
                <w:szCs w:val="18"/>
                <w:highlight w:val="none"/>
              </w:rPr>
              <w:t>土石</w:t>
            </w:r>
            <w:r>
              <w:rPr>
                <w:rFonts w:hint="eastAsia"/>
                <w:color w:val="auto"/>
                <w:kern w:val="0"/>
                <w:sz w:val="18"/>
                <w:szCs w:val="18"/>
                <w:highlight w:val="none"/>
              </w:rPr>
              <w:t>等</w:t>
            </w:r>
            <w:r>
              <w:rPr>
                <w:color w:val="auto"/>
                <w:kern w:val="0"/>
                <w:sz w:val="18"/>
                <w:szCs w:val="18"/>
                <w:highlight w:val="none"/>
              </w:rPr>
              <w:t>级</w:t>
            </w:r>
          </w:p>
        </w:tc>
        <w:tc>
          <w:tcPr>
            <w:tcW w:w="768" w:type="dxa"/>
            <w:tcBorders>
              <w:top w:val="single" w:color="000000" w:sz="12" w:space="0"/>
              <w:left w:val="single" w:color="000000" w:sz="4" w:space="0"/>
              <w:bottom w:val="single" w:color="000000" w:sz="4" w:space="0"/>
              <w:right w:val="single" w:color="000000" w:sz="4" w:space="0"/>
            </w:tcBorders>
            <w:shd w:val="clear" w:color="000000" w:fill="FFFFFF"/>
            <w:vAlign w:val="center"/>
          </w:tcPr>
          <w:p>
            <w:pPr>
              <w:widowControl/>
              <w:ind w:left="-105" w:leftChars="-50" w:right="-105" w:rightChars="-50"/>
              <w:jc w:val="center"/>
              <w:rPr>
                <w:color w:val="auto"/>
                <w:kern w:val="0"/>
                <w:sz w:val="18"/>
                <w:szCs w:val="18"/>
                <w:highlight w:val="none"/>
              </w:rPr>
            </w:pPr>
            <w:r>
              <w:rPr>
                <w:rFonts w:hint="eastAsia"/>
                <w:color w:val="auto"/>
                <w:kern w:val="0"/>
                <w:sz w:val="18"/>
                <w:szCs w:val="18"/>
                <w:highlight w:val="none"/>
              </w:rPr>
              <w:t>土石类别</w:t>
            </w:r>
          </w:p>
        </w:tc>
        <w:tc>
          <w:tcPr>
            <w:tcW w:w="3827" w:type="dxa"/>
            <w:tcBorders>
              <w:top w:val="single" w:color="000000" w:sz="12" w:space="0"/>
              <w:left w:val="single" w:color="000000" w:sz="4" w:space="0"/>
              <w:bottom w:val="single" w:color="000000" w:sz="4" w:space="0"/>
              <w:right w:val="single" w:color="000000" w:sz="4" w:space="0"/>
            </w:tcBorders>
            <w:shd w:val="clear" w:color="000000" w:fill="FFFFFF"/>
            <w:vAlign w:val="center"/>
          </w:tcPr>
          <w:p>
            <w:pPr>
              <w:widowControl/>
              <w:jc w:val="center"/>
              <w:rPr>
                <w:color w:val="auto"/>
                <w:kern w:val="0"/>
                <w:sz w:val="18"/>
                <w:szCs w:val="18"/>
                <w:highlight w:val="none"/>
              </w:rPr>
            </w:pPr>
            <w:r>
              <w:rPr>
                <w:color w:val="auto"/>
                <w:kern w:val="0"/>
                <w:sz w:val="18"/>
                <w:szCs w:val="18"/>
                <w:highlight w:val="none"/>
              </w:rPr>
              <w:t>土、石的名称或特性</w:t>
            </w:r>
          </w:p>
        </w:tc>
        <w:tc>
          <w:tcPr>
            <w:tcW w:w="2908" w:type="dxa"/>
            <w:tcBorders>
              <w:top w:val="single" w:color="000000" w:sz="12" w:space="0"/>
              <w:left w:val="single" w:color="000000" w:sz="4" w:space="0"/>
              <w:bottom w:val="single" w:color="000000" w:sz="4" w:space="0"/>
              <w:right w:val="single" w:color="000000" w:sz="12" w:space="0"/>
            </w:tcBorders>
            <w:shd w:val="clear" w:color="000000" w:fill="FFFFFF"/>
            <w:vAlign w:val="center"/>
          </w:tcPr>
          <w:p>
            <w:pPr>
              <w:widowControl/>
              <w:jc w:val="center"/>
              <w:rPr>
                <w:color w:val="auto"/>
                <w:kern w:val="0"/>
                <w:sz w:val="18"/>
                <w:szCs w:val="18"/>
                <w:highlight w:val="none"/>
              </w:rPr>
            </w:pPr>
            <w:r>
              <w:rPr>
                <w:color w:val="auto"/>
                <w:kern w:val="0"/>
                <w:sz w:val="18"/>
                <w:szCs w:val="18"/>
                <w:highlight w:val="none"/>
              </w:rPr>
              <w:t>开挖方法及工具</w:t>
            </w:r>
          </w:p>
        </w:tc>
      </w:tr>
      <w:tr>
        <w:tblPrEx>
          <w:tblCellMar>
            <w:top w:w="0" w:type="dxa"/>
            <w:left w:w="108" w:type="dxa"/>
            <w:bottom w:w="0" w:type="dxa"/>
            <w:right w:w="108" w:type="dxa"/>
          </w:tblCellMar>
        </w:tblPrEx>
        <w:trPr>
          <w:trHeight w:val="615" w:hRule="atLeast"/>
          <w:jc w:val="center"/>
        </w:trPr>
        <w:tc>
          <w:tcPr>
            <w:tcW w:w="787" w:type="dxa"/>
            <w:vMerge w:val="restart"/>
            <w:tcBorders>
              <w:top w:val="single" w:color="000000" w:sz="4" w:space="0"/>
              <w:left w:val="single" w:color="000000" w:sz="12" w:space="0"/>
              <w:bottom w:val="single" w:color="000000" w:sz="4" w:space="0"/>
              <w:right w:val="single" w:color="000000" w:sz="4" w:space="0"/>
            </w:tcBorders>
            <w:shd w:val="clear" w:color="000000" w:fill="FFFFFF"/>
            <w:vAlign w:val="center"/>
          </w:tcPr>
          <w:p>
            <w:pPr>
              <w:widowControl/>
              <w:jc w:val="center"/>
              <w:rPr>
                <w:color w:val="auto"/>
                <w:kern w:val="0"/>
                <w:sz w:val="18"/>
                <w:szCs w:val="18"/>
                <w:highlight w:val="none"/>
              </w:rPr>
            </w:pPr>
            <w:r>
              <w:rPr>
                <w:color w:val="auto"/>
                <w:kern w:val="0"/>
                <w:sz w:val="18"/>
                <w:szCs w:val="18"/>
                <w:highlight w:val="none"/>
              </w:rPr>
              <w:t>Ⅰ</w:t>
            </w:r>
          </w:p>
        </w:tc>
        <w:tc>
          <w:tcPr>
            <w:tcW w:w="768"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color w:val="auto"/>
                <w:kern w:val="0"/>
                <w:sz w:val="18"/>
                <w:szCs w:val="18"/>
                <w:highlight w:val="none"/>
              </w:rPr>
            </w:pPr>
            <w:r>
              <w:rPr>
                <w:color w:val="auto"/>
                <w:kern w:val="0"/>
                <w:sz w:val="18"/>
                <w:szCs w:val="18"/>
                <w:highlight w:val="none"/>
              </w:rPr>
              <w:t>松土</w:t>
            </w:r>
          </w:p>
        </w:tc>
        <w:tc>
          <w:tcPr>
            <w:tcW w:w="3827"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spacing w:before="62" w:beforeLines="20" w:after="62" w:afterLines="20"/>
              <w:jc w:val="left"/>
              <w:rPr>
                <w:color w:val="auto"/>
                <w:kern w:val="0"/>
                <w:sz w:val="18"/>
                <w:szCs w:val="18"/>
                <w:highlight w:val="none"/>
              </w:rPr>
            </w:pPr>
            <w:r>
              <w:rPr>
                <w:color w:val="auto"/>
                <w:kern w:val="0"/>
                <w:sz w:val="18"/>
                <w:szCs w:val="18"/>
                <w:highlight w:val="none"/>
              </w:rPr>
              <w:t>疏松的耕植土，冲填土；淤泥、淤泥质黏性土、泥炭土；流塑的黏性土；粉土、粉砂、细砂、中砂、粗砂、砾砂、淤泥质砂；弱盐渍土</w:t>
            </w:r>
          </w:p>
        </w:tc>
        <w:tc>
          <w:tcPr>
            <w:tcW w:w="2908" w:type="dxa"/>
            <w:tcBorders>
              <w:top w:val="single" w:color="000000" w:sz="4" w:space="0"/>
              <w:left w:val="single" w:color="000000" w:sz="4" w:space="0"/>
              <w:bottom w:val="single" w:color="000000" w:sz="4" w:space="0"/>
              <w:right w:val="single" w:color="000000" w:sz="12" w:space="0"/>
            </w:tcBorders>
            <w:shd w:val="clear" w:color="000000" w:fill="FFFFFF"/>
            <w:vAlign w:val="center"/>
          </w:tcPr>
          <w:p>
            <w:pPr>
              <w:widowControl/>
              <w:spacing w:before="62" w:beforeLines="20" w:after="62" w:afterLines="20"/>
              <w:jc w:val="left"/>
              <w:rPr>
                <w:color w:val="auto"/>
                <w:kern w:val="0"/>
                <w:sz w:val="18"/>
                <w:szCs w:val="18"/>
                <w:highlight w:val="none"/>
              </w:rPr>
            </w:pPr>
            <w:r>
              <w:rPr>
                <w:color w:val="auto"/>
                <w:kern w:val="0"/>
                <w:sz w:val="18"/>
                <w:szCs w:val="18"/>
                <w:highlight w:val="none"/>
              </w:rPr>
              <w:t>用锹、锄头挖掘，少许用脚蹬，机械能全部直接铲挖满载</w:t>
            </w:r>
          </w:p>
        </w:tc>
      </w:tr>
      <w:tr>
        <w:tblPrEx>
          <w:tblCellMar>
            <w:top w:w="0" w:type="dxa"/>
            <w:left w:w="108" w:type="dxa"/>
            <w:bottom w:w="0" w:type="dxa"/>
            <w:right w:w="108" w:type="dxa"/>
          </w:tblCellMar>
        </w:tblPrEx>
        <w:trPr>
          <w:trHeight w:val="675" w:hRule="atLeast"/>
          <w:jc w:val="center"/>
        </w:trPr>
        <w:tc>
          <w:tcPr>
            <w:tcW w:w="787" w:type="dxa"/>
            <w:vMerge w:val="continue"/>
            <w:tcBorders>
              <w:top w:val="single" w:color="000000" w:sz="4" w:space="0"/>
              <w:left w:val="single" w:color="000000" w:sz="12" w:space="0"/>
              <w:bottom w:val="single" w:color="000000" w:sz="4" w:space="0"/>
              <w:right w:val="single" w:color="000000" w:sz="4" w:space="0"/>
            </w:tcBorders>
            <w:shd w:val="clear" w:color="000000" w:fill="FFFFFF"/>
            <w:vAlign w:val="center"/>
          </w:tcPr>
          <w:p>
            <w:pPr>
              <w:widowControl/>
              <w:jc w:val="center"/>
              <w:rPr>
                <w:color w:val="auto"/>
                <w:kern w:val="0"/>
                <w:sz w:val="18"/>
                <w:szCs w:val="18"/>
                <w:highlight w:val="none"/>
              </w:rPr>
            </w:pPr>
          </w:p>
        </w:tc>
        <w:tc>
          <w:tcPr>
            <w:tcW w:w="768"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color w:val="auto"/>
                <w:kern w:val="0"/>
                <w:sz w:val="18"/>
                <w:szCs w:val="18"/>
                <w:highlight w:val="none"/>
              </w:rPr>
            </w:pPr>
          </w:p>
        </w:tc>
        <w:tc>
          <w:tcPr>
            <w:tcW w:w="3827"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spacing w:before="62" w:beforeLines="20" w:after="62" w:afterLines="20"/>
              <w:jc w:val="left"/>
              <w:rPr>
                <w:color w:val="auto"/>
                <w:kern w:val="0"/>
                <w:sz w:val="18"/>
                <w:szCs w:val="18"/>
                <w:highlight w:val="none"/>
              </w:rPr>
            </w:pPr>
            <w:r>
              <w:rPr>
                <w:color w:val="auto"/>
                <w:kern w:val="0"/>
                <w:sz w:val="18"/>
                <w:szCs w:val="18"/>
                <w:highlight w:val="none"/>
              </w:rPr>
              <w:t>软塑、可塑的黏性土；碎石质砂，卵石质砂；欠压实的填土；中盐渍土</w:t>
            </w:r>
          </w:p>
        </w:tc>
        <w:tc>
          <w:tcPr>
            <w:tcW w:w="2908" w:type="dxa"/>
            <w:tcBorders>
              <w:top w:val="single" w:color="000000" w:sz="4" w:space="0"/>
              <w:left w:val="single" w:color="000000" w:sz="4" w:space="0"/>
              <w:bottom w:val="single" w:color="000000" w:sz="4" w:space="0"/>
              <w:right w:val="single" w:color="000000" w:sz="12" w:space="0"/>
            </w:tcBorders>
            <w:shd w:val="clear" w:color="000000" w:fill="FFFFFF"/>
            <w:vAlign w:val="center"/>
          </w:tcPr>
          <w:p>
            <w:pPr>
              <w:widowControl/>
              <w:spacing w:before="62" w:beforeLines="20" w:after="62" w:afterLines="20"/>
              <w:jc w:val="left"/>
              <w:rPr>
                <w:color w:val="auto"/>
                <w:kern w:val="0"/>
                <w:sz w:val="18"/>
                <w:szCs w:val="18"/>
                <w:highlight w:val="none"/>
              </w:rPr>
            </w:pPr>
            <w:r>
              <w:rPr>
                <w:color w:val="auto"/>
                <w:kern w:val="0"/>
                <w:sz w:val="18"/>
                <w:szCs w:val="18"/>
                <w:highlight w:val="none"/>
              </w:rPr>
              <w:t>用锹、锄头挖掘，用脚蹬一下到底，少许用镐翻松，机械能全部直接铲挖满载</w:t>
            </w:r>
          </w:p>
        </w:tc>
      </w:tr>
      <w:tr>
        <w:tblPrEx>
          <w:tblCellMar>
            <w:top w:w="0" w:type="dxa"/>
            <w:left w:w="108" w:type="dxa"/>
            <w:bottom w:w="0" w:type="dxa"/>
            <w:right w:w="108" w:type="dxa"/>
          </w:tblCellMar>
        </w:tblPrEx>
        <w:trPr>
          <w:trHeight w:val="1122" w:hRule="atLeast"/>
          <w:jc w:val="center"/>
        </w:trPr>
        <w:tc>
          <w:tcPr>
            <w:tcW w:w="787" w:type="dxa"/>
            <w:tcBorders>
              <w:top w:val="single" w:color="000000" w:sz="4" w:space="0"/>
              <w:left w:val="single" w:color="000000" w:sz="12" w:space="0"/>
              <w:bottom w:val="single" w:color="000000" w:sz="4" w:space="0"/>
              <w:right w:val="single" w:color="000000" w:sz="4" w:space="0"/>
            </w:tcBorders>
            <w:shd w:val="clear" w:color="000000" w:fill="FFFFFF"/>
            <w:vAlign w:val="center"/>
          </w:tcPr>
          <w:p>
            <w:pPr>
              <w:widowControl/>
              <w:jc w:val="center"/>
              <w:rPr>
                <w:color w:val="auto"/>
                <w:kern w:val="0"/>
                <w:sz w:val="18"/>
                <w:szCs w:val="18"/>
                <w:highlight w:val="none"/>
              </w:rPr>
            </w:pPr>
            <w:r>
              <w:rPr>
                <w:color w:val="auto"/>
                <w:kern w:val="0"/>
                <w:sz w:val="18"/>
                <w:szCs w:val="18"/>
                <w:highlight w:val="none"/>
              </w:rPr>
              <w:t>Ⅱ</w:t>
            </w:r>
          </w:p>
        </w:tc>
        <w:tc>
          <w:tcPr>
            <w:tcW w:w="76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color w:val="auto"/>
                <w:kern w:val="0"/>
                <w:sz w:val="18"/>
                <w:szCs w:val="18"/>
                <w:highlight w:val="none"/>
              </w:rPr>
            </w:pPr>
            <w:r>
              <w:rPr>
                <w:color w:val="auto"/>
                <w:kern w:val="0"/>
                <w:sz w:val="18"/>
                <w:szCs w:val="18"/>
                <w:highlight w:val="none"/>
              </w:rPr>
              <w:t>普通土</w:t>
            </w:r>
          </w:p>
        </w:tc>
        <w:tc>
          <w:tcPr>
            <w:tcW w:w="3827"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spacing w:before="62" w:beforeLines="20" w:after="62" w:afterLines="20"/>
              <w:jc w:val="left"/>
              <w:rPr>
                <w:color w:val="auto"/>
                <w:kern w:val="0"/>
                <w:sz w:val="18"/>
                <w:szCs w:val="18"/>
                <w:highlight w:val="none"/>
              </w:rPr>
            </w:pPr>
            <w:r>
              <w:rPr>
                <w:color w:val="auto"/>
                <w:kern w:val="0"/>
                <w:sz w:val="18"/>
                <w:szCs w:val="18"/>
                <w:highlight w:val="none"/>
              </w:rPr>
              <w:t>硬塑的黏性土；含碎石、卵石的可塑黏性土；砾石（圆砾、角砾）；压实的填土、路基填筑土；强盐渍土</w:t>
            </w:r>
          </w:p>
        </w:tc>
        <w:tc>
          <w:tcPr>
            <w:tcW w:w="2908" w:type="dxa"/>
            <w:tcBorders>
              <w:top w:val="single" w:color="000000" w:sz="4" w:space="0"/>
              <w:left w:val="single" w:color="000000" w:sz="4" w:space="0"/>
              <w:bottom w:val="single" w:color="000000" w:sz="4" w:space="0"/>
              <w:right w:val="single" w:color="000000" w:sz="12" w:space="0"/>
            </w:tcBorders>
            <w:shd w:val="clear" w:color="000000" w:fill="FFFFFF"/>
            <w:vAlign w:val="center"/>
          </w:tcPr>
          <w:p>
            <w:pPr>
              <w:widowControl/>
              <w:spacing w:before="62" w:beforeLines="20" w:after="62" w:afterLines="20"/>
              <w:jc w:val="left"/>
              <w:rPr>
                <w:color w:val="auto"/>
                <w:kern w:val="0"/>
                <w:sz w:val="18"/>
                <w:szCs w:val="18"/>
                <w:highlight w:val="none"/>
              </w:rPr>
            </w:pPr>
            <w:r>
              <w:rPr>
                <w:color w:val="auto"/>
                <w:kern w:val="0"/>
                <w:sz w:val="18"/>
                <w:szCs w:val="18"/>
                <w:highlight w:val="none"/>
              </w:rPr>
              <w:t>主要用镐，少许用锹、锄头挖掘，部分用撬棍，机械需部分刨松方能铲挖满载或能直接铲挖但不能满载</w:t>
            </w:r>
          </w:p>
        </w:tc>
      </w:tr>
      <w:tr>
        <w:tblPrEx>
          <w:tblCellMar>
            <w:top w:w="0" w:type="dxa"/>
            <w:left w:w="108" w:type="dxa"/>
            <w:bottom w:w="0" w:type="dxa"/>
            <w:right w:w="108" w:type="dxa"/>
          </w:tblCellMar>
        </w:tblPrEx>
        <w:trPr>
          <w:trHeight w:val="910" w:hRule="atLeast"/>
          <w:jc w:val="center"/>
        </w:trPr>
        <w:tc>
          <w:tcPr>
            <w:tcW w:w="787" w:type="dxa"/>
            <w:vMerge w:val="restart"/>
            <w:tcBorders>
              <w:top w:val="single" w:color="000000" w:sz="4" w:space="0"/>
              <w:left w:val="single" w:color="000000" w:sz="12" w:space="0"/>
              <w:bottom w:val="single" w:color="000000" w:sz="4" w:space="0"/>
              <w:right w:val="single" w:color="000000" w:sz="4" w:space="0"/>
            </w:tcBorders>
            <w:shd w:val="clear" w:color="000000" w:fill="FFFFFF"/>
            <w:vAlign w:val="center"/>
          </w:tcPr>
          <w:p>
            <w:pPr>
              <w:widowControl/>
              <w:jc w:val="center"/>
              <w:rPr>
                <w:color w:val="auto"/>
                <w:kern w:val="0"/>
                <w:sz w:val="18"/>
                <w:szCs w:val="18"/>
                <w:highlight w:val="none"/>
              </w:rPr>
            </w:pPr>
            <w:r>
              <w:rPr>
                <w:color w:val="auto"/>
                <w:kern w:val="0"/>
                <w:sz w:val="18"/>
                <w:szCs w:val="18"/>
                <w:highlight w:val="none"/>
              </w:rPr>
              <w:t>Ⅲ</w:t>
            </w:r>
          </w:p>
        </w:tc>
        <w:tc>
          <w:tcPr>
            <w:tcW w:w="768"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color w:val="auto"/>
                <w:kern w:val="0"/>
                <w:sz w:val="18"/>
                <w:szCs w:val="18"/>
                <w:highlight w:val="none"/>
              </w:rPr>
            </w:pPr>
            <w:r>
              <w:rPr>
                <w:color w:val="auto"/>
                <w:kern w:val="0"/>
                <w:sz w:val="18"/>
                <w:szCs w:val="18"/>
                <w:highlight w:val="none"/>
              </w:rPr>
              <w:t>硬土</w:t>
            </w:r>
          </w:p>
        </w:tc>
        <w:tc>
          <w:tcPr>
            <w:tcW w:w="3827"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spacing w:before="62" w:beforeLines="20" w:after="62" w:afterLines="20"/>
              <w:jc w:val="left"/>
              <w:rPr>
                <w:color w:val="auto"/>
                <w:kern w:val="0"/>
                <w:sz w:val="18"/>
                <w:szCs w:val="18"/>
                <w:highlight w:val="none"/>
              </w:rPr>
            </w:pPr>
            <w:r>
              <w:rPr>
                <w:color w:val="auto"/>
                <w:kern w:val="0"/>
                <w:sz w:val="18"/>
                <w:szCs w:val="18"/>
                <w:highlight w:val="none"/>
              </w:rPr>
              <w:t>坚硬的黏性土；含碎石、卵石的硬塑黏性土；碎石土（卵石、碎石、块石、漂石）、抛石；过（超）盐渍土</w:t>
            </w:r>
          </w:p>
        </w:tc>
        <w:tc>
          <w:tcPr>
            <w:tcW w:w="2908" w:type="dxa"/>
            <w:tcBorders>
              <w:top w:val="single" w:color="000000" w:sz="4" w:space="0"/>
              <w:left w:val="single" w:color="000000" w:sz="4" w:space="0"/>
              <w:bottom w:val="single" w:color="000000" w:sz="4" w:space="0"/>
              <w:right w:val="single" w:color="000000" w:sz="12" w:space="0"/>
            </w:tcBorders>
            <w:shd w:val="clear" w:color="000000" w:fill="FFFFFF"/>
            <w:vAlign w:val="center"/>
          </w:tcPr>
          <w:p>
            <w:pPr>
              <w:widowControl/>
              <w:spacing w:before="62" w:beforeLines="20" w:after="62" w:afterLines="20"/>
              <w:jc w:val="left"/>
              <w:rPr>
                <w:color w:val="auto"/>
                <w:kern w:val="0"/>
                <w:sz w:val="18"/>
                <w:szCs w:val="18"/>
                <w:highlight w:val="none"/>
              </w:rPr>
            </w:pPr>
            <w:r>
              <w:rPr>
                <w:color w:val="auto"/>
                <w:kern w:val="0"/>
                <w:sz w:val="18"/>
                <w:szCs w:val="18"/>
                <w:highlight w:val="none"/>
              </w:rPr>
              <w:t>整个先用镐、撬棍，后用锹挖掘，部分用楔子及大锤；水下开挖时部分需用爆破方法</w:t>
            </w:r>
          </w:p>
        </w:tc>
      </w:tr>
      <w:tr>
        <w:tblPrEx>
          <w:tblCellMar>
            <w:top w:w="0" w:type="dxa"/>
            <w:left w:w="108" w:type="dxa"/>
            <w:bottom w:w="0" w:type="dxa"/>
            <w:right w:w="108" w:type="dxa"/>
          </w:tblCellMar>
        </w:tblPrEx>
        <w:trPr>
          <w:trHeight w:val="610" w:hRule="atLeast"/>
          <w:jc w:val="center"/>
        </w:trPr>
        <w:tc>
          <w:tcPr>
            <w:tcW w:w="787" w:type="dxa"/>
            <w:vMerge w:val="continue"/>
            <w:tcBorders>
              <w:top w:val="single" w:color="000000" w:sz="4" w:space="0"/>
              <w:left w:val="single" w:color="000000" w:sz="12" w:space="0"/>
              <w:bottom w:val="single" w:color="000000" w:sz="4" w:space="0"/>
              <w:right w:val="single" w:color="000000" w:sz="4" w:space="0"/>
            </w:tcBorders>
            <w:shd w:val="clear" w:color="000000" w:fill="FFFFFF"/>
            <w:vAlign w:val="center"/>
          </w:tcPr>
          <w:p>
            <w:pPr>
              <w:jc w:val="center"/>
              <w:rPr>
                <w:color w:val="auto"/>
                <w:kern w:val="0"/>
                <w:sz w:val="18"/>
                <w:szCs w:val="18"/>
                <w:highlight w:val="none"/>
              </w:rPr>
            </w:pPr>
          </w:p>
        </w:tc>
        <w:tc>
          <w:tcPr>
            <w:tcW w:w="768"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pPr>
              <w:jc w:val="center"/>
              <w:rPr>
                <w:color w:val="auto"/>
                <w:kern w:val="0"/>
                <w:sz w:val="18"/>
                <w:szCs w:val="18"/>
                <w:highlight w:val="none"/>
              </w:rPr>
            </w:pPr>
          </w:p>
        </w:tc>
        <w:tc>
          <w:tcPr>
            <w:tcW w:w="3827"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pacing w:before="62" w:beforeLines="20" w:after="62" w:afterLines="20"/>
              <w:jc w:val="left"/>
              <w:rPr>
                <w:color w:val="auto"/>
                <w:kern w:val="0"/>
                <w:sz w:val="18"/>
                <w:szCs w:val="18"/>
                <w:highlight w:val="none"/>
              </w:rPr>
            </w:pPr>
            <w:r>
              <w:rPr>
                <w:color w:val="auto"/>
                <w:kern w:val="0"/>
                <w:sz w:val="18"/>
                <w:szCs w:val="18"/>
                <w:highlight w:val="none"/>
              </w:rPr>
              <w:t xml:space="preserve">全风化岩；岩芯呈土状或半岩半土状的强风化岩 </w:t>
            </w:r>
          </w:p>
        </w:tc>
        <w:tc>
          <w:tcPr>
            <w:tcW w:w="2908" w:type="dxa"/>
            <w:tcBorders>
              <w:top w:val="single" w:color="000000" w:sz="4" w:space="0"/>
              <w:left w:val="single" w:color="000000" w:sz="4" w:space="0"/>
              <w:bottom w:val="single" w:color="000000" w:sz="4" w:space="0"/>
              <w:right w:val="single" w:color="000000" w:sz="12" w:space="0"/>
            </w:tcBorders>
            <w:shd w:val="clear" w:color="000000" w:fill="FFFFFF"/>
            <w:vAlign w:val="center"/>
          </w:tcPr>
          <w:p>
            <w:pPr>
              <w:spacing w:before="62" w:beforeLines="20" w:after="62" w:afterLines="20"/>
              <w:jc w:val="left"/>
              <w:rPr>
                <w:color w:val="auto"/>
                <w:kern w:val="0"/>
                <w:sz w:val="18"/>
                <w:szCs w:val="18"/>
                <w:highlight w:val="none"/>
              </w:rPr>
            </w:pPr>
            <w:r>
              <w:rPr>
                <w:color w:val="auto"/>
                <w:kern w:val="0"/>
                <w:sz w:val="18"/>
                <w:szCs w:val="18"/>
                <w:highlight w:val="none"/>
              </w:rPr>
              <w:t>用镐或撬棍、大锤挖掘；水下开挖时多数需用爆破方法</w:t>
            </w:r>
          </w:p>
        </w:tc>
      </w:tr>
      <w:tr>
        <w:tblPrEx>
          <w:tblCellMar>
            <w:top w:w="0" w:type="dxa"/>
            <w:left w:w="108" w:type="dxa"/>
            <w:bottom w:w="0" w:type="dxa"/>
            <w:right w:w="108" w:type="dxa"/>
          </w:tblCellMar>
        </w:tblPrEx>
        <w:trPr>
          <w:trHeight w:val="597" w:hRule="atLeast"/>
          <w:jc w:val="center"/>
        </w:trPr>
        <w:tc>
          <w:tcPr>
            <w:tcW w:w="787" w:type="dxa"/>
            <w:vMerge w:val="restart"/>
            <w:tcBorders>
              <w:top w:val="single" w:color="000000" w:sz="4" w:space="0"/>
              <w:left w:val="single" w:color="000000" w:sz="12" w:space="0"/>
              <w:bottom w:val="single" w:color="000000" w:sz="4" w:space="0"/>
              <w:right w:val="single" w:color="000000" w:sz="4" w:space="0"/>
            </w:tcBorders>
            <w:shd w:val="clear" w:color="000000" w:fill="FFFFFF"/>
            <w:vAlign w:val="center"/>
          </w:tcPr>
          <w:p>
            <w:pPr>
              <w:jc w:val="center"/>
              <w:rPr>
                <w:color w:val="auto"/>
                <w:kern w:val="0"/>
                <w:sz w:val="18"/>
                <w:szCs w:val="18"/>
                <w:highlight w:val="none"/>
              </w:rPr>
            </w:pPr>
            <w:r>
              <w:rPr>
                <w:color w:val="auto"/>
                <w:kern w:val="0"/>
                <w:sz w:val="18"/>
                <w:szCs w:val="18"/>
                <w:highlight w:val="none"/>
              </w:rPr>
              <w:t>Ⅳ</w:t>
            </w:r>
          </w:p>
        </w:tc>
        <w:tc>
          <w:tcPr>
            <w:tcW w:w="768"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jc w:val="center"/>
              <w:rPr>
                <w:color w:val="auto"/>
                <w:kern w:val="0"/>
                <w:sz w:val="18"/>
                <w:szCs w:val="18"/>
                <w:highlight w:val="none"/>
              </w:rPr>
            </w:pPr>
            <w:r>
              <w:rPr>
                <w:color w:val="auto"/>
                <w:kern w:val="0"/>
                <w:sz w:val="18"/>
                <w:szCs w:val="18"/>
                <w:highlight w:val="none"/>
              </w:rPr>
              <w:t>软石</w:t>
            </w:r>
          </w:p>
        </w:tc>
        <w:tc>
          <w:tcPr>
            <w:tcW w:w="3827"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pacing w:before="62" w:beforeLines="20" w:after="62" w:afterLines="20"/>
              <w:jc w:val="left"/>
              <w:rPr>
                <w:color w:val="auto"/>
                <w:kern w:val="0"/>
                <w:sz w:val="18"/>
                <w:szCs w:val="18"/>
                <w:highlight w:val="none"/>
              </w:rPr>
            </w:pPr>
            <w:r>
              <w:rPr>
                <w:rFonts w:hint="eastAsia"/>
                <w:color w:val="auto"/>
                <w:kern w:val="0"/>
                <w:sz w:val="18"/>
                <w:szCs w:val="18"/>
                <w:highlight w:val="none"/>
              </w:rPr>
              <w:t>极软岩（</w:t>
            </w:r>
            <w:r>
              <w:rPr>
                <w:color w:val="auto"/>
                <w:kern w:val="0"/>
                <w:sz w:val="18"/>
                <w:szCs w:val="18"/>
                <w:highlight w:val="none"/>
              </w:rPr>
              <w:t>碎块状强风化岩；单轴抗压强度</w:t>
            </w:r>
            <w:r>
              <w:rPr>
                <w:rFonts w:hint="eastAsia" w:ascii="宋体" w:hAnsi="宋体" w:cs="宋体"/>
                <w:color w:val="auto"/>
                <w:kern w:val="0"/>
                <w:sz w:val="18"/>
                <w:szCs w:val="18"/>
                <w:highlight w:val="none"/>
              </w:rPr>
              <w:t>≤</w:t>
            </w:r>
            <w:r>
              <w:rPr>
                <w:color w:val="auto"/>
                <w:kern w:val="0"/>
                <w:sz w:val="18"/>
                <w:szCs w:val="18"/>
                <w:highlight w:val="none"/>
              </w:rPr>
              <w:t>5MPa的岩；各种半成岩；石膏</w:t>
            </w:r>
            <w:r>
              <w:rPr>
                <w:rFonts w:hint="eastAsia"/>
                <w:color w:val="auto"/>
                <w:kern w:val="0"/>
                <w:sz w:val="18"/>
                <w:szCs w:val="18"/>
                <w:highlight w:val="none"/>
              </w:rPr>
              <w:t>）</w:t>
            </w:r>
          </w:p>
        </w:tc>
        <w:tc>
          <w:tcPr>
            <w:tcW w:w="2908" w:type="dxa"/>
            <w:tcBorders>
              <w:top w:val="single" w:color="000000" w:sz="4" w:space="0"/>
              <w:left w:val="single" w:color="000000" w:sz="4" w:space="0"/>
              <w:bottom w:val="single" w:color="000000" w:sz="4" w:space="0"/>
              <w:right w:val="single" w:color="000000" w:sz="12" w:space="0"/>
            </w:tcBorders>
            <w:shd w:val="clear" w:color="000000" w:fill="FFFFFF"/>
            <w:vAlign w:val="center"/>
          </w:tcPr>
          <w:p>
            <w:pPr>
              <w:spacing w:before="62" w:beforeLines="20" w:after="62" w:afterLines="20"/>
              <w:jc w:val="left"/>
              <w:rPr>
                <w:color w:val="auto"/>
                <w:kern w:val="0"/>
                <w:sz w:val="18"/>
                <w:szCs w:val="18"/>
                <w:highlight w:val="none"/>
              </w:rPr>
            </w:pPr>
            <w:r>
              <w:rPr>
                <w:color w:val="auto"/>
                <w:kern w:val="0"/>
                <w:sz w:val="18"/>
                <w:szCs w:val="18"/>
                <w:highlight w:val="none"/>
              </w:rPr>
              <w:t>用镐或风镐挖掘，部分使用爆破方法；水下开挖时需用爆破方法</w:t>
            </w:r>
          </w:p>
        </w:tc>
      </w:tr>
      <w:tr>
        <w:tblPrEx>
          <w:tblCellMar>
            <w:top w:w="0" w:type="dxa"/>
            <w:left w:w="108" w:type="dxa"/>
            <w:bottom w:w="0" w:type="dxa"/>
            <w:right w:w="108" w:type="dxa"/>
          </w:tblCellMar>
        </w:tblPrEx>
        <w:trPr>
          <w:trHeight w:val="615" w:hRule="atLeast"/>
          <w:jc w:val="center"/>
        </w:trPr>
        <w:tc>
          <w:tcPr>
            <w:tcW w:w="787" w:type="dxa"/>
            <w:vMerge w:val="continue"/>
            <w:tcBorders>
              <w:top w:val="single" w:color="000000" w:sz="4" w:space="0"/>
              <w:left w:val="single" w:color="000000" w:sz="12" w:space="0"/>
              <w:bottom w:val="single" w:color="000000" w:sz="4" w:space="0"/>
              <w:right w:val="single" w:color="000000" w:sz="4" w:space="0"/>
            </w:tcBorders>
            <w:shd w:val="clear" w:color="000000" w:fill="FFFFFF"/>
            <w:vAlign w:val="center"/>
          </w:tcPr>
          <w:p>
            <w:pPr>
              <w:widowControl/>
              <w:jc w:val="center"/>
              <w:rPr>
                <w:color w:val="auto"/>
                <w:kern w:val="0"/>
                <w:sz w:val="18"/>
                <w:szCs w:val="18"/>
                <w:highlight w:val="none"/>
              </w:rPr>
            </w:pPr>
          </w:p>
        </w:tc>
        <w:tc>
          <w:tcPr>
            <w:tcW w:w="768"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color w:val="auto"/>
                <w:kern w:val="0"/>
                <w:sz w:val="18"/>
                <w:szCs w:val="18"/>
                <w:highlight w:val="none"/>
              </w:rPr>
            </w:pPr>
          </w:p>
        </w:tc>
        <w:tc>
          <w:tcPr>
            <w:tcW w:w="3827"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spacing w:before="62" w:beforeLines="20" w:after="62" w:afterLines="20"/>
              <w:jc w:val="left"/>
              <w:rPr>
                <w:color w:val="auto"/>
                <w:kern w:val="0"/>
                <w:sz w:val="18"/>
                <w:szCs w:val="18"/>
                <w:highlight w:val="none"/>
              </w:rPr>
            </w:pPr>
            <w:r>
              <w:rPr>
                <w:rFonts w:hint="eastAsia"/>
                <w:color w:val="auto"/>
                <w:kern w:val="0"/>
                <w:sz w:val="18"/>
                <w:szCs w:val="18"/>
                <w:highlight w:val="none"/>
              </w:rPr>
              <w:t>软岩（</w:t>
            </w:r>
            <w:r>
              <w:rPr>
                <w:color w:val="auto"/>
                <w:kern w:val="0"/>
                <w:sz w:val="18"/>
                <w:szCs w:val="18"/>
                <w:highlight w:val="none"/>
              </w:rPr>
              <w:t>单轴抗压强度5MPa~15MPa的岩</w:t>
            </w:r>
            <w:r>
              <w:rPr>
                <w:rFonts w:hint="eastAsia"/>
                <w:color w:val="auto"/>
                <w:kern w:val="0"/>
                <w:sz w:val="18"/>
                <w:szCs w:val="18"/>
                <w:highlight w:val="none"/>
              </w:rPr>
              <w:t>）</w:t>
            </w:r>
          </w:p>
        </w:tc>
        <w:tc>
          <w:tcPr>
            <w:tcW w:w="2908" w:type="dxa"/>
            <w:tcBorders>
              <w:top w:val="single" w:color="000000" w:sz="4" w:space="0"/>
              <w:left w:val="single" w:color="000000" w:sz="4" w:space="0"/>
              <w:bottom w:val="single" w:color="000000" w:sz="4" w:space="0"/>
              <w:right w:val="single" w:color="000000" w:sz="12" w:space="0"/>
            </w:tcBorders>
            <w:shd w:val="clear" w:color="000000" w:fill="FFFFFF"/>
            <w:vAlign w:val="center"/>
          </w:tcPr>
          <w:p>
            <w:pPr>
              <w:widowControl/>
              <w:spacing w:before="62" w:beforeLines="20" w:after="62" w:afterLines="20"/>
              <w:jc w:val="left"/>
              <w:rPr>
                <w:color w:val="auto"/>
                <w:kern w:val="0"/>
                <w:sz w:val="18"/>
                <w:szCs w:val="18"/>
                <w:highlight w:val="none"/>
              </w:rPr>
            </w:pPr>
            <w:r>
              <w:rPr>
                <w:color w:val="auto"/>
                <w:kern w:val="0"/>
                <w:sz w:val="18"/>
                <w:szCs w:val="18"/>
                <w:highlight w:val="none"/>
              </w:rPr>
              <w:t>用风镐和爆破方法开挖；水下开挖时需用爆破方法</w:t>
            </w:r>
          </w:p>
        </w:tc>
      </w:tr>
      <w:tr>
        <w:tblPrEx>
          <w:tblCellMar>
            <w:top w:w="0" w:type="dxa"/>
            <w:left w:w="108" w:type="dxa"/>
            <w:bottom w:w="0" w:type="dxa"/>
            <w:right w:w="108" w:type="dxa"/>
          </w:tblCellMar>
        </w:tblPrEx>
        <w:trPr>
          <w:trHeight w:val="580" w:hRule="atLeast"/>
          <w:jc w:val="center"/>
        </w:trPr>
        <w:tc>
          <w:tcPr>
            <w:tcW w:w="787" w:type="dxa"/>
            <w:vMerge w:val="restart"/>
            <w:tcBorders>
              <w:top w:val="single" w:color="000000" w:sz="4" w:space="0"/>
              <w:left w:val="single" w:color="000000" w:sz="12" w:space="0"/>
              <w:bottom w:val="single" w:color="000000" w:sz="4" w:space="0"/>
              <w:right w:val="single" w:color="000000" w:sz="4" w:space="0"/>
            </w:tcBorders>
            <w:shd w:val="clear" w:color="000000" w:fill="FFFFFF"/>
            <w:vAlign w:val="center"/>
          </w:tcPr>
          <w:p>
            <w:pPr>
              <w:widowControl/>
              <w:jc w:val="center"/>
              <w:rPr>
                <w:color w:val="auto"/>
                <w:kern w:val="0"/>
                <w:sz w:val="18"/>
                <w:szCs w:val="18"/>
                <w:highlight w:val="none"/>
              </w:rPr>
            </w:pPr>
            <w:r>
              <w:rPr>
                <w:color w:val="auto"/>
                <w:kern w:val="0"/>
                <w:sz w:val="18"/>
                <w:szCs w:val="18"/>
                <w:highlight w:val="none"/>
              </w:rPr>
              <w:t>Ⅴ</w:t>
            </w:r>
          </w:p>
        </w:tc>
        <w:tc>
          <w:tcPr>
            <w:tcW w:w="768"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color w:val="auto"/>
                <w:kern w:val="0"/>
                <w:sz w:val="18"/>
                <w:szCs w:val="18"/>
                <w:highlight w:val="none"/>
              </w:rPr>
            </w:pPr>
            <w:r>
              <w:rPr>
                <w:color w:val="auto"/>
                <w:kern w:val="0"/>
                <w:sz w:val="18"/>
                <w:szCs w:val="18"/>
                <w:highlight w:val="none"/>
              </w:rPr>
              <w:t>次坚石</w:t>
            </w:r>
          </w:p>
        </w:tc>
        <w:tc>
          <w:tcPr>
            <w:tcW w:w="3827"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spacing w:before="62" w:beforeLines="20" w:after="62" w:afterLines="20"/>
              <w:ind w:right="-105" w:rightChars="-50"/>
              <w:jc w:val="left"/>
              <w:rPr>
                <w:color w:val="auto"/>
                <w:kern w:val="0"/>
                <w:sz w:val="18"/>
                <w:szCs w:val="18"/>
                <w:highlight w:val="none"/>
              </w:rPr>
            </w:pPr>
            <w:r>
              <w:rPr>
                <w:rFonts w:hint="eastAsia"/>
                <w:color w:val="auto"/>
                <w:kern w:val="0"/>
                <w:sz w:val="18"/>
                <w:szCs w:val="18"/>
                <w:highlight w:val="none"/>
              </w:rPr>
              <w:t>较软岩（</w:t>
            </w:r>
            <w:r>
              <w:rPr>
                <w:color w:val="auto"/>
                <w:kern w:val="0"/>
                <w:sz w:val="18"/>
                <w:szCs w:val="18"/>
                <w:highlight w:val="none"/>
              </w:rPr>
              <w:t>单轴抗压强度15MPa~30MPa的岩</w:t>
            </w:r>
            <w:r>
              <w:rPr>
                <w:rFonts w:hint="eastAsia"/>
                <w:color w:val="auto"/>
                <w:kern w:val="0"/>
                <w:sz w:val="18"/>
                <w:szCs w:val="18"/>
                <w:highlight w:val="none"/>
              </w:rPr>
              <w:t>）</w:t>
            </w:r>
          </w:p>
        </w:tc>
        <w:tc>
          <w:tcPr>
            <w:tcW w:w="2908" w:type="dxa"/>
            <w:tcBorders>
              <w:top w:val="single" w:color="000000" w:sz="4" w:space="0"/>
              <w:left w:val="single" w:color="000000" w:sz="4" w:space="0"/>
              <w:bottom w:val="single" w:color="000000" w:sz="4" w:space="0"/>
              <w:right w:val="single" w:color="000000" w:sz="12" w:space="0"/>
            </w:tcBorders>
            <w:shd w:val="clear" w:color="000000" w:fill="FFFFFF"/>
            <w:vAlign w:val="center"/>
          </w:tcPr>
          <w:p>
            <w:pPr>
              <w:widowControl/>
              <w:spacing w:before="62" w:beforeLines="20" w:after="62" w:afterLines="20"/>
              <w:jc w:val="left"/>
              <w:rPr>
                <w:color w:val="auto"/>
                <w:kern w:val="0"/>
                <w:sz w:val="18"/>
                <w:szCs w:val="18"/>
                <w:highlight w:val="none"/>
              </w:rPr>
            </w:pPr>
            <w:r>
              <w:rPr>
                <w:color w:val="auto"/>
                <w:kern w:val="0"/>
                <w:sz w:val="18"/>
                <w:szCs w:val="18"/>
                <w:highlight w:val="none"/>
              </w:rPr>
              <w:t>用爆破方法开挖</w:t>
            </w:r>
          </w:p>
        </w:tc>
      </w:tr>
      <w:tr>
        <w:tblPrEx>
          <w:tblCellMar>
            <w:top w:w="0" w:type="dxa"/>
            <w:left w:w="108" w:type="dxa"/>
            <w:bottom w:w="0" w:type="dxa"/>
            <w:right w:w="108" w:type="dxa"/>
          </w:tblCellMar>
        </w:tblPrEx>
        <w:trPr>
          <w:trHeight w:val="553" w:hRule="atLeast"/>
          <w:jc w:val="center"/>
        </w:trPr>
        <w:tc>
          <w:tcPr>
            <w:tcW w:w="787" w:type="dxa"/>
            <w:vMerge w:val="continue"/>
            <w:tcBorders>
              <w:top w:val="single" w:color="000000" w:sz="4" w:space="0"/>
              <w:left w:val="single" w:color="000000" w:sz="12" w:space="0"/>
              <w:bottom w:val="single" w:color="000000" w:sz="4" w:space="0"/>
              <w:right w:val="single" w:color="000000" w:sz="4" w:space="0"/>
            </w:tcBorders>
            <w:shd w:val="clear" w:color="000000" w:fill="FFFFFF"/>
            <w:vAlign w:val="center"/>
          </w:tcPr>
          <w:p>
            <w:pPr>
              <w:widowControl/>
              <w:jc w:val="center"/>
              <w:rPr>
                <w:color w:val="auto"/>
                <w:kern w:val="0"/>
                <w:sz w:val="18"/>
                <w:szCs w:val="18"/>
                <w:highlight w:val="none"/>
              </w:rPr>
            </w:pPr>
          </w:p>
        </w:tc>
        <w:tc>
          <w:tcPr>
            <w:tcW w:w="768"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color w:val="auto"/>
                <w:kern w:val="0"/>
                <w:sz w:val="18"/>
                <w:szCs w:val="18"/>
                <w:highlight w:val="none"/>
              </w:rPr>
            </w:pPr>
          </w:p>
        </w:tc>
        <w:tc>
          <w:tcPr>
            <w:tcW w:w="3827"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spacing w:before="62" w:beforeLines="20" w:after="62" w:afterLines="20"/>
              <w:jc w:val="left"/>
              <w:rPr>
                <w:color w:val="auto"/>
                <w:kern w:val="0"/>
                <w:sz w:val="18"/>
                <w:szCs w:val="18"/>
                <w:highlight w:val="none"/>
              </w:rPr>
            </w:pPr>
            <w:r>
              <w:rPr>
                <w:rFonts w:hint="eastAsia"/>
                <w:color w:val="auto"/>
                <w:kern w:val="0"/>
                <w:sz w:val="18"/>
                <w:szCs w:val="18"/>
                <w:highlight w:val="none"/>
              </w:rPr>
              <w:t>较硬岩（</w:t>
            </w:r>
            <w:r>
              <w:rPr>
                <w:color w:val="auto"/>
                <w:kern w:val="0"/>
                <w:sz w:val="18"/>
                <w:szCs w:val="18"/>
                <w:highlight w:val="none"/>
              </w:rPr>
              <w:t>单轴抗压强度30MPa~60MPa的岩</w:t>
            </w:r>
            <w:r>
              <w:rPr>
                <w:rFonts w:hint="eastAsia"/>
                <w:color w:val="auto"/>
                <w:kern w:val="0"/>
                <w:sz w:val="18"/>
                <w:szCs w:val="18"/>
                <w:highlight w:val="none"/>
              </w:rPr>
              <w:t>）</w:t>
            </w:r>
          </w:p>
        </w:tc>
        <w:tc>
          <w:tcPr>
            <w:tcW w:w="2908" w:type="dxa"/>
            <w:tcBorders>
              <w:top w:val="single" w:color="000000" w:sz="4" w:space="0"/>
              <w:left w:val="single" w:color="000000" w:sz="4" w:space="0"/>
              <w:bottom w:val="single" w:color="000000" w:sz="4" w:space="0"/>
              <w:right w:val="single" w:color="000000" w:sz="12" w:space="0"/>
            </w:tcBorders>
            <w:shd w:val="clear" w:color="000000" w:fill="FFFFFF"/>
            <w:vAlign w:val="center"/>
          </w:tcPr>
          <w:p>
            <w:pPr>
              <w:widowControl/>
              <w:spacing w:before="62" w:beforeLines="20" w:after="62" w:afterLines="20"/>
              <w:jc w:val="left"/>
              <w:rPr>
                <w:color w:val="auto"/>
                <w:kern w:val="0"/>
                <w:sz w:val="18"/>
                <w:szCs w:val="18"/>
                <w:highlight w:val="none"/>
              </w:rPr>
            </w:pPr>
            <w:r>
              <w:rPr>
                <w:color w:val="auto"/>
                <w:kern w:val="0"/>
                <w:sz w:val="18"/>
                <w:szCs w:val="18"/>
                <w:highlight w:val="none"/>
              </w:rPr>
              <w:t>用爆破方法开挖</w:t>
            </w:r>
          </w:p>
        </w:tc>
      </w:tr>
      <w:tr>
        <w:tblPrEx>
          <w:tblCellMar>
            <w:top w:w="0" w:type="dxa"/>
            <w:left w:w="108" w:type="dxa"/>
            <w:bottom w:w="0" w:type="dxa"/>
            <w:right w:w="108" w:type="dxa"/>
          </w:tblCellMar>
        </w:tblPrEx>
        <w:trPr>
          <w:trHeight w:val="694" w:hRule="atLeast"/>
          <w:jc w:val="center"/>
        </w:trPr>
        <w:tc>
          <w:tcPr>
            <w:tcW w:w="787" w:type="dxa"/>
            <w:tcBorders>
              <w:top w:val="single" w:color="000000" w:sz="4" w:space="0"/>
              <w:left w:val="single" w:color="000000" w:sz="12" w:space="0"/>
              <w:bottom w:val="single" w:color="000000" w:sz="12" w:space="0"/>
              <w:right w:val="single" w:color="000000" w:sz="4" w:space="0"/>
            </w:tcBorders>
            <w:shd w:val="clear" w:color="000000" w:fill="FFFFFF"/>
            <w:vAlign w:val="center"/>
          </w:tcPr>
          <w:p>
            <w:pPr>
              <w:widowControl/>
              <w:jc w:val="center"/>
              <w:rPr>
                <w:color w:val="auto"/>
                <w:kern w:val="0"/>
                <w:sz w:val="18"/>
                <w:szCs w:val="18"/>
                <w:highlight w:val="none"/>
              </w:rPr>
            </w:pPr>
            <w:r>
              <w:rPr>
                <w:color w:val="auto"/>
                <w:kern w:val="0"/>
                <w:sz w:val="18"/>
                <w:szCs w:val="18"/>
                <w:highlight w:val="none"/>
              </w:rPr>
              <w:t>Ⅵ</w:t>
            </w:r>
          </w:p>
        </w:tc>
        <w:tc>
          <w:tcPr>
            <w:tcW w:w="768" w:type="dxa"/>
            <w:tcBorders>
              <w:top w:val="single" w:color="000000" w:sz="4" w:space="0"/>
              <w:left w:val="single" w:color="000000" w:sz="4" w:space="0"/>
              <w:bottom w:val="single" w:color="000000" w:sz="12" w:space="0"/>
              <w:right w:val="single" w:color="000000" w:sz="4" w:space="0"/>
            </w:tcBorders>
            <w:shd w:val="clear" w:color="000000" w:fill="FFFFFF"/>
            <w:vAlign w:val="center"/>
          </w:tcPr>
          <w:p>
            <w:pPr>
              <w:widowControl/>
              <w:jc w:val="center"/>
              <w:rPr>
                <w:color w:val="auto"/>
                <w:kern w:val="0"/>
                <w:sz w:val="18"/>
                <w:szCs w:val="18"/>
                <w:highlight w:val="none"/>
              </w:rPr>
            </w:pPr>
            <w:r>
              <w:rPr>
                <w:color w:val="auto"/>
                <w:kern w:val="0"/>
                <w:sz w:val="18"/>
                <w:szCs w:val="18"/>
                <w:highlight w:val="none"/>
              </w:rPr>
              <w:t>坚石</w:t>
            </w:r>
          </w:p>
        </w:tc>
        <w:tc>
          <w:tcPr>
            <w:tcW w:w="3827" w:type="dxa"/>
            <w:tcBorders>
              <w:top w:val="single" w:color="000000" w:sz="4" w:space="0"/>
              <w:left w:val="single" w:color="000000" w:sz="4" w:space="0"/>
              <w:bottom w:val="single" w:color="000000" w:sz="12" w:space="0"/>
              <w:right w:val="single" w:color="000000" w:sz="4" w:space="0"/>
            </w:tcBorders>
            <w:shd w:val="clear" w:color="000000" w:fill="FFFFFF"/>
            <w:vAlign w:val="center"/>
          </w:tcPr>
          <w:p>
            <w:pPr>
              <w:widowControl/>
              <w:spacing w:before="62" w:beforeLines="20" w:after="62" w:afterLines="20"/>
              <w:jc w:val="left"/>
              <w:rPr>
                <w:color w:val="auto"/>
                <w:kern w:val="0"/>
                <w:sz w:val="18"/>
                <w:szCs w:val="18"/>
                <w:highlight w:val="none"/>
              </w:rPr>
            </w:pPr>
            <w:r>
              <w:rPr>
                <w:rFonts w:hint="eastAsia"/>
                <w:color w:val="auto"/>
                <w:kern w:val="0"/>
                <w:sz w:val="18"/>
                <w:szCs w:val="18"/>
                <w:highlight w:val="none"/>
              </w:rPr>
              <w:t>坚硬岩（</w:t>
            </w:r>
            <w:r>
              <w:rPr>
                <w:color w:val="auto"/>
                <w:kern w:val="0"/>
                <w:sz w:val="18"/>
                <w:szCs w:val="18"/>
                <w:highlight w:val="none"/>
              </w:rPr>
              <w:t>单轴抗压强度&gt;60MPa的岩</w:t>
            </w:r>
            <w:r>
              <w:rPr>
                <w:rFonts w:hint="eastAsia"/>
                <w:color w:val="auto"/>
                <w:kern w:val="0"/>
                <w:sz w:val="18"/>
                <w:szCs w:val="18"/>
                <w:highlight w:val="none"/>
              </w:rPr>
              <w:t>）</w:t>
            </w:r>
          </w:p>
        </w:tc>
        <w:tc>
          <w:tcPr>
            <w:tcW w:w="2908" w:type="dxa"/>
            <w:tcBorders>
              <w:top w:val="single" w:color="000000" w:sz="4" w:space="0"/>
              <w:left w:val="single" w:color="000000" w:sz="4" w:space="0"/>
              <w:bottom w:val="single" w:color="000000" w:sz="12" w:space="0"/>
              <w:right w:val="single" w:color="000000" w:sz="12" w:space="0"/>
            </w:tcBorders>
            <w:shd w:val="clear" w:color="000000" w:fill="FFFFFF"/>
            <w:vAlign w:val="center"/>
          </w:tcPr>
          <w:p>
            <w:pPr>
              <w:widowControl/>
              <w:spacing w:before="62" w:beforeLines="20" w:after="62" w:afterLines="20"/>
              <w:jc w:val="left"/>
              <w:rPr>
                <w:color w:val="auto"/>
                <w:kern w:val="0"/>
                <w:sz w:val="18"/>
                <w:szCs w:val="18"/>
                <w:highlight w:val="none"/>
              </w:rPr>
            </w:pPr>
            <w:r>
              <w:rPr>
                <w:color w:val="auto"/>
                <w:kern w:val="0"/>
                <w:sz w:val="18"/>
                <w:szCs w:val="18"/>
                <w:highlight w:val="none"/>
              </w:rPr>
              <w:t>用爆破方法开挖</w:t>
            </w:r>
          </w:p>
        </w:tc>
      </w:tr>
    </w:tbl>
    <w:p>
      <w:pPr>
        <w:tabs>
          <w:tab w:val="center" w:pos="4410"/>
          <w:tab w:val="right" w:pos="9240"/>
        </w:tabs>
        <w:autoSpaceDE w:val="0"/>
        <w:autoSpaceDN w:val="0"/>
        <w:adjustRightInd w:val="0"/>
        <w:snapToGrid w:val="0"/>
        <w:spacing w:line="360" w:lineRule="auto"/>
        <w:ind w:left="1050" w:leftChars="200" w:hanging="630" w:hangingChars="350"/>
        <w:jc w:val="left"/>
        <w:rPr>
          <w:color w:val="auto"/>
          <w:kern w:val="0"/>
          <w:sz w:val="18"/>
          <w:szCs w:val="18"/>
          <w:highlight w:val="none"/>
        </w:rPr>
      </w:pPr>
      <w:r>
        <w:rPr>
          <w:color w:val="auto"/>
          <w:sz w:val="18"/>
          <w:szCs w:val="18"/>
          <w:highlight w:val="none"/>
        </w:rPr>
        <w:t>注：1</w:t>
      </w:r>
      <w:r>
        <w:rPr>
          <w:rFonts w:hint="eastAsia"/>
          <w:color w:val="auto"/>
          <w:sz w:val="18"/>
          <w:szCs w:val="18"/>
          <w:highlight w:val="none"/>
        </w:rPr>
        <w:t>　</w:t>
      </w:r>
      <w:r>
        <w:rPr>
          <w:color w:val="auto"/>
          <w:kern w:val="0"/>
          <w:sz w:val="18"/>
          <w:szCs w:val="18"/>
          <w:highlight w:val="none"/>
        </w:rPr>
        <w:t>单轴</w:t>
      </w:r>
      <w:r>
        <w:rPr>
          <w:rFonts w:hint="eastAsia"/>
          <w:color w:val="auto"/>
          <w:sz w:val="18"/>
          <w:szCs w:val="18"/>
          <w:highlight w:val="none"/>
        </w:rPr>
        <w:t>极限</w:t>
      </w:r>
      <w:r>
        <w:rPr>
          <w:color w:val="auto"/>
          <w:kern w:val="0"/>
          <w:sz w:val="18"/>
          <w:szCs w:val="18"/>
          <w:highlight w:val="none"/>
        </w:rPr>
        <w:t>抗压强度，对</w:t>
      </w:r>
      <w:r>
        <w:rPr>
          <w:color w:val="auto"/>
          <w:sz w:val="18"/>
          <w:szCs w:val="18"/>
          <w:highlight w:val="none"/>
        </w:rPr>
        <w:t>黏土岩、泥岩为</w:t>
      </w:r>
      <w:r>
        <w:rPr>
          <w:color w:val="auto"/>
          <w:kern w:val="0"/>
          <w:sz w:val="18"/>
          <w:szCs w:val="18"/>
          <w:highlight w:val="none"/>
        </w:rPr>
        <w:t>单轴</w:t>
      </w:r>
      <w:r>
        <w:rPr>
          <w:color w:val="auto"/>
          <w:sz w:val="18"/>
          <w:szCs w:val="18"/>
          <w:highlight w:val="none"/>
        </w:rPr>
        <w:t>天然</w:t>
      </w:r>
      <w:r>
        <w:rPr>
          <w:color w:val="auto"/>
          <w:kern w:val="0"/>
          <w:sz w:val="18"/>
          <w:szCs w:val="18"/>
          <w:highlight w:val="none"/>
        </w:rPr>
        <w:t>极限抗压强度，其它岩为单轴饱和极限抗压强度；</w:t>
      </w:r>
    </w:p>
    <w:p>
      <w:pPr>
        <w:snapToGrid w:val="0"/>
        <w:spacing w:line="360" w:lineRule="auto"/>
        <w:ind w:left="1110" w:leftChars="400" w:hanging="270" w:hangingChars="150"/>
        <w:rPr>
          <w:color w:val="auto"/>
          <w:sz w:val="18"/>
          <w:szCs w:val="18"/>
          <w:highlight w:val="none"/>
        </w:rPr>
      </w:pPr>
      <w:r>
        <w:rPr>
          <w:color w:val="auto"/>
          <w:sz w:val="18"/>
          <w:szCs w:val="18"/>
          <w:highlight w:val="none"/>
        </w:rPr>
        <w:t>2</w:t>
      </w:r>
      <w:r>
        <w:rPr>
          <w:rFonts w:hint="eastAsia"/>
          <w:color w:val="auto"/>
          <w:sz w:val="18"/>
          <w:szCs w:val="18"/>
          <w:highlight w:val="none"/>
        </w:rPr>
        <w:t>　</w:t>
      </w:r>
      <w:r>
        <w:rPr>
          <w:color w:val="auto"/>
          <w:sz w:val="18"/>
          <w:szCs w:val="18"/>
          <w:highlight w:val="none"/>
        </w:rPr>
        <w:t>当某层岩体的岩石单轴抗压强度跨不同等级时，宜提供不同等级岩样的比例；</w:t>
      </w:r>
    </w:p>
    <w:p>
      <w:pPr>
        <w:snapToGrid w:val="0"/>
        <w:spacing w:line="360" w:lineRule="auto"/>
        <w:ind w:left="1110" w:leftChars="400" w:hanging="270" w:hangingChars="150"/>
        <w:rPr>
          <w:color w:val="auto"/>
          <w:sz w:val="10"/>
          <w:szCs w:val="10"/>
          <w:highlight w:val="none"/>
        </w:rPr>
      </w:pPr>
      <w:r>
        <w:rPr>
          <w:color w:val="auto"/>
          <w:sz w:val="18"/>
          <w:szCs w:val="18"/>
          <w:highlight w:val="none"/>
        </w:rPr>
        <w:t>3</w:t>
      </w:r>
      <w:r>
        <w:rPr>
          <w:rFonts w:hint="eastAsia"/>
          <w:color w:val="auto"/>
          <w:sz w:val="18"/>
          <w:szCs w:val="18"/>
          <w:highlight w:val="none"/>
        </w:rPr>
        <w:t>　</w:t>
      </w:r>
      <w:r>
        <w:rPr>
          <w:color w:val="auto"/>
          <w:sz w:val="18"/>
          <w:szCs w:val="18"/>
          <w:highlight w:val="none"/>
        </w:rPr>
        <w:t>对于裂隙或节理很发育，难以取到足够岩样做岩石单轴抗压强度试验的岩体，可取岩块做点荷载试验，根据</w:t>
      </w:r>
      <w:r>
        <w:rPr>
          <w:rFonts w:hint="eastAsia"/>
          <w:color w:val="auto"/>
          <w:sz w:val="18"/>
          <w:szCs w:val="18"/>
          <w:highlight w:val="none"/>
          <w:lang w:val="en-US" w:eastAsia="zh-CN"/>
        </w:rPr>
        <w:t>国家标准</w:t>
      </w:r>
      <w:r>
        <w:rPr>
          <w:color w:val="auto"/>
          <w:sz w:val="18"/>
          <w:szCs w:val="18"/>
          <w:highlight w:val="none"/>
        </w:rPr>
        <w:t>《工程岩体分级标准》GB 50218-2014附录A求出点荷载强度指数后，转换为岩石</w:t>
      </w:r>
      <w:r>
        <w:rPr>
          <w:rFonts w:hint="eastAsia"/>
          <w:color w:val="auto"/>
          <w:sz w:val="18"/>
          <w:szCs w:val="18"/>
          <w:highlight w:val="none"/>
        </w:rPr>
        <w:t>饱和单轴抗压强度</w:t>
      </w:r>
      <w:r>
        <w:rPr>
          <w:color w:val="auto"/>
          <w:sz w:val="18"/>
          <w:szCs w:val="18"/>
          <w:highlight w:val="none"/>
        </w:rPr>
        <w:t>值。</w:t>
      </w:r>
    </w:p>
    <w:p>
      <w:pPr>
        <w:rPr>
          <w:color w:val="auto"/>
          <w:sz w:val="10"/>
          <w:szCs w:val="10"/>
          <w:highlight w:val="none"/>
        </w:rPr>
      </w:pPr>
      <w:r>
        <w:rPr>
          <w:color w:val="auto"/>
          <w:sz w:val="10"/>
          <w:szCs w:val="10"/>
          <w:highlight w:val="none"/>
        </w:rPr>
        <w:br w:type="page"/>
      </w:r>
    </w:p>
    <w:p>
      <w:pPr>
        <w:rPr>
          <w:color w:val="auto"/>
          <w:highlight w:val="none"/>
        </w:rPr>
      </w:pPr>
    </w:p>
    <w:p>
      <w:pPr>
        <w:pStyle w:val="2"/>
        <w:rPr>
          <w:b/>
          <w:bCs/>
          <w:color w:val="auto"/>
          <w:sz w:val="32"/>
          <w:szCs w:val="32"/>
          <w:highlight w:val="none"/>
        </w:rPr>
      </w:pPr>
      <w:bookmarkStart w:id="304" w:name="_Toc13623"/>
      <w:bookmarkStart w:id="305" w:name="_Toc13529"/>
      <w:bookmarkStart w:id="306" w:name="_Toc25632"/>
      <w:r>
        <w:rPr>
          <w:b/>
          <w:bCs/>
          <w:color w:val="auto"/>
          <w:sz w:val="32"/>
          <w:szCs w:val="32"/>
          <w:highlight w:val="none"/>
        </w:rPr>
        <w:t>附录</w:t>
      </w:r>
      <w:r>
        <w:rPr>
          <w:rFonts w:hint="eastAsia"/>
          <w:b/>
          <w:bCs/>
          <w:color w:val="auto"/>
          <w:sz w:val="32"/>
          <w:szCs w:val="32"/>
          <w:highlight w:val="none"/>
        </w:rPr>
        <w:t>H　回填封孔</w:t>
      </w:r>
      <w:bookmarkEnd w:id="304"/>
      <w:bookmarkEnd w:id="305"/>
      <w:bookmarkEnd w:id="306"/>
    </w:p>
    <w:p>
      <w:pPr>
        <w:spacing w:line="360" w:lineRule="auto"/>
        <w:jc w:val="left"/>
        <w:rPr>
          <w:color w:val="auto"/>
          <w:highlight w:val="none"/>
        </w:rPr>
      </w:pPr>
      <w:r>
        <w:rPr>
          <w:rFonts w:hint="eastAsia"/>
          <w:b/>
          <w:bCs/>
          <w:color w:val="auto"/>
          <w:highlight w:val="none"/>
        </w:rPr>
        <w:t>H.0.1</w:t>
      </w:r>
      <w:r>
        <w:rPr>
          <w:rFonts w:hint="eastAsia"/>
          <w:color w:val="auto"/>
          <w:highlight w:val="none"/>
        </w:rPr>
        <w:t>　钻孔回填和封填：</w:t>
      </w:r>
    </w:p>
    <w:p>
      <w:pPr>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钻孔回填指用黏土、灰土或岩芯填到钻孔中并压实。</w:t>
      </w:r>
    </w:p>
    <w:p>
      <w:pPr>
        <w:spacing w:line="360" w:lineRule="auto"/>
        <w:ind w:firstLine="422" w:firstLineChars="200"/>
        <w:rPr>
          <w:color w:val="auto"/>
          <w:highlight w:val="none"/>
        </w:rPr>
      </w:pPr>
      <w:r>
        <w:rPr>
          <w:rFonts w:hint="eastAsia"/>
          <w:b/>
          <w:bCs/>
          <w:color w:val="auto"/>
          <w:highlight w:val="none"/>
        </w:rPr>
        <w:t>2</w:t>
      </w:r>
      <w:r>
        <w:rPr>
          <w:rFonts w:hint="eastAsia"/>
          <w:color w:val="auto"/>
          <w:highlight w:val="none"/>
        </w:rPr>
        <w:t>　钻孔封填指用水泥砂浆、水玻璃砂浆、素混凝土、水泥：膨润土为4:1的浆液或直径20mm左右的黏土球对钻孔进行封堵。</w:t>
      </w:r>
    </w:p>
    <w:p>
      <w:pPr>
        <w:spacing w:line="360" w:lineRule="auto"/>
        <w:jc w:val="left"/>
        <w:rPr>
          <w:color w:val="auto"/>
          <w:highlight w:val="none"/>
        </w:rPr>
      </w:pPr>
      <w:r>
        <w:rPr>
          <w:rFonts w:hint="eastAsia"/>
          <w:b/>
          <w:bCs/>
          <w:color w:val="auto"/>
          <w:highlight w:val="none"/>
        </w:rPr>
        <w:t>H.0.2　</w:t>
      </w:r>
      <w:r>
        <w:rPr>
          <w:rFonts w:hint="eastAsia"/>
          <w:color w:val="auto"/>
          <w:highlight w:val="none"/>
        </w:rPr>
        <w:t>钻孔回填封孔应符合下列规定：</w:t>
      </w:r>
    </w:p>
    <w:p>
      <w:pPr>
        <w:spacing w:line="360" w:lineRule="auto"/>
        <w:ind w:firstLine="422" w:firstLineChars="200"/>
        <w:jc w:val="left"/>
        <w:rPr>
          <w:color w:val="auto"/>
          <w:highlight w:val="none"/>
        </w:rPr>
      </w:pPr>
      <w:r>
        <w:rPr>
          <w:rFonts w:hint="eastAsia"/>
          <w:b/>
          <w:bCs/>
          <w:color w:val="auto"/>
          <w:highlight w:val="none"/>
        </w:rPr>
        <w:t>1</w:t>
      </w:r>
      <w:r>
        <w:rPr>
          <w:rFonts w:hint="eastAsia"/>
          <w:color w:val="auto"/>
          <w:highlight w:val="none"/>
        </w:rPr>
        <w:t>　市政工程勘察钻孔在钻探完成后，应及时回填或封填；有水位观测或其他特殊要求的钻孔，当不再保留使用后回填或封填。</w:t>
      </w:r>
    </w:p>
    <w:p>
      <w:pPr>
        <w:spacing w:line="360" w:lineRule="auto"/>
        <w:ind w:firstLine="422" w:firstLineChars="200"/>
        <w:jc w:val="left"/>
        <w:rPr>
          <w:color w:val="auto"/>
          <w:highlight w:val="none"/>
        </w:rPr>
      </w:pPr>
      <w:r>
        <w:rPr>
          <w:rFonts w:hint="eastAsia"/>
          <w:b/>
          <w:bCs/>
          <w:color w:val="auto"/>
          <w:highlight w:val="none"/>
        </w:rPr>
        <w:t>2</w:t>
      </w:r>
      <w:r>
        <w:rPr>
          <w:rFonts w:hint="eastAsia"/>
          <w:color w:val="auto"/>
          <w:highlight w:val="none"/>
        </w:rPr>
        <w:t>　一般钻孔可用黏土或岩芯回填。</w:t>
      </w:r>
    </w:p>
    <w:p>
      <w:pPr>
        <w:spacing w:line="360" w:lineRule="auto"/>
        <w:ind w:firstLine="422" w:firstLineChars="200"/>
        <w:rPr>
          <w:color w:val="auto"/>
          <w:highlight w:val="none"/>
        </w:rPr>
      </w:pPr>
      <w:r>
        <w:rPr>
          <w:rFonts w:hint="eastAsia"/>
          <w:b/>
          <w:bCs/>
          <w:color w:val="auto"/>
          <w:highlight w:val="none"/>
        </w:rPr>
        <w:t>3</w:t>
      </w:r>
      <w:r>
        <w:rPr>
          <w:rFonts w:hint="eastAsia"/>
          <w:color w:val="auto"/>
          <w:highlight w:val="none"/>
        </w:rPr>
        <w:t>　既有路基、桥基及其他建筑物地基范围内钻孔，岩质地基应采用水泥砂浆封填，土质地基可用黏土、灰土或岩芯回填；顶部1m宜用水泥砂浆封填，并平整地表、排除地面积水。</w:t>
      </w:r>
    </w:p>
    <w:p>
      <w:pPr>
        <w:spacing w:line="360" w:lineRule="auto"/>
        <w:ind w:firstLine="422" w:firstLineChars="200"/>
        <w:rPr>
          <w:color w:val="auto"/>
          <w:highlight w:val="none"/>
        </w:rPr>
      </w:pPr>
      <w:r>
        <w:rPr>
          <w:rFonts w:hint="eastAsia"/>
          <w:b/>
          <w:bCs/>
          <w:color w:val="auto"/>
          <w:highlight w:val="none"/>
        </w:rPr>
        <w:t>4</w:t>
      </w:r>
      <w:r>
        <w:rPr>
          <w:rFonts w:hint="eastAsia"/>
          <w:color w:val="auto"/>
          <w:highlight w:val="none"/>
        </w:rPr>
        <w:t>　浅埋隧道钻孔，路面设计标高至隧道顶板以上10m~15m孔段，应采用水泥砂浆或水泥：膨润土为4:1的浆液封填，其余孔段用黏土或岩芯回填；深埋隧道钻孔，孔底至洞顶以上3倍~5倍洞径孔段应采用水泥砂浆封填，其余用黏土或岩芯回填。</w:t>
      </w:r>
    </w:p>
    <w:p>
      <w:pPr>
        <w:spacing w:line="360" w:lineRule="auto"/>
        <w:ind w:firstLine="422" w:firstLineChars="200"/>
        <w:rPr>
          <w:color w:val="auto"/>
          <w:highlight w:val="none"/>
        </w:rPr>
      </w:pPr>
      <w:r>
        <w:rPr>
          <w:rFonts w:hint="eastAsia"/>
          <w:b/>
          <w:bCs/>
          <w:color w:val="auto"/>
          <w:highlight w:val="none"/>
        </w:rPr>
        <w:t>5</w:t>
      </w:r>
      <w:r>
        <w:rPr>
          <w:rFonts w:hint="eastAsia"/>
          <w:color w:val="auto"/>
          <w:highlight w:val="none"/>
        </w:rPr>
        <w:t>　水下暗挖法隧道水域段的钻孔，宜全孔深度范围用水玻璃砂浆封填。</w:t>
      </w:r>
    </w:p>
    <w:p>
      <w:pPr>
        <w:spacing w:line="360" w:lineRule="auto"/>
        <w:ind w:firstLine="422" w:firstLineChars="200"/>
        <w:rPr>
          <w:color w:val="auto"/>
          <w:highlight w:val="none"/>
        </w:rPr>
      </w:pPr>
      <w:r>
        <w:rPr>
          <w:rFonts w:hint="eastAsia"/>
          <w:b/>
          <w:bCs/>
          <w:color w:val="auto"/>
          <w:highlight w:val="none"/>
        </w:rPr>
        <w:t>6</w:t>
      </w:r>
      <w:r>
        <w:rPr>
          <w:rFonts w:hint="eastAsia"/>
          <w:color w:val="auto"/>
          <w:highlight w:val="none"/>
        </w:rPr>
        <w:t>　岩溶发育区的隧道或深基坑钻孔，应采用水泥砂浆、素混凝土、水玻璃砂浆或水泥：膨润土为4:1的浆液封填至岩面以上后，再用黏土或岩芯回填；当漏浆情况较严重时，可用岩芯、木塞、橡胶、海带等封住溶洞顶板后再灌浆封填。</w:t>
      </w:r>
    </w:p>
    <w:p>
      <w:pPr>
        <w:spacing w:line="360" w:lineRule="auto"/>
        <w:ind w:firstLine="422" w:firstLineChars="200"/>
        <w:rPr>
          <w:color w:val="auto"/>
          <w:highlight w:val="none"/>
        </w:rPr>
      </w:pPr>
      <w:r>
        <w:rPr>
          <w:rFonts w:hint="eastAsia"/>
          <w:b/>
          <w:bCs/>
          <w:color w:val="auto"/>
          <w:highlight w:val="none"/>
        </w:rPr>
        <w:t>7</w:t>
      </w:r>
      <w:r>
        <w:rPr>
          <w:rFonts w:hint="eastAsia"/>
          <w:color w:val="auto"/>
          <w:highlight w:val="none"/>
        </w:rPr>
        <w:t>　分布相对透水层的堤岸钻孔，宜全孔采用水泥砂浆封填；若采用直径20mm左右的黏土球封填，封填深度至少进入堤基以下相对不透水层不小于1m，其下可用岩芯回填。</w:t>
      </w:r>
    </w:p>
    <w:p>
      <w:pPr>
        <w:spacing w:line="360" w:lineRule="auto"/>
        <w:rPr>
          <w:color w:val="auto"/>
          <w:highlight w:val="none"/>
        </w:rPr>
      </w:pPr>
      <w:r>
        <w:rPr>
          <w:rFonts w:hint="eastAsia"/>
          <w:b/>
          <w:bCs/>
          <w:color w:val="auto"/>
          <w:highlight w:val="none"/>
        </w:rPr>
        <w:t>H.0.3</w:t>
      </w:r>
      <w:r>
        <w:rPr>
          <w:rFonts w:hint="eastAsia"/>
          <w:color w:val="auto"/>
          <w:highlight w:val="none"/>
        </w:rPr>
        <w:t>　钻孔回填封孔操作应符合下列规定：</w:t>
      </w:r>
    </w:p>
    <w:p>
      <w:pPr>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用黏土或岩芯回填时，一次投入填料不应过多，应每0.5m~1.0m分层夯实；用灰土回填时，应每0.3m分层夯实。</w:t>
      </w:r>
    </w:p>
    <w:p>
      <w:pPr>
        <w:spacing w:line="360" w:lineRule="auto"/>
        <w:ind w:firstLine="422" w:firstLineChars="200"/>
        <w:rPr>
          <w:color w:val="auto"/>
          <w:highlight w:val="none"/>
        </w:rPr>
      </w:pPr>
      <w:r>
        <w:rPr>
          <w:rFonts w:hint="eastAsia"/>
          <w:b/>
          <w:bCs/>
          <w:color w:val="auto"/>
          <w:highlight w:val="none"/>
        </w:rPr>
        <w:t>2</w:t>
      </w:r>
      <w:r>
        <w:rPr>
          <w:rFonts w:hint="eastAsia"/>
          <w:color w:val="auto"/>
          <w:highlight w:val="none"/>
        </w:rPr>
        <w:t>　用水泥砂浆、素混凝土、水泥：膨润土为4:1的浆液封填时，若孔内无水，可将填料由孔口慢慢灌入孔中；若孔内有水，应采用比钻孔孔径小1~2级的套管下到孔底，从小孔径套管内灌入填料，边灌边提套管。</w:t>
      </w:r>
    </w:p>
    <w:p>
      <w:pPr>
        <w:spacing w:line="360" w:lineRule="auto"/>
        <w:ind w:firstLine="422" w:firstLineChars="200"/>
        <w:rPr>
          <w:color w:val="auto"/>
          <w:highlight w:val="none"/>
        </w:rPr>
      </w:pPr>
      <w:r>
        <w:rPr>
          <w:rFonts w:hint="eastAsia"/>
          <w:b/>
          <w:bCs/>
          <w:color w:val="auto"/>
          <w:highlight w:val="none"/>
        </w:rPr>
        <w:t>3</w:t>
      </w:r>
      <w:r>
        <w:rPr>
          <w:rFonts w:hint="eastAsia"/>
          <w:color w:val="auto"/>
          <w:highlight w:val="none"/>
        </w:rPr>
        <w:t>　用水泥砂浆、水玻璃砂浆或水泥：膨润土为4:1的浆液封填时，可通过泥浆泵由孔底向上灌注。</w:t>
      </w:r>
    </w:p>
    <w:p>
      <w:pPr>
        <w:spacing w:line="360" w:lineRule="auto"/>
        <w:ind w:firstLine="422" w:firstLineChars="200"/>
        <w:rPr>
          <w:color w:val="auto"/>
          <w:highlight w:val="none"/>
        </w:rPr>
      </w:pPr>
      <w:r>
        <w:rPr>
          <w:rFonts w:hint="eastAsia"/>
          <w:b/>
          <w:bCs/>
          <w:color w:val="auto"/>
          <w:highlight w:val="none"/>
        </w:rPr>
        <w:t>4</w:t>
      </w:r>
      <w:r>
        <w:rPr>
          <w:rFonts w:hint="eastAsia"/>
          <w:color w:val="auto"/>
          <w:highlight w:val="none"/>
        </w:rPr>
        <w:t>　用直径20mm左右的黏土球封填时，应每0.5m分层捣实。</w:t>
      </w:r>
    </w:p>
    <w:p>
      <w:pPr>
        <w:spacing w:line="360" w:lineRule="auto"/>
        <w:ind w:firstLine="422" w:firstLineChars="200"/>
        <w:rPr>
          <w:color w:val="auto"/>
          <w:highlight w:val="none"/>
        </w:rPr>
      </w:pPr>
      <w:r>
        <w:rPr>
          <w:rFonts w:hint="eastAsia"/>
          <w:b/>
          <w:bCs/>
          <w:color w:val="auto"/>
          <w:highlight w:val="none"/>
        </w:rPr>
        <w:t>5</w:t>
      </w:r>
      <w:r>
        <w:rPr>
          <w:rFonts w:hint="eastAsia"/>
          <w:color w:val="auto"/>
          <w:highlight w:val="none"/>
        </w:rPr>
        <w:t>　套管护壁的钻孔应边拔起套管边回填或封填。</w:t>
      </w:r>
    </w:p>
    <w:p>
      <w:pPr>
        <w:spacing w:line="360" w:lineRule="auto"/>
        <w:rPr>
          <w:color w:val="auto"/>
          <w:highlight w:val="none"/>
        </w:rPr>
      </w:pPr>
      <w:r>
        <w:rPr>
          <w:rFonts w:hint="eastAsia"/>
          <w:b/>
          <w:bCs/>
          <w:color w:val="auto"/>
          <w:highlight w:val="none"/>
        </w:rPr>
        <w:t>H.0.4　</w:t>
      </w:r>
      <w:r>
        <w:rPr>
          <w:rFonts w:hint="eastAsia"/>
          <w:color w:val="auto"/>
          <w:highlight w:val="none"/>
        </w:rPr>
        <w:t>钻孔回填封孔验收应符合下列规定：</w:t>
      </w:r>
    </w:p>
    <w:p>
      <w:pPr>
        <w:spacing w:line="360" w:lineRule="auto"/>
        <w:ind w:firstLine="422" w:firstLineChars="200"/>
        <w:rPr>
          <w:color w:val="auto"/>
          <w:highlight w:val="none"/>
        </w:rPr>
      </w:pPr>
      <w:r>
        <w:rPr>
          <w:rFonts w:hint="eastAsia"/>
          <w:b/>
          <w:bCs/>
          <w:color w:val="auto"/>
          <w:highlight w:val="none"/>
        </w:rPr>
        <w:t>1</w:t>
      </w:r>
      <w:r>
        <w:rPr>
          <w:rFonts w:hint="eastAsia"/>
          <w:color w:val="auto"/>
          <w:highlight w:val="none"/>
        </w:rPr>
        <w:t>　回填钻孔应在24小时后检查其回填质量。出现填料陷落的钻孔，应重新捣实后，按原回填要求补填至孔口标高，隔日再次复查。</w:t>
      </w:r>
    </w:p>
    <w:p>
      <w:pPr>
        <w:spacing w:line="360" w:lineRule="auto"/>
        <w:ind w:firstLine="422" w:firstLineChars="200"/>
        <w:rPr>
          <w:color w:val="auto"/>
          <w:highlight w:val="none"/>
        </w:rPr>
      </w:pPr>
      <w:r>
        <w:rPr>
          <w:rFonts w:hint="eastAsia"/>
          <w:b/>
          <w:bCs/>
          <w:color w:val="auto"/>
          <w:highlight w:val="none"/>
        </w:rPr>
        <w:t>2</w:t>
      </w:r>
      <w:r>
        <w:rPr>
          <w:rFonts w:hint="eastAsia"/>
          <w:color w:val="auto"/>
          <w:highlight w:val="none"/>
        </w:rPr>
        <w:t>　暗挖法浅埋隧道钻孔或岩溶发育区的深基坑钻孔，应抽取不少于1/20抽芯检查封填质量，并按原要求封填。检查结果不满足封填质量要求的，增加2倍孔数进行抽芯检查，直至满足质量要求为止。</w:t>
      </w:r>
    </w:p>
    <w:p>
      <w:pPr>
        <w:spacing w:line="360" w:lineRule="auto"/>
        <w:ind w:firstLine="422" w:firstLineChars="200"/>
        <w:rPr>
          <w:color w:val="auto"/>
          <w:highlight w:val="none"/>
        </w:rPr>
      </w:pPr>
      <w:r>
        <w:rPr>
          <w:rFonts w:hint="eastAsia"/>
          <w:b/>
          <w:bCs/>
          <w:color w:val="auto"/>
          <w:highlight w:val="none"/>
        </w:rPr>
        <w:t>3</w:t>
      </w:r>
      <w:r>
        <w:rPr>
          <w:rFonts w:hint="eastAsia"/>
          <w:color w:val="auto"/>
          <w:highlight w:val="none"/>
        </w:rPr>
        <w:t>　深埋隧道钻孔，应抽取不少于1/10抽芯检查封填质量，并按原要求封填。检查结果不满足封填质量要求的，增加2倍孔数进行抽芯检查，直至满足质量要求。</w:t>
      </w:r>
    </w:p>
    <w:p>
      <w:pPr>
        <w:spacing w:line="360" w:lineRule="auto"/>
        <w:ind w:firstLine="422" w:firstLineChars="200"/>
        <w:rPr>
          <w:color w:val="auto"/>
          <w:highlight w:val="none"/>
        </w:rPr>
      </w:pPr>
      <w:r>
        <w:rPr>
          <w:rFonts w:hint="eastAsia"/>
          <w:b/>
          <w:bCs/>
          <w:color w:val="auto"/>
          <w:highlight w:val="none"/>
        </w:rPr>
        <w:t>4</w:t>
      </w:r>
      <w:r>
        <w:rPr>
          <w:rFonts w:hint="eastAsia"/>
          <w:color w:val="auto"/>
          <w:highlight w:val="none"/>
        </w:rPr>
        <w:t>　抽芯检查宜优先选择构造破碎带或岩溶发育的钻孔；岩溶强发育区宜适当增加抽芯检查孔比例。</w:t>
      </w:r>
    </w:p>
    <w:p>
      <w:pPr>
        <w:rPr>
          <w:color w:val="auto"/>
          <w:highlight w:val="none"/>
        </w:rPr>
      </w:pPr>
      <w:r>
        <w:rPr>
          <w:color w:val="auto"/>
          <w:highlight w:val="none"/>
        </w:rPr>
        <w:br w:type="page"/>
      </w:r>
    </w:p>
    <w:p>
      <w:pPr>
        <w:pStyle w:val="32"/>
        <w:ind w:firstLine="420"/>
        <w:rPr>
          <w:color w:val="auto"/>
          <w:highlight w:val="none"/>
        </w:rPr>
      </w:pPr>
    </w:p>
    <w:p>
      <w:pPr>
        <w:pStyle w:val="2"/>
        <w:rPr>
          <w:color w:val="auto"/>
          <w:highlight w:val="none"/>
        </w:rPr>
      </w:pPr>
      <w:bookmarkStart w:id="307" w:name="_Toc16293"/>
      <w:bookmarkStart w:id="308" w:name="_Toc26073"/>
      <w:bookmarkStart w:id="309" w:name="_Toc23814"/>
      <w:r>
        <w:rPr>
          <w:color w:val="auto"/>
          <w:highlight w:val="none"/>
        </w:rPr>
        <w:t>本规范用词说明</w:t>
      </w:r>
      <w:bookmarkEnd w:id="307"/>
      <w:bookmarkEnd w:id="308"/>
      <w:bookmarkEnd w:id="309"/>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sz w:val="24"/>
          <w:szCs w:val="28"/>
          <w:highlight w:val="none"/>
        </w:rPr>
      </w:pPr>
      <w:r>
        <w:rPr>
          <w:b/>
          <w:bCs/>
          <w:color w:val="auto"/>
          <w:sz w:val="24"/>
          <w:szCs w:val="28"/>
          <w:highlight w:val="none"/>
        </w:rPr>
        <w:t>1　</w:t>
      </w:r>
      <w:r>
        <w:rPr>
          <w:color w:val="auto"/>
          <w:sz w:val="24"/>
          <w:szCs w:val="28"/>
          <w:highlight w:val="none"/>
        </w:rPr>
        <w:t>为便于在执行本规范条文时区别对待，对于要求严格程度不同的用词说明如下：</w:t>
      </w:r>
    </w:p>
    <w:p>
      <w:pPr>
        <w:keepNext w:val="0"/>
        <w:keepLines w:val="0"/>
        <w:pageBreakBefore w:val="0"/>
        <w:widowControl w:val="0"/>
        <w:kinsoku/>
        <w:wordWrap/>
        <w:overflowPunct/>
        <w:topLinePunct w:val="0"/>
        <w:autoSpaceDE/>
        <w:autoSpaceDN/>
        <w:bidi w:val="0"/>
        <w:adjustRightInd/>
        <w:snapToGrid/>
        <w:spacing w:line="360" w:lineRule="auto"/>
        <w:ind w:firstLine="843" w:firstLineChars="350"/>
        <w:textAlignment w:val="auto"/>
        <w:rPr>
          <w:color w:val="auto"/>
          <w:sz w:val="24"/>
          <w:szCs w:val="28"/>
          <w:highlight w:val="none"/>
        </w:rPr>
      </w:pPr>
      <w:r>
        <w:rPr>
          <w:b/>
          <w:bCs/>
          <w:color w:val="auto"/>
          <w:sz w:val="24"/>
          <w:szCs w:val="28"/>
          <w:highlight w:val="none"/>
        </w:rPr>
        <w:t>1）</w:t>
      </w:r>
      <w:r>
        <w:rPr>
          <w:color w:val="auto"/>
          <w:sz w:val="24"/>
          <w:szCs w:val="28"/>
          <w:highlight w:val="none"/>
        </w:rPr>
        <w:t>表示很严格，非这样做不可的：</w:t>
      </w:r>
    </w:p>
    <w:p>
      <w:pPr>
        <w:keepNext w:val="0"/>
        <w:keepLines w:val="0"/>
        <w:pageBreakBefore w:val="0"/>
        <w:widowControl w:val="0"/>
        <w:kinsoku/>
        <w:wordWrap/>
        <w:overflowPunct/>
        <w:topLinePunct w:val="0"/>
        <w:autoSpaceDE/>
        <w:autoSpaceDN/>
        <w:bidi w:val="0"/>
        <w:adjustRightInd/>
        <w:snapToGrid/>
        <w:spacing w:line="360" w:lineRule="auto"/>
        <w:ind w:leftChars="200" w:firstLine="720" w:firstLineChars="300"/>
        <w:textAlignment w:val="auto"/>
        <w:rPr>
          <w:rFonts w:hint="eastAsia" w:ascii="宋体" w:hAnsi="宋体" w:eastAsia="宋体" w:cs="宋体"/>
          <w:color w:val="auto"/>
          <w:sz w:val="24"/>
          <w:szCs w:val="28"/>
          <w:highlight w:val="none"/>
        </w:rPr>
      </w:pPr>
      <w:r>
        <w:rPr>
          <w:color w:val="auto"/>
          <w:sz w:val="24"/>
          <w:szCs w:val="28"/>
          <w:highlight w:val="none"/>
        </w:rPr>
        <w:t>正面词采</w:t>
      </w:r>
      <w:r>
        <w:rPr>
          <w:rFonts w:hint="eastAsia" w:ascii="宋体" w:hAnsi="宋体" w:eastAsia="宋体" w:cs="宋体"/>
          <w:color w:val="auto"/>
          <w:sz w:val="24"/>
          <w:szCs w:val="28"/>
          <w:highlight w:val="none"/>
        </w:rPr>
        <w:t>用“必须”，反面词采用“严禁”。</w:t>
      </w:r>
    </w:p>
    <w:p>
      <w:pPr>
        <w:spacing w:line="360" w:lineRule="auto"/>
        <w:ind w:firstLine="843" w:firstLineChars="350"/>
        <w:rPr>
          <w:rFonts w:hint="eastAsia" w:ascii="宋体" w:hAnsi="宋体" w:eastAsia="宋体" w:cs="宋体"/>
          <w:color w:val="auto"/>
          <w:sz w:val="24"/>
          <w:szCs w:val="28"/>
          <w:highlight w:val="none"/>
        </w:rPr>
      </w:pPr>
      <w:r>
        <w:rPr>
          <w:rFonts w:hint="default" w:ascii="Times New Roman" w:hAnsi="Times New Roman" w:eastAsia="宋体" w:cs="Times New Roman"/>
          <w:b/>
          <w:bCs/>
          <w:color w:val="auto"/>
          <w:sz w:val="24"/>
          <w:szCs w:val="28"/>
          <w:highlight w:val="none"/>
        </w:rPr>
        <w:t>2）</w:t>
      </w:r>
      <w:r>
        <w:rPr>
          <w:rFonts w:hint="eastAsia" w:ascii="宋体" w:hAnsi="宋体" w:eastAsia="宋体" w:cs="宋体"/>
          <w:color w:val="auto"/>
          <w:sz w:val="24"/>
          <w:szCs w:val="28"/>
          <w:highlight w:val="none"/>
        </w:rPr>
        <w:t>表示严格，在正常情况下均应这样做的：</w:t>
      </w:r>
    </w:p>
    <w:p>
      <w:pPr>
        <w:keepNext w:val="0"/>
        <w:keepLines w:val="0"/>
        <w:pageBreakBefore w:val="0"/>
        <w:widowControl w:val="0"/>
        <w:kinsoku/>
        <w:wordWrap/>
        <w:overflowPunct/>
        <w:topLinePunct w:val="0"/>
        <w:autoSpaceDE/>
        <w:autoSpaceDN/>
        <w:bidi w:val="0"/>
        <w:adjustRightInd/>
        <w:snapToGrid/>
        <w:spacing w:line="360" w:lineRule="auto"/>
        <w:ind w:leftChars="200" w:firstLine="720" w:firstLineChars="300"/>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正面词采用“应”，反面词采用“不应”或“不得”。</w:t>
      </w:r>
    </w:p>
    <w:p>
      <w:pPr>
        <w:spacing w:line="360" w:lineRule="auto"/>
        <w:ind w:firstLine="843" w:firstLineChars="350"/>
        <w:rPr>
          <w:rFonts w:hint="eastAsia" w:ascii="宋体" w:hAnsi="宋体" w:eastAsia="宋体" w:cs="宋体"/>
          <w:color w:val="auto"/>
          <w:sz w:val="24"/>
          <w:szCs w:val="28"/>
          <w:highlight w:val="none"/>
        </w:rPr>
      </w:pPr>
      <w:r>
        <w:rPr>
          <w:rFonts w:hint="default" w:ascii="Times New Roman" w:hAnsi="Times New Roman" w:eastAsia="宋体" w:cs="Times New Roman"/>
          <w:b/>
          <w:bCs/>
          <w:color w:val="auto"/>
          <w:sz w:val="24"/>
          <w:szCs w:val="28"/>
          <w:highlight w:val="none"/>
        </w:rPr>
        <w:t>3）</w:t>
      </w:r>
      <w:r>
        <w:rPr>
          <w:rFonts w:hint="eastAsia" w:ascii="宋体" w:hAnsi="宋体" w:eastAsia="宋体" w:cs="宋体"/>
          <w:color w:val="auto"/>
          <w:sz w:val="24"/>
          <w:szCs w:val="28"/>
          <w:highlight w:val="none"/>
        </w:rPr>
        <w:t>表示允许稍有选择，在条件许可时首先应这样做的：</w:t>
      </w:r>
    </w:p>
    <w:p>
      <w:pPr>
        <w:keepNext w:val="0"/>
        <w:keepLines w:val="0"/>
        <w:pageBreakBefore w:val="0"/>
        <w:widowControl w:val="0"/>
        <w:kinsoku/>
        <w:wordWrap/>
        <w:overflowPunct/>
        <w:topLinePunct w:val="0"/>
        <w:autoSpaceDE/>
        <w:autoSpaceDN/>
        <w:bidi w:val="0"/>
        <w:adjustRightInd/>
        <w:snapToGrid/>
        <w:spacing w:line="360" w:lineRule="auto"/>
        <w:ind w:leftChars="200" w:firstLine="720" w:firstLineChars="300"/>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正面词采用“宜”，反面词采用“不宜”。</w:t>
      </w:r>
    </w:p>
    <w:p>
      <w:pPr>
        <w:spacing w:line="360" w:lineRule="auto"/>
        <w:ind w:firstLine="843" w:firstLineChars="350"/>
        <w:rPr>
          <w:rFonts w:hint="eastAsia" w:ascii="宋体" w:hAnsi="宋体" w:eastAsia="宋体" w:cs="宋体"/>
          <w:color w:val="auto"/>
          <w:sz w:val="24"/>
          <w:szCs w:val="28"/>
          <w:highlight w:val="none"/>
        </w:rPr>
      </w:pPr>
      <w:r>
        <w:rPr>
          <w:rFonts w:hint="default" w:ascii="Times New Roman" w:hAnsi="Times New Roman" w:eastAsia="宋体" w:cs="Times New Roman"/>
          <w:b/>
          <w:bCs/>
          <w:color w:val="auto"/>
          <w:sz w:val="24"/>
          <w:szCs w:val="28"/>
          <w:highlight w:val="none"/>
        </w:rPr>
        <w:t>4）</w:t>
      </w:r>
      <w:r>
        <w:rPr>
          <w:rFonts w:hint="eastAsia" w:ascii="宋体" w:hAnsi="宋体" w:eastAsia="宋体" w:cs="宋体"/>
          <w:color w:val="auto"/>
          <w:sz w:val="24"/>
          <w:szCs w:val="28"/>
          <w:highlight w:val="none"/>
        </w:rPr>
        <w:t>表示有选择，在一定条件下可以这样做的，采用“可”。</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8"/>
          <w:highlight w:val="none"/>
        </w:rPr>
      </w:pPr>
      <w:r>
        <w:rPr>
          <w:rFonts w:hint="default" w:ascii="Times New Roman" w:hAnsi="Times New Roman" w:eastAsia="宋体" w:cs="Times New Roman"/>
          <w:b/>
          <w:bCs/>
          <w:color w:val="auto"/>
          <w:sz w:val="24"/>
          <w:szCs w:val="28"/>
          <w:highlight w:val="none"/>
        </w:rPr>
        <w:t>2</w:t>
      </w:r>
      <w:r>
        <w:rPr>
          <w:rFonts w:hint="eastAsia" w:ascii="宋体" w:hAnsi="宋体" w:eastAsia="宋体" w:cs="宋体"/>
          <w:color w:val="auto"/>
          <w:sz w:val="24"/>
          <w:szCs w:val="28"/>
          <w:highlight w:val="none"/>
        </w:rPr>
        <w:t>　条文中指明应按其他标准、规范执行的写法为“按……执行”或“应符合……的规定”。</w:t>
      </w:r>
      <w:bookmarkEnd w:id="0"/>
    </w:p>
    <w:p>
      <w:pP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br w:type="page"/>
      </w:r>
    </w:p>
    <w:p>
      <w:pPr>
        <w:pStyle w:val="32"/>
        <w:ind w:firstLine="420"/>
        <w:rPr>
          <w:color w:val="auto"/>
          <w:highlight w:val="none"/>
        </w:rPr>
      </w:pPr>
    </w:p>
    <w:p>
      <w:pPr>
        <w:pStyle w:val="2"/>
        <w:rPr>
          <w:rFonts w:hint="default"/>
          <w:color w:val="auto"/>
          <w:highlight w:val="none"/>
          <w:lang w:val="en-US" w:eastAsia="zh-CN"/>
        </w:rPr>
      </w:pPr>
      <w:bookmarkStart w:id="310" w:name="_Toc5013"/>
      <w:r>
        <w:rPr>
          <w:rFonts w:hint="eastAsia"/>
          <w:color w:val="auto"/>
          <w:highlight w:val="none"/>
          <w:lang w:val="en-US" w:eastAsia="zh-CN"/>
        </w:rPr>
        <w:t>引用标准名录</w:t>
      </w:r>
      <w:bookmarkEnd w:id="310"/>
    </w:p>
    <w:p>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25" w:leftChars="0" w:hanging="425" w:firstLineChars="0"/>
        <w:textAlignment w:val="auto"/>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《建筑抗震设计规范》GB 50011</w:t>
      </w:r>
    </w:p>
    <w:p>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25" w:leftChars="0" w:hanging="425" w:firstLineChars="0"/>
        <w:textAlignment w:val="auto"/>
        <w:rPr>
          <w:rStyle w:val="73"/>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 xml:space="preserve">《岩土工程勘察规范》GB </w:t>
      </w:r>
      <w:r>
        <w:rPr>
          <w:rStyle w:val="73"/>
          <w:rFonts w:hint="default" w:ascii="Times New Roman" w:hAnsi="Times New Roman" w:eastAsia="宋体" w:cs="Times New Roman"/>
          <w:color w:val="auto"/>
          <w:sz w:val="24"/>
          <w:szCs w:val="24"/>
          <w:highlight w:val="none"/>
          <w:lang w:val="en-US" w:eastAsia="zh-CN" w:bidi="ar"/>
        </w:rPr>
        <w:t>50021</w:t>
      </w:r>
    </w:p>
    <w:p>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25" w:leftChars="0" w:hanging="425" w:firstLineChars="0"/>
        <w:textAlignment w:val="auto"/>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《工程岩体分级标准》GB 50218</w:t>
      </w:r>
    </w:p>
    <w:p>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25" w:leftChars="0" w:hanging="425" w:firstLineChars="0"/>
        <w:textAlignment w:val="auto"/>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《建筑边坡工程技术规范》GB 50330</w:t>
      </w:r>
    </w:p>
    <w:p>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25" w:leftChars="0" w:hanging="425" w:firstLineChars="0"/>
        <w:textAlignment w:val="auto"/>
        <w:rPr>
          <w:rFonts w:hint="eastAsia"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《建筑与市政工程抗震通用规范》GB 55002</w:t>
      </w:r>
    </w:p>
    <w:p>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25" w:leftChars="0" w:hanging="425" w:firstLineChars="0"/>
        <w:textAlignment w:val="auto"/>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w:t>
      </w:r>
      <w:r>
        <w:rPr>
          <w:rFonts w:hint="default" w:ascii="Times New Roman" w:hAnsi="Times New Roman" w:eastAsia="宋体" w:cs="Times New Roman"/>
          <w:i w:val="0"/>
          <w:color w:val="auto"/>
          <w:kern w:val="0"/>
          <w:sz w:val="24"/>
          <w:szCs w:val="24"/>
          <w:highlight w:val="none"/>
          <w:u w:val="none"/>
          <w:lang w:val="en-US" w:eastAsia="zh-CN" w:bidi="ar"/>
        </w:rPr>
        <w:t>建筑与市政地基基础通用规范</w:t>
      </w:r>
      <w:r>
        <w:rPr>
          <w:rFonts w:hint="eastAsia" w:ascii="Times New Roman" w:hAnsi="Times New Roman" w:eastAsia="宋体" w:cs="Times New Roman"/>
          <w:i w:val="0"/>
          <w:color w:val="auto"/>
          <w:kern w:val="0"/>
          <w:sz w:val="24"/>
          <w:szCs w:val="24"/>
          <w:highlight w:val="none"/>
          <w:u w:val="none"/>
          <w:lang w:val="en-US" w:eastAsia="zh-CN" w:bidi="ar"/>
        </w:rPr>
        <w:t>》</w:t>
      </w:r>
      <w:r>
        <w:rPr>
          <w:rFonts w:hint="default" w:ascii="Times New Roman" w:hAnsi="Times New Roman" w:eastAsia="宋体" w:cs="Times New Roman"/>
          <w:i w:val="0"/>
          <w:color w:val="auto"/>
          <w:kern w:val="0"/>
          <w:sz w:val="24"/>
          <w:szCs w:val="24"/>
          <w:highlight w:val="none"/>
          <w:u w:val="none"/>
          <w:lang w:val="en-US" w:eastAsia="zh-CN" w:bidi="ar"/>
        </w:rPr>
        <w:t>GB</w:t>
      </w:r>
      <w:r>
        <w:rPr>
          <w:rFonts w:hint="eastAsia" w:cs="Times New Roman"/>
          <w:i w:val="0"/>
          <w:color w:val="auto"/>
          <w:kern w:val="0"/>
          <w:sz w:val="24"/>
          <w:szCs w:val="24"/>
          <w:highlight w:val="none"/>
          <w:u w:val="none"/>
          <w:lang w:val="en-US" w:eastAsia="zh-CN" w:bidi="ar"/>
        </w:rPr>
        <w:t xml:space="preserve"> </w:t>
      </w:r>
      <w:r>
        <w:rPr>
          <w:rFonts w:hint="default" w:ascii="Times New Roman" w:hAnsi="Times New Roman" w:eastAsia="宋体" w:cs="Times New Roman"/>
          <w:i w:val="0"/>
          <w:color w:val="auto"/>
          <w:kern w:val="0"/>
          <w:sz w:val="24"/>
          <w:szCs w:val="24"/>
          <w:highlight w:val="none"/>
          <w:u w:val="none"/>
          <w:lang w:val="en-US" w:eastAsia="zh-CN" w:bidi="ar"/>
        </w:rPr>
        <w:t>55003</w:t>
      </w:r>
    </w:p>
    <w:p>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25" w:leftChars="0" w:hanging="425" w:firstLineChars="0"/>
        <w:textAlignment w:val="auto"/>
        <w:rPr>
          <w:rFonts w:hint="eastAsia"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《工程</w:t>
      </w:r>
      <w:r>
        <w:rPr>
          <w:rFonts w:hint="eastAsia" w:ascii="宋体" w:hAnsi="宋体" w:eastAsia="宋体" w:cs="宋体"/>
          <w:color w:val="auto"/>
          <w:sz w:val="24"/>
          <w:szCs w:val="28"/>
          <w:highlight w:val="none"/>
          <w:lang w:val="en-US" w:eastAsia="zh-CN"/>
        </w:rPr>
        <w:t>勘察</w:t>
      </w:r>
      <w:r>
        <w:rPr>
          <w:rFonts w:hint="eastAsia" w:ascii="Times New Roman" w:hAnsi="Times New Roman" w:eastAsia="宋体" w:cs="Times New Roman"/>
          <w:i w:val="0"/>
          <w:color w:val="auto"/>
          <w:kern w:val="0"/>
          <w:sz w:val="24"/>
          <w:szCs w:val="24"/>
          <w:highlight w:val="none"/>
          <w:u w:val="none"/>
          <w:lang w:val="en-US" w:eastAsia="zh-CN" w:bidi="ar"/>
        </w:rPr>
        <w:t>通用规范》GB 55017</w:t>
      </w:r>
    </w:p>
    <w:p>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25" w:leftChars="0" w:hanging="425" w:firstLineChars="0"/>
        <w:textAlignment w:val="auto"/>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《城乡规划工程地质勘察规范》CJJ 57</w:t>
      </w:r>
    </w:p>
    <w:p>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25" w:leftChars="0" w:hanging="425" w:firstLineChars="0"/>
        <w:textAlignment w:val="auto"/>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《软土地区岩土工程勘察规程》JGJ 83</w:t>
      </w:r>
    </w:p>
    <w:p>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25" w:leftChars="0" w:hanging="425" w:firstLineChars="0"/>
        <w:textAlignment w:val="auto"/>
        <w:rPr>
          <w:rFonts w:hint="eastAsia"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eastAsia="宋体" w:cs="Times New Roman"/>
          <w:i w:val="0"/>
          <w:color w:val="auto"/>
          <w:kern w:val="0"/>
          <w:sz w:val="24"/>
          <w:szCs w:val="24"/>
          <w:highlight w:val="none"/>
          <w:u w:val="none"/>
          <w:lang w:val="en-US" w:eastAsia="zh-CN" w:bidi="ar"/>
        </w:rPr>
        <w:t>《建筑工程地质勘探与取样技术规程》JGJ/T 87</w:t>
      </w:r>
    </w:p>
    <w:p>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25" w:leftChars="0" w:hanging="425" w:firstLineChars="0"/>
        <w:textAlignment w:val="auto"/>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《水运工程岩土工程勘察规范》JTS 133</w:t>
      </w:r>
    </w:p>
    <w:p>
      <w:pPr>
        <w:rPr>
          <w:rStyle w:val="73"/>
          <w:rFonts w:hint="eastAsia" w:ascii="Times New Roman" w:hAnsi="Times New Roman" w:eastAsia="宋体" w:cs="Times New Roman"/>
          <w:color w:val="auto"/>
          <w:sz w:val="24"/>
          <w:szCs w:val="24"/>
          <w:highlight w:val="none"/>
          <w:lang w:val="en-US" w:eastAsia="zh-CN" w:bidi="ar"/>
        </w:rPr>
      </w:pPr>
      <w:r>
        <w:rPr>
          <w:rStyle w:val="73"/>
          <w:rFonts w:hint="eastAsia" w:ascii="Times New Roman" w:hAnsi="Times New Roman" w:eastAsia="宋体" w:cs="Times New Roman"/>
          <w:color w:val="auto"/>
          <w:sz w:val="24"/>
          <w:szCs w:val="24"/>
          <w:highlight w:val="none"/>
          <w:lang w:val="en-US" w:eastAsia="zh-CN" w:bidi="ar"/>
        </w:rPr>
        <w:br w:type="page"/>
      </w:r>
    </w:p>
    <w:p>
      <w:pPr>
        <w:spacing w:line="700" w:lineRule="exact"/>
        <w:jc w:val="center"/>
        <w:rPr>
          <w:rFonts w:ascii="Times New Roman" w:hAnsi="Times New Roman" w:eastAsia="宋体"/>
          <w:color w:val="auto"/>
          <w:sz w:val="36"/>
          <w:szCs w:val="36"/>
          <w:highlight w:val="none"/>
        </w:rPr>
      </w:pPr>
    </w:p>
    <w:p>
      <w:pPr>
        <w:spacing w:line="700" w:lineRule="exact"/>
        <w:jc w:val="center"/>
        <w:rPr>
          <w:rFonts w:ascii="Times New Roman" w:hAnsi="Times New Roman" w:eastAsia="宋体"/>
          <w:color w:val="auto"/>
          <w:sz w:val="36"/>
          <w:szCs w:val="36"/>
          <w:highlight w:val="none"/>
        </w:rPr>
      </w:pPr>
    </w:p>
    <w:p>
      <w:pPr>
        <w:spacing w:line="700" w:lineRule="exact"/>
        <w:jc w:val="center"/>
        <w:rPr>
          <w:rFonts w:ascii="黑体" w:hAnsi="宋体" w:eastAsia="黑体" w:cs="宋体"/>
          <w:color w:val="auto"/>
          <w:sz w:val="36"/>
          <w:szCs w:val="36"/>
          <w:highlight w:val="none"/>
        </w:rPr>
      </w:pPr>
      <w:r>
        <w:rPr>
          <w:rFonts w:ascii="黑体" w:hAnsi="宋体" w:eastAsia="黑体" w:cs="宋体"/>
          <w:color w:val="auto"/>
          <w:sz w:val="36"/>
          <w:szCs w:val="36"/>
          <w:highlight w:val="none"/>
        </w:rPr>
        <w:t>广东省标准</w:t>
      </w:r>
    </w:p>
    <w:p>
      <w:pPr>
        <w:spacing w:before="156" w:beforeLines="50" w:after="312" w:afterLines="100"/>
        <w:ind w:left="420" w:hanging="420"/>
        <w:jc w:val="center"/>
        <w:rPr>
          <w:rFonts w:ascii="Times New Roman" w:hAnsi="Times New Roman" w:eastAsia="宋体"/>
          <w:color w:val="auto"/>
          <w:sz w:val="48"/>
          <w:szCs w:val="48"/>
          <w:highlight w:val="none"/>
        </w:rPr>
      </w:pPr>
    </w:p>
    <w:p>
      <w:pPr>
        <w:spacing w:before="156" w:beforeLines="50" w:after="312" w:afterLines="100"/>
        <w:ind w:left="420" w:hanging="420"/>
        <w:jc w:val="center"/>
        <w:rPr>
          <w:rFonts w:ascii="Times New Roman" w:hAnsi="Times New Roman" w:eastAsia="宋体"/>
          <w:color w:val="auto"/>
          <w:sz w:val="44"/>
          <w:szCs w:val="44"/>
          <w:highlight w:val="none"/>
        </w:rPr>
      </w:pPr>
      <w:r>
        <w:rPr>
          <w:rFonts w:hint="eastAsia" w:ascii="Times New Roman" w:hAnsi="Times New Roman" w:eastAsia="宋体"/>
          <w:color w:val="auto"/>
          <w:sz w:val="44"/>
          <w:szCs w:val="44"/>
          <w:highlight w:val="none"/>
        </w:rPr>
        <w:t>市政工程勘察规范</w:t>
      </w:r>
    </w:p>
    <w:p>
      <w:pPr>
        <w:spacing w:before="120"/>
        <w:ind w:left="420" w:hanging="420"/>
        <w:jc w:val="center"/>
        <w:rPr>
          <w:rFonts w:ascii="Times New Roman" w:hAnsi="Times New Roman" w:eastAsia="宋体"/>
          <w:b/>
          <w:color w:val="auto"/>
          <w:sz w:val="28"/>
          <w:szCs w:val="28"/>
          <w:highlight w:val="none"/>
        </w:rPr>
      </w:pPr>
      <w:r>
        <w:rPr>
          <w:rFonts w:ascii="Times New Roman" w:hAnsi="Times New Roman" w:eastAsia="宋体"/>
          <w:color w:val="auto"/>
          <w:sz w:val="28"/>
          <w:szCs w:val="28"/>
          <w:highlight w:val="none"/>
        </w:rPr>
        <w:t>Code for geotechnical investigation of municipal engineering projects</w:t>
      </w:r>
    </w:p>
    <w:p>
      <w:pPr>
        <w:ind w:firstLine="3117" w:firstLineChars="1109"/>
        <w:rPr>
          <w:rFonts w:ascii="Times New Roman" w:hAnsi="Times New Roman" w:eastAsia="宋体"/>
          <w:b/>
          <w:color w:val="auto"/>
          <w:sz w:val="28"/>
          <w:szCs w:val="28"/>
          <w:highlight w:val="none"/>
        </w:rPr>
      </w:pPr>
    </w:p>
    <w:p>
      <w:pPr>
        <w:ind w:firstLine="3117" w:firstLineChars="1109"/>
        <w:rPr>
          <w:rFonts w:ascii="Times New Roman" w:hAnsi="Times New Roman" w:eastAsia="宋体"/>
          <w:b/>
          <w:color w:val="auto"/>
          <w:sz w:val="28"/>
          <w:szCs w:val="28"/>
          <w:highlight w:val="none"/>
        </w:rPr>
      </w:pPr>
      <w:r>
        <w:rPr>
          <w:rFonts w:ascii="Times New Roman" w:hAnsi="Times New Roman" w:eastAsia="宋体"/>
          <w:b/>
          <w:color w:val="auto"/>
          <w:sz w:val="28"/>
          <w:szCs w:val="28"/>
          <w:highlight w:val="none"/>
        </w:rPr>
        <w:t>DBJ/T xx-xx-2021</w:t>
      </w:r>
    </w:p>
    <w:p>
      <w:pPr>
        <w:spacing w:before="312" w:beforeLines="100" w:line="360" w:lineRule="auto"/>
        <w:jc w:val="center"/>
        <w:rPr>
          <w:rFonts w:ascii="Times New Roman" w:hAnsi="Times New Roman" w:eastAsia="宋体"/>
          <w:b/>
          <w:bCs/>
          <w:color w:val="auto"/>
          <w:sz w:val="28"/>
          <w:szCs w:val="32"/>
          <w:highlight w:val="none"/>
        </w:rPr>
      </w:pPr>
      <w:r>
        <w:rPr>
          <w:rFonts w:ascii="Times New Roman" w:hAnsi="Times New Roman" w:eastAsia="宋体"/>
          <w:b/>
          <w:bCs/>
          <w:color w:val="auto"/>
          <w:sz w:val="28"/>
          <w:szCs w:val="32"/>
          <w:highlight w:val="none"/>
        </w:rPr>
        <w:t>条 文 说 明</w:t>
      </w:r>
    </w:p>
    <w:p>
      <w:pPr>
        <w:rPr>
          <w:rFonts w:ascii="Times New Roman" w:hAnsi="Times New Roman" w:eastAsia="宋体"/>
          <w:b/>
          <w:bCs/>
          <w:color w:val="auto"/>
          <w:sz w:val="28"/>
          <w:szCs w:val="32"/>
          <w:highlight w:val="none"/>
        </w:rPr>
      </w:pPr>
      <w:r>
        <w:rPr>
          <w:rFonts w:ascii="Times New Roman" w:hAnsi="Times New Roman" w:eastAsia="宋体"/>
          <w:b/>
          <w:bCs/>
          <w:color w:val="auto"/>
          <w:sz w:val="28"/>
          <w:szCs w:val="32"/>
          <w:highlight w:val="none"/>
        </w:rPr>
        <w:br w:type="page"/>
      </w:r>
    </w:p>
    <w:p>
      <w:pPr>
        <w:spacing w:before="312" w:beforeLines="100" w:line="360" w:lineRule="auto"/>
        <w:jc w:val="center"/>
        <w:rPr>
          <w:rFonts w:ascii="Times New Roman" w:hAnsi="Times New Roman" w:eastAsia="宋体"/>
          <w:b/>
          <w:bCs/>
          <w:color w:val="auto"/>
          <w:sz w:val="28"/>
          <w:szCs w:val="32"/>
          <w:highlight w:val="none"/>
        </w:rPr>
      </w:pPr>
    </w:p>
    <w:p>
      <w:pPr>
        <w:spacing w:before="312" w:beforeLines="100" w:line="360" w:lineRule="auto"/>
        <w:jc w:val="center"/>
        <w:rPr>
          <w:rFonts w:hint="eastAsia"/>
          <w:b/>
          <w:bCs/>
          <w:color w:val="auto"/>
          <w:sz w:val="28"/>
          <w:szCs w:val="32"/>
          <w:highlight w:val="none"/>
          <w:lang w:val="en-US" w:eastAsia="zh-CN"/>
        </w:rPr>
      </w:pPr>
      <w:r>
        <w:rPr>
          <w:rFonts w:hint="eastAsia"/>
          <w:b/>
          <w:bCs/>
          <w:color w:val="auto"/>
          <w:sz w:val="28"/>
          <w:szCs w:val="32"/>
          <w:highlight w:val="none"/>
          <w:lang w:val="en-US" w:eastAsia="zh-CN"/>
        </w:rPr>
        <w:t>制订说明</w:t>
      </w:r>
    </w:p>
    <w:p>
      <w:pPr>
        <w:spacing w:line="360" w:lineRule="auto"/>
        <w:rPr>
          <w:rFonts w:hint="default"/>
          <w:b/>
          <w:bCs/>
          <w:color w:val="auto"/>
          <w:sz w:val="28"/>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广东省</w:t>
      </w:r>
      <w:r>
        <w:rPr>
          <w:rFonts w:hint="eastAsia"/>
          <w:color w:val="auto"/>
          <w:sz w:val="24"/>
          <w:szCs w:val="24"/>
          <w:highlight w:val="none"/>
          <w:lang w:eastAsia="zh-CN"/>
        </w:rPr>
        <w:t>《</w:t>
      </w:r>
      <w:r>
        <w:rPr>
          <w:rFonts w:hint="eastAsia"/>
          <w:color w:val="auto"/>
          <w:sz w:val="24"/>
          <w:szCs w:val="24"/>
          <w:highlight w:val="none"/>
          <w:lang w:val="en-US" w:eastAsia="zh-CN"/>
        </w:rPr>
        <w:t>市政工程勘察规范》DBJ 15-***-2022，经广东省住房和城乡建设厅2022年  月  日以  号公告批准发布。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本规范编制过程中，编制组进行了广泛的调查研究，结合我省市政工程勘察的情况和经验，参考了大量国家已有的相关法规、技术标准，征求了专家意见，并与国家政策相衔接。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highlight w:val="none"/>
          <w:lang w:val="en-US" w:eastAsia="zh-CN"/>
        </w:rPr>
        <w:sectPr>
          <w:footerReference r:id="rId9"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color w:val="auto"/>
          <w:sz w:val="24"/>
          <w:szCs w:val="24"/>
          <w:highlight w:val="none"/>
          <w:lang w:val="en-US" w:eastAsia="zh-CN"/>
        </w:rPr>
        <w:t>为便于广大勘察单位的有关人员在使用本规范时，能正确理解和执行条文规定，编制组按章、节、条顺序编制了本规范的条文说明，对条文的目的、依据以及执行中需注意的有关事项进行了说明。但是，本条文说明不具备与规范正文同等的法律效力，仅供使用者作为理解和把握规范规定的参考。</w:t>
      </w:r>
    </w:p>
    <w:p>
      <w:pPr>
        <w:jc w:val="center"/>
        <w:rPr>
          <w:rFonts w:hint="default" w:ascii="Times New Roman" w:hAnsi="Times New Roman" w:eastAsia="宋体"/>
          <w:color w:val="auto"/>
          <w:highlight w:val="none"/>
          <w:lang w:val="en-US" w:eastAsia="zh-CN"/>
        </w:rPr>
      </w:pPr>
      <w:bookmarkStart w:id="311" w:name="_Toc21302"/>
      <w:r>
        <w:rPr>
          <w:color w:val="auto"/>
          <w:sz w:val="28"/>
          <w:szCs w:val="32"/>
          <w:highlight w:val="none"/>
          <w:lang w:val="zh-CN"/>
        </w:rPr>
        <w:t>目</w:t>
      </w:r>
      <w:r>
        <w:rPr>
          <w:rFonts w:hint="eastAsia"/>
          <w:color w:val="auto"/>
          <w:sz w:val="28"/>
          <w:szCs w:val="32"/>
          <w:highlight w:val="none"/>
          <w:lang w:val="en-US" w:eastAsia="zh-CN"/>
        </w:rPr>
        <w:t xml:space="preserve">  </w:t>
      </w:r>
      <w:r>
        <w:rPr>
          <w:rFonts w:hint="eastAsia"/>
          <w:color w:val="auto"/>
          <w:sz w:val="28"/>
          <w:szCs w:val="32"/>
          <w:highlight w:val="none"/>
          <w:lang w:val="zh-CN"/>
        </w:rPr>
        <w:t xml:space="preserve"> </w:t>
      </w:r>
      <w:r>
        <w:rPr>
          <w:color w:val="auto"/>
          <w:sz w:val="28"/>
          <w:szCs w:val="32"/>
          <w:highlight w:val="none"/>
          <w:lang w:val="zh-CN"/>
        </w:rPr>
        <w:t xml:space="preserve"> </w:t>
      </w:r>
      <w:r>
        <w:rPr>
          <w:rFonts w:hint="eastAsia"/>
          <w:color w:val="auto"/>
          <w:sz w:val="28"/>
          <w:szCs w:val="32"/>
          <w:highlight w:val="none"/>
          <w:lang w:val="zh-CN"/>
        </w:rPr>
        <w:t>次</w:t>
      </w:r>
    </w:p>
    <w:p>
      <w:pPr>
        <w:pStyle w:val="13"/>
        <w:tabs>
          <w:tab w:val="right" w:leader="dot" w:pos="8200"/>
          <w:tab w:val="clear" w:pos="420"/>
          <w:tab w:val="clear" w:pos="9523"/>
        </w:tabs>
      </w:pPr>
      <w:r>
        <w:rPr>
          <w:rFonts w:ascii="Times New Roman" w:hAnsi="Times New Roman" w:eastAsia="宋体"/>
          <w:color w:val="auto"/>
          <w:highlight w:val="none"/>
          <w:u w:val="none"/>
        </w:rPr>
        <w:fldChar w:fldCharType="begin"/>
      </w:r>
      <w:r>
        <w:rPr>
          <w:rFonts w:ascii="Times New Roman" w:hAnsi="Times New Roman" w:eastAsia="宋体"/>
          <w:color w:val="auto"/>
          <w:highlight w:val="none"/>
          <w:u w:val="none"/>
        </w:rPr>
        <w:instrText xml:space="preserve"> HYPERLINK \l "_1　总　　则" </w:instrText>
      </w:r>
      <w:r>
        <w:rPr>
          <w:rFonts w:ascii="Times New Roman" w:hAnsi="Times New Roman" w:eastAsia="宋体"/>
          <w:color w:val="auto"/>
          <w:highlight w:val="none"/>
          <w:u w:val="none"/>
        </w:rPr>
        <w:fldChar w:fldCharType="separate"/>
      </w:r>
      <w:r>
        <w:rPr>
          <w:rStyle w:val="27"/>
          <w:rFonts w:ascii="Times New Roman" w:hAnsi="Times New Roman" w:eastAsia="宋体"/>
          <w:highlight w:val="none"/>
        </w:rPr>
        <w:t>1</w:t>
      </w:r>
      <w:r>
        <w:rPr>
          <w:rStyle w:val="27"/>
          <w:rFonts w:hint="eastAsia" w:ascii="Times New Roman" w:hAnsi="Times New Roman" w:eastAsia="宋体"/>
          <w:highlight w:val="none"/>
        </w:rPr>
        <w:t xml:space="preserve">  </w:t>
      </w:r>
      <w:r>
        <w:rPr>
          <w:rStyle w:val="27"/>
          <w:rFonts w:ascii="Times New Roman" w:hAnsi="Times New Roman" w:eastAsia="宋体"/>
          <w:highlight w:val="none"/>
        </w:rPr>
        <w:t>总则</w:t>
      </w:r>
      <w:r>
        <w:rPr>
          <w:rStyle w:val="27"/>
        </w:rPr>
        <w:tab/>
      </w:r>
      <w:r>
        <w:rPr>
          <w:rStyle w:val="27"/>
        </w:rPr>
        <w:fldChar w:fldCharType="begin"/>
      </w:r>
      <w:r>
        <w:rPr>
          <w:rStyle w:val="27"/>
        </w:rPr>
        <w:instrText xml:space="preserve"> PAGEREF _Toc5010 \h </w:instrText>
      </w:r>
      <w:r>
        <w:rPr>
          <w:rStyle w:val="27"/>
        </w:rPr>
        <w:fldChar w:fldCharType="separate"/>
      </w:r>
      <w:r>
        <w:rPr>
          <w:rStyle w:val="27"/>
        </w:rPr>
        <w:t>98</w:t>
      </w:r>
      <w:r>
        <w:rPr>
          <w:rStyle w:val="27"/>
        </w:rPr>
        <w:fldChar w:fldCharType="end"/>
      </w:r>
      <w:r>
        <w:rPr>
          <w:rFonts w:ascii="Times New Roman" w:hAnsi="Times New Roman" w:eastAsia="宋体"/>
          <w:color w:val="auto"/>
          <w:highlight w:val="none"/>
          <w:u w:val="none"/>
        </w:rPr>
        <w:fldChar w:fldCharType="end"/>
      </w:r>
    </w:p>
    <w:p>
      <w:pPr>
        <w:pStyle w:val="13"/>
        <w:tabs>
          <w:tab w:val="right" w:leader="dot" w:pos="8200"/>
          <w:tab w:val="clear" w:pos="420"/>
          <w:tab w:val="clear" w:pos="9523"/>
        </w:tabs>
      </w:pPr>
      <w:r>
        <w:rPr>
          <w:rFonts w:ascii="Times New Roman" w:hAnsi="Times New Roman" w:eastAsia="宋体"/>
          <w:color w:val="auto"/>
          <w:highlight w:val="none"/>
          <w:u w:val="none"/>
        </w:rPr>
        <w:fldChar w:fldCharType="begin"/>
      </w:r>
      <w:r>
        <w:rPr>
          <w:rFonts w:ascii="Times New Roman" w:hAnsi="Times New Roman" w:eastAsia="宋体"/>
          <w:color w:val="auto"/>
          <w:highlight w:val="none"/>
          <w:u w:val="none"/>
        </w:rPr>
        <w:instrText xml:space="preserve"> HYPERLINK \l "_2　术语和符号" </w:instrText>
      </w:r>
      <w:r>
        <w:rPr>
          <w:rFonts w:ascii="Times New Roman" w:hAnsi="Times New Roman" w:eastAsia="宋体"/>
          <w:color w:val="auto"/>
          <w:highlight w:val="none"/>
          <w:u w:val="none"/>
        </w:rPr>
        <w:fldChar w:fldCharType="separate"/>
      </w:r>
      <w:r>
        <w:rPr>
          <w:rStyle w:val="27"/>
          <w:rFonts w:ascii="Times New Roman" w:hAnsi="Times New Roman" w:eastAsia="宋体"/>
          <w:highlight w:val="none"/>
        </w:rPr>
        <w:t>2</w:t>
      </w:r>
      <w:r>
        <w:rPr>
          <w:rStyle w:val="27"/>
          <w:rFonts w:hint="eastAsia" w:ascii="Times New Roman" w:hAnsi="Times New Roman" w:eastAsia="宋体"/>
          <w:highlight w:val="none"/>
        </w:rPr>
        <w:t xml:space="preserve">  </w:t>
      </w:r>
      <w:r>
        <w:rPr>
          <w:rStyle w:val="27"/>
          <w:rFonts w:ascii="Times New Roman" w:hAnsi="Times New Roman" w:eastAsia="宋体"/>
          <w:highlight w:val="none"/>
        </w:rPr>
        <w:t>术语和符号</w:t>
      </w:r>
      <w:r>
        <w:rPr>
          <w:rStyle w:val="27"/>
        </w:rPr>
        <w:tab/>
      </w:r>
      <w:r>
        <w:rPr>
          <w:rStyle w:val="27"/>
        </w:rPr>
        <w:fldChar w:fldCharType="begin"/>
      </w:r>
      <w:r>
        <w:rPr>
          <w:rStyle w:val="27"/>
        </w:rPr>
        <w:instrText xml:space="preserve"> PAGEREF _Toc21967 \h </w:instrText>
      </w:r>
      <w:r>
        <w:rPr>
          <w:rStyle w:val="27"/>
        </w:rPr>
        <w:fldChar w:fldCharType="separate"/>
      </w:r>
      <w:r>
        <w:rPr>
          <w:rStyle w:val="27"/>
        </w:rPr>
        <w:t>101</w:t>
      </w:r>
      <w:r>
        <w:rPr>
          <w:rStyle w:val="27"/>
        </w:rPr>
        <w:fldChar w:fldCharType="end"/>
      </w:r>
      <w:r>
        <w:rPr>
          <w:rFonts w:ascii="Times New Roman" w:hAnsi="Times New Roman" w:eastAsia="宋体"/>
          <w:color w:val="auto"/>
          <w:highlight w:val="none"/>
          <w:u w:val="none"/>
        </w:rPr>
        <w:fldChar w:fldCharType="end"/>
      </w:r>
    </w:p>
    <w:p>
      <w:pPr>
        <w:pStyle w:val="17"/>
        <w:tabs>
          <w:tab w:val="right" w:leader="dot" w:pos="8200"/>
        </w:tabs>
      </w:pPr>
      <w:r>
        <w:rPr>
          <w:rFonts w:ascii="Times New Roman" w:hAnsi="Times New Roman" w:eastAsia="宋体" w:cs="Times New Roman"/>
          <w:color w:val="auto"/>
          <w:highlight w:val="none"/>
          <w:u w:val="none"/>
        </w:rPr>
        <w:fldChar w:fldCharType="begin"/>
      </w:r>
      <w:r>
        <w:rPr>
          <w:rFonts w:ascii="Times New Roman" w:hAnsi="Times New Roman" w:eastAsia="宋体" w:cs="Times New Roman"/>
          <w:color w:val="auto"/>
          <w:highlight w:val="none"/>
          <w:u w:val="none"/>
        </w:rPr>
        <w:instrText xml:space="preserve"> HYPERLINK \l "_2.1　术　　语" </w:instrText>
      </w:r>
      <w:r>
        <w:rPr>
          <w:rFonts w:ascii="Times New Roman" w:hAnsi="Times New Roman" w:eastAsia="宋体" w:cs="Times New Roman"/>
          <w:color w:val="auto"/>
          <w:highlight w:val="none"/>
          <w:u w:val="none"/>
        </w:rPr>
        <w:fldChar w:fldCharType="separate"/>
      </w:r>
      <w:r>
        <w:rPr>
          <w:rStyle w:val="27"/>
          <w:rFonts w:ascii="Times New Roman" w:hAnsi="Times New Roman" w:eastAsia="宋体" w:cs="Times New Roman"/>
          <w:highlight w:val="none"/>
        </w:rPr>
        <w:t xml:space="preserve">2.1 </w:t>
      </w:r>
      <w:r>
        <w:rPr>
          <w:rStyle w:val="27"/>
          <w:rFonts w:hint="eastAsia" w:ascii="Times New Roman" w:hAnsi="Times New Roman" w:eastAsia="宋体" w:cs="Times New Roman"/>
          <w:highlight w:val="none"/>
          <w:lang w:val="en-US" w:eastAsia="zh-CN"/>
        </w:rPr>
        <w:t xml:space="preserve"> </w:t>
      </w:r>
      <w:r>
        <w:rPr>
          <w:rStyle w:val="27"/>
          <w:rFonts w:ascii="Times New Roman" w:hAnsi="Times New Roman" w:eastAsia="宋体" w:cs="Times New Roman"/>
          <w:highlight w:val="none"/>
        </w:rPr>
        <w:t>术语</w:t>
      </w:r>
      <w:r>
        <w:rPr>
          <w:rStyle w:val="27"/>
        </w:rPr>
        <w:tab/>
      </w:r>
      <w:r>
        <w:rPr>
          <w:rStyle w:val="27"/>
        </w:rPr>
        <w:fldChar w:fldCharType="begin"/>
      </w:r>
      <w:r>
        <w:rPr>
          <w:rStyle w:val="27"/>
        </w:rPr>
        <w:instrText xml:space="preserve"> PAGEREF _Toc238 \h </w:instrText>
      </w:r>
      <w:r>
        <w:rPr>
          <w:rStyle w:val="27"/>
        </w:rPr>
        <w:fldChar w:fldCharType="separate"/>
      </w:r>
      <w:r>
        <w:rPr>
          <w:rStyle w:val="27"/>
        </w:rPr>
        <w:t>101</w:t>
      </w:r>
      <w:r>
        <w:rPr>
          <w:rStyle w:val="27"/>
        </w:rPr>
        <w:fldChar w:fldCharType="end"/>
      </w:r>
      <w:r>
        <w:rPr>
          <w:rFonts w:ascii="Times New Roman" w:hAnsi="Times New Roman" w:eastAsia="宋体" w:cs="Times New Roman"/>
          <w:color w:val="auto"/>
          <w:highlight w:val="none"/>
          <w:u w:val="none"/>
        </w:rPr>
        <w:fldChar w:fldCharType="end"/>
      </w:r>
    </w:p>
    <w:p>
      <w:pPr>
        <w:pStyle w:val="17"/>
        <w:tabs>
          <w:tab w:val="right" w:leader="dot" w:pos="8200"/>
        </w:tabs>
      </w:pPr>
      <w:r>
        <w:rPr>
          <w:rFonts w:ascii="Times New Roman" w:hAnsi="Times New Roman" w:eastAsia="宋体" w:cs="Times New Roman"/>
          <w:color w:val="auto"/>
          <w:highlight w:val="none"/>
          <w:u w:val="none"/>
        </w:rPr>
        <w:fldChar w:fldCharType="begin"/>
      </w:r>
      <w:r>
        <w:rPr>
          <w:rFonts w:ascii="Times New Roman" w:hAnsi="Times New Roman" w:eastAsia="宋体" w:cs="Times New Roman"/>
          <w:color w:val="auto"/>
          <w:highlight w:val="none"/>
          <w:u w:val="none"/>
        </w:rPr>
        <w:instrText xml:space="preserve"> HYPERLINK \l "_2.2　符　　号" </w:instrText>
      </w:r>
      <w:r>
        <w:rPr>
          <w:rFonts w:ascii="Times New Roman" w:hAnsi="Times New Roman" w:eastAsia="宋体" w:cs="Times New Roman"/>
          <w:color w:val="auto"/>
          <w:highlight w:val="none"/>
          <w:u w:val="none"/>
        </w:rPr>
        <w:fldChar w:fldCharType="separate"/>
      </w:r>
      <w:r>
        <w:rPr>
          <w:rStyle w:val="27"/>
          <w:rFonts w:ascii="Times New Roman" w:hAnsi="Times New Roman" w:eastAsia="宋体" w:cs="Times New Roman"/>
          <w:highlight w:val="none"/>
        </w:rPr>
        <w:t xml:space="preserve">2.2 </w:t>
      </w:r>
      <w:r>
        <w:rPr>
          <w:rStyle w:val="27"/>
          <w:rFonts w:hint="eastAsia" w:ascii="Times New Roman" w:hAnsi="Times New Roman" w:eastAsia="宋体" w:cs="Times New Roman"/>
          <w:highlight w:val="none"/>
          <w:lang w:val="en-US" w:eastAsia="zh-CN"/>
        </w:rPr>
        <w:t xml:space="preserve"> </w:t>
      </w:r>
      <w:r>
        <w:rPr>
          <w:rStyle w:val="27"/>
          <w:rFonts w:ascii="Times New Roman" w:hAnsi="Times New Roman" w:eastAsia="宋体" w:cs="Times New Roman"/>
          <w:highlight w:val="none"/>
        </w:rPr>
        <w:t>符号</w:t>
      </w:r>
      <w:r>
        <w:rPr>
          <w:rStyle w:val="27"/>
        </w:rPr>
        <w:tab/>
      </w:r>
      <w:r>
        <w:rPr>
          <w:rStyle w:val="27"/>
        </w:rPr>
        <w:fldChar w:fldCharType="begin"/>
      </w:r>
      <w:r>
        <w:rPr>
          <w:rStyle w:val="27"/>
        </w:rPr>
        <w:instrText xml:space="preserve"> PAGEREF _Toc16574 \h </w:instrText>
      </w:r>
      <w:r>
        <w:rPr>
          <w:rStyle w:val="27"/>
        </w:rPr>
        <w:fldChar w:fldCharType="separate"/>
      </w:r>
      <w:r>
        <w:rPr>
          <w:rStyle w:val="27"/>
        </w:rPr>
        <w:t>105</w:t>
      </w:r>
      <w:r>
        <w:rPr>
          <w:rStyle w:val="27"/>
        </w:rPr>
        <w:fldChar w:fldCharType="end"/>
      </w:r>
      <w:r>
        <w:rPr>
          <w:rFonts w:ascii="Times New Roman" w:hAnsi="Times New Roman" w:eastAsia="宋体" w:cs="Times New Roman"/>
          <w:color w:val="auto"/>
          <w:highlight w:val="none"/>
          <w:u w:val="none"/>
        </w:rPr>
        <w:fldChar w:fldCharType="end"/>
      </w:r>
    </w:p>
    <w:p>
      <w:pPr>
        <w:pStyle w:val="13"/>
        <w:tabs>
          <w:tab w:val="right" w:leader="dot" w:pos="8200"/>
          <w:tab w:val="clear" w:pos="420"/>
          <w:tab w:val="clear" w:pos="9523"/>
        </w:tabs>
      </w:pPr>
      <w:r>
        <w:rPr>
          <w:rFonts w:ascii="Times New Roman" w:hAnsi="Times New Roman" w:eastAsia="宋体"/>
          <w:color w:val="auto"/>
          <w:highlight w:val="none"/>
          <w:u w:val="none"/>
        </w:rPr>
        <w:fldChar w:fldCharType="begin"/>
      </w:r>
      <w:r>
        <w:rPr>
          <w:rFonts w:ascii="Times New Roman" w:hAnsi="Times New Roman" w:eastAsia="宋体"/>
          <w:color w:val="auto"/>
          <w:highlight w:val="none"/>
          <w:u w:val="none"/>
        </w:rPr>
        <w:instrText xml:space="preserve"> HYPERLINK \l "_3　基本规定" </w:instrText>
      </w:r>
      <w:r>
        <w:rPr>
          <w:rFonts w:ascii="Times New Roman" w:hAnsi="Times New Roman" w:eastAsia="宋体"/>
          <w:color w:val="auto"/>
          <w:highlight w:val="none"/>
          <w:u w:val="none"/>
        </w:rPr>
        <w:fldChar w:fldCharType="separate"/>
      </w:r>
      <w:r>
        <w:rPr>
          <w:rStyle w:val="27"/>
          <w:rFonts w:ascii="Times New Roman" w:hAnsi="Times New Roman" w:eastAsia="宋体"/>
          <w:highlight w:val="none"/>
        </w:rPr>
        <w:t>3</w:t>
      </w:r>
      <w:r>
        <w:rPr>
          <w:rStyle w:val="27"/>
          <w:rFonts w:hint="eastAsia" w:ascii="Times New Roman" w:hAnsi="Times New Roman" w:eastAsia="宋体"/>
          <w:highlight w:val="none"/>
        </w:rPr>
        <w:t xml:space="preserve">  </w:t>
      </w:r>
      <w:r>
        <w:rPr>
          <w:rStyle w:val="27"/>
          <w:rFonts w:ascii="Times New Roman" w:hAnsi="Times New Roman" w:eastAsia="宋体"/>
          <w:highlight w:val="none"/>
        </w:rPr>
        <w:t>基本规定</w:t>
      </w:r>
      <w:r>
        <w:rPr>
          <w:rStyle w:val="27"/>
        </w:rPr>
        <w:tab/>
      </w:r>
      <w:r>
        <w:rPr>
          <w:rStyle w:val="27"/>
        </w:rPr>
        <w:fldChar w:fldCharType="begin"/>
      </w:r>
      <w:r>
        <w:rPr>
          <w:rStyle w:val="27"/>
        </w:rPr>
        <w:instrText xml:space="preserve"> PAGEREF _Toc14773 \h </w:instrText>
      </w:r>
      <w:r>
        <w:rPr>
          <w:rStyle w:val="27"/>
        </w:rPr>
        <w:fldChar w:fldCharType="separate"/>
      </w:r>
      <w:r>
        <w:rPr>
          <w:rStyle w:val="27"/>
        </w:rPr>
        <w:t>106</w:t>
      </w:r>
      <w:r>
        <w:rPr>
          <w:rStyle w:val="27"/>
        </w:rPr>
        <w:fldChar w:fldCharType="end"/>
      </w:r>
      <w:r>
        <w:rPr>
          <w:rFonts w:ascii="Times New Roman" w:hAnsi="Times New Roman" w:eastAsia="宋体"/>
          <w:color w:val="auto"/>
          <w:highlight w:val="none"/>
          <w:u w:val="none"/>
        </w:rPr>
        <w:fldChar w:fldCharType="end"/>
      </w:r>
    </w:p>
    <w:p>
      <w:pPr>
        <w:pStyle w:val="13"/>
        <w:tabs>
          <w:tab w:val="right" w:leader="dot" w:pos="8200"/>
          <w:tab w:val="clear" w:pos="420"/>
          <w:tab w:val="clear" w:pos="9523"/>
        </w:tabs>
      </w:pPr>
      <w:r>
        <w:rPr>
          <w:rFonts w:ascii="Times New Roman" w:hAnsi="Times New Roman" w:eastAsia="宋体"/>
          <w:color w:val="auto"/>
          <w:highlight w:val="none"/>
          <w:u w:val="none"/>
        </w:rPr>
        <w:fldChar w:fldCharType="begin"/>
      </w:r>
      <w:r>
        <w:rPr>
          <w:rFonts w:ascii="Times New Roman" w:hAnsi="Times New Roman" w:eastAsia="宋体"/>
          <w:color w:val="auto"/>
          <w:highlight w:val="none"/>
          <w:u w:val="none"/>
        </w:rPr>
        <w:instrText xml:space="preserve"> HYPERLINK \l "_4　岩土分类" </w:instrText>
      </w:r>
      <w:r>
        <w:rPr>
          <w:rFonts w:ascii="Times New Roman" w:hAnsi="Times New Roman" w:eastAsia="宋体"/>
          <w:color w:val="auto"/>
          <w:highlight w:val="none"/>
          <w:u w:val="none"/>
        </w:rPr>
        <w:fldChar w:fldCharType="separate"/>
      </w:r>
      <w:r>
        <w:rPr>
          <w:rStyle w:val="27"/>
          <w:rFonts w:ascii="Times New Roman" w:hAnsi="Times New Roman" w:eastAsia="宋体"/>
          <w:highlight w:val="none"/>
        </w:rPr>
        <w:t>4</w:t>
      </w:r>
      <w:r>
        <w:rPr>
          <w:rStyle w:val="27"/>
          <w:rFonts w:hint="eastAsia" w:ascii="Times New Roman" w:hAnsi="Times New Roman" w:eastAsia="宋体"/>
          <w:highlight w:val="none"/>
        </w:rPr>
        <w:t xml:space="preserve">  </w:t>
      </w:r>
      <w:r>
        <w:rPr>
          <w:rStyle w:val="27"/>
          <w:rFonts w:ascii="Times New Roman" w:hAnsi="Times New Roman" w:eastAsia="宋体"/>
          <w:highlight w:val="none"/>
        </w:rPr>
        <w:t>岩土分类</w:t>
      </w:r>
      <w:r>
        <w:rPr>
          <w:rStyle w:val="27"/>
        </w:rPr>
        <w:tab/>
      </w:r>
      <w:r>
        <w:rPr>
          <w:rStyle w:val="27"/>
        </w:rPr>
        <w:fldChar w:fldCharType="begin"/>
      </w:r>
      <w:r>
        <w:rPr>
          <w:rStyle w:val="27"/>
        </w:rPr>
        <w:instrText xml:space="preserve"> PAGEREF _Toc29135 \h </w:instrText>
      </w:r>
      <w:r>
        <w:rPr>
          <w:rStyle w:val="27"/>
        </w:rPr>
        <w:fldChar w:fldCharType="separate"/>
      </w:r>
      <w:r>
        <w:rPr>
          <w:rStyle w:val="27"/>
        </w:rPr>
        <w:t>121</w:t>
      </w:r>
      <w:r>
        <w:rPr>
          <w:rStyle w:val="27"/>
        </w:rPr>
        <w:fldChar w:fldCharType="end"/>
      </w:r>
      <w:r>
        <w:rPr>
          <w:rFonts w:ascii="Times New Roman" w:hAnsi="Times New Roman" w:eastAsia="宋体"/>
          <w:color w:val="auto"/>
          <w:highlight w:val="none"/>
          <w:u w:val="none"/>
        </w:rPr>
        <w:fldChar w:fldCharType="end"/>
      </w:r>
    </w:p>
    <w:p>
      <w:pPr>
        <w:pStyle w:val="17"/>
        <w:tabs>
          <w:tab w:val="right" w:leader="dot" w:pos="8200"/>
        </w:tabs>
      </w:pPr>
      <w:r>
        <w:rPr>
          <w:rFonts w:ascii="Times New Roman" w:hAnsi="Times New Roman" w:eastAsia="宋体" w:cs="Times New Roman"/>
          <w:color w:val="auto"/>
          <w:highlight w:val="none"/>
          <w:u w:val="none"/>
        </w:rPr>
        <w:fldChar w:fldCharType="begin"/>
      </w:r>
      <w:r>
        <w:rPr>
          <w:rFonts w:ascii="Times New Roman" w:hAnsi="Times New Roman" w:eastAsia="宋体" w:cs="Times New Roman"/>
          <w:color w:val="auto"/>
          <w:highlight w:val="none"/>
          <w:u w:val="none"/>
        </w:rPr>
        <w:instrText xml:space="preserve"> HYPERLINK \l "_4.1　岩石分类" </w:instrText>
      </w:r>
      <w:r>
        <w:rPr>
          <w:rFonts w:ascii="Times New Roman" w:hAnsi="Times New Roman" w:eastAsia="宋体" w:cs="Times New Roman"/>
          <w:color w:val="auto"/>
          <w:highlight w:val="none"/>
          <w:u w:val="none"/>
        </w:rPr>
        <w:fldChar w:fldCharType="separate"/>
      </w:r>
      <w:r>
        <w:rPr>
          <w:rStyle w:val="27"/>
          <w:rFonts w:ascii="Times New Roman" w:hAnsi="Times New Roman" w:eastAsia="宋体" w:cs="Times New Roman"/>
          <w:highlight w:val="none"/>
        </w:rPr>
        <w:t>4.1 岩石分类</w:t>
      </w:r>
      <w:r>
        <w:rPr>
          <w:rStyle w:val="27"/>
        </w:rPr>
        <w:tab/>
      </w:r>
      <w:r>
        <w:rPr>
          <w:rStyle w:val="27"/>
        </w:rPr>
        <w:fldChar w:fldCharType="begin"/>
      </w:r>
      <w:r>
        <w:rPr>
          <w:rStyle w:val="27"/>
        </w:rPr>
        <w:instrText xml:space="preserve"> PAGEREF _Toc15343 \h </w:instrText>
      </w:r>
      <w:r>
        <w:rPr>
          <w:rStyle w:val="27"/>
        </w:rPr>
        <w:fldChar w:fldCharType="separate"/>
      </w:r>
      <w:r>
        <w:rPr>
          <w:rStyle w:val="27"/>
        </w:rPr>
        <w:t>121</w:t>
      </w:r>
      <w:r>
        <w:rPr>
          <w:rStyle w:val="27"/>
        </w:rPr>
        <w:fldChar w:fldCharType="end"/>
      </w:r>
      <w:r>
        <w:rPr>
          <w:rFonts w:ascii="Times New Roman" w:hAnsi="Times New Roman" w:eastAsia="宋体" w:cs="Times New Roman"/>
          <w:color w:val="auto"/>
          <w:highlight w:val="none"/>
          <w:u w:val="none"/>
        </w:rPr>
        <w:fldChar w:fldCharType="end"/>
      </w:r>
    </w:p>
    <w:p>
      <w:pPr>
        <w:pStyle w:val="17"/>
        <w:tabs>
          <w:tab w:val="right" w:leader="dot" w:pos="8200"/>
        </w:tabs>
      </w:pPr>
      <w:r>
        <w:rPr>
          <w:rFonts w:ascii="Times New Roman" w:hAnsi="Times New Roman" w:eastAsia="宋体" w:cs="Times New Roman"/>
          <w:color w:val="auto"/>
          <w:highlight w:val="none"/>
          <w:u w:val="none"/>
        </w:rPr>
        <w:fldChar w:fldCharType="begin"/>
      </w:r>
      <w:r>
        <w:rPr>
          <w:rFonts w:ascii="Times New Roman" w:hAnsi="Times New Roman" w:eastAsia="宋体" w:cs="Times New Roman"/>
          <w:color w:val="auto"/>
          <w:highlight w:val="none"/>
          <w:u w:val="none"/>
        </w:rPr>
        <w:instrText xml:space="preserve"> HYPERLINK \l "_4.2　岩石描述" </w:instrText>
      </w:r>
      <w:r>
        <w:rPr>
          <w:rFonts w:ascii="Times New Roman" w:hAnsi="Times New Roman" w:eastAsia="宋体" w:cs="Times New Roman"/>
          <w:color w:val="auto"/>
          <w:highlight w:val="none"/>
          <w:u w:val="none"/>
        </w:rPr>
        <w:fldChar w:fldCharType="separate"/>
      </w:r>
      <w:r>
        <w:rPr>
          <w:rStyle w:val="27"/>
          <w:rFonts w:ascii="Times New Roman" w:hAnsi="Times New Roman" w:eastAsia="宋体" w:cs="Times New Roman"/>
          <w:highlight w:val="none"/>
        </w:rPr>
        <w:t>4.2  岩石描述</w:t>
      </w:r>
      <w:r>
        <w:rPr>
          <w:rStyle w:val="27"/>
        </w:rPr>
        <w:tab/>
      </w:r>
      <w:r>
        <w:rPr>
          <w:rStyle w:val="27"/>
        </w:rPr>
        <w:fldChar w:fldCharType="begin"/>
      </w:r>
      <w:r>
        <w:rPr>
          <w:rStyle w:val="27"/>
        </w:rPr>
        <w:instrText xml:space="preserve"> PAGEREF _Toc13297 \h </w:instrText>
      </w:r>
      <w:r>
        <w:rPr>
          <w:rStyle w:val="27"/>
        </w:rPr>
        <w:fldChar w:fldCharType="separate"/>
      </w:r>
      <w:r>
        <w:rPr>
          <w:rStyle w:val="27"/>
        </w:rPr>
        <w:t>123</w:t>
      </w:r>
      <w:r>
        <w:rPr>
          <w:rStyle w:val="27"/>
        </w:rPr>
        <w:fldChar w:fldCharType="end"/>
      </w:r>
      <w:r>
        <w:rPr>
          <w:rFonts w:ascii="Times New Roman" w:hAnsi="Times New Roman" w:eastAsia="宋体" w:cs="Times New Roman"/>
          <w:color w:val="auto"/>
          <w:highlight w:val="none"/>
          <w:u w:val="none"/>
        </w:rPr>
        <w:fldChar w:fldCharType="end"/>
      </w:r>
    </w:p>
    <w:p>
      <w:pPr>
        <w:pStyle w:val="17"/>
        <w:tabs>
          <w:tab w:val="right" w:leader="dot" w:pos="8200"/>
        </w:tabs>
      </w:pPr>
      <w:r>
        <w:rPr>
          <w:rFonts w:ascii="Times New Roman" w:hAnsi="Times New Roman" w:eastAsia="宋体" w:cs="Times New Roman"/>
          <w:color w:val="auto"/>
          <w:highlight w:val="none"/>
          <w:u w:val="none"/>
        </w:rPr>
        <w:fldChar w:fldCharType="begin"/>
      </w:r>
      <w:r>
        <w:rPr>
          <w:rFonts w:ascii="Times New Roman" w:hAnsi="Times New Roman" w:eastAsia="宋体" w:cs="Times New Roman"/>
          <w:color w:val="auto"/>
          <w:highlight w:val="none"/>
          <w:u w:val="none"/>
        </w:rPr>
        <w:instrText xml:space="preserve"> HYPERLINK \l "_4.3　土的分类" </w:instrText>
      </w:r>
      <w:r>
        <w:rPr>
          <w:rFonts w:ascii="Times New Roman" w:hAnsi="Times New Roman" w:eastAsia="宋体" w:cs="Times New Roman"/>
          <w:color w:val="auto"/>
          <w:highlight w:val="none"/>
          <w:u w:val="none"/>
        </w:rPr>
        <w:fldChar w:fldCharType="separate"/>
      </w:r>
      <w:r>
        <w:rPr>
          <w:rStyle w:val="27"/>
          <w:rFonts w:ascii="Times New Roman" w:hAnsi="Times New Roman" w:eastAsia="宋体" w:cs="Times New Roman"/>
          <w:highlight w:val="none"/>
        </w:rPr>
        <w:t>4.3  土的分类</w:t>
      </w:r>
      <w:r>
        <w:rPr>
          <w:rStyle w:val="27"/>
        </w:rPr>
        <w:tab/>
      </w:r>
      <w:r>
        <w:rPr>
          <w:rStyle w:val="27"/>
        </w:rPr>
        <w:fldChar w:fldCharType="begin"/>
      </w:r>
      <w:r>
        <w:rPr>
          <w:rStyle w:val="27"/>
        </w:rPr>
        <w:instrText xml:space="preserve"> PAGEREF _Toc32697 \h </w:instrText>
      </w:r>
      <w:r>
        <w:rPr>
          <w:rStyle w:val="27"/>
        </w:rPr>
        <w:fldChar w:fldCharType="separate"/>
      </w:r>
      <w:r>
        <w:rPr>
          <w:rStyle w:val="27"/>
        </w:rPr>
        <w:t>123</w:t>
      </w:r>
      <w:r>
        <w:rPr>
          <w:rStyle w:val="27"/>
        </w:rPr>
        <w:fldChar w:fldCharType="end"/>
      </w:r>
      <w:r>
        <w:rPr>
          <w:rFonts w:ascii="Times New Roman" w:hAnsi="Times New Roman" w:eastAsia="宋体" w:cs="Times New Roman"/>
          <w:color w:val="auto"/>
          <w:highlight w:val="none"/>
          <w:u w:val="none"/>
        </w:rPr>
        <w:fldChar w:fldCharType="end"/>
      </w:r>
    </w:p>
    <w:p>
      <w:pPr>
        <w:pStyle w:val="17"/>
        <w:tabs>
          <w:tab w:val="right" w:leader="dot" w:pos="8200"/>
        </w:tabs>
      </w:pPr>
      <w:r>
        <w:rPr>
          <w:rFonts w:ascii="Times New Roman" w:hAnsi="Times New Roman" w:eastAsia="宋体" w:cs="Times New Roman"/>
          <w:color w:val="auto"/>
          <w:highlight w:val="none"/>
          <w:u w:val="none"/>
        </w:rPr>
        <w:fldChar w:fldCharType="begin"/>
      </w:r>
      <w:r>
        <w:rPr>
          <w:rFonts w:ascii="Times New Roman" w:hAnsi="Times New Roman" w:eastAsia="宋体" w:cs="Times New Roman"/>
          <w:color w:val="auto"/>
          <w:highlight w:val="none"/>
          <w:u w:val="none"/>
        </w:rPr>
        <w:instrText xml:space="preserve"> HYPERLINK \l "_4.4　土的描述" </w:instrText>
      </w:r>
      <w:r>
        <w:rPr>
          <w:rFonts w:ascii="Times New Roman" w:hAnsi="Times New Roman" w:eastAsia="宋体" w:cs="Times New Roman"/>
          <w:color w:val="auto"/>
          <w:highlight w:val="none"/>
          <w:u w:val="none"/>
        </w:rPr>
        <w:fldChar w:fldCharType="separate"/>
      </w:r>
      <w:r>
        <w:rPr>
          <w:rStyle w:val="27"/>
          <w:rFonts w:ascii="Times New Roman" w:hAnsi="Times New Roman" w:eastAsia="宋体" w:cs="Times New Roman"/>
          <w:highlight w:val="none"/>
        </w:rPr>
        <w:t>4.</w:t>
      </w:r>
      <w:r>
        <w:rPr>
          <w:rStyle w:val="27"/>
          <w:rFonts w:hint="eastAsia" w:ascii="Times New Roman" w:hAnsi="Times New Roman" w:eastAsia="宋体" w:cs="Times New Roman"/>
          <w:highlight w:val="none"/>
          <w:lang w:val="en-US" w:eastAsia="zh-CN"/>
        </w:rPr>
        <w:t>4</w:t>
      </w:r>
      <w:r>
        <w:rPr>
          <w:rStyle w:val="27"/>
          <w:rFonts w:ascii="Times New Roman" w:hAnsi="Times New Roman" w:eastAsia="宋体" w:cs="Times New Roman"/>
          <w:highlight w:val="none"/>
        </w:rPr>
        <w:t xml:space="preserve">  土的</w:t>
      </w:r>
      <w:r>
        <w:rPr>
          <w:rStyle w:val="27"/>
          <w:rFonts w:hint="eastAsia" w:ascii="Times New Roman" w:hAnsi="Times New Roman" w:eastAsia="宋体" w:cs="Times New Roman"/>
          <w:highlight w:val="none"/>
          <w:lang w:val="en-US" w:eastAsia="zh-CN"/>
        </w:rPr>
        <w:t>描述</w:t>
      </w:r>
      <w:r>
        <w:rPr>
          <w:rStyle w:val="27"/>
        </w:rPr>
        <w:tab/>
      </w:r>
      <w:r>
        <w:rPr>
          <w:rStyle w:val="27"/>
        </w:rPr>
        <w:fldChar w:fldCharType="begin"/>
      </w:r>
      <w:r>
        <w:rPr>
          <w:rStyle w:val="27"/>
        </w:rPr>
        <w:instrText xml:space="preserve"> PAGEREF _Toc7209 \h </w:instrText>
      </w:r>
      <w:r>
        <w:rPr>
          <w:rStyle w:val="27"/>
        </w:rPr>
        <w:fldChar w:fldCharType="separate"/>
      </w:r>
      <w:r>
        <w:rPr>
          <w:rStyle w:val="27"/>
        </w:rPr>
        <w:t>126</w:t>
      </w:r>
      <w:r>
        <w:rPr>
          <w:rStyle w:val="27"/>
        </w:rPr>
        <w:fldChar w:fldCharType="end"/>
      </w:r>
      <w:r>
        <w:rPr>
          <w:rFonts w:ascii="Times New Roman" w:hAnsi="Times New Roman" w:eastAsia="宋体" w:cs="Times New Roman"/>
          <w:color w:val="auto"/>
          <w:highlight w:val="none"/>
          <w:u w:val="none"/>
        </w:rPr>
        <w:fldChar w:fldCharType="end"/>
      </w:r>
    </w:p>
    <w:p>
      <w:pPr>
        <w:pStyle w:val="13"/>
        <w:tabs>
          <w:tab w:val="right" w:leader="dot" w:pos="8200"/>
          <w:tab w:val="clear" w:pos="420"/>
          <w:tab w:val="clear" w:pos="9523"/>
        </w:tabs>
      </w:pPr>
      <w:r>
        <w:rPr>
          <w:rFonts w:ascii="Times New Roman" w:hAnsi="Times New Roman" w:eastAsia="宋体"/>
          <w:color w:val="auto"/>
          <w:highlight w:val="none"/>
          <w:u w:val="none"/>
        </w:rPr>
        <w:fldChar w:fldCharType="begin"/>
      </w:r>
      <w:r>
        <w:rPr>
          <w:rFonts w:ascii="Times New Roman" w:hAnsi="Times New Roman" w:eastAsia="宋体"/>
          <w:color w:val="auto"/>
          <w:highlight w:val="none"/>
          <w:u w:val="none"/>
        </w:rPr>
        <w:instrText xml:space="preserve"> HYPERLINK \l "_5　城市道路工程" </w:instrText>
      </w:r>
      <w:r>
        <w:rPr>
          <w:rFonts w:ascii="Times New Roman" w:hAnsi="Times New Roman" w:eastAsia="宋体"/>
          <w:color w:val="auto"/>
          <w:highlight w:val="none"/>
          <w:u w:val="none"/>
        </w:rPr>
        <w:fldChar w:fldCharType="separate"/>
      </w:r>
      <w:r>
        <w:rPr>
          <w:rStyle w:val="27"/>
          <w:rFonts w:ascii="Times New Roman" w:hAnsi="Times New Roman" w:eastAsia="宋体"/>
          <w:highlight w:val="none"/>
        </w:rPr>
        <w:t>5</w:t>
      </w:r>
      <w:r>
        <w:rPr>
          <w:rStyle w:val="27"/>
          <w:rFonts w:hint="eastAsia" w:ascii="Times New Roman" w:hAnsi="Times New Roman" w:eastAsia="宋体"/>
          <w:highlight w:val="none"/>
        </w:rPr>
        <w:t xml:space="preserve">  </w:t>
      </w:r>
      <w:r>
        <w:rPr>
          <w:rStyle w:val="27"/>
          <w:rFonts w:hint="eastAsia" w:ascii="Times New Roman" w:hAnsi="Times New Roman" w:eastAsia="宋体"/>
          <w:highlight w:val="none"/>
          <w:lang w:eastAsia="zh-CN"/>
        </w:rPr>
        <w:t>城市</w:t>
      </w:r>
      <w:r>
        <w:rPr>
          <w:rStyle w:val="27"/>
          <w:rFonts w:ascii="Times New Roman" w:hAnsi="Times New Roman" w:eastAsia="宋体"/>
          <w:highlight w:val="none"/>
        </w:rPr>
        <w:t>道路工程</w:t>
      </w:r>
      <w:r>
        <w:rPr>
          <w:rStyle w:val="27"/>
        </w:rPr>
        <w:tab/>
      </w:r>
      <w:r>
        <w:rPr>
          <w:rStyle w:val="27"/>
        </w:rPr>
        <w:fldChar w:fldCharType="begin"/>
      </w:r>
      <w:r>
        <w:rPr>
          <w:rStyle w:val="27"/>
        </w:rPr>
        <w:instrText xml:space="preserve"> PAGEREF _Toc13806 \h </w:instrText>
      </w:r>
      <w:r>
        <w:rPr>
          <w:rStyle w:val="27"/>
        </w:rPr>
        <w:fldChar w:fldCharType="separate"/>
      </w:r>
      <w:r>
        <w:rPr>
          <w:rStyle w:val="27"/>
        </w:rPr>
        <w:t>127</w:t>
      </w:r>
      <w:r>
        <w:rPr>
          <w:rStyle w:val="27"/>
        </w:rPr>
        <w:fldChar w:fldCharType="end"/>
      </w:r>
      <w:r>
        <w:rPr>
          <w:rFonts w:ascii="Times New Roman" w:hAnsi="Times New Roman" w:eastAsia="宋体"/>
          <w:color w:val="auto"/>
          <w:highlight w:val="none"/>
          <w:u w:val="none"/>
        </w:rPr>
        <w:fldChar w:fldCharType="end"/>
      </w:r>
    </w:p>
    <w:p>
      <w:pPr>
        <w:pStyle w:val="17"/>
        <w:tabs>
          <w:tab w:val="right" w:leader="dot" w:pos="8200"/>
        </w:tabs>
      </w:pPr>
      <w:r>
        <w:rPr>
          <w:rFonts w:ascii="Times New Roman" w:hAnsi="Times New Roman" w:eastAsia="宋体" w:cs="Times New Roman"/>
          <w:color w:val="auto"/>
          <w:highlight w:val="none"/>
          <w:u w:val="none"/>
        </w:rPr>
        <w:fldChar w:fldCharType="begin"/>
      </w:r>
      <w:r>
        <w:rPr>
          <w:rFonts w:ascii="Times New Roman" w:hAnsi="Times New Roman" w:eastAsia="宋体" w:cs="Times New Roman"/>
          <w:color w:val="auto"/>
          <w:highlight w:val="none"/>
          <w:u w:val="none"/>
        </w:rPr>
        <w:instrText xml:space="preserve"> HYPERLINK \l "_5.1　一般规定" </w:instrText>
      </w:r>
      <w:r>
        <w:rPr>
          <w:rFonts w:ascii="Times New Roman" w:hAnsi="Times New Roman" w:eastAsia="宋体" w:cs="Times New Roman"/>
          <w:color w:val="auto"/>
          <w:highlight w:val="none"/>
          <w:u w:val="none"/>
        </w:rPr>
        <w:fldChar w:fldCharType="separate"/>
      </w:r>
      <w:r>
        <w:rPr>
          <w:rStyle w:val="27"/>
          <w:rFonts w:ascii="Times New Roman" w:hAnsi="Times New Roman" w:eastAsia="宋体" w:cs="Times New Roman"/>
          <w:highlight w:val="none"/>
        </w:rPr>
        <w:t>5.1</w:t>
      </w:r>
      <w:r>
        <w:rPr>
          <w:rStyle w:val="27"/>
          <w:rFonts w:hint="eastAsia" w:ascii="Times New Roman" w:hAnsi="Times New Roman" w:eastAsia="宋体" w:cs="Times New Roman"/>
          <w:highlight w:val="none"/>
          <w:lang w:val="en-US" w:eastAsia="zh-CN"/>
        </w:rPr>
        <w:t xml:space="preserve"> </w:t>
      </w:r>
      <w:r>
        <w:rPr>
          <w:rStyle w:val="27"/>
          <w:rFonts w:ascii="Times New Roman" w:hAnsi="Times New Roman" w:eastAsia="宋体" w:cs="Times New Roman"/>
          <w:highlight w:val="none"/>
        </w:rPr>
        <w:t xml:space="preserve"> 一般规定</w:t>
      </w:r>
      <w:r>
        <w:rPr>
          <w:rStyle w:val="27"/>
        </w:rPr>
        <w:tab/>
      </w:r>
      <w:r>
        <w:rPr>
          <w:rStyle w:val="27"/>
        </w:rPr>
        <w:fldChar w:fldCharType="begin"/>
      </w:r>
      <w:r>
        <w:rPr>
          <w:rStyle w:val="27"/>
        </w:rPr>
        <w:instrText xml:space="preserve"> PAGEREF _Toc4110 \h </w:instrText>
      </w:r>
      <w:r>
        <w:rPr>
          <w:rStyle w:val="27"/>
        </w:rPr>
        <w:fldChar w:fldCharType="separate"/>
      </w:r>
      <w:r>
        <w:rPr>
          <w:rStyle w:val="27"/>
        </w:rPr>
        <w:t>127</w:t>
      </w:r>
      <w:r>
        <w:rPr>
          <w:rStyle w:val="27"/>
        </w:rPr>
        <w:fldChar w:fldCharType="end"/>
      </w:r>
      <w:r>
        <w:rPr>
          <w:rFonts w:ascii="Times New Roman" w:hAnsi="Times New Roman" w:eastAsia="宋体" w:cs="Times New Roman"/>
          <w:color w:val="auto"/>
          <w:highlight w:val="none"/>
          <w:u w:val="none"/>
        </w:rPr>
        <w:fldChar w:fldCharType="end"/>
      </w:r>
    </w:p>
    <w:p>
      <w:pPr>
        <w:pStyle w:val="17"/>
        <w:tabs>
          <w:tab w:val="right" w:leader="dot" w:pos="8200"/>
        </w:tabs>
      </w:pPr>
      <w:r>
        <w:rPr>
          <w:rFonts w:ascii="Times New Roman" w:hAnsi="Times New Roman" w:eastAsia="宋体" w:cs="Times New Roman"/>
          <w:color w:val="auto"/>
          <w:highlight w:val="none"/>
          <w:u w:val="none"/>
        </w:rPr>
        <w:fldChar w:fldCharType="begin"/>
      </w:r>
      <w:r>
        <w:rPr>
          <w:rFonts w:ascii="Times New Roman" w:hAnsi="Times New Roman" w:eastAsia="宋体" w:cs="Times New Roman"/>
          <w:color w:val="auto"/>
          <w:highlight w:val="none"/>
          <w:u w:val="none"/>
        </w:rPr>
        <w:instrText xml:space="preserve"> HYPERLINK \l "_5.2　可行性研究勘察" </w:instrText>
      </w:r>
      <w:r>
        <w:rPr>
          <w:rFonts w:ascii="Times New Roman" w:hAnsi="Times New Roman" w:eastAsia="宋体" w:cs="Times New Roman"/>
          <w:color w:val="auto"/>
          <w:highlight w:val="none"/>
          <w:u w:val="none"/>
        </w:rPr>
        <w:fldChar w:fldCharType="separate"/>
      </w:r>
      <w:r>
        <w:rPr>
          <w:rStyle w:val="27"/>
          <w:rFonts w:ascii="Times New Roman" w:hAnsi="Times New Roman" w:eastAsia="宋体" w:cs="Times New Roman"/>
          <w:highlight w:val="none"/>
        </w:rPr>
        <w:t xml:space="preserve">5.3 </w:t>
      </w:r>
      <w:r>
        <w:rPr>
          <w:rStyle w:val="27"/>
          <w:rFonts w:hint="eastAsia" w:ascii="Times New Roman" w:hAnsi="Times New Roman" w:eastAsia="宋体" w:cs="Times New Roman"/>
          <w:highlight w:val="none"/>
          <w:lang w:val="en-US" w:eastAsia="zh-CN"/>
        </w:rPr>
        <w:t xml:space="preserve"> </w:t>
      </w:r>
      <w:r>
        <w:rPr>
          <w:rStyle w:val="27"/>
          <w:rFonts w:ascii="Times New Roman" w:hAnsi="Times New Roman" w:eastAsia="宋体" w:cs="Times New Roman"/>
          <w:highlight w:val="none"/>
        </w:rPr>
        <w:t>初步勘察</w:t>
      </w:r>
      <w:r>
        <w:rPr>
          <w:rStyle w:val="27"/>
        </w:rPr>
        <w:tab/>
      </w:r>
      <w:r>
        <w:rPr>
          <w:rStyle w:val="27"/>
        </w:rPr>
        <w:fldChar w:fldCharType="begin"/>
      </w:r>
      <w:r>
        <w:rPr>
          <w:rStyle w:val="27"/>
        </w:rPr>
        <w:instrText xml:space="preserve"> PAGEREF _Toc27983 \h </w:instrText>
      </w:r>
      <w:r>
        <w:rPr>
          <w:rStyle w:val="27"/>
        </w:rPr>
        <w:fldChar w:fldCharType="separate"/>
      </w:r>
      <w:r>
        <w:rPr>
          <w:rStyle w:val="27"/>
        </w:rPr>
        <w:t>129</w:t>
      </w:r>
      <w:r>
        <w:rPr>
          <w:rStyle w:val="27"/>
        </w:rPr>
        <w:fldChar w:fldCharType="end"/>
      </w:r>
      <w:r>
        <w:rPr>
          <w:rFonts w:ascii="Times New Roman" w:hAnsi="Times New Roman" w:eastAsia="宋体" w:cs="Times New Roman"/>
          <w:color w:val="auto"/>
          <w:highlight w:val="none"/>
          <w:u w:val="none"/>
        </w:rPr>
        <w:fldChar w:fldCharType="end"/>
      </w:r>
    </w:p>
    <w:p>
      <w:pPr>
        <w:pStyle w:val="17"/>
        <w:tabs>
          <w:tab w:val="right" w:leader="dot" w:pos="8200"/>
        </w:tabs>
      </w:pPr>
      <w:r>
        <w:rPr>
          <w:rFonts w:ascii="Times New Roman" w:hAnsi="Times New Roman" w:eastAsia="宋体" w:cs="Times New Roman"/>
          <w:color w:val="auto"/>
          <w:highlight w:val="none"/>
          <w:u w:val="none"/>
        </w:rPr>
        <w:fldChar w:fldCharType="begin"/>
      </w:r>
      <w:r>
        <w:rPr>
          <w:rFonts w:ascii="Times New Roman" w:hAnsi="Times New Roman" w:eastAsia="宋体" w:cs="Times New Roman"/>
          <w:color w:val="auto"/>
          <w:highlight w:val="none"/>
          <w:u w:val="none"/>
        </w:rPr>
        <w:instrText xml:space="preserve"> HYPERLINK \l "_5.3　初步勘察" </w:instrText>
      </w:r>
      <w:r>
        <w:rPr>
          <w:rFonts w:ascii="Times New Roman" w:hAnsi="Times New Roman" w:eastAsia="宋体" w:cs="Times New Roman"/>
          <w:color w:val="auto"/>
          <w:highlight w:val="none"/>
          <w:u w:val="none"/>
        </w:rPr>
        <w:fldChar w:fldCharType="separate"/>
      </w:r>
      <w:r>
        <w:rPr>
          <w:rStyle w:val="27"/>
          <w:rFonts w:ascii="Times New Roman" w:hAnsi="Times New Roman" w:eastAsia="宋体" w:cs="Times New Roman"/>
          <w:highlight w:val="none"/>
        </w:rPr>
        <w:t xml:space="preserve">5.4 </w:t>
      </w:r>
      <w:r>
        <w:rPr>
          <w:rStyle w:val="27"/>
          <w:rFonts w:hint="eastAsia" w:ascii="Times New Roman" w:hAnsi="Times New Roman" w:eastAsia="宋体" w:cs="Times New Roman"/>
          <w:highlight w:val="none"/>
          <w:lang w:val="en-US" w:eastAsia="zh-CN"/>
        </w:rPr>
        <w:t xml:space="preserve"> </w:t>
      </w:r>
      <w:r>
        <w:rPr>
          <w:rStyle w:val="27"/>
          <w:rFonts w:ascii="Times New Roman" w:hAnsi="Times New Roman" w:eastAsia="宋体" w:cs="Times New Roman"/>
          <w:highlight w:val="none"/>
        </w:rPr>
        <w:t>详细勘察</w:t>
      </w:r>
      <w:r>
        <w:rPr>
          <w:rStyle w:val="27"/>
        </w:rPr>
        <w:tab/>
      </w:r>
      <w:r>
        <w:rPr>
          <w:rStyle w:val="27"/>
        </w:rPr>
        <w:fldChar w:fldCharType="begin"/>
      </w:r>
      <w:r>
        <w:rPr>
          <w:rStyle w:val="27"/>
        </w:rPr>
        <w:instrText xml:space="preserve"> PAGEREF _Toc11482 \h </w:instrText>
      </w:r>
      <w:r>
        <w:rPr>
          <w:rStyle w:val="27"/>
        </w:rPr>
        <w:fldChar w:fldCharType="separate"/>
      </w:r>
      <w:r>
        <w:rPr>
          <w:rStyle w:val="27"/>
        </w:rPr>
        <w:t>129</w:t>
      </w:r>
      <w:r>
        <w:rPr>
          <w:rStyle w:val="27"/>
        </w:rPr>
        <w:fldChar w:fldCharType="end"/>
      </w:r>
      <w:r>
        <w:rPr>
          <w:rFonts w:ascii="Times New Roman" w:hAnsi="Times New Roman" w:eastAsia="宋体" w:cs="Times New Roman"/>
          <w:color w:val="auto"/>
          <w:highlight w:val="none"/>
          <w:u w:val="none"/>
        </w:rPr>
        <w:fldChar w:fldCharType="end"/>
      </w:r>
    </w:p>
    <w:p>
      <w:pPr>
        <w:pStyle w:val="13"/>
        <w:tabs>
          <w:tab w:val="right" w:leader="dot" w:pos="8200"/>
          <w:tab w:val="clear" w:pos="420"/>
          <w:tab w:val="clear" w:pos="9523"/>
        </w:tabs>
      </w:pPr>
      <w:r>
        <w:rPr>
          <w:rFonts w:ascii="Times New Roman" w:hAnsi="Times New Roman" w:eastAsia="宋体"/>
          <w:color w:val="auto"/>
          <w:highlight w:val="none"/>
          <w:u w:val="none"/>
        </w:rPr>
        <w:fldChar w:fldCharType="begin"/>
      </w:r>
      <w:r>
        <w:rPr>
          <w:rFonts w:ascii="Times New Roman" w:hAnsi="Times New Roman" w:eastAsia="宋体"/>
          <w:color w:val="auto"/>
          <w:highlight w:val="none"/>
          <w:u w:val="none"/>
        </w:rPr>
        <w:instrText xml:space="preserve"> HYPERLINK \l "_6　城市桥涵工程" </w:instrText>
      </w:r>
      <w:r>
        <w:rPr>
          <w:rFonts w:ascii="Times New Roman" w:hAnsi="Times New Roman" w:eastAsia="宋体"/>
          <w:color w:val="auto"/>
          <w:highlight w:val="none"/>
          <w:u w:val="none"/>
        </w:rPr>
        <w:fldChar w:fldCharType="separate"/>
      </w:r>
      <w:r>
        <w:rPr>
          <w:rStyle w:val="27"/>
          <w:rFonts w:ascii="Times New Roman" w:hAnsi="Times New Roman" w:eastAsia="宋体"/>
          <w:highlight w:val="none"/>
        </w:rPr>
        <w:t>6</w:t>
      </w:r>
      <w:r>
        <w:rPr>
          <w:rStyle w:val="27"/>
          <w:rFonts w:hint="eastAsia" w:ascii="Times New Roman" w:hAnsi="Times New Roman" w:eastAsia="宋体"/>
          <w:highlight w:val="none"/>
        </w:rPr>
        <w:t xml:space="preserve">  </w:t>
      </w:r>
      <w:r>
        <w:rPr>
          <w:rStyle w:val="27"/>
          <w:rFonts w:hint="eastAsia" w:ascii="Times New Roman" w:hAnsi="Times New Roman" w:eastAsia="宋体"/>
          <w:highlight w:val="none"/>
          <w:lang w:eastAsia="zh-CN"/>
        </w:rPr>
        <w:t>城市</w:t>
      </w:r>
      <w:r>
        <w:rPr>
          <w:rStyle w:val="27"/>
          <w:rFonts w:ascii="Times New Roman" w:hAnsi="Times New Roman" w:eastAsia="宋体"/>
          <w:highlight w:val="none"/>
        </w:rPr>
        <w:t>桥涵工程</w:t>
      </w:r>
      <w:r>
        <w:rPr>
          <w:rStyle w:val="27"/>
        </w:rPr>
        <w:tab/>
      </w:r>
      <w:r>
        <w:rPr>
          <w:rStyle w:val="27"/>
        </w:rPr>
        <w:fldChar w:fldCharType="begin"/>
      </w:r>
      <w:r>
        <w:rPr>
          <w:rStyle w:val="27"/>
        </w:rPr>
        <w:instrText xml:space="preserve"> PAGEREF _Toc22976 \h </w:instrText>
      </w:r>
      <w:r>
        <w:rPr>
          <w:rStyle w:val="27"/>
        </w:rPr>
        <w:fldChar w:fldCharType="separate"/>
      </w:r>
      <w:r>
        <w:rPr>
          <w:rStyle w:val="27"/>
        </w:rPr>
        <w:t>136</w:t>
      </w:r>
      <w:r>
        <w:rPr>
          <w:rStyle w:val="27"/>
        </w:rPr>
        <w:fldChar w:fldCharType="end"/>
      </w:r>
      <w:r>
        <w:rPr>
          <w:rFonts w:ascii="Times New Roman" w:hAnsi="Times New Roman" w:eastAsia="宋体"/>
          <w:color w:val="auto"/>
          <w:highlight w:val="none"/>
          <w:u w:val="none"/>
        </w:rPr>
        <w:fldChar w:fldCharType="end"/>
      </w:r>
    </w:p>
    <w:p>
      <w:pPr>
        <w:pStyle w:val="17"/>
        <w:tabs>
          <w:tab w:val="right" w:leader="dot" w:pos="8200"/>
        </w:tabs>
      </w:pPr>
      <w:r>
        <w:rPr>
          <w:rFonts w:ascii="Times New Roman" w:hAnsi="Times New Roman" w:eastAsia="宋体" w:cs="Times New Roman"/>
          <w:color w:val="auto"/>
          <w:highlight w:val="none"/>
          <w:u w:val="none"/>
        </w:rPr>
        <w:fldChar w:fldCharType="begin"/>
      </w:r>
      <w:r>
        <w:rPr>
          <w:rFonts w:ascii="Times New Roman" w:hAnsi="Times New Roman" w:eastAsia="宋体" w:cs="Times New Roman"/>
          <w:color w:val="auto"/>
          <w:highlight w:val="none"/>
          <w:u w:val="none"/>
        </w:rPr>
        <w:instrText xml:space="preserve"> HYPERLINK \l "_6.1　一般规定" </w:instrText>
      </w:r>
      <w:r>
        <w:rPr>
          <w:rFonts w:ascii="Times New Roman" w:hAnsi="Times New Roman" w:eastAsia="宋体" w:cs="Times New Roman"/>
          <w:color w:val="auto"/>
          <w:highlight w:val="none"/>
          <w:u w:val="none"/>
        </w:rPr>
        <w:fldChar w:fldCharType="separate"/>
      </w:r>
      <w:r>
        <w:rPr>
          <w:rStyle w:val="27"/>
          <w:rFonts w:ascii="Times New Roman" w:hAnsi="Times New Roman" w:eastAsia="宋体" w:cs="Times New Roman"/>
          <w:highlight w:val="none"/>
        </w:rPr>
        <w:t xml:space="preserve">6.1 </w:t>
      </w:r>
      <w:r>
        <w:rPr>
          <w:rStyle w:val="27"/>
          <w:rFonts w:hint="eastAsia" w:ascii="Times New Roman" w:hAnsi="Times New Roman" w:eastAsia="宋体" w:cs="Times New Roman"/>
          <w:highlight w:val="none"/>
          <w:lang w:val="en-US" w:eastAsia="zh-CN"/>
        </w:rPr>
        <w:t xml:space="preserve"> </w:t>
      </w:r>
      <w:r>
        <w:rPr>
          <w:rStyle w:val="27"/>
          <w:rFonts w:ascii="Times New Roman" w:hAnsi="Times New Roman" w:eastAsia="宋体" w:cs="Times New Roman"/>
          <w:highlight w:val="none"/>
        </w:rPr>
        <w:t>一般规定</w:t>
      </w:r>
      <w:r>
        <w:rPr>
          <w:rStyle w:val="27"/>
        </w:rPr>
        <w:tab/>
      </w:r>
      <w:r>
        <w:rPr>
          <w:rStyle w:val="27"/>
        </w:rPr>
        <w:fldChar w:fldCharType="begin"/>
      </w:r>
      <w:r>
        <w:rPr>
          <w:rStyle w:val="27"/>
        </w:rPr>
        <w:instrText xml:space="preserve"> PAGEREF _Toc31784 \h </w:instrText>
      </w:r>
      <w:r>
        <w:rPr>
          <w:rStyle w:val="27"/>
        </w:rPr>
        <w:fldChar w:fldCharType="separate"/>
      </w:r>
      <w:r>
        <w:rPr>
          <w:rStyle w:val="27"/>
        </w:rPr>
        <w:t>136</w:t>
      </w:r>
      <w:r>
        <w:rPr>
          <w:rStyle w:val="27"/>
        </w:rPr>
        <w:fldChar w:fldCharType="end"/>
      </w:r>
      <w:r>
        <w:rPr>
          <w:rFonts w:ascii="Times New Roman" w:hAnsi="Times New Roman" w:eastAsia="宋体" w:cs="Times New Roman"/>
          <w:color w:val="auto"/>
          <w:highlight w:val="none"/>
          <w:u w:val="none"/>
        </w:rPr>
        <w:fldChar w:fldCharType="end"/>
      </w:r>
    </w:p>
    <w:p>
      <w:pPr>
        <w:pStyle w:val="17"/>
        <w:tabs>
          <w:tab w:val="right" w:leader="dot" w:pos="8200"/>
        </w:tabs>
      </w:pPr>
      <w:r>
        <w:rPr>
          <w:rFonts w:ascii="Times New Roman" w:hAnsi="Times New Roman" w:eastAsia="宋体" w:cs="Times New Roman"/>
          <w:color w:val="auto"/>
          <w:highlight w:val="none"/>
          <w:u w:val="none"/>
        </w:rPr>
        <w:fldChar w:fldCharType="begin"/>
      </w:r>
      <w:r>
        <w:rPr>
          <w:rFonts w:ascii="Times New Roman" w:hAnsi="Times New Roman" w:eastAsia="宋体" w:cs="Times New Roman"/>
          <w:color w:val="auto"/>
          <w:highlight w:val="none"/>
          <w:u w:val="none"/>
        </w:rPr>
        <w:instrText xml:space="preserve"> HYPERLINK \l "_6.3　初步勘察" </w:instrText>
      </w:r>
      <w:r>
        <w:rPr>
          <w:rFonts w:ascii="Times New Roman" w:hAnsi="Times New Roman" w:eastAsia="宋体" w:cs="Times New Roman"/>
          <w:color w:val="auto"/>
          <w:highlight w:val="none"/>
          <w:u w:val="none"/>
        </w:rPr>
        <w:fldChar w:fldCharType="separate"/>
      </w:r>
      <w:r>
        <w:rPr>
          <w:rStyle w:val="27"/>
          <w:rFonts w:ascii="Times New Roman" w:hAnsi="Times New Roman" w:eastAsia="宋体" w:cs="Times New Roman"/>
          <w:highlight w:val="none"/>
        </w:rPr>
        <w:t xml:space="preserve">6.3 </w:t>
      </w:r>
      <w:r>
        <w:rPr>
          <w:rStyle w:val="27"/>
          <w:rFonts w:hint="eastAsia" w:ascii="Times New Roman" w:hAnsi="Times New Roman" w:eastAsia="宋体" w:cs="Times New Roman"/>
          <w:highlight w:val="none"/>
          <w:lang w:val="en-US" w:eastAsia="zh-CN"/>
        </w:rPr>
        <w:t xml:space="preserve"> </w:t>
      </w:r>
      <w:r>
        <w:rPr>
          <w:rStyle w:val="27"/>
          <w:rFonts w:ascii="Times New Roman" w:hAnsi="Times New Roman" w:eastAsia="宋体" w:cs="Times New Roman"/>
          <w:highlight w:val="none"/>
        </w:rPr>
        <w:t>初步勘察</w:t>
      </w:r>
      <w:r>
        <w:rPr>
          <w:rStyle w:val="27"/>
        </w:rPr>
        <w:tab/>
      </w:r>
      <w:r>
        <w:rPr>
          <w:rStyle w:val="27"/>
        </w:rPr>
        <w:fldChar w:fldCharType="begin"/>
      </w:r>
      <w:r>
        <w:rPr>
          <w:rStyle w:val="27"/>
        </w:rPr>
        <w:instrText xml:space="preserve"> PAGEREF _Toc5777 \h </w:instrText>
      </w:r>
      <w:r>
        <w:rPr>
          <w:rStyle w:val="27"/>
        </w:rPr>
        <w:fldChar w:fldCharType="separate"/>
      </w:r>
      <w:r>
        <w:rPr>
          <w:rStyle w:val="27"/>
        </w:rPr>
        <w:t>137</w:t>
      </w:r>
      <w:r>
        <w:rPr>
          <w:rStyle w:val="27"/>
        </w:rPr>
        <w:fldChar w:fldCharType="end"/>
      </w:r>
      <w:r>
        <w:rPr>
          <w:rFonts w:ascii="Times New Roman" w:hAnsi="Times New Roman" w:eastAsia="宋体" w:cs="Times New Roman"/>
          <w:color w:val="auto"/>
          <w:highlight w:val="none"/>
          <w:u w:val="none"/>
        </w:rPr>
        <w:fldChar w:fldCharType="end"/>
      </w:r>
    </w:p>
    <w:p>
      <w:pPr>
        <w:pStyle w:val="17"/>
        <w:tabs>
          <w:tab w:val="right" w:leader="dot" w:pos="8200"/>
        </w:tabs>
      </w:pPr>
      <w:r>
        <w:rPr>
          <w:rFonts w:ascii="Times New Roman" w:hAnsi="Times New Roman" w:eastAsia="宋体" w:cs="Times New Roman"/>
          <w:color w:val="auto"/>
          <w:highlight w:val="none"/>
          <w:u w:val="none"/>
        </w:rPr>
        <w:fldChar w:fldCharType="begin"/>
      </w:r>
      <w:r>
        <w:rPr>
          <w:rFonts w:ascii="Times New Roman" w:hAnsi="Times New Roman" w:eastAsia="宋体" w:cs="Times New Roman"/>
          <w:color w:val="auto"/>
          <w:highlight w:val="none"/>
          <w:u w:val="none"/>
        </w:rPr>
        <w:instrText xml:space="preserve"> HYPERLINK \l "_6.4　详细勘察" </w:instrText>
      </w:r>
      <w:r>
        <w:rPr>
          <w:rFonts w:ascii="Times New Roman" w:hAnsi="Times New Roman" w:eastAsia="宋体" w:cs="Times New Roman"/>
          <w:color w:val="auto"/>
          <w:highlight w:val="none"/>
          <w:u w:val="none"/>
        </w:rPr>
        <w:fldChar w:fldCharType="separate"/>
      </w:r>
      <w:r>
        <w:rPr>
          <w:rStyle w:val="27"/>
          <w:rFonts w:ascii="Times New Roman" w:hAnsi="Times New Roman" w:eastAsia="宋体" w:cs="Times New Roman"/>
          <w:highlight w:val="none"/>
        </w:rPr>
        <w:t xml:space="preserve">6.4 </w:t>
      </w:r>
      <w:r>
        <w:rPr>
          <w:rStyle w:val="27"/>
          <w:rFonts w:hint="eastAsia" w:ascii="Times New Roman" w:hAnsi="Times New Roman" w:eastAsia="宋体" w:cs="Times New Roman"/>
          <w:highlight w:val="none"/>
          <w:lang w:val="en-US" w:eastAsia="zh-CN"/>
        </w:rPr>
        <w:t xml:space="preserve"> </w:t>
      </w:r>
      <w:r>
        <w:rPr>
          <w:rStyle w:val="27"/>
          <w:rFonts w:ascii="Times New Roman" w:hAnsi="Times New Roman" w:eastAsia="宋体" w:cs="Times New Roman"/>
          <w:highlight w:val="none"/>
        </w:rPr>
        <w:t>详细勘察</w:t>
      </w:r>
      <w:r>
        <w:rPr>
          <w:rStyle w:val="27"/>
        </w:rPr>
        <w:tab/>
      </w:r>
      <w:r>
        <w:rPr>
          <w:rStyle w:val="27"/>
        </w:rPr>
        <w:fldChar w:fldCharType="begin"/>
      </w:r>
      <w:r>
        <w:rPr>
          <w:rStyle w:val="27"/>
        </w:rPr>
        <w:instrText xml:space="preserve"> PAGEREF _Toc2981 \h </w:instrText>
      </w:r>
      <w:r>
        <w:rPr>
          <w:rStyle w:val="27"/>
        </w:rPr>
        <w:fldChar w:fldCharType="separate"/>
      </w:r>
      <w:r>
        <w:rPr>
          <w:rStyle w:val="27"/>
        </w:rPr>
        <w:t>137</w:t>
      </w:r>
      <w:r>
        <w:rPr>
          <w:rStyle w:val="27"/>
        </w:rPr>
        <w:fldChar w:fldCharType="end"/>
      </w:r>
      <w:r>
        <w:rPr>
          <w:rFonts w:ascii="Times New Roman" w:hAnsi="Times New Roman" w:eastAsia="宋体" w:cs="Times New Roman"/>
          <w:color w:val="auto"/>
          <w:highlight w:val="none"/>
          <w:u w:val="none"/>
        </w:rPr>
        <w:fldChar w:fldCharType="end"/>
      </w:r>
    </w:p>
    <w:p>
      <w:pPr>
        <w:pStyle w:val="13"/>
        <w:tabs>
          <w:tab w:val="right" w:leader="dot" w:pos="8200"/>
          <w:tab w:val="clear" w:pos="420"/>
          <w:tab w:val="clear" w:pos="9523"/>
        </w:tabs>
      </w:pPr>
      <w:r>
        <w:rPr>
          <w:rFonts w:ascii="Times New Roman" w:hAnsi="Times New Roman" w:eastAsia="宋体"/>
          <w:color w:val="auto"/>
          <w:highlight w:val="none"/>
          <w:u w:val="none"/>
        </w:rPr>
        <w:fldChar w:fldCharType="begin"/>
      </w:r>
      <w:r>
        <w:rPr>
          <w:rFonts w:ascii="Times New Roman" w:hAnsi="Times New Roman" w:eastAsia="宋体"/>
          <w:color w:val="auto"/>
          <w:highlight w:val="none"/>
          <w:u w:val="none"/>
        </w:rPr>
        <w:instrText xml:space="preserve"> HYPERLINK \l "_7　城市隧道工程" </w:instrText>
      </w:r>
      <w:r>
        <w:rPr>
          <w:rFonts w:ascii="Times New Roman" w:hAnsi="Times New Roman" w:eastAsia="宋体"/>
          <w:color w:val="auto"/>
          <w:highlight w:val="none"/>
          <w:u w:val="none"/>
        </w:rPr>
        <w:fldChar w:fldCharType="separate"/>
      </w:r>
      <w:r>
        <w:rPr>
          <w:rStyle w:val="27"/>
          <w:rFonts w:ascii="Times New Roman" w:hAnsi="Times New Roman" w:eastAsia="宋体"/>
          <w:highlight w:val="none"/>
        </w:rPr>
        <w:t>7</w:t>
      </w:r>
      <w:r>
        <w:rPr>
          <w:rStyle w:val="27"/>
          <w:rFonts w:hint="eastAsia" w:ascii="Times New Roman" w:hAnsi="Times New Roman" w:eastAsia="宋体"/>
          <w:highlight w:val="none"/>
        </w:rPr>
        <w:t xml:space="preserve">  </w:t>
      </w:r>
      <w:r>
        <w:rPr>
          <w:rStyle w:val="27"/>
          <w:rFonts w:hint="eastAsia" w:ascii="Times New Roman" w:hAnsi="Times New Roman" w:eastAsia="宋体"/>
          <w:highlight w:val="none"/>
          <w:lang w:eastAsia="zh-CN"/>
        </w:rPr>
        <w:t>城市</w:t>
      </w:r>
      <w:r>
        <w:rPr>
          <w:rStyle w:val="27"/>
          <w:rFonts w:ascii="Times New Roman" w:hAnsi="Times New Roman" w:eastAsia="宋体"/>
          <w:highlight w:val="none"/>
        </w:rPr>
        <w:t>隧道工程</w:t>
      </w:r>
      <w:r>
        <w:rPr>
          <w:rStyle w:val="27"/>
        </w:rPr>
        <w:tab/>
      </w:r>
      <w:r>
        <w:rPr>
          <w:rStyle w:val="27"/>
        </w:rPr>
        <w:fldChar w:fldCharType="begin"/>
      </w:r>
      <w:r>
        <w:rPr>
          <w:rStyle w:val="27"/>
        </w:rPr>
        <w:instrText xml:space="preserve"> PAGEREF _Toc17389 \h </w:instrText>
      </w:r>
      <w:r>
        <w:rPr>
          <w:rStyle w:val="27"/>
        </w:rPr>
        <w:fldChar w:fldCharType="separate"/>
      </w:r>
      <w:r>
        <w:rPr>
          <w:rStyle w:val="27"/>
        </w:rPr>
        <w:t>145</w:t>
      </w:r>
      <w:r>
        <w:rPr>
          <w:rStyle w:val="27"/>
        </w:rPr>
        <w:fldChar w:fldCharType="end"/>
      </w:r>
      <w:r>
        <w:rPr>
          <w:rFonts w:ascii="Times New Roman" w:hAnsi="Times New Roman" w:eastAsia="宋体"/>
          <w:color w:val="auto"/>
          <w:highlight w:val="none"/>
          <w:u w:val="none"/>
        </w:rPr>
        <w:fldChar w:fldCharType="end"/>
      </w:r>
    </w:p>
    <w:p>
      <w:pPr>
        <w:pStyle w:val="17"/>
        <w:tabs>
          <w:tab w:val="right" w:leader="dot" w:pos="8200"/>
        </w:tabs>
      </w:pPr>
      <w:r>
        <w:rPr>
          <w:rFonts w:ascii="Times New Roman" w:hAnsi="Times New Roman" w:eastAsia="宋体" w:cs="Times New Roman"/>
          <w:color w:val="auto"/>
          <w:highlight w:val="none"/>
          <w:u w:val="none"/>
        </w:rPr>
        <w:fldChar w:fldCharType="begin"/>
      </w:r>
      <w:r>
        <w:rPr>
          <w:rFonts w:ascii="Times New Roman" w:hAnsi="Times New Roman" w:eastAsia="宋体" w:cs="Times New Roman"/>
          <w:color w:val="auto"/>
          <w:highlight w:val="none"/>
          <w:u w:val="none"/>
        </w:rPr>
        <w:instrText xml:space="preserve"> HYPERLINK \l "_7.1　一般规定" </w:instrText>
      </w:r>
      <w:r>
        <w:rPr>
          <w:rFonts w:ascii="Times New Roman" w:hAnsi="Times New Roman" w:eastAsia="宋体" w:cs="Times New Roman"/>
          <w:color w:val="auto"/>
          <w:highlight w:val="none"/>
          <w:u w:val="none"/>
        </w:rPr>
        <w:fldChar w:fldCharType="separate"/>
      </w:r>
      <w:r>
        <w:rPr>
          <w:rStyle w:val="27"/>
          <w:rFonts w:ascii="Times New Roman" w:hAnsi="Times New Roman" w:eastAsia="宋体" w:cs="Times New Roman"/>
          <w:highlight w:val="none"/>
        </w:rPr>
        <w:t xml:space="preserve">7.1 </w:t>
      </w:r>
      <w:r>
        <w:rPr>
          <w:rStyle w:val="27"/>
          <w:rFonts w:hint="eastAsia" w:ascii="Times New Roman" w:hAnsi="Times New Roman" w:eastAsia="宋体" w:cs="Times New Roman"/>
          <w:highlight w:val="none"/>
          <w:lang w:val="en-US" w:eastAsia="zh-CN"/>
        </w:rPr>
        <w:t xml:space="preserve"> </w:t>
      </w:r>
      <w:r>
        <w:rPr>
          <w:rStyle w:val="27"/>
          <w:rFonts w:ascii="Times New Roman" w:hAnsi="Times New Roman" w:eastAsia="宋体" w:cs="Times New Roman"/>
          <w:highlight w:val="none"/>
        </w:rPr>
        <w:t>一般规定</w:t>
      </w:r>
      <w:r>
        <w:rPr>
          <w:rStyle w:val="27"/>
        </w:rPr>
        <w:tab/>
      </w:r>
      <w:r>
        <w:rPr>
          <w:rStyle w:val="27"/>
        </w:rPr>
        <w:fldChar w:fldCharType="begin"/>
      </w:r>
      <w:r>
        <w:rPr>
          <w:rStyle w:val="27"/>
        </w:rPr>
        <w:instrText xml:space="preserve"> PAGEREF _Toc26423 \h </w:instrText>
      </w:r>
      <w:r>
        <w:rPr>
          <w:rStyle w:val="27"/>
        </w:rPr>
        <w:fldChar w:fldCharType="separate"/>
      </w:r>
      <w:r>
        <w:rPr>
          <w:rStyle w:val="27"/>
        </w:rPr>
        <w:t>145</w:t>
      </w:r>
      <w:r>
        <w:rPr>
          <w:rStyle w:val="27"/>
        </w:rPr>
        <w:fldChar w:fldCharType="end"/>
      </w:r>
      <w:r>
        <w:rPr>
          <w:rFonts w:ascii="Times New Roman" w:hAnsi="Times New Roman" w:eastAsia="宋体" w:cs="Times New Roman"/>
          <w:color w:val="auto"/>
          <w:highlight w:val="none"/>
          <w:u w:val="none"/>
        </w:rPr>
        <w:fldChar w:fldCharType="end"/>
      </w:r>
    </w:p>
    <w:p>
      <w:pPr>
        <w:pStyle w:val="17"/>
        <w:tabs>
          <w:tab w:val="right" w:leader="dot" w:pos="8200"/>
        </w:tabs>
      </w:pPr>
      <w:r>
        <w:rPr>
          <w:rFonts w:ascii="Times New Roman" w:hAnsi="Times New Roman" w:eastAsia="宋体" w:cs="Times New Roman"/>
          <w:color w:val="auto"/>
          <w:highlight w:val="none"/>
          <w:u w:val="none"/>
        </w:rPr>
        <w:fldChar w:fldCharType="begin"/>
      </w:r>
      <w:r>
        <w:rPr>
          <w:rFonts w:ascii="Times New Roman" w:hAnsi="Times New Roman" w:eastAsia="宋体" w:cs="Times New Roman"/>
          <w:color w:val="auto"/>
          <w:highlight w:val="none"/>
          <w:u w:val="none"/>
        </w:rPr>
        <w:instrText xml:space="preserve"> HYPERLINK \l "_7.2　可行性研究勘察" </w:instrText>
      </w:r>
      <w:r>
        <w:rPr>
          <w:rFonts w:ascii="Times New Roman" w:hAnsi="Times New Roman" w:eastAsia="宋体" w:cs="Times New Roman"/>
          <w:color w:val="auto"/>
          <w:highlight w:val="none"/>
          <w:u w:val="none"/>
        </w:rPr>
        <w:fldChar w:fldCharType="separate"/>
      </w:r>
      <w:r>
        <w:rPr>
          <w:rStyle w:val="27"/>
          <w:rFonts w:ascii="Times New Roman" w:hAnsi="Times New Roman" w:eastAsia="宋体" w:cs="Times New Roman"/>
          <w:highlight w:val="none"/>
        </w:rPr>
        <w:t xml:space="preserve">7.2 </w:t>
      </w:r>
      <w:r>
        <w:rPr>
          <w:rStyle w:val="27"/>
          <w:rFonts w:hint="eastAsia" w:ascii="Times New Roman" w:hAnsi="Times New Roman" w:eastAsia="宋体" w:cs="Times New Roman"/>
          <w:highlight w:val="none"/>
          <w:lang w:val="en-US" w:eastAsia="zh-CN"/>
        </w:rPr>
        <w:t xml:space="preserve"> </w:t>
      </w:r>
      <w:r>
        <w:rPr>
          <w:rStyle w:val="27"/>
          <w:rFonts w:ascii="Times New Roman" w:hAnsi="Times New Roman" w:eastAsia="宋体" w:cs="Times New Roman"/>
          <w:highlight w:val="none"/>
        </w:rPr>
        <w:t>可行性研究勘察</w:t>
      </w:r>
      <w:r>
        <w:rPr>
          <w:rStyle w:val="27"/>
        </w:rPr>
        <w:tab/>
      </w:r>
      <w:r>
        <w:rPr>
          <w:rStyle w:val="27"/>
        </w:rPr>
        <w:fldChar w:fldCharType="begin"/>
      </w:r>
      <w:r>
        <w:rPr>
          <w:rStyle w:val="27"/>
        </w:rPr>
        <w:instrText xml:space="preserve"> PAGEREF _Toc8421 \h </w:instrText>
      </w:r>
      <w:r>
        <w:rPr>
          <w:rStyle w:val="27"/>
        </w:rPr>
        <w:fldChar w:fldCharType="separate"/>
      </w:r>
      <w:r>
        <w:rPr>
          <w:rStyle w:val="27"/>
        </w:rPr>
        <w:t>150</w:t>
      </w:r>
      <w:r>
        <w:rPr>
          <w:rStyle w:val="27"/>
        </w:rPr>
        <w:fldChar w:fldCharType="end"/>
      </w:r>
      <w:r>
        <w:rPr>
          <w:rFonts w:ascii="Times New Roman" w:hAnsi="Times New Roman" w:eastAsia="宋体" w:cs="Times New Roman"/>
          <w:color w:val="auto"/>
          <w:highlight w:val="none"/>
          <w:u w:val="none"/>
        </w:rPr>
        <w:fldChar w:fldCharType="end"/>
      </w:r>
    </w:p>
    <w:p>
      <w:pPr>
        <w:pStyle w:val="17"/>
        <w:tabs>
          <w:tab w:val="right" w:leader="dot" w:pos="8200"/>
        </w:tabs>
      </w:pPr>
      <w:r>
        <w:rPr>
          <w:rFonts w:ascii="Times New Roman" w:hAnsi="Times New Roman" w:eastAsia="宋体" w:cs="Times New Roman"/>
          <w:color w:val="auto"/>
          <w:highlight w:val="none"/>
          <w:u w:val="none"/>
        </w:rPr>
        <w:fldChar w:fldCharType="begin"/>
      </w:r>
      <w:r>
        <w:rPr>
          <w:rFonts w:ascii="Times New Roman" w:hAnsi="Times New Roman" w:eastAsia="宋体" w:cs="Times New Roman"/>
          <w:color w:val="auto"/>
          <w:highlight w:val="none"/>
          <w:u w:val="none"/>
        </w:rPr>
        <w:instrText xml:space="preserve"> HYPERLINK \l "_7.3　初步勘察" </w:instrText>
      </w:r>
      <w:r>
        <w:rPr>
          <w:rFonts w:ascii="Times New Roman" w:hAnsi="Times New Roman" w:eastAsia="宋体" w:cs="Times New Roman"/>
          <w:color w:val="auto"/>
          <w:highlight w:val="none"/>
          <w:u w:val="none"/>
        </w:rPr>
        <w:fldChar w:fldCharType="separate"/>
      </w:r>
      <w:r>
        <w:rPr>
          <w:rStyle w:val="27"/>
          <w:rFonts w:ascii="Times New Roman" w:hAnsi="Times New Roman" w:eastAsia="宋体" w:cs="Times New Roman"/>
          <w:highlight w:val="none"/>
        </w:rPr>
        <w:t xml:space="preserve">7.3 </w:t>
      </w:r>
      <w:r>
        <w:rPr>
          <w:rStyle w:val="27"/>
          <w:rFonts w:hint="eastAsia" w:ascii="Times New Roman" w:hAnsi="Times New Roman" w:eastAsia="宋体" w:cs="Times New Roman"/>
          <w:highlight w:val="none"/>
          <w:lang w:val="en-US" w:eastAsia="zh-CN"/>
        </w:rPr>
        <w:t xml:space="preserve"> </w:t>
      </w:r>
      <w:r>
        <w:rPr>
          <w:rStyle w:val="27"/>
          <w:rFonts w:ascii="Times New Roman" w:hAnsi="Times New Roman" w:eastAsia="宋体" w:cs="Times New Roman"/>
          <w:highlight w:val="none"/>
        </w:rPr>
        <w:t>初步勘察</w:t>
      </w:r>
      <w:r>
        <w:rPr>
          <w:rStyle w:val="27"/>
        </w:rPr>
        <w:tab/>
      </w:r>
      <w:r>
        <w:rPr>
          <w:rStyle w:val="27"/>
        </w:rPr>
        <w:fldChar w:fldCharType="begin"/>
      </w:r>
      <w:r>
        <w:rPr>
          <w:rStyle w:val="27"/>
        </w:rPr>
        <w:instrText xml:space="preserve"> PAGEREF _Toc12646 \h </w:instrText>
      </w:r>
      <w:r>
        <w:rPr>
          <w:rStyle w:val="27"/>
        </w:rPr>
        <w:fldChar w:fldCharType="separate"/>
      </w:r>
      <w:r>
        <w:rPr>
          <w:rStyle w:val="27"/>
        </w:rPr>
        <w:t>150</w:t>
      </w:r>
      <w:r>
        <w:rPr>
          <w:rStyle w:val="27"/>
        </w:rPr>
        <w:fldChar w:fldCharType="end"/>
      </w:r>
      <w:r>
        <w:rPr>
          <w:rFonts w:ascii="Times New Roman" w:hAnsi="Times New Roman" w:eastAsia="宋体" w:cs="Times New Roman"/>
          <w:color w:val="auto"/>
          <w:highlight w:val="none"/>
          <w:u w:val="none"/>
        </w:rPr>
        <w:fldChar w:fldCharType="end"/>
      </w:r>
    </w:p>
    <w:p>
      <w:pPr>
        <w:pStyle w:val="17"/>
        <w:tabs>
          <w:tab w:val="right" w:leader="dot" w:pos="8200"/>
        </w:tabs>
      </w:pPr>
      <w:r>
        <w:rPr>
          <w:rFonts w:ascii="Times New Roman" w:hAnsi="Times New Roman" w:eastAsia="宋体" w:cs="Times New Roman"/>
          <w:color w:val="auto"/>
          <w:highlight w:val="none"/>
          <w:u w:val="none"/>
        </w:rPr>
        <w:fldChar w:fldCharType="begin"/>
      </w:r>
      <w:r>
        <w:rPr>
          <w:rFonts w:ascii="Times New Roman" w:hAnsi="Times New Roman" w:eastAsia="宋体" w:cs="Times New Roman"/>
          <w:color w:val="auto"/>
          <w:highlight w:val="none"/>
          <w:u w:val="none"/>
        </w:rPr>
        <w:instrText xml:space="preserve"> HYPERLINK \l "_7.4　详细勘察" </w:instrText>
      </w:r>
      <w:r>
        <w:rPr>
          <w:rFonts w:ascii="Times New Roman" w:hAnsi="Times New Roman" w:eastAsia="宋体" w:cs="Times New Roman"/>
          <w:color w:val="auto"/>
          <w:highlight w:val="none"/>
          <w:u w:val="none"/>
        </w:rPr>
        <w:fldChar w:fldCharType="separate"/>
      </w:r>
      <w:r>
        <w:rPr>
          <w:rStyle w:val="27"/>
          <w:rFonts w:ascii="Times New Roman" w:hAnsi="Times New Roman" w:eastAsia="宋体" w:cs="Times New Roman"/>
          <w:highlight w:val="none"/>
        </w:rPr>
        <w:t xml:space="preserve">7.4 </w:t>
      </w:r>
      <w:r>
        <w:rPr>
          <w:rStyle w:val="27"/>
          <w:rFonts w:hint="eastAsia" w:ascii="Times New Roman" w:hAnsi="Times New Roman" w:eastAsia="宋体" w:cs="Times New Roman"/>
          <w:highlight w:val="none"/>
          <w:lang w:val="en-US" w:eastAsia="zh-CN"/>
        </w:rPr>
        <w:t xml:space="preserve"> </w:t>
      </w:r>
      <w:r>
        <w:rPr>
          <w:rStyle w:val="27"/>
          <w:rFonts w:ascii="Times New Roman" w:hAnsi="Times New Roman" w:eastAsia="宋体" w:cs="Times New Roman"/>
          <w:highlight w:val="none"/>
        </w:rPr>
        <w:t>详细勘察</w:t>
      </w:r>
      <w:r>
        <w:rPr>
          <w:rStyle w:val="27"/>
        </w:rPr>
        <w:tab/>
      </w:r>
      <w:r>
        <w:rPr>
          <w:rStyle w:val="27"/>
        </w:rPr>
        <w:fldChar w:fldCharType="begin"/>
      </w:r>
      <w:r>
        <w:rPr>
          <w:rStyle w:val="27"/>
        </w:rPr>
        <w:instrText xml:space="preserve"> PAGEREF _Toc3764 \h </w:instrText>
      </w:r>
      <w:r>
        <w:rPr>
          <w:rStyle w:val="27"/>
        </w:rPr>
        <w:fldChar w:fldCharType="separate"/>
      </w:r>
      <w:r>
        <w:rPr>
          <w:rStyle w:val="27"/>
        </w:rPr>
        <w:t>152</w:t>
      </w:r>
      <w:r>
        <w:rPr>
          <w:rStyle w:val="27"/>
        </w:rPr>
        <w:fldChar w:fldCharType="end"/>
      </w:r>
      <w:r>
        <w:rPr>
          <w:rFonts w:ascii="Times New Roman" w:hAnsi="Times New Roman" w:eastAsia="宋体" w:cs="Times New Roman"/>
          <w:color w:val="auto"/>
          <w:highlight w:val="none"/>
          <w:u w:val="none"/>
        </w:rPr>
        <w:fldChar w:fldCharType="end"/>
      </w:r>
    </w:p>
    <w:p>
      <w:pPr>
        <w:pStyle w:val="13"/>
        <w:tabs>
          <w:tab w:val="right" w:leader="dot" w:pos="8200"/>
          <w:tab w:val="clear" w:pos="420"/>
          <w:tab w:val="clear" w:pos="9523"/>
        </w:tabs>
      </w:pPr>
      <w:r>
        <w:rPr>
          <w:rFonts w:ascii="Times New Roman" w:hAnsi="Times New Roman" w:eastAsia="宋体"/>
          <w:color w:val="auto"/>
          <w:highlight w:val="none"/>
          <w:u w:val="none"/>
        </w:rPr>
        <w:fldChar w:fldCharType="begin"/>
      </w:r>
      <w:r>
        <w:rPr>
          <w:rFonts w:ascii="Times New Roman" w:hAnsi="Times New Roman" w:eastAsia="宋体"/>
          <w:color w:val="auto"/>
          <w:highlight w:val="none"/>
          <w:u w:val="none"/>
        </w:rPr>
        <w:instrText xml:space="preserve"> HYPERLINK \l "_8　城市给排水厂站工程" </w:instrText>
      </w:r>
      <w:r>
        <w:rPr>
          <w:rFonts w:ascii="Times New Roman" w:hAnsi="Times New Roman" w:eastAsia="宋体"/>
          <w:color w:val="auto"/>
          <w:highlight w:val="none"/>
          <w:u w:val="none"/>
        </w:rPr>
        <w:fldChar w:fldCharType="separate"/>
      </w:r>
      <w:r>
        <w:rPr>
          <w:rStyle w:val="27"/>
          <w:rFonts w:ascii="Times New Roman" w:hAnsi="Times New Roman" w:eastAsia="宋体"/>
          <w:highlight w:val="none"/>
        </w:rPr>
        <w:t>8</w:t>
      </w:r>
      <w:r>
        <w:rPr>
          <w:rStyle w:val="27"/>
          <w:rFonts w:hint="eastAsia" w:ascii="Times New Roman" w:hAnsi="Times New Roman" w:eastAsia="宋体"/>
          <w:highlight w:val="none"/>
        </w:rPr>
        <w:t xml:space="preserve">  </w:t>
      </w:r>
      <w:r>
        <w:rPr>
          <w:rStyle w:val="27"/>
          <w:rFonts w:hint="eastAsia" w:ascii="Times New Roman" w:hAnsi="Times New Roman" w:eastAsia="宋体"/>
          <w:highlight w:val="none"/>
          <w:lang w:eastAsia="zh-CN"/>
        </w:rPr>
        <w:t>城市</w:t>
      </w:r>
      <w:r>
        <w:rPr>
          <w:rStyle w:val="27"/>
          <w:rFonts w:ascii="Times New Roman" w:hAnsi="Times New Roman" w:eastAsia="宋体"/>
          <w:highlight w:val="none"/>
        </w:rPr>
        <w:t>给排水厂站工程</w:t>
      </w:r>
      <w:r>
        <w:rPr>
          <w:rStyle w:val="27"/>
        </w:rPr>
        <w:tab/>
      </w:r>
      <w:r>
        <w:rPr>
          <w:rStyle w:val="27"/>
        </w:rPr>
        <w:fldChar w:fldCharType="begin"/>
      </w:r>
      <w:r>
        <w:rPr>
          <w:rStyle w:val="27"/>
        </w:rPr>
        <w:instrText xml:space="preserve"> PAGEREF _Toc13325 \h </w:instrText>
      </w:r>
      <w:r>
        <w:rPr>
          <w:rStyle w:val="27"/>
        </w:rPr>
        <w:fldChar w:fldCharType="separate"/>
      </w:r>
      <w:r>
        <w:rPr>
          <w:rStyle w:val="27"/>
        </w:rPr>
        <w:t>158</w:t>
      </w:r>
      <w:r>
        <w:rPr>
          <w:rStyle w:val="27"/>
        </w:rPr>
        <w:fldChar w:fldCharType="end"/>
      </w:r>
      <w:r>
        <w:rPr>
          <w:rFonts w:ascii="Times New Roman" w:hAnsi="Times New Roman" w:eastAsia="宋体"/>
          <w:color w:val="auto"/>
          <w:highlight w:val="none"/>
          <w:u w:val="none"/>
        </w:rPr>
        <w:fldChar w:fldCharType="end"/>
      </w:r>
    </w:p>
    <w:p>
      <w:pPr>
        <w:pStyle w:val="17"/>
        <w:tabs>
          <w:tab w:val="right" w:leader="dot" w:pos="8200"/>
        </w:tabs>
      </w:pPr>
      <w:r>
        <w:rPr>
          <w:rFonts w:ascii="Times New Roman" w:hAnsi="Times New Roman" w:eastAsia="宋体" w:cs="Times New Roman"/>
          <w:color w:val="auto"/>
          <w:highlight w:val="none"/>
          <w:u w:val="none"/>
        </w:rPr>
        <w:fldChar w:fldCharType="begin"/>
      </w:r>
      <w:r>
        <w:rPr>
          <w:rFonts w:ascii="Times New Roman" w:hAnsi="Times New Roman" w:eastAsia="宋体" w:cs="Times New Roman"/>
          <w:color w:val="auto"/>
          <w:highlight w:val="none"/>
          <w:u w:val="none"/>
        </w:rPr>
        <w:instrText xml:space="preserve"> HYPERLINK \l "_8.1　一般规定" </w:instrText>
      </w:r>
      <w:r>
        <w:rPr>
          <w:rFonts w:ascii="Times New Roman" w:hAnsi="Times New Roman" w:eastAsia="宋体" w:cs="Times New Roman"/>
          <w:color w:val="auto"/>
          <w:highlight w:val="none"/>
          <w:u w:val="none"/>
        </w:rPr>
        <w:fldChar w:fldCharType="separate"/>
      </w:r>
      <w:r>
        <w:rPr>
          <w:rStyle w:val="27"/>
          <w:rFonts w:ascii="Times New Roman" w:hAnsi="Times New Roman" w:eastAsia="宋体" w:cs="Times New Roman"/>
          <w:highlight w:val="none"/>
        </w:rPr>
        <w:t xml:space="preserve">8.1 </w:t>
      </w:r>
      <w:r>
        <w:rPr>
          <w:rStyle w:val="27"/>
          <w:rFonts w:hint="eastAsia" w:ascii="Times New Roman" w:hAnsi="Times New Roman" w:eastAsia="宋体" w:cs="Times New Roman"/>
          <w:highlight w:val="none"/>
          <w:lang w:val="en-US" w:eastAsia="zh-CN"/>
        </w:rPr>
        <w:t xml:space="preserve"> </w:t>
      </w:r>
      <w:r>
        <w:rPr>
          <w:rStyle w:val="27"/>
          <w:rFonts w:ascii="Times New Roman" w:hAnsi="Times New Roman" w:eastAsia="宋体" w:cs="Times New Roman"/>
          <w:highlight w:val="none"/>
        </w:rPr>
        <w:t>一般规定</w:t>
      </w:r>
      <w:r>
        <w:rPr>
          <w:rStyle w:val="27"/>
        </w:rPr>
        <w:tab/>
      </w:r>
      <w:r>
        <w:rPr>
          <w:rStyle w:val="27"/>
        </w:rPr>
        <w:fldChar w:fldCharType="begin"/>
      </w:r>
      <w:r>
        <w:rPr>
          <w:rStyle w:val="27"/>
        </w:rPr>
        <w:instrText xml:space="preserve"> PAGEREF _Toc3877 \h </w:instrText>
      </w:r>
      <w:r>
        <w:rPr>
          <w:rStyle w:val="27"/>
        </w:rPr>
        <w:fldChar w:fldCharType="separate"/>
      </w:r>
      <w:r>
        <w:rPr>
          <w:rStyle w:val="27"/>
        </w:rPr>
        <w:t>158</w:t>
      </w:r>
      <w:r>
        <w:rPr>
          <w:rStyle w:val="27"/>
        </w:rPr>
        <w:fldChar w:fldCharType="end"/>
      </w:r>
      <w:r>
        <w:rPr>
          <w:rFonts w:ascii="Times New Roman" w:hAnsi="Times New Roman" w:eastAsia="宋体" w:cs="Times New Roman"/>
          <w:color w:val="auto"/>
          <w:highlight w:val="none"/>
          <w:u w:val="none"/>
        </w:rPr>
        <w:fldChar w:fldCharType="end"/>
      </w:r>
    </w:p>
    <w:p>
      <w:pPr>
        <w:pStyle w:val="17"/>
        <w:tabs>
          <w:tab w:val="right" w:leader="dot" w:pos="8200"/>
        </w:tabs>
      </w:pPr>
      <w:r>
        <w:rPr>
          <w:rFonts w:ascii="Times New Roman" w:hAnsi="Times New Roman" w:eastAsia="宋体" w:cs="Times New Roman"/>
          <w:color w:val="auto"/>
          <w:highlight w:val="none"/>
          <w:u w:val="none"/>
        </w:rPr>
        <w:fldChar w:fldCharType="begin"/>
      </w:r>
      <w:r>
        <w:rPr>
          <w:rFonts w:ascii="Times New Roman" w:hAnsi="Times New Roman" w:eastAsia="宋体" w:cs="Times New Roman"/>
          <w:color w:val="auto"/>
          <w:highlight w:val="none"/>
          <w:u w:val="none"/>
        </w:rPr>
        <w:instrText xml:space="preserve"> HYPERLINK \l "_8.3　初步勘察" </w:instrText>
      </w:r>
      <w:r>
        <w:rPr>
          <w:rFonts w:ascii="Times New Roman" w:hAnsi="Times New Roman" w:eastAsia="宋体" w:cs="Times New Roman"/>
          <w:color w:val="auto"/>
          <w:highlight w:val="none"/>
          <w:u w:val="none"/>
        </w:rPr>
        <w:fldChar w:fldCharType="separate"/>
      </w:r>
      <w:r>
        <w:rPr>
          <w:rStyle w:val="27"/>
          <w:rFonts w:ascii="Times New Roman" w:hAnsi="Times New Roman" w:eastAsia="宋体" w:cs="Times New Roman"/>
          <w:highlight w:val="none"/>
        </w:rPr>
        <w:t>8.3</w:t>
      </w:r>
      <w:r>
        <w:rPr>
          <w:rStyle w:val="27"/>
          <w:rFonts w:hint="eastAsia" w:ascii="Times New Roman" w:hAnsi="Times New Roman" w:eastAsia="宋体" w:cs="Times New Roman"/>
          <w:highlight w:val="none"/>
          <w:lang w:val="en-US" w:eastAsia="zh-CN"/>
        </w:rPr>
        <w:t xml:space="preserve">  </w:t>
      </w:r>
      <w:r>
        <w:rPr>
          <w:rStyle w:val="27"/>
          <w:rFonts w:ascii="Times New Roman" w:hAnsi="Times New Roman" w:eastAsia="宋体" w:cs="Times New Roman"/>
          <w:highlight w:val="none"/>
        </w:rPr>
        <w:t>初步勘察</w:t>
      </w:r>
      <w:r>
        <w:rPr>
          <w:rStyle w:val="27"/>
        </w:rPr>
        <w:tab/>
      </w:r>
      <w:r>
        <w:rPr>
          <w:rStyle w:val="27"/>
        </w:rPr>
        <w:fldChar w:fldCharType="begin"/>
      </w:r>
      <w:r>
        <w:rPr>
          <w:rStyle w:val="27"/>
        </w:rPr>
        <w:instrText xml:space="preserve"> PAGEREF _Toc21410 \h </w:instrText>
      </w:r>
      <w:r>
        <w:rPr>
          <w:rStyle w:val="27"/>
        </w:rPr>
        <w:fldChar w:fldCharType="separate"/>
      </w:r>
      <w:r>
        <w:rPr>
          <w:rStyle w:val="27"/>
        </w:rPr>
        <w:t>158</w:t>
      </w:r>
      <w:r>
        <w:rPr>
          <w:rStyle w:val="27"/>
        </w:rPr>
        <w:fldChar w:fldCharType="end"/>
      </w:r>
      <w:r>
        <w:rPr>
          <w:rFonts w:ascii="Times New Roman" w:hAnsi="Times New Roman" w:eastAsia="宋体" w:cs="Times New Roman"/>
          <w:color w:val="auto"/>
          <w:highlight w:val="none"/>
          <w:u w:val="none"/>
        </w:rPr>
        <w:fldChar w:fldCharType="end"/>
      </w:r>
    </w:p>
    <w:p>
      <w:pPr>
        <w:pStyle w:val="17"/>
        <w:tabs>
          <w:tab w:val="right" w:leader="dot" w:pos="8200"/>
        </w:tabs>
      </w:pPr>
      <w:r>
        <w:rPr>
          <w:rFonts w:ascii="Times New Roman" w:hAnsi="Times New Roman" w:eastAsia="宋体" w:cs="Times New Roman"/>
          <w:color w:val="auto"/>
          <w:highlight w:val="none"/>
          <w:u w:val="none"/>
        </w:rPr>
        <w:fldChar w:fldCharType="begin"/>
      </w:r>
      <w:r>
        <w:rPr>
          <w:rFonts w:ascii="Times New Roman" w:hAnsi="Times New Roman" w:eastAsia="宋体" w:cs="Times New Roman"/>
          <w:color w:val="auto"/>
          <w:highlight w:val="none"/>
          <w:u w:val="none"/>
        </w:rPr>
        <w:instrText xml:space="preserve"> HYPERLINK \l "_8.4　详细勘察" </w:instrText>
      </w:r>
      <w:r>
        <w:rPr>
          <w:rFonts w:ascii="Times New Roman" w:hAnsi="Times New Roman" w:eastAsia="宋体" w:cs="Times New Roman"/>
          <w:color w:val="auto"/>
          <w:highlight w:val="none"/>
          <w:u w:val="none"/>
        </w:rPr>
        <w:fldChar w:fldCharType="separate"/>
      </w:r>
      <w:r>
        <w:rPr>
          <w:rStyle w:val="27"/>
          <w:rFonts w:ascii="Times New Roman" w:hAnsi="Times New Roman" w:eastAsia="宋体" w:cs="Times New Roman"/>
          <w:highlight w:val="none"/>
        </w:rPr>
        <w:t>8.</w:t>
      </w:r>
      <w:r>
        <w:rPr>
          <w:rStyle w:val="27"/>
          <w:rFonts w:hint="eastAsia" w:ascii="Times New Roman" w:hAnsi="Times New Roman" w:eastAsia="宋体" w:cs="Times New Roman"/>
          <w:highlight w:val="none"/>
          <w:lang w:val="en-US" w:eastAsia="zh-CN"/>
        </w:rPr>
        <w:t>4  详细</w:t>
      </w:r>
      <w:r>
        <w:rPr>
          <w:rStyle w:val="27"/>
          <w:rFonts w:ascii="Times New Roman" w:hAnsi="Times New Roman" w:eastAsia="宋体" w:cs="Times New Roman"/>
          <w:highlight w:val="none"/>
        </w:rPr>
        <w:t>勘察</w:t>
      </w:r>
      <w:r>
        <w:rPr>
          <w:rStyle w:val="27"/>
        </w:rPr>
        <w:tab/>
      </w:r>
      <w:r>
        <w:rPr>
          <w:rStyle w:val="27"/>
        </w:rPr>
        <w:fldChar w:fldCharType="begin"/>
      </w:r>
      <w:r>
        <w:rPr>
          <w:rStyle w:val="27"/>
        </w:rPr>
        <w:instrText xml:space="preserve"> PAGEREF _Toc8015 \h </w:instrText>
      </w:r>
      <w:r>
        <w:rPr>
          <w:rStyle w:val="27"/>
        </w:rPr>
        <w:fldChar w:fldCharType="separate"/>
      </w:r>
      <w:r>
        <w:rPr>
          <w:rStyle w:val="27"/>
        </w:rPr>
        <w:t>159</w:t>
      </w:r>
      <w:r>
        <w:rPr>
          <w:rStyle w:val="27"/>
        </w:rPr>
        <w:fldChar w:fldCharType="end"/>
      </w:r>
      <w:r>
        <w:rPr>
          <w:rFonts w:ascii="Times New Roman" w:hAnsi="Times New Roman" w:eastAsia="宋体" w:cs="Times New Roman"/>
          <w:color w:val="auto"/>
          <w:highlight w:val="none"/>
          <w:u w:val="none"/>
        </w:rPr>
        <w:fldChar w:fldCharType="end"/>
      </w:r>
    </w:p>
    <w:p>
      <w:pPr>
        <w:pStyle w:val="13"/>
        <w:tabs>
          <w:tab w:val="right" w:leader="dot" w:pos="8200"/>
          <w:tab w:val="clear" w:pos="420"/>
          <w:tab w:val="clear" w:pos="9523"/>
        </w:tabs>
      </w:pPr>
      <w:r>
        <w:rPr>
          <w:rFonts w:ascii="Times New Roman" w:hAnsi="Times New Roman" w:eastAsia="宋体"/>
          <w:color w:val="auto"/>
          <w:highlight w:val="none"/>
          <w:u w:val="none"/>
        </w:rPr>
        <w:fldChar w:fldCharType="begin"/>
      </w:r>
      <w:r>
        <w:rPr>
          <w:rFonts w:ascii="Times New Roman" w:hAnsi="Times New Roman" w:eastAsia="宋体"/>
          <w:color w:val="auto"/>
          <w:highlight w:val="none"/>
          <w:u w:val="none"/>
        </w:rPr>
        <w:instrText xml:space="preserve"> HYPERLINK \l "_9　城市室外管道工程" </w:instrText>
      </w:r>
      <w:r>
        <w:rPr>
          <w:rFonts w:ascii="Times New Roman" w:hAnsi="Times New Roman" w:eastAsia="宋体"/>
          <w:color w:val="auto"/>
          <w:highlight w:val="none"/>
          <w:u w:val="none"/>
        </w:rPr>
        <w:fldChar w:fldCharType="separate"/>
      </w:r>
      <w:r>
        <w:rPr>
          <w:rStyle w:val="27"/>
          <w:rFonts w:ascii="Times New Roman" w:hAnsi="Times New Roman" w:eastAsia="宋体"/>
          <w:highlight w:val="none"/>
        </w:rPr>
        <w:t>9</w:t>
      </w:r>
      <w:r>
        <w:rPr>
          <w:rStyle w:val="27"/>
          <w:rFonts w:hint="eastAsia" w:ascii="Times New Roman" w:hAnsi="Times New Roman" w:eastAsia="宋体"/>
          <w:highlight w:val="none"/>
        </w:rPr>
        <w:t xml:space="preserve">  </w:t>
      </w:r>
      <w:r>
        <w:rPr>
          <w:rStyle w:val="27"/>
          <w:rFonts w:hint="eastAsia" w:ascii="Times New Roman" w:hAnsi="Times New Roman" w:eastAsia="宋体"/>
          <w:highlight w:val="none"/>
          <w:lang w:eastAsia="zh-CN"/>
        </w:rPr>
        <w:t>城市</w:t>
      </w:r>
      <w:r>
        <w:rPr>
          <w:rStyle w:val="27"/>
          <w:rFonts w:hint="eastAsia" w:ascii="Times New Roman" w:hAnsi="Times New Roman" w:eastAsia="宋体"/>
          <w:highlight w:val="none"/>
        </w:rPr>
        <w:t>室外</w:t>
      </w:r>
      <w:r>
        <w:rPr>
          <w:rStyle w:val="27"/>
          <w:rFonts w:ascii="Times New Roman" w:hAnsi="Times New Roman" w:eastAsia="宋体"/>
          <w:highlight w:val="none"/>
        </w:rPr>
        <w:t>管道工程</w:t>
      </w:r>
      <w:r>
        <w:rPr>
          <w:rStyle w:val="27"/>
        </w:rPr>
        <w:tab/>
      </w:r>
      <w:r>
        <w:rPr>
          <w:rStyle w:val="27"/>
        </w:rPr>
        <w:fldChar w:fldCharType="begin"/>
      </w:r>
      <w:r>
        <w:rPr>
          <w:rStyle w:val="27"/>
        </w:rPr>
        <w:instrText xml:space="preserve"> PAGEREF _Toc24972 \h </w:instrText>
      </w:r>
      <w:r>
        <w:rPr>
          <w:rStyle w:val="27"/>
        </w:rPr>
        <w:fldChar w:fldCharType="separate"/>
      </w:r>
      <w:r>
        <w:rPr>
          <w:rStyle w:val="27"/>
        </w:rPr>
        <w:t>162</w:t>
      </w:r>
      <w:r>
        <w:rPr>
          <w:rStyle w:val="27"/>
        </w:rPr>
        <w:fldChar w:fldCharType="end"/>
      </w:r>
      <w:r>
        <w:rPr>
          <w:rFonts w:ascii="Times New Roman" w:hAnsi="Times New Roman" w:eastAsia="宋体"/>
          <w:color w:val="auto"/>
          <w:highlight w:val="none"/>
          <w:u w:val="none"/>
        </w:rPr>
        <w:fldChar w:fldCharType="end"/>
      </w:r>
    </w:p>
    <w:p>
      <w:pPr>
        <w:pStyle w:val="17"/>
        <w:tabs>
          <w:tab w:val="right" w:leader="dot" w:pos="8200"/>
        </w:tabs>
      </w:pPr>
      <w:r>
        <w:rPr>
          <w:rFonts w:ascii="Times New Roman" w:hAnsi="Times New Roman" w:eastAsia="宋体" w:cs="Times New Roman"/>
          <w:color w:val="auto"/>
          <w:highlight w:val="none"/>
          <w:u w:val="none"/>
        </w:rPr>
        <w:fldChar w:fldCharType="begin"/>
      </w:r>
      <w:r>
        <w:rPr>
          <w:rFonts w:ascii="Times New Roman" w:hAnsi="Times New Roman" w:eastAsia="宋体" w:cs="Times New Roman"/>
          <w:color w:val="auto"/>
          <w:highlight w:val="none"/>
          <w:u w:val="none"/>
        </w:rPr>
        <w:instrText xml:space="preserve"> HYPERLINK \l "_9.1　一般规定" </w:instrText>
      </w:r>
      <w:r>
        <w:rPr>
          <w:rFonts w:ascii="Times New Roman" w:hAnsi="Times New Roman" w:eastAsia="宋体" w:cs="Times New Roman"/>
          <w:color w:val="auto"/>
          <w:highlight w:val="none"/>
          <w:u w:val="none"/>
        </w:rPr>
        <w:fldChar w:fldCharType="separate"/>
      </w:r>
      <w:r>
        <w:rPr>
          <w:rStyle w:val="27"/>
          <w:rFonts w:ascii="Times New Roman" w:hAnsi="Times New Roman" w:eastAsia="宋体" w:cs="Times New Roman"/>
          <w:highlight w:val="none"/>
        </w:rPr>
        <w:t xml:space="preserve">9.1 </w:t>
      </w:r>
      <w:r>
        <w:rPr>
          <w:rStyle w:val="27"/>
          <w:rFonts w:hint="eastAsia" w:ascii="Times New Roman" w:hAnsi="Times New Roman" w:eastAsia="宋体" w:cs="Times New Roman"/>
          <w:highlight w:val="none"/>
          <w:lang w:val="en-US" w:eastAsia="zh-CN"/>
        </w:rPr>
        <w:t xml:space="preserve"> </w:t>
      </w:r>
      <w:r>
        <w:rPr>
          <w:rStyle w:val="27"/>
          <w:rFonts w:ascii="Times New Roman" w:hAnsi="Times New Roman" w:eastAsia="宋体" w:cs="Times New Roman"/>
          <w:highlight w:val="none"/>
        </w:rPr>
        <w:t>一般规定</w:t>
      </w:r>
      <w:r>
        <w:rPr>
          <w:rStyle w:val="27"/>
        </w:rPr>
        <w:tab/>
      </w:r>
      <w:r>
        <w:rPr>
          <w:rStyle w:val="27"/>
        </w:rPr>
        <w:fldChar w:fldCharType="begin"/>
      </w:r>
      <w:r>
        <w:rPr>
          <w:rStyle w:val="27"/>
        </w:rPr>
        <w:instrText xml:space="preserve"> PAGEREF _Toc6397 \h </w:instrText>
      </w:r>
      <w:r>
        <w:rPr>
          <w:rStyle w:val="27"/>
        </w:rPr>
        <w:fldChar w:fldCharType="separate"/>
      </w:r>
      <w:r>
        <w:rPr>
          <w:rStyle w:val="27"/>
        </w:rPr>
        <w:t>162</w:t>
      </w:r>
      <w:r>
        <w:rPr>
          <w:rStyle w:val="27"/>
        </w:rPr>
        <w:fldChar w:fldCharType="end"/>
      </w:r>
      <w:r>
        <w:rPr>
          <w:rFonts w:ascii="Times New Roman" w:hAnsi="Times New Roman" w:eastAsia="宋体" w:cs="Times New Roman"/>
          <w:color w:val="auto"/>
          <w:highlight w:val="none"/>
          <w:u w:val="none"/>
        </w:rPr>
        <w:fldChar w:fldCharType="end"/>
      </w:r>
    </w:p>
    <w:p>
      <w:pPr>
        <w:pStyle w:val="17"/>
        <w:tabs>
          <w:tab w:val="right" w:leader="dot" w:pos="8200"/>
        </w:tabs>
      </w:pPr>
      <w:r>
        <w:rPr>
          <w:rFonts w:ascii="Times New Roman" w:hAnsi="Times New Roman" w:eastAsia="宋体" w:cs="Times New Roman"/>
          <w:color w:val="auto"/>
          <w:highlight w:val="none"/>
          <w:u w:val="none"/>
        </w:rPr>
        <w:fldChar w:fldCharType="begin"/>
      </w:r>
      <w:r>
        <w:rPr>
          <w:rFonts w:ascii="Times New Roman" w:hAnsi="Times New Roman" w:eastAsia="宋体" w:cs="Times New Roman"/>
          <w:color w:val="auto"/>
          <w:highlight w:val="none"/>
          <w:u w:val="none"/>
        </w:rPr>
        <w:instrText xml:space="preserve"> HYPERLINK \l "_9.3　初步勘察" </w:instrText>
      </w:r>
      <w:r>
        <w:rPr>
          <w:rFonts w:ascii="Times New Roman" w:hAnsi="Times New Roman" w:eastAsia="宋体" w:cs="Times New Roman"/>
          <w:color w:val="auto"/>
          <w:highlight w:val="none"/>
          <w:u w:val="none"/>
        </w:rPr>
        <w:fldChar w:fldCharType="separate"/>
      </w:r>
      <w:r>
        <w:rPr>
          <w:rStyle w:val="27"/>
          <w:rFonts w:ascii="Times New Roman" w:hAnsi="Times New Roman" w:eastAsia="宋体" w:cs="Times New Roman"/>
          <w:highlight w:val="none"/>
        </w:rPr>
        <w:t>9.</w:t>
      </w:r>
      <w:r>
        <w:rPr>
          <w:rStyle w:val="27"/>
          <w:rFonts w:hint="eastAsia" w:ascii="Times New Roman" w:hAnsi="Times New Roman" w:eastAsia="宋体" w:cs="Times New Roman"/>
          <w:highlight w:val="none"/>
          <w:lang w:val="en-US" w:eastAsia="zh-CN"/>
        </w:rPr>
        <w:t>3</w:t>
      </w:r>
      <w:r>
        <w:rPr>
          <w:rStyle w:val="27"/>
          <w:rFonts w:ascii="Times New Roman" w:hAnsi="Times New Roman" w:eastAsia="宋体" w:cs="Times New Roman"/>
          <w:highlight w:val="none"/>
        </w:rPr>
        <w:t xml:space="preserve"> </w:t>
      </w:r>
      <w:r>
        <w:rPr>
          <w:rStyle w:val="27"/>
          <w:rFonts w:hint="eastAsia" w:ascii="Times New Roman" w:hAnsi="Times New Roman" w:eastAsia="宋体" w:cs="Times New Roman"/>
          <w:highlight w:val="none"/>
          <w:lang w:val="en-US" w:eastAsia="zh-CN"/>
        </w:rPr>
        <w:t xml:space="preserve"> 初步勘察</w:t>
      </w:r>
      <w:r>
        <w:rPr>
          <w:rStyle w:val="27"/>
        </w:rPr>
        <w:tab/>
      </w:r>
      <w:r>
        <w:rPr>
          <w:rStyle w:val="27"/>
        </w:rPr>
        <w:fldChar w:fldCharType="begin"/>
      </w:r>
      <w:r>
        <w:rPr>
          <w:rStyle w:val="27"/>
        </w:rPr>
        <w:instrText xml:space="preserve"> PAGEREF _Toc28258 \h </w:instrText>
      </w:r>
      <w:r>
        <w:rPr>
          <w:rStyle w:val="27"/>
        </w:rPr>
        <w:fldChar w:fldCharType="separate"/>
      </w:r>
      <w:r>
        <w:rPr>
          <w:rStyle w:val="27"/>
        </w:rPr>
        <w:t>163</w:t>
      </w:r>
      <w:r>
        <w:rPr>
          <w:rStyle w:val="27"/>
        </w:rPr>
        <w:fldChar w:fldCharType="end"/>
      </w:r>
      <w:r>
        <w:rPr>
          <w:rFonts w:ascii="Times New Roman" w:hAnsi="Times New Roman" w:eastAsia="宋体" w:cs="Times New Roman"/>
          <w:color w:val="auto"/>
          <w:highlight w:val="none"/>
          <w:u w:val="none"/>
        </w:rPr>
        <w:fldChar w:fldCharType="end"/>
      </w:r>
    </w:p>
    <w:p>
      <w:pPr>
        <w:pStyle w:val="17"/>
        <w:tabs>
          <w:tab w:val="right" w:leader="dot" w:pos="8200"/>
        </w:tabs>
      </w:pPr>
      <w:r>
        <w:rPr>
          <w:rFonts w:ascii="Times New Roman" w:hAnsi="Times New Roman" w:eastAsia="宋体" w:cs="Times New Roman"/>
          <w:color w:val="auto"/>
          <w:highlight w:val="none"/>
          <w:u w:val="none"/>
        </w:rPr>
        <w:fldChar w:fldCharType="begin"/>
      </w:r>
      <w:r>
        <w:rPr>
          <w:rFonts w:ascii="Times New Roman" w:hAnsi="Times New Roman" w:eastAsia="宋体" w:cs="Times New Roman"/>
          <w:color w:val="auto"/>
          <w:highlight w:val="none"/>
          <w:u w:val="none"/>
        </w:rPr>
        <w:instrText xml:space="preserve"> HYPERLINK \l "_9.4　详细勘察" </w:instrText>
      </w:r>
      <w:r>
        <w:rPr>
          <w:rFonts w:ascii="Times New Roman" w:hAnsi="Times New Roman" w:eastAsia="宋体" w:cs="Times New Roman"/>
          <w:color w:val="auto"/>
          <w:highlight w:val="none"/>
          <w:u w:val="none"/>
        </w:rPr>
        <w:fldChar w:fldCharType="separate"/>
      </w:r>
      <w:r>
        <w:rPr>
          <w:rStyle w:val="27"/>
          <w:rFonts w:ascii="Times New Roman" w:hAnsi="Times New Roman" w:eastAsia="宋体" w:cs="Times New Roman"/>
          <w:highlight w:val="none"/>
        </w:rPr>
        <w:t>9.</w:t>
      </w:r>
      <w:r>
        <w:rPr>
          <w:rStyle w:val="27"/>
          <w:rFonts w:hint="eastAsia" w:ascii="Times New Roman" w:hAnsi="Times New Roman" w:eastAsia="宋体" w:cs="Times New Roman"/>
          <w:highlight w:val="none"/>
          <w:lang w:val="en-US" w:eastAsia="zh-CN"/>
        </w:rPr>
        <w:t>4</w:t>
      </w:r>
      <w:r>
        <w:rPr>
          <w:rStyle w:val="27"/>
          <w:rFonts w:ascii="Times New Roman" w:hAnsi="Times New Roman" w:eastAsia="宋体" w:cs="Times New Roman"/>
          <w:highlight w:val="none"/>
        </w:rPr>
        <w:t xml:space="preserve"> </w:t>
      </w:r>
      <w:r>
        <w:rPr>
          <w:rStyle w:val="27"/>
          <w:rFonts w:hint="eastAsia" w:ascii="Times New Roman" w:hAnsi="Times New Roman" w:eastAsia="宋体" w:cs="Times New Roman"/>
          <w:highlight w:val="none"/>
          <w:lang w:val="en-US" w:eastAsia="zh-CN"/>
        </w:rPr>
        <w:t xml:space="preserve"> 详细勘察</w:t>
      </w:r>
      <w:r>
        <w:rPr>
          <w:rStyle w:val="27"/>
        </w:rPr>
        <w:tab/>
      </w:r>
      <w:r>
        <w:rPr>
          <w:rStyle w:val="27"/>
        </w:rPr>
        <w:fldChar w:fldCharType="begin"/>
      </w:r>
      <w:r>
        <w:rPr>
          <w:rStyle w:val="27"/>
        </w:rPr>
        <w:instrText xml:space="preserve"> PAGEREF _Toc22648 \h </w:instrText>
      </w:r>
      <w:r>
        <w:rPr>
          <w:rStyle w:val="27"/>
        </w:rPr>
        <w:fldChar w:fldCharType="separate"/>
      </w:r>
      <w:r>
        <w:rPr>
          <w:rStyle w:val="27"/>
        </w:rPr>
        <w:t>163</w:t>
      </w:r>
      <w:r>
        <w:rPr>
          <w:rStyle w:val="27"/>
        </w:rPr>
        <w:fldChar w:fldCharType="end"/>
      </w:r>
      <w:r>
        <w:rPr>
          <w:rFonts w:ascii="Times New Roman" w:hAnsi="Times New Roman" w:eastAsia="宋体" w:cs="Times New Roman"/>
          <w:color w:val="auto"/>
          <w:highlight w:val="none"/>
          <w:u w:val="none"/>
        </w:rPr>
        <w:fldChar w:fldCharType="end"/>
      </w:r>
    </w:p>
    <w:p>
      <w:pPr>
        <w:pStyle w:val="13"/>
        <w:tabs>
          <w:tab w:val="right" w:leader="dot" w:pos="8200"/>
          <w:tab w:val="clear" w:pos="420"/>
          <w:tab w:val="clear" w:pos="9523"/>
        </w:tabs>
      </w:pPr>
      <w:r>
        <w:rPr>
          <w:rFonts w:ascii="Times New Roman" w:hAnsi="Times New Roman" w:eastAsia="宋体"/>
          <w:color w:val="auto"/>
          <w:highlight w:val="none"/>
          <w:u w:val="none"/>
        </w:rPr>
        <w:fldChar w:fldCharType="begin"/>
      </w:r>
      <w:r>
        <w:rPr>
          <w:rFonts w:ascii="Times New Roman" w:hAnsi="Times New Roman" w:eastAsia="宋体"/>
          <w:color w:val="auto"/>
          <w:highlight w:val="none"/>
          <w:u w:val="none"/>
        </w:rPr>
        <w:instrText xml:space="preserve"> HYPERLINK \l "_10　城市综合管廊工程" </w:instrText>
      </w:r>
      <w:r>
        <w:rPr>
          <w:rFonts w:ascii="Times New Roman" w:hAnsi="Times New Roman" w:eastAsia="宋体"/>
          <w:color w:val="auto"/>
          <w:highlight w:val="none"/>
          <w:u w:val="none"/>
        </w:rPr>
        <w:fldChar w:fldCharType="separate"/>
      </w:r>
      <w:r>
        <w:rPr>
          <w:rStyle w:val="27"/>
          <w:rFonts w:ascii="Times New Roman" w:hAnsi="Times New Roman" w:eastAsia="宋体"/>
          <w:highlight w:val="none"/>
        </w:rPr>
        <w:t>1</w:t>
      </w:r>
      <w:r>
        <w:rPr>
          <w:rStyle w:val="27"/>
          <w:rFonts w:hint="eastAsia" w:ascii="Times New Roman" w:hAnsi="Times New Roman" w:eastAsia="宋体"/>
          <w:highlight w:val="none"/>
          <w:lang w:val="en-US" w:eastAsia="zh-CN"/>
        </w:rPr>
        <w:t>0</w:t>
      </w:r>
      <w:r>
        <w:rPr>
          <w:rStyle w:val="27"/>
          <w:rFonts w:hint="eastAsia" w:ascii="Times New Roman" w:hAnsi="Times New Roman" w:eastAsia="宋体"/>
          <w:highlight w:val="none"/>
        </w:rPr>
        <w:t xml:space="preserve">  </w:t>
      </w:r>
      <w:r>
        <w:rPr>
          <w:rStyle w:val="27"/>
          <w:rFonts w:hint="eastAsia" w:ascii="Times New Roman" w:hAnsi="Times New Roman" w:eastAsia="宋体"/>
          <w:highlight w:val="none"/>
          <w:lang w:eastAsia="zh-CN"/>
        </w:rPr>
        <w:t>城市</w:t>
      </w:r>
      <w:r>
        <w:rPr>
          <w:rStyle w:val="27"/>
          <w:rFonts w:hint="default" w:ascii="Times New Roman" w:hAnsi="Times New Roman" w:eastAsia="宋体" w:cs="Times New Roman"/>
          <w:highlight w:val="none"/>
        </w:rPr>
        <w:t>综合管廊</w:t>
      </w:r>
      <w:r>
        <w:rPr>
          <w:rStyle w:val="27"/>
          <w:rFonts w:ascii="Times New Roman" w:hAnsi="Times New Roman" w:eastAsia="宋体"/>
          <w:highlight w:val="none"/>
        </w:rPr>
        <w:t>工程</w:t>
      </w:r>
      <w:r>
        <w:rPr>
          <w:rStyle w:val="27"/>
        </w:rPr>
        <w:tab/>
      </w:r>
      <w:r>
        <w:rPr>
          <w:rStyle w:val="27"/>
        </w:rPr>
        <w:fldChar w:fldCharType="begin"/>
      </w:r>
      <w:r>
        <w:rPr>
          <w:rStyle w:val="27"/>
        </w:rPr>
        <w:instrText xml:space="preserve"> PAGEREF _Toc789 \h </w:instrText>
      </w:r>
      <w:r>
        <w:rPr>
          <w:rStyle w:val="27"/>
        </w:rPr>
        <w:fldChar w:fldCharType="separate"/>
      </w:r>
      <w:r>
        <w:rPr>
          <w:rStyle w:val="27"/>
        </w:rPr>
        <w:t>165</w:t>
      </w:r>
      <w:r>
        <w:rPr>
          <w:rStyle w:val="27"/>
        </w:rPr>
        <w:fldChar w:fldCharType="end"/>
      </w:r>
      <w:r>
        <w:rPr>
          <w:rFonts w:ascii="Times New Roman" w:hAnsi="Times New Roman" w:eastAsia="宋体"/>
          <w:color w:val="auto"/>
          <w:highlight w:val="none"/>
          <w:u w:val="none"/>
        </w:rPr>
        <w:fldChar w:fldCharType="end"/>
      </w:r>
    </w:p>
    <w:p>
      <w:pPr>
        <w:pStyle w:val="17"/>
        <w:tabs>
          <w:tab w:val="right" w:leader="dot" w:pos="8200"/>
        </w:tabs>
      </w:pPr>
      <w:r>
        <w:rPr>
          <w:rFonts w:hint="default" w:ascii="Times New Roman" w:hAnsi="Times New Roman" w:eastAsia="宋体" w:cs="Times New Roman"/>
          <w:color w:val="auto"/>
          <w:highlight w:val="none"/>
          <w:u w:val="none"/>
          <w:lang w:val="en-US" w:eastAsia="zh-CN"/>
        </w:rPr>
        <w:fldChar w:fldCharType="begin"/>
      </w:r>
      <w:r>
        <w:rPr>
          <w:rFonts w:hint="default" w:ascii="Times New Roman" w:hAnsi="Times New Roman" w:eastAsia="宋体" w:cs="Times New Roman"/>
          <w:color w:val="auto"/>
          <w:highlight w:val="none"/>
          <w:u w:val="none"/>
          <w:lang w:val="en-US" w:eastAsia="zh-CN"/>
        </w:rPr>
        <w:instrText xml:space="preserve"> HYPERLINK \l "_10.1　一般规定" </w:instrText>
      </w:r>
      <w:r>
        <w:rPr>
          <w:rFonts w:hint="default" w:ascii="Times New Roman" w:hAnsi="Times New Roman" w:eastAsia="宋体" w:cs="Times New Roman"/>
          <w:color w:val="auto"/>
          <w:highlight w:val="none"/>
          <w:u w:val="none"/>
          <w:lang w:val="en-US" w:eastAsia="zh-CN"/>
        </w:rPr>
        <w:fldChar w:fldCharType="separate"/>
      </w:r>
      <w:r>
        <w:rPr>
          <w:rStyle w:val="27"/>
          <w:rFonts w:hint="default" w:ascii="Times New Roman" w:hAnsi="Times New Roman" w:eastAsia="宋体" w:cs="Times New Roman"/>
          <w:highlight w:val="none"/>
          <w:lang w:val="en-US" w:eastAsia="zh-CN"/>
        </w:rPr>
        <w:t>10.1</w:t>
      </w:r>
      <w:r>
        <w:rPr>
          <w:rStyle w:val="27"/>
          <w:rFonts w:hint="eastAsia" w:ascii="Times New Roman" w:hAnsi="Times New Roman" w:eastAsia="宋体" w:cs="Times New Roman"/>
          <w:highlight w:val="none"/>
          <w:lang w:val="en-US" w:eastAsia="zh-CN"/>
        </w:rPr>
        <w:t xml:space="preserve">  </w:t>
      </w:r>
      <w:r>
        <w:rPr>
          <w:rStyle w:val="27"/>
          <w:rFonts w:hint="default" w:ascii="Times New Roman" w:hAnsi="Times New Roman" w:eastAsia="宋体" w:cs="Times New Roman"/>
          <w:highlight w:val="none"/>
          <w:lang w:val="en-US" w:eastAsia="zh-CN"/>
        </w:rPr>
        <w:t>一般规定</w:t>
      </w:r>
      <w:r>
        <w:rPr>
          <w:rStyle w:val="27"/>
        </w:rPr>
        <w:tab/>
      </w:r>
      <w:r>
        <w:rPr>
          <w:rStyle w:val="27"/>
        </w:rPr>
        <w:fldChar w:fldCharType="begin"/>
      </w:r>
      <w:r>
        <w:rPr>
          <w:rStyle w:val="27"/>
        </w:rPr>
        <w:instrText xml:space="preserve"> PAGEREF _Toc8258 \h </w:instrText>
      </w:r>
      <w:r>
        <w:rPr>
          <w:rStyle w:val="27"/>
        </w:rPr>
        <w:fldChar w:fldCharType="separate"/>
      </w:r>
      <w:r>
        <w:rPr>
          <w:rStyle w:val="27"/>
        </w:rPr>
        <w:t>165</w:t>
      </w:r>
      <w:r>
        <w:rPr>
          <w:rStyle w:val="27"/>
        </w:rPr>
        <w:fldChar w:fldCharType="end"/>
      </w:r>
      <w:r>
        <w:rPr>
          <w:rFonts w:hint="default" w:ascii="Times New Roman" w:hAnsi="Times New Roman" w:eastAsia="宋体" w:cs="Times New Roman"/>
          <w:color w:val="auto"/>
          <w:highlight w:val="none"/>
          <w:u w:val="none"/>
          <w:lang w:val="en-US" w:eastAsia="zh-CN"/>
        </w:rPr>
        <w:fldChar w:fldCharType="end"/>
      </w:r>
    </w:p>
    <w:p>
      <w:pPr>
        <w:pStyle w:val="17"/>
        <w:tabs>
          <w:tab w:val="right" w:leader="dot" w:pos="8200"/>
        </w:tabs>
      </w:pPr>
      <w:r>
        <w:rPr>
          <w:rFonts w:hint="default" w:ascii="Times New Roman" w:hAnsi="Times New Roman" w:eastAsia="宋体" w:cs="Times New Roman"/>
          <w:color w:val="auto"/>
          <w:highlight w:val="none"/>
          <w:u w:val="none"/>
          <w:lang w:val="en-US" w:eastAsia="zh-CN"/>
        </w:rPr>
        <w:fldChar w:fldCharType="begin"/>
      </w:r>
      <w:r>
        <w:rPr>
          <w:rFonts w:hint="default" w:ascii="Times New Roman" w:hAnsi="Times New Roman" w:eastAsia="宋体" w:cs="Times New Roman"/>
          <w:color w:val="auto"/>
          <w:highlight w:val="none"/>
          <w:u w:val="none"/>
          <w:lang w:val="en-US" w:eastAsia="zh-CN"/>
        </w:rPr>
        <w:instrText xml:space="preserve"> HYPERLINK \l "_10.3　初步勘察" </w:instrText>
      </w:r>
      <w:r>
        <w:rPr>
          <w:rFonts w:hint="default" w:ascii="Times New Roman" w:hAnsi="Times New Roman" w:eastAsia="宋体" w:cs="Times New Roman"/>
          <w:color w:val="auto"/>
          <w:highlight w:val="none"/>
          <w:u w:val="none"/>
          <w:lang w:val="en-US" w:eastAsia="zh-CN"/>
        </w:rPr>
        <w:fldChar w:fldCharType="separate"/>
      </w:r>
      <w:r>
        <w:rPr>
          <w:rStyle w:val="27"/>
          <w:rFonts w:hint="default" w:ascii="Times New Roman" w:hAnsi="Times New Roman" w:eastAsia="宋体" w:cs="Times New Roman"/>
          <w:highlight w:val="none"/>
          <w:lang w:val="en-US" w:eastAsia="zh-CN"/>
        </w:rPr>
        <w:t>10.3</w:t>
      </w:r>
      <w:r>
        <w:rPr>
          <w:rStyle w:val="27"/>
          <w:rFonts w:hint="eastAsia" w:ascii="Times New Roman" w:hAnsi="Times New Roman" w:eastAsia="宋体" w:cs="Times New Roman"/>
          <w:highlight w:val="none"/>
          <w:lang w:val="en-US" w:eastAsia="zh-CN"/>
        </w:rPr>
        <w:t xml:space="preserve">  </w:t>
      </w:r>
      <w:r>
        <w:rPr>
          <w:rStyle w:val="27"/>
          <w:rFonts w:hint="default" w:ascii="Times New Roman" w:hAnsi="Times New Roman" w:eastAsia="宋体" w:cs="Times New Roman"/>
          <w:highlight w:val="none"/>
          <w:lang w:val="en-US" w:eastAsia="zh-CN"/>
        </w:rPr>
        <w:t>初步勘察</w:t>
      </w:r>
      <w:r>
        <w:rPr>
          <w:rStyle w:val="27"/>
        </w:rPr>
        <w:tab/>
      </w:r>
      <w:r>
        <w:rPr>
          <w:rStyle w:val="27"/>
        </w:rPr>
        <w:fldChar w:fldCharType="begin"/>
      </w:r>
      <w:r>
        <w:rPr>
          <w:rStyle w:val="27"/>
        </w:rPr>
        <w:instrText xml:space="preserve"> PAGEREF _Toc22059 \h </w:instrText>
      </w:r>
      <w:r>
        <w:rPr>
          <w:rStyle w:val="27"/>
        </w:rPr>
        <w:fldChar w:fldCharType="separate"/>
      </w:r>
      <w:r>
        <w:rPr>
          <w:rStyle w:val="27"/>
        </w:rPr>
        <w:t>165</w:t>
      </w:r>
      <w:r>
        <w:rPr>
          <w:rStyle w:val="27"/>
        </w:rPr>
        <w:fldChar w:fldCharType="end"/>
      </w:r>
      <w:r>
        <w:rPr>
          <w:rFonts w:hint="default" w:ascii="Times New Roman" w:hAnsi="Times New Roman" w:eastAsia="宋体" w:cs="Times New Roman"/>
          <w:color w:val="auto"/>
          <w:highlight w:val="none"/>
          <w:u w:val="none"/>
          <w:lang w:val="en-US" w:eastAsia="zh-CN"/>
        </w:rPr>
        <w:fldChar w:fldCharType="end"/>
      </w:r>
    </w:p>
    <w:p>
      <w:pPr>
        <w:pStyle w:val="17"/>
        <w:tabs>
          <w:tab w:val="right" w:leader="dot" w:pos="8200"/>
        </w:tabs>
      </w:pPr>
      <w:r>
        <w:rPr>
          <w:rFonts w:hint="default" w:ascii="Times New Roman" w:hAnsi="Times New Roman" w:eastAsia="宋体" w:cs="Times New Roman"/>
          <w:color w:val="auto"/>
          <w:highlight w:val="none"/>
          <w:u w:val="none"/>
          <w:lang w:val="en-US" w:eastAsia="zh-CN"/>
        </w:rPr>
        <w:fldChar w:fldCharType="begin"/>
      </w:r>
      <w:r>
        <w:rPr>
          <w:rFonts w:hint="default" w:ascii="Times New Roman" w:hAnsi="Times New Roman" w:eastAsia="宋体" w:cs="Times New Roman"/>
          <w:color w:val="auto"/>
          <w:highlight w:val="none"/>
          <w:u w:val="none"/>
          <w:lang w:val="en-US" w:eastAsia="zh-CN"/>
        </w:rPr>
        <w:instrText xml:space="preserve"> HYPERLINK \l "_10.4　详细勘察" </w:instrText>
      </w:r>
      <w:r>
        <w:rPr>
          <w:rFonts w:hint="default" w:ascii="Times New Roman" w:hAnsi="Times New Roman" w:eastAsia="宋体" w:cs="Times New Roman"/>
          <w:color w:val="auto"/>
          <w:highlight w:val="none"/>
          <w:u w:val="none"/>
          <w:lang w:val="en-US" w:eastAsia="zh-CN"/>
        </w:rPr>
        <w:fldChar w:fldCharType="separate"/>
      </w:r>
      <w:r>
        <w:rPr>
          <w:rStyle w:val="27"/>
          <w:rFonts w:hint="default" w:ascii="Times New Roman" w:hAnsi="Times New Roman" w:eastAsia="宋体" w:cs="Times New Roman"/>
          <w:highlight w:val="none"/>
          <w:lang w:val="en-US" w:eastAsia="zh-CN"/>
        </w:rPr>
        <w:t>10.4</w:t>
      </w:r>
      <w:r>
        <w:rPr>
          <w:rStyle w:val="27"/>
          <w:rFonts w:hint="eastAsia" w:ascii="Times New Roman" w:hAnsi="Times New Roman" w:eastAsia="宋体" w:cs="Times New Roman"/>
          <w:highlight w:val="none"/>
          <w:lang w:val="en-US" w:eastAsia="zh-CN"/>
        </w:rPr>
        <w:t xml:space="preserve">  </w:t>
      </w:r>
      <w:r>
        <w:rPr>
          <w:rStyle w:val="27"/>
          <w:rFonts w:hint="default" w:ascii="Times New Roman" w:hAnsi="Times New Roman" w:eastAsia="宋体" w:cs="Times New Roman"/>
          <w:highlight w:val="none"/>
          <w:lang w:val="en-US" w:eastAsia="zh-CN"/>
        </w:rPr>
        <w:t>详细勘察</w:t>
      </w:r>
      <w:r>
        <w:rPr>
          <w:rStyle w:val="27"/>
        </w:rPr>
        <w:tab/>
      </w:r>
      <w:r>
        <w:rPr>
          <w:rStyle w:val="27"/>
        </w:rPr>
        <w:fldChar w:fldCharType="begin"/>
      </w:r>
      <w:r>
        <w:rPr>
          <w:rStyle w:val="27"/>
        </w:rPr>
        <w:instrText xml:space="preserve"> PAGEREF _Toc7491 \h </w:instrText>
      </w:r>
      <w:r>
        <w:rPr>
          <w:rStyle w:val="27"/>
        </w:rPr>
        <w:fldChar w:fldCharType="separate"/>
      </w:r>
      <w:r>
        <w:rPr>
          <w:rStyle w:val="27"/>
        </w:rPr>
        <w:t>166</w:t>
      </w:r>
      <w:r>
        <w:rPr>
          <w:rStyle w:val="27"/>
        </w:rPr>
        <w:fldChar w:fldCharType="end"/>
      </w:r>
      <w:r>
        <w:rPr>
          <w:rFonts w:hint="default" w:ascii="Times New Roman" w:hAnsi="Times New Roman" w:eastAsia="宋体" w:cs="Times New Roman"/>
          <w:color w:val="auto"/>
          <w:highlight w:val="none"/>
          <w:u w:val="none"/>
          <w:lang w:val="en-US" w:eastAsia="zh-CN"/>
        </w:rPr>
        <w:fldChar w:fldCharType="end"/>
      </w:r>
    </w:p>
    <w:p>
      <w:pPr>
        <w:pStyle w:val="13"/>
        <w:tabs>
          <w:tab w:val="right" w:leader="dot" w:pos="8200"/>
          <w:tab w:val="clear" w:pos="420"/>
          <w:tab w:val="clear" w:pos="9523"/>
        </w:tabs>
      </w:pPr>
      <w:r>
        <w:rPr>
          <w:rFonts w:ascii="Times New Roman" w:hAnsi="Times New Roman" w:eastAsia="宋体"/>
          <w:color w:val="auto"/>
          <w:highlight w:val="none"/>
          <w:u w:val="none"/>
        </w:rPr>
        <w:fldChar w:fldCharType="begin"/>
      </w:r>
      <w:r>
        <w:rPr>
          <w:rFonts w:ascii="Times New Roman" w:hAnsi="Times New Roman" w:eastAsia="宋体"/>
          <w:color w:val="auto"/>
          <w:highlight w:val="none"/>
          <w:u w:val="none"/>
        </w:rPr>
        <w:instrText xml:space="preserve"> HYPERLINK \l "_11　城市场地平整工程" </w:instrText>
      </w:r>
      <w:r>
        <w:rPr>
          <w:rFonts w:ascii="Times New Roman" w:hAnsi="Times New Roman" w:eastAsia="宋体"/>
          <w:color w:val="auto"/>
          <w:highlight w:val="none"/>
          <w:u w:val="none"/>
        </w:rPr>
        <w:fldChar w:fldCharType="separate"/>
      </w:r>
      <w:r>
        <w:rPr>
          <w:rStyle w:val="27"/>
          <w:rFonts w:ascii="Times New Roman" w:hAnsi="Times New Roman" w:eastAsia="宋体"/>
          <w:highlight w:val="none"/>
        </w:rPr>
        <w:t>1</w:t>
      </w:r>
      <w:r>
        <w:rPr>
          <w:rStyle w:val="27"/>
          <w:rFonts w:hint="eastAsia" w:ascii="Times New Roman" w:hAnsi="Times New Roman" w:eastAsia="宋体"/>
          <w:highlight w:val="none"/>
          <w:lang w:val="en-US" w:eastAsia="zh-CN"/>
        </w:rPr>
        <w:t>1</w:t>
      </w:r>
      <w:r>
        <w:rPr>
          <w:rStyle w:val="27"/>
          <w:rFonts w:hint="eastAsia" w:ascii="Times New Roman" w:hAnsi="Times New Roman" w:eastAsia="宋体"/>
          <w:highlight w:val="none"/>
        </w:rPr>
        <w:t xml:space="preserve">  </w:t>
      </w:r>
      <w:r>
        <w:rPr>
          <w:rStyle w:val="27"/>
          <w:rFonts w:hint="eastAsia" w:ascii="Times New Roman" w:hAnsi="Times New Roman" w:eastAsia="宋体"/>
          <w:highlight w:val="none"/>
          <w:lang w:eastAsia="zh-CN"/>
        </w:rPr>
        <w:t>城市</w:t>
      </w:r>
      <w:r>
        <w:rPr>
          <w:rStyle w:val="27"/>
          <w:rFonts w:ascii="Times New Roman" w:hAnsi="Times New Roman" w:eastAsia="宋体"/>
          <w:highlight w:val="none"/>
        </w:rPr>
        <w:t>场地平整工程</w:t>
      </w:r>
      <w:r>
        <w:rPr>
          <w:rStyle w:val="27"/>
        </w:rPr>
        <w:tab/>
      </w:r>
      <w:r>
        <w:rPr>
          <w:rStyle w:val="27"/>
        </w:rPr>
        <w:fldChar w:fldCharType="begin"/>
      </w:r>
      <w:r>
        <w:rPr>
          <w:rStyle w:val="27"/>
        </w:rPr>
        <w:instrText xml:space="preserve"> PAGEREF _Toc8558 \h </w:instrText>
      </w:r>
      <w:r>
        <w:rPr>
          <w:rStyle w:val="27"/>
        </w:rPr>
        <w:fldChar w:fldCharType="separate"/>
      </w:r>
      <w:r>
        <w:rPr>
          <w:rStyle w:val="27"/>
        </w:rPr>
        <w:t>167</w:t>
      </w:r>
      <w:r>
        <w:rPr>
          <w:rStyle w:val="27"/>
        </w:rPr>
        <w:fldChar w:fldCharType="end"/>
      </w:r>
      <w:r>
        <w:rPr>
          <w:rFonts w:ascii="Times New Roman" w:hAnsi="Times New Roman" w:eastAsia="宋体"/>
          <w:color w:val="auto"/>
          <w:highlight w:val="none"/>
          <w:u w:val="none"/>
        </w:rPr>
        <w:fldChar w:fldCharType="end"/>
      </w:r>
    </w:p>
    <w:p>
      <w:pPr>
        <w:pStyle w:val="17"/>
        <w:tabs>
          <w:tab w:val="right" w:leader="dot" w:pos="8200"/>
        </w:tabs>
      </w:pPr>
      <w:r>
        <w:rPr>
          <w:rFonts w:hint="eastAsia" w:ascii="Times New Roman" w:hAnsi="Times New Roman" w:eastAsia="宋体" w:cs="Times New Roman"/>
          <w:color w:val="auto"/>
          <w:highlight w:val="none"/>
          <w:u w:val="none"/>
          <w:lang w:eastAsia="zh-CN"/>
        </w:rPr>
        <w:fldChar w:fldCharType="begin"/>
      </w:r>
      <w:r>
        <w:rPr>
          <w:rFonts w:hint="eastAsia" w:ascii="Times New Roman" w:hAnsi="Times New Roman" w:eastAsia="宋体" w:cs="Times New Roman"/>
          <w:color w:val="auto"/>
          <w:highlight w:val="none"/>
          <w:u w:val="none"/>
          <w:lang w:eastAsia="zh-CN"/>
        </w:rPr>
        <w:instrText xml:space="preserve"> HYPERLINK \l "_11.1　一般规定" </w:instrText>
      </w:r>
      <w:r>
        <w:rPr>
          <w:rFonts w:hint="eastAsia" w:ascii="Times New Roman" w:hAnsi="Times New Roman" w:eastAsia="宋体" w:cs="Times New Roman"/>
          <w:color w:val="auto"/>
          <w:highlight w:val="none"/>
          <w:u w:val="none"/>
          <w:lang w:eastAsia="zh-CN"/>
        </w:rPr>
        <w:fldChar w:fldCharType="separate"/>
      </w:r>
      <w:r>
        <w:rPr>
          <w:rStyle w:val="27"/>
          <w:rFonts w:hint="eastAsia" w:ascii="Times New Roman" w:hAnsi="Times New Roman" w:eastAsia="宋体" w:cs="Times New Roman"/>
          <w:highlight w:val="none"/>
          <w:lang w:eastAsia="zh-CN"/>
        </w:rPr>
        <w:t>11.</w:t>
      </w:r>
      <w:r>
        <w:rPr>
          <w:rStyle w:val="27"/>
          <w:rFonts w:hint="eastAsia" w:ascii="Times New Roman" w:hAnsi="Times New Roman" w:eastAsia="宋体" w:cs="Times New Roman"/>
          <w:highlight w:val="none"/>
          <w:lang w:val="en-US" w:eastAsia="zh-CN"/>
        </w:rPr>
        <w:t>1</w:t>
      </w:r>
      <w:r>
        <w:rPr>
          <w:rStyle w:val="27"/>
          <w:rFonts w:ascii="Times New Roman" w:hAnsi="Times New Roman" w:eastAsia="宋体" w:cs="Times New Roman"/>
          <w:highlight w:val="none"/>
        </w:rPr>
        <w:t xml:space="preserve"> </w:t>
      </w:r>
      <w:r>
        <w:rPr>
          <w:rStyle w:val="27"/>
          <w:rFonts w:hint="eastAsia" w:ascii="Times New Roman" w:hAnsi="Times New Roman" w:eastAsia="宋体" w:cs="Times New Roman"/>
          <w:highlight w:val="none"/>
          <w:lang w:val="en-US" w:eastAsia="zh-CN"/>
        </w:rPr>
        <w:t xml:space="preserve"> 一般规定</w:t>
      </w:r>
      <w:r>
        <w:rPr>
          <w:rStyle w:val="27"/>
        </w:rPr>
        <w:tab/>
      </w:r>
      <w:r>
        <w:rPr>
          <w:rStyle w:val="27"/>
        </w:rPr>
        <w:fldChar w:fldCharType="begin"/>
      </w:r>
      <w:r>
        <w:rPr>
          <w:rStyle w:val="27"/>
        </w:rPr>
        <w:instrText xml:space="preserve"> PAGEREF _Toc3269 \h </w:instrText>
      </w:r>
      <w:r>
        <w:rPr>
          <w:rStyle w:val="27"/>
        </w:rPr>
        <w:fldChar w:fldCharType="separate"/>
      </w:r>
      <w:r>
        <w:rPr>
          <w:rStyle w:val="27"/>
        </w:rPr>
        <w:t>167</w:t>
      </w:r>
      <w:r>
        <w:rPr>
          <w:rStyle w:val="27"/>
        </w:rPr>
        <w:fldChar w:fldCharType="end"/>
      </w:r>
      <w:r>
        <w:rPr>
          <w:rFonts w:hint="eastAsia" w:ascii="Times New Roman" w:hAnsi="Times New Roman" w:eastAsia="宋体" w:cs="Times New Roman"/>
          <w:color w:val="auto"/>
          <w:highlight w:val="none"/>
          <w:u w:val="none"/>
          <w:lang w:eastAsia="zh-CN"/>
        </w:rPr>
        <w:fldChar w:fldCharType="end"/>
      </w:r>
    </w:p>
    <w:p>
      <w:pPr>
        <w:pStyle w:val="17"/>
        <w:tabs>
          <w:tab w:val="right" w:leader="dot" w:pos="8200"/>
        </w:tabs>
      </w:pPr>
      <w:r>
        <w:rPr>
          <w:rFonts w:hint="eastAsia" w:ascii="Times New Roman" w:hAnsi="Times New Roman" w:eastAsia="宋体" w:cs="Times New Roman"/>
          <w:color w:val="auto"/>
          <w:highlight w:val="none"/>
          <w:u w:val="none"/>
          <w:lang w:eastAsia="zh-CN"/>
        </w:rPr>
        <w:fldChar w:fldCharType="begin"/>
      </w:r>
      <w:r>
        <w:rPr>
          <w:rFonts w:hint="eastAsia" w:ascii="Times New Roman" w:hAnsi="Times New Roman" w:eastAsia="宋体" w:cs="Times New Roman"/>
          <w:color w:val="auto"/>
          <w:highlight w:val="none"/>
          <w:u w:val="none"/>
          <w:lang w:eastAsia="zh-CN"/>
        </w:rPr>
        <w:instrText xml:space="preserve"> HYPERLINK \l "_11.2　丘陵场地平整勘察" </w:instrText>
      </w:r>
      <w:r>
        <w:rPr>
          <w:rFonts w:hint="eastAsia" w:ascii="Times New Roman" w:hAnsi="Times New Roman" w:eastAsia="宋体" w:cs="Times New Roman"/>
          <w:color w:val="auto"/>
          <w:highlight w:val="none"/>
          <w:u w:val="none"/>
          <w:lang w:eastAsia="zh-CN"/>
        </w:rPr>
        <w:fldChar w:fldCharType="separate"/>
      </w:r>
      <w:r>
        <w:rPr>
          <w:rStyle w:val="27"/>
          <w:rFonts w:hint="eastAsia" w:ascii="Times New Roman" w:hAnsi="Times New Roman" w:eastAsia="宋体" w:cs="Times New Roman"/>
          <w:highlight w:val="none"/>
          <w:lang w:eastAsia="zh-CN"/>
        </w:rPr>
        <w:t>11.</w:t>
      </w:r>
      <w:r>
        <w:rPr>
          <w:rStyle w:val="27"/>
          <w:rFonts w:ascii="Times New Roman" w:hAnsi="Times New Roman" w:eastAsia="宋体" w:cs="Times New Roman"/>
          <w:highlight w:val="none"/>
        </w:rPr>
        <w:t xml:space="preserve">2 </w:t>
      </w:r>
      <w:r>
        <w:rPr>
          <w:rStyle w:val="27"/>
          <w:rFonts w:hint="eastAsia" w:ascii="Times New Roman" w:hAnsi="Times New Roman" w:eastAsia="宋体" w:cs="Times New Roman"/>
          <w:highlight w:val="none"/>
          <w:lang w:val="en-US" w:eastAsia="zh-CN"/>
        </w:rPr>
        <w:t xml:space="preserve"> </w:t>
      </w:r>
      <w:r>
        <w:rPr>
          <w:rStyle w:val="27"/>
          <w:rFonts w:ascii="Times New Roman" w:hAnsi="Times New Roman" w:eastAsia="宋体" w:cs="Times New Roman"/>
          <w:highlight w:val="none"/>
        </w:rPr>
        <w:t>丘陵场地平整勘察</w:t>
      </w:r>
      <w:r>
        <w:rPr>
          <w:rStyle w:val="27"/>
        </w:rPr>
        <w:tab/>
      </w:r>
      <w:r>
        <w:rPr>
          <w:rStyle w:val="27"/>
        </w:rPr>
        <w:fldChar w:fldCharType="begin"/>
      </w:r>
      <w:r>
        <w:rPr>
          <w:rStyle w:val="27"/>
        </w:rPr>
        <w:instrText xml:space="preserve"> PAGEREF _Toc5806 \h </w:instrText>
      </w:r>
      <w:r>
        <w:rPr>
          <w:rStyle w:val="27"/>
        </w:rPr>
        <w:fldChar w:fldCharType="separate"/>
      </w:r>
      <w:r>
        <w:rPr>
          <w:rStyle w:val="27"/>
        </w:rPr>
        <w:t>167</w:t>
      </w:r>
      <w:r>
        <w:rPr>
          <w:rStyle w:val="27"/>
        </w:rPr>
        <w:fldChar w:fldCharType="end"/>
      </w:r>
      <w:r>
        <w:rPr>
          <w:rFonts w:hint="eastAsia" w:ascii="Times New Roman" w:hAnsi="Times New Roman" w:eastAsia="宋体" w:cs="Times New Roman"/>
          <w:color w:val="auto"/>
          <w:highlight w:val="none"/>
          <w:u w:val="none"/>
          <w:lang w:eastAsia="zh-CN"/>
        </w:rPr>
        <w:fldChar w:fldCharType="end"/>
      </w:r>
    </w:p>
    <w:p>
      <w:pPr>
        <w:pStyle w:val="17"/>
        <w:tabs>
          <w:tab w:val="right" w:leader="dot" w:pos="8200"/>
        </w:tabs>
      </w:pPr>
      <w:r>
        <w:rPr>
          <w:rFonts w:hint="eastAsia" w:ascii="Times New Roman" w:hAnsi="Times New Roman" w:eastAsia="宋体" w:cs="Times New Roman"/>
          <w:color w:val="auto"/>
          <w:highlight w:val="none"/>
          <w:u w:val="none"/>
          <w:lang w:eastAsia="zh-CN"/>
        </w:rPr>
        <w:fldChar w:fldCharType="begin"/>
      </w:r>
      <w:r>
        <w:rPr>
          <w:rFonts w:hint="eastAsia" w:ascii="Times New Roman" w:hAnsi="Times New Roman" w:eastAsia="宋体" w:cs="Times New Roman"/>
          <w:color w:val="auto"/>
          <w:highlight w:val="none"/>
          <w:u w:val="none"/>
          <w:lang w:eastAsia="zh-CN"/>
        </w:rPr>
        <w:instrText xml:space="preserve"> HYPERLINK \l "_11.3　滨海场地平整勘察" </w:instrText>
      </w:r>
      <w:r>
        <w:rPr>
          <w:rFonts w:hint="eastAsia" w:ascii="Times New Roman" w:hAnsi="Times New Roman" w:eastAsia="宋体" w:cs="Times New Roman"/>
          <w:color w:val="auto"/>
          <w:highlight w:val="none"/>
          <w:u w:val="none"/>
          <w:lang w:eastAsia="zh-CN"/>
        </w:rPr>
        <w:fldChar w:fldCharType="separate"/>
      </w:r>
      <w:r>
        <w:rPr>
          <w:rStyle w:val="27"/>
          <w:rFonts w:hint="eastAsia" w:ascii="Times New Roman" w:hAnsi="Times New Roman" w:eastAsia="宋体" w:cs="Times New Roman"/>
          <w:highlight w:val="none"/>
          <w:lang w:eastAsia="zh-CN"/>
        </w:rPr>
        <w:t>11.</w:t>
      </w:r>
      <w:r>
        <w:rPr>
          <w:rStyle w:val="27"/>
          <w:rFonts w:ascii="Times New Roman" w:hAnsi="Times New Roman" w:eastAsia="宋体" w:cs="Times New Roman"/>
          <w:highlight w:val="none"/>
        </w:rPr>
        <w:t xml:space="preserve">3 </w:t>
      </w:r>
      <w:r>
        <w:rPr>
          <w:rStyle w:val="27"/>
          <w:rFonts w:hint="eastAsia" w:ascii="Times New Roman" w:hAnsi="Times New Roman" w:eastAsia="宋体" w:cs="Times New Roman"/>
          <w:highlight w:val="none"/>
          <w:lang w:val="en-US" w:eastAsia="zh-CN"/>
        </w:rPr>
        <w:t xml:space="preserve"> 滨海</w:t>
      </w:r>
      <w:r>
        <w:rPr>
          <w:rStyle w:val="27"/>
          <w:rFonts w:ascii="Times New Roman" w:hAnsi="Times New Roman" w:eastAsia="宋体" w:cs="Times New Roman"/>
          <w:highlight w:val="none"/>
        </w:rPr>
        <w:t>场地平整勘察</w:t>
      </w:r>
      <w:r>
        <w:rPr>
          <w:rStyle w:val="27"/>
        </w:rPr>
        <w:tab/>
      </w:r>
      <w:r>
        <w:rPr>
          <w:rStyle w:val="27"/>
        </w:rPr>
        <w:fldChar w:fldCharType="begin"/>
      </w:r>
      <w:r>
        <w:rPr>
          <w:rStyle w:val="27"/>
        </w:rPr>
        <w:instrText xml:space="preserve"> PAGEREF _Toc15066 \h </w:instrText>
      </w:r>
      <w:r>
        <w:rPr>
          <w:rStyle w:val="27"/>
        </w:rPr>
        <w:fldChar w:fldCharType="separate"/>
      </w:r>
      <w:r>
        <w:rPr>
          <w:rStyle w:val="27"/>
        </w:rPr>
        <w:t>169</w:t>
      </w:r>
      <w:r>
        <w:rPr>
          <w:rStyle w:val="27"/>
        </w:rPr>
        <w:fldChar w:fldCharType="end"/>
      </w:r>
      <w:r>
        <w:rPr>
          <w:rFonts w:hint="eastAsia" w:ascii="Times New Roman" w:hAnsi="Times New Roman" w:eastAsia="宋体" w:cs="Times New Roman"/>
          <w:color w:val="auto"/>
          <w:highlight w:val="none"/>
          <w:u w:val="none"/>
          <w:lang w:eastAsia="zh-CN"/>
        </w:rPr>
        <w:fldChar w:fldCharType="end"/>
      </w:r>
    </w:p>
    <w:p>
      <w:pPr>
        <w:pStyle w:val="13"/>
        <w:tabs>
          <w:tab w:val="right" w:leader="dot" w:pos="8200"/>
          <w:tab w:val="clear" w:pos="420"/>
          <w:tab w:val="clear" w:pos="9523"/>
        </w:tabs>
      </w:pPr>
      <w:r>
        <w:rPr>
          <w:rFonts w:ascii="Times New Roman" w:hAnsi="Times New Roman" w:eastAsia="宋体"/>
          <w:color w:val="auto"/>
          <w:highlight w:val="none"/>
          <w:u w:val="none"/>
        </w:rPr>
        <w:fldChar w:fldCharType="begin"/>
      </w:r>
      <w:r>
        <w:rPr>
          <w:rFonts w:ascii="Times New Roman" w:hAnsi="Times New Roman" w:eastAsia="宋体"/>
          <w:color w:val="auto"/>
          <w:highlight w:val="none"/>
          <w:u w:val="none"/>
        </w:rPr>
        <w:instrText xml:space="preserve"> HYPERLINK \l "_12　城市固体废弃物处置场工程" </w:instrText>
      </w:r>
      <w:r>
        <w:rPr>
          <w:rFonts w:ascii="Times New Roman" w:hAnsi="Times New Roman" w:eastAsia="宋体"/>
          <w:color w:val="auto"/>
          <w:highlight w:val="none"/>
          <w:u w:val="none"/>
        </w:rPr>
        <w:fldChar w:fldCharType="separate"/>
      </w:r>
      <w:r>
        <w:rPr>
          <w:rStyle w:val="27"/>
          <w:rFonts w:ascii="Times New Roman" w:hAnsi="Times New Roman" w:eastAsia="宋体"/>
          <w:highlight w:val="none"/>
        </w:rPr>
        <w:t>1</w:t>
      </w:r>
      <w:r>
        <w:rPr>
          <w:rStyle w:val="27"/>
          <w:rFonts w:hint="eastAsia" w:ascii="Times New Roman" w:hAnsi="Times New Roman" w:eastAsia="宋体"/>
          <w:highlight w:val="none"/>
          <w:lang w:val="en-US" w:eastAsia="zh-CN"/>
        </w:rPr>
        <w:t>2</w:t>
      </w:r>
      <w:r>
        <w:rPr>
          <w:rStyle w:val="27"/>
          <w:rFonts w:hint="eastAsia" w:ascii="Times New Roman" w:hAnsi="Times New Roman" w:eastAsia="宋体"/>
          <w:highlight w:val="none"/>
        </w:rPr>
        <w:t xml:space="preserve">  </w:t>
      </w:r>
      <w:r>
        <w:rPr>
          <w:rStyle w:val="27"/>
          <w:rFonts w:hint="eastAsia" w:ascii="Times New Roman" w:hAnsi="Times New Roman" w:eastAsia="宋体"/>
          <w:highlight w:val="none"/>
          <w:lang w:eastAsia="zh-CN"/>
        </w:rPr>
        <w:t>城市</w:t>
      </w:r>
      <w:r>
        <w:rPr>
          <w:rStyle w:val="27"/>
          <w:rFonts w:ascii="Times New Roman" w:hAnsi="Times New Roman" w:eastAsia="宋体"/>
          <w:highlight w:val="none"/>
        </w:rPr>
        <w:t>固体废弃物</w:t>
      </w:r>
      <w:r>
        <w:rPr>
          <w:rStyle w:val="27"/>
          <w:rFonts w:hint="eastAsia" w:ascii="Times New Roman" w:hAnsi="Times New Roman" w:eastAsia="宋体"/>
          <w:highlight w:val="none"/>
          <w:lang w:val="en-US" w:eastAsia="zh-CN"/>
        </w:rPr>
        <w:t>处置</w:t>
      </w:r>
      <w:r>
        <w:rPr>
          <w:rStyle w:val="27"/>
          <w:rFonts w:ascii="Times New Roman" w:hAnsi="Times New Roman" w:eastAsia="宋体"/>
          <w:highlight w:val="none"/>
        </w:rPr>
        <w:t>场工程</w:t>
      </w:r>
      <w:r>
        <w:rPr>
          <w:rStyle w:val="27"/>
        </w:rPr>
        <w:tab/>
      </w:r>
      <w:r>
        <w:rPr>
          <w:rStyle w:val="27"/>
        </w:rPr>
        <w:fldChar w:fldCharType="begin"/>
      </w:r>
      <w:r>
        <w:rPr>
          <w:rStyle w:val="27"/>
        </w:rPr>
        <w:instrText xml:space="preserve"> PAGEREF _Toc22417 \h </w:instrText>
      </w:r>
      <w:r>
        <w:rPr>
          <w:rStyle w:val="27"/>
        </w:rPr>
        <w:fldChar w:fldCharType="separate"/>
      </w:r>
      <w:r>
        <w:rPr>
          <w:rStyle w:val="27"/>
        </w:rPr>
        <w:t>170</w:t>
      </w:r>
      <w:r>
        <w:rPr>
          <w:rStyle w:val="27"/>
        </w:rPr>
        <w:fldChar w:fldCharType="end"/>
      </w:r>
      <w:r>
        <w:rPr>
          <w:rFonts w:ascii="Times New Roman" w:hAnsi="Times New Roman" w:eastAsia="宋体"/>
          <w:color w:val="auto"/>
          <w:highlight w:val="none"/>
          <w:u w:val="none"/>
        </w:rPr>
        <w:fldChar w:fldCharType="end"/>
      </w:r>
    </w:p>
    <w:p>
      <w:pPr>
        <w:pStyle w:val="17"/>
        <w:tabs>
          <w:tab w:val="right" w:leader="dot" w:pos="8200"/>
        </w:tabs>
      </w:pPr>
      <w:r>
        <w:rPr>
          <w:rFonts w:hint="eastAsia" w:ascii="Times New Roman" w:hAnsi="Times New Roman" w:eastAsia="宋体" w:cs="Times New Roman"/>
          <w:color w:val="auto"/>
          <w:highlight w:val="none"/>
          <w:u w:val="none"/>
          <w:lang w:eastAsia="zh-CN"/>
        </w:rPr>
        <w:fldChar w:fldCharType="begin"/>
      </w:r>
      <w:r>
        <w:rPr>
          <w:rFonts w:hint="eastAsia" w:ascii="Times New Roman" w:hAnsi="Times New Roman" w:eastAsia="宋体" w:cs="Times New Roman"/>
          <w:color w:val="auto"/>
          <w:highlight w:val="none"/>
          <w:u w:val="none"/>
          <w:lang w:eastAsia="zh-CN"/>
        </w:rPr>
        <w:instrText xml:space="preserve"> HYPERLINK \l "_12.1　一般规定" </w:instrText>
      </w:r>
      <w:r>
        <w:rPr>
          <w:rFonts w:hint="eastAsia" w:ascii="Times New Roman" w:hAnsi="Times New Roman" w:eastAsia="宋体" w:cs="Times New Roman"/>
          <w:color w:val="auto"/>
          <w:highlight w:val="none"/>
          <w:u w:val="none"/>
          <w:lang w:eastAsia="zh-CN"/>
        </w:rPr>
        <w:fldChar w:fldCharType="separate"/>
      </w:r>
      <w:r>
        <w:rPr>
          <w:rStyle w:val="27"/>
          <w:rFonts w:hint="eastAsia" w:ascii="Times New Roman" w:hAnsi="Times New Roman" w:eastAsia="宋体" w:cs="Times New Roman"/>
          <w:highlight w:val="none"/>
          <w:lang w:eastAsia="zh-CN"/>
        </w:rPr>
        <w:t>12.</w:t>
      </w:r>
      <w:r>
        <w:rPr>
          <w:rStyle w:val="27"/>
          <w:rFonts w:ascii="Times New Roman" w:hAnsi="Times New Roman" w:eastAsia="宋体" w:cs="Times New Roman"/>
          <w:highlight w:val="none"/>
        </w:rPr>
        <w:t xml:space="preserve">1 </w:t>
      </w:r>
      <w:r>
        <w:rPr>
          <w:rStyle w:val="27"/>
          <w:rFonts w:hint="eastAsia" w:ascii="Times New Roman" w:hAnsi="Times New Roman" w:eastAsia="宋体" w:cs="Times New Roman"/>
          <w:highlight w:val="none"/>
          <w:lang w:val="en-US" w:eastAsia="zh-CN"/>
        </w:rPr>
        <w:t xml:space="preserve"> </w:t>
      </w:r>
      <w:r>
        <w:rPr>
          <w:rStyle w:val="27"/>
          <w:rFonts w:ascii="Times New Roman" w:hAnsi="Times New Roman" w:eastAsia="宋体" w:cs="Times New Roman"/>
          <w:highlight w:val="none"/>
        </w:rPr>
        <w:t>一般规定</w:t>
      </w:r>
      <w:r>
        <w:rPr>
          <w:rStyle w:val="27"/>
        </w:rPr>
        <w:tab/>
      </w:r>
      <w:r>
        <w:rPr>
          <w:rStyle w:val="27"/>
        </w:rPr>
        <w:fldChar w:fldCharType="begin"/>
      </w:r>
      <w:r>
        <w:rPr>
          <w:rStyle w:val="27"/>
        </w:rPr>
        <w:instrText xml:space="preserve"> PAGEREF _Toc14571 \h </w:instrText>
      </w:r>
      <w:r>
        <w:rPr>
          <w:rStyle w:val="27"/>
        </w:rPr>
        <w:fldChar w:fldCharType="separate"/>
      </w:r>
      <w:r>
        <w:rPr>
          <w:rStyle w:val="27"/>
        </w:rPr>
        <w:t>170</w:t>
      </w:r>
      <w:r>
        <w:rPr>
          <w:rStyle w:val="27"/>
        </w:rPr>
        <w:fldChar w:fldCharType="end"/>
      </w:r>
      <w:r>
        <w:rPr>
          <w:rFonts w:hint="eastAsia" w:ascii="Times New Roman" w:hAnsi="Times New Roman" w:eastAsia="宋体" w:cs="Times New Roman"/>
          <w:color w:val="auto"/>
          <w:highlight w:val="none"/>
          <w:u w:val="none"/>
          <w:lang w:eastAsia="zh-CN"/>
        </w:rPr>
        <w:fldChar w:fldCharType="end"/>
      </w:r>
    </w:p>
    <w:p>
      <w:pPr>
        <w:pStyle w:val="17"/>
        <w:tabs>
          <w:tab w:val="right" w:leader="dot" w:pos="8200"/>
        </w:tabs>
      </w:pPr>
      <w:r>
        <w:rPr>
          <w:rFonts w:hint="eastAsia" w:ascii="Times New Roman" w:hAnsi="Times New Roman" w:eastAsia="宋体" w:cs="Times New Roman"/>
          <w:color w:val="auto"/>
          <w:highlight w:val="none"/>
          <w:u w:val="none"/>
          <w:lang w:eastAsia="zh-CN"/>
        </w:rPr>
        <w:fldChar w:fldCharType="begin"/>
      </w:r>
      <w:r>
        <w:rPr>
          <w:rFonts w:hint="eastAsia" w:ascii="Times New Roman" w:hAnsi="Times New Roman" w:eastAsia="宋体" w:cs="Times New Roman"/>
          <w:color w:val="auto"/>
          <w:highlight w:val="none"/>
          <w:u w:val="none"/>
          <w:lang w:eastAsia="zh-CN"/>
        </w:rPr>
        <w:instrText xml:space="preserve"> HYPERLINK \l "_12.2　可行性研究勘察" </w:instrText>
      </w:r>
      <w:r>
        <w:rPr>
          <w:rFonts w:hint="eastAsia" w:ascii="Times New Roman" w:hAnsi="Times New Roman" w:eastAsia="宋体" w:cs="Times New Roman"/>
          <w:color w:val="auto"/>
          <w:highlight w:val="none"/>
          <w:u w:val="none"/>
          <w:lang w:eastAsia="zh-CN"/>
        </w:rPr>
        <w:fldChar w:fldCharType="separate"/>
      </w:r>
      <w:r>
        <w:rPr>
          <w:rStyle w:val="27"/>
          <w:rFonts w:hint="eastAsia" w:ascii="Times New Roman" w:hAnsi="Times New Roman" w:eastAsia="宋体" w:cs="Times New Roman"/>
          <w:highlight w:val="none"/>
          <w:lang w:eastAsia="zh-CN"/>
        </w:rPr>
        <w:t>12.</w:t>
      </w:r>
      <w:r>
        <w:rPr>
          <w:rStyle w:val="27"/>
          <w:rFonts w:ascii="Times New Roman" w:hAnsi="Times New Roman" w:eastAsia="宋体" w:cs="Times New Roman"/>
          <w:highlight w:val="none"/>
        </w:rPr>
        <w:t xml:space="preserve">2 </w:t>
      </w:r>
      <w:r>
        <w:rPr>
          <w:rStyle w:val="27"/>
          <w:rFonts w:hint="eastAsia" w:ascii="Times New Roman" w:hAnsi="Times New Roman" w:eastAsia="宋体" w:cs="Times New Roman"/>
          <w:highlight w:val="none"/>
          <w:lang w:val="en-US" w:eastAsia="zh-CN"/>
        </w:rPr>
        <w:t xml:space="preserve"> </w:t>
      </w:r>
      <w:r>
        <w:rPr>
          <w:rStyle w:val="27"/>
          <w:rFonts w:ascii="Times New Roman" w:hAnsi="Times New Roman" w:eastAsia="宋体" w:cs="Times New Roman"/>
          <w:highlight w:val="none"/>
        </w:rPr>
        <w:t>可行性研究勘察</w:t>
      </w:r>
      <w:r>
        <w:rPr>
          <w:rStyle w:val="27"/>
        </w:rPr>
        <w:tab/>
      </w:r>
      <w:r>
        <w:rPr>
          <w:rStyle w:val="27"/>
        </w:rPr>
        <w:fldChar w:fldCharType="begin"/>
      </w:r>
      <w:r>
        <w:rPr>
          <w:rStyle w:val="27"/>
        </w:rPr>
        <w:instrText xml:space="preserve"> PAGEREF _Toc13519 \h </w:instrText>
      </w:r>
      <w:r>
        <w:rPr>
          <w:rStyle w:val="27"/>
        </w:rPr>
        <w:fldChar w:fldCharType="separate"/>
      </w:r>
      <w:r>
        <w:rPr>
          <w:rStyle w:val="27"/>
        </w:rPr>
        <w:t>171</w:t>
      </w:r>
      <w:r>
        <w:rPr>
          <w:rStyle w:val="27"/>
        </w:rPr>
        <w:fldChar w:fldCharType="end"/>
      </w:r>
      <w:r>
        <w:rPr>
          <w:rFonts w:hint="eastAsia" w:ascii="Times New Roman" w:hAnsi="Times New Roman" w:eastAsia="宋体" w:cs="Times New Roman"/>
          <w:color w:val="auto"/>
          <w:highlight w:val="none"/>
          <w:u w:val="none"/>
          <w:lang w:eastAsia="zh-CN"/>
        </w:rPr>
        <w:fldChar w:fldCharType="end"/>
      </w:r>
    </w:p>
    <w:p>
      <w:pPr>
        <w:pStyle w:val="17"/>
        <w:tabs>
          <w:tab w:val="right" w:leader="dot" w:pos="8200"/>
        </w:tabs>
      </w:pPr>
      <w:r>
        <w:rPr>
          <w:rFonts w:hint="eastAsia" w:ascii="Times New Roman" w:hAnsi="Times New Roman" w:eastAsia="宋体" w:cs="Times New Roman"/>
          <w:color w:val="auto"/>
          <w:highlight w:val="none"/>
          <w:u w:val="none"/>
          <w:lang w:eastAsia="zh-CN"/>
        </w:rPr>
        <w:fldChar w:fldCharType="begin"/>
      </w:r>
      <w:r>
        <w:rPr>
          <w:rFonts w:hint="eastAsia" w:ascii="Times New Roman" w:hAnsi="Times New Roman" w:eastAsia="宋体" w:cs="Times New Roman"/>
          <w:color w:val="auto"/>
          <w:highlight w:val="none"/>
          <w:u w:val="none"/>
          <w:lang w:eastAsia="zh-CN"/>
        </w:rPr>
        <w:instrText xml:space="preserve"> HYPERLINK \l "_12.3　初步勘察" </w:instrText>
      </w:r>
      <w:r>
        <w:rPr>
          <w:rFonts w:hint="eastAsia" w:ascii="Times New Roman" w:hAnsi="Times New Roman" w:eastAsia="宋体" w:cs="Times New Roman"/>
          <w:color w:val="auto"/>
          <w:highlight w:val="none"/>
          <w:u w:val="none"/>
          <w:lang w:eastAsia="zh-CN"/>
        </w:rPr>
        <w:fldChar w:fldCharType="separate"/>
      </w:r>
      <w:r>
        <w:rPr>
          <w:rStyle w:val="27"/>
          <w:rFonts w:hint="eastAsia" w:ascii="Times New Roman" w:hAnsi="Times New Roman" w:eastAsia="宋体" w:cs="Times New Roman"/>
          <w:highlight w:val="none"/>
          <w:lang w:eastAsia="zh-CN"/>
        </w:rPr>
        <w:t>12.</w:t>
      </w:r>
      <w:r>
        <w:rPr>
          <w:rStyle w:val="27"/>
          <w:rFonts w:ascii="Times New Roman" w:hAnsi="Times New Roman" w:eastAsia="宋体" w:cs="Times New Roman"/>
          <w:highlight w:val="none"/>
        </w:rPr>
        <w:t xml:space="preserve">3 </w:t>
      </w:r>
      <w:r>
        <w:rPr>
          <w:rStyle w:val="27"/>
          <w:rFonts w:hint="eastAsia" w:ascii="Times New Roman" w:hAnsi="Times New Roman" w:eastAsia="宋体" w:cs="Times New Roman"/>
          <w:highlight w:val="none"/>
          <w:lang w:val="en-US" w:eastAsia="zh-CN"/>
        </w:rPr>
        <w:t xml:space="preserve"> </w:t>
      </w:r>
      <w:r>
        <w:rPr>
          <w:rStyle w:val="27"/>
          <w:rFonts w:ascii="Times New Roman" w:hAnsi="Times New Roman" w:eastAsia="宋体" w:cs="Times New Roman"/>
          <w:highlight w:val="none"/>
        </w:rPr>
        <w:t>初步勘察</w:t>
      </w:r>
      <w:r>
        <w:rPr>
          <w:rStyle w:val="27"/>
        </w:rPr>
        <w:tab/>
      </w:r>
      <w:r>
        <w:rPr>
          <w:rStyle w:val="27"/>
        </w:rPr>
        <w:fldChar w:fldCharType="begin"/>
      </w:r>
      <w:r>
        <w:rPr>
          <w:rStyle w:val="27"/>
        </w:rPr>
        <w:instrText xml:space="preserve"> PAGEREF _Toc19962 \h </w:instrText>
      </w:r>
      <w:r>
        <w:rPr>
          <w:rStyle w:val="27"/>
        </w:rPr>
        <w:fldChar w:fldCharType="separate"/>
      </w:r>
      <w:r>
        <w:rPr>
          <w:rStyle w:val="27"/>
        </w:rPr>
        <w:t>172</w:t>
      </w:r>
      <w:r>
        <w:rPr>
          <w:rStyle w:val="27"/>
        </w:rPr>
        <w:fldChar w:fldCharType="end"/>
      </w:r>
      <w:r>
        <w:rPr>
          <w:rFonts w:hint="eastAsia" w:ascii="Times New Roman" w:hAnsi="Times New Roman" w:eastAsia="宋体" w:cs="Times New Roman"/>
          <w:color w:val="auto"/>
          <w:highlight w:val="none"/>
          <w:u w:val="none"/>
          <w:lang w:eastAsia="zh-CN"/>
        </w:rPr>
        <w:fldChar w:fldCharType="end"/>
      </w:r>
    </w:p>
    <w:p>
      <w:pPr>
        <w:pStyle w:val="13"/>
        <w:tabs>
          <w:tab w:val="right" w:leader="dot" w:pos="8200"/>
          <w:tab w:val="clear" w:pos="420"/>
          <w:tab w:val="clear" w:pos="9523"/>
        </w:tabs>
      </w:pPr>
      <w:r>
        <w:rPr>
          <w:rFonts w:ascii="Times New Roman" w:hAnsi="Times New Roman" w:eastAsia="宋体"/>
          <w:color w:val="auto"/>
          <w:highlight w:val="none"/>
          <w:u w:val="none"/>
        </w:rPr>
        <w:fldChar w:fldCharType="begin"/>
      </w:r>
      <w:r>
        <w:rPr>
          <w:rFonts w:ascii="Times New Roman" w:hAnsi="Times New Roman" w:eastAsia="宋体"/>
          <w:color w:val="auto"/>
          <w:highlight w:val="none"/>
          <w:u w:val="none"/>
        </w:rPr>
        <w:instrText xml:space="preserve"> HYPERLINK \l "_13　城市堤岸工程" </w:instrText>
      </w:r>
      <w:r>
        <w:rPr>
          <w:rFonts w:ascii="Times New Roman" w:hAnsi="Times New Roman" w:eastAsia="宋体"/>
          <w:color w:val="auto"/>
          <w:highlight w:val="none"/>
          <w:u w:val="none"/>
        </w:rPr>
        <w:fldChar w:fldCharType="separate"/>
      </w:r>
      <w:r>
        <w:rPr>
          <w:rStyle w:val="27"/>
          <w:rFonts w:ascii="Times New Roman" w:hAnsi="Times New Roman" w:eastAsia="宋体"/>
          <w:highlight w:val="none"/>
        </w:rPr>
        <w:t>1</w:t>
      </w:r>
      <w:r>
        <w:rPr>
          <w:rStyle w:val="27"/>
          <w:rFonts w:hint="eastAsia" w:ascii="Times New Roman" w:hAnsi="Times New Roman" w:eastAsia="宋体"/>
          <w:highlight w:val="none"/>
          <w:lang w:val="en-US" w:eastAsia="zh-CN"/>
        </w:rPr>
        <w:t>3</w:t>
      </w:r>
      <w:r>
        <w:rPr>
          <w:rStyle w:val="27"/>
          <w:rFonts w:hint="eastAsia" w:ascii="Times New Roman" w:hAnsi="Times New Roman" w:eastAsia="宋体"/>
          <w:highlight w:val="none"/>
        </w:rPr>
        <w:t xml:space="preserve">  </w:t>
      </w:r>
      <w:r>
        <w:rPr>
          <w:rStyle w:val="27"/>
          <w:rFonts w:hint="eastAsia" w:ascii="Times New Roman" w:hAnsi="Times New Roman" w:eastAsia="宋体"/>
          <w:highlight w:val="none"/>
          <w:lang w:eastAsia="zh-CN"/>
        </w:rPr>
        <w:t>城市</w:t>
      </w:r>
      <w:r>
        <w:rPr>
          <w:rStyle w:val="27"/>
          <w:rFonts w:ascii="Times New Roman" w:hAnsi="Times New Roman" w:eastAsia="宋体"/>
          <w:highlight w:val="none"/>
        </w:rPr>
        <w:t>堤岸工程</w:t>
      </w:r>
      <w:r>
        <w:rPr>
          <w:rStyle w:val="27"/>
        </w:rPr>
        <w:tab/>
      </w:r>
      <w:r>
        <w:rPr>
          <w:rStyle w:val="27"/>
        </w:rPr>
        <w:fldChar w:fldCharType="begin"/>
      </w:r>
      <w:r>
        <w:rPr>
          <w:rStyle w:val="27"/>
        </w:rPr>
        <w:instrText xml:space="preserve"> PAGEREF _Toc21990 \h </w:instrText>
      </w:r>
      <w:r>
        <w:rPr>
          <w:rStyle w:val="27"/>
        </w:rPr>
        <w:fldChar w:fldCharType="separate"/>
      </w:r>
      <w:r>
        <w:rPr>
          <w:rStyle w:val="27"/>
        </w:rPr>
        <w:t>173</w:t>
      </w:r>
      <w:r>
        <w:rPr>
          <w:rStyle w:val="27"/>
        </w:rPr>
        <w:fldChar w:fldCharType="end"/>
      </w:r>
      <w:r>
        <w:rPr>
          <w:rFonts w:ascii="Times New Roman" w:hAnsi="Times New Roman" w:eastAsia="宋体"/>
          <w:color w:val="auto"/>
          <w:highlight w:val="none"/>
          <w:u w:val="none"/>
        </w:rPr>
        <w:fldChar w:fldCharType="end"/>
      </w:r>
    </w:p>
    <w:p>
      <w:pPr>
        <w:pStyle w:val="17"/>
        <w:tabs>
          <w:tab w:val="right" w:leader="dot" w:pos="8200"/>
        </w:tabs>
      </w:pPr>
      <w:r>
        <w:rPr>
          <w:rFonts w:hint="eastAsia" w:ascii="Times New Roman" w:hAnsi="Times New Roman" w:eastAsia="宋体" w:cs="Times New Roman"/>
          <w:color w:val="auto"/>
          <w:highlight w:val="none"/>
          <w:u w:val="none"/>
          <w:lang w:eastAsia="zh-CN"/>
        </w:rPr>
        <w:fldChar w:fldCharType="begin"/>
      </w:r>
      <w:r>
        <w:rPr>
          <w:rFonts w:hint="eastAsia" w:ascii="Times New Roman" w:hAnsi="Times New Roman" w:eastAsia="宋体" w:cs="Times New Roman"/>
          <w:color w:val="auto"/>
          <w:highlight w:val="none"/>
          <w:u w:val="none"/>
          <w:lang w:eastAsia="zh-CN"/>
        </w:rPr>
        <w:instrText xml:space="preserve"> HYPERLINK \l "_13.1　一般规定" </w:instrText>
      </w:r>
      <w:r>
        <w:rPr>
          <w:rFonts w:hint="eastAsia" w:ascii="Times New Roman" w:hAnsi="Times New Roman" w:eastAsia="宋体" w:cs="Times New Roman"/>
          <w:color w:val="auto"/>
          <w:highlight w:val="none"/>
          <w:u w:val="none"/>
          <w:lang w:eastAsia="zh-CN"/>
        </w:rPr>
        <w:fldChar w:fldCharType="separate"/>
      </w:r>
      <w:r>
        <w:rPr>
          <w:rStyle w:val="27"/>
          <w:rFonts w:hint="eastAsia" w:ascii="Times New Roman" w:hAnsi="Times New Roman" w:eastAsia="宋体" w:cs="Times New Roman"/>
          <w:highlight w:val="none"/>
          <w:lang w:eastAsia="zh-CN"/>
        </w:rPr>
        <w:t>13.</w:t>
      </w:r>
      <w:r>
        <w:rPr>
          <w:rStyle w:val="27"/>
          <w:rFonts w:ascii="Times New Roman" w:hAnsi="Times New Roman" w:eastAsia="宋体" w:cs="Times New Roman"/>
          <w:highlight w:val="none"/>
        </w:rPr>
        <w:t>1</w:t>
      </w:r>
      <w:r>
        <w:rPr>
          <w:rStyle w:val="27"/>
          <w:rFonts w:hint="eastAsia" w:ascii="Times New Roman" w:hAnsi="Times New Roman" w:eastAsia="宋体" w:cs="Times New Roman"/>
          <w:highlight w:val="none"/>
          <w:lang w:val="en-US" w:eastAsia="zh-CN"/>
        </w:rPr>
        <w:t xml:space="preserve"> </w:t>
      </w:r>
      <w:r>
        <w:rPr>
          <w:rStyle w:val="27"/>
          <w:rFonts w:ascii="Times New Roman" w:hAnsi="Times New Roman" w:eastAsia="宋体" w:cs="Times New Roman"/>
          <w:highlight w:val="none"/>
        </w:rPr>
        <w:t xml:space="preserve"> 一般规定</w:t>
      </w:r>
      <w:r>
        <w:rPr>
          <w:rStyle w:val="27"/>
        </w:rPr>
        <w:tab/>
      </w:r>
      <w:r>
        <w:rPr>
          <w:rStyle w:val="27"/>
        </w:rPr>
        <w:fldChar w:fldCharType="begin"/>
      </w:r>
      <w:r>
        <w:rPr>
          <w:rStyle w:val="27"/>
        </w:rPr>
        <w:instrText xml:space="preserve"> PAGEREF _Toc5638 \h </w:instrText>
      </w:r>
      <w:r>
        <w:rPr>
          <w:rStyle w:val="27"/>
        </w:rPr>
        <w:fldChar w:fldCharType="separate"/>
      </w:r>
      <w:r>
        <w:rPr>
          <w:rStyle w:val="27"/>
        </w:rPr>
        <w:t>173</w:t>
      </w:r>
      <w:r>
        <w:rPr>
          <w:rStyle w:val="27"/>
        </w:rPr>
        <w:fldChar w:fldCharType="end"/>
      </w:r>
      <w:r>
        <w:rPr>
          <w:rFonts w:hint="eastAsia" w:ascii="Times New Roman" w:hAnsi="Times New Roman" w:eastAsia="宋体" w:cs="Times New Roman"/>
          <w:color w:val="auto"/>
          <w:highlight w:val="none"/>
          <w:u w:val="none"/>
          <w:lang w:eastAsia="zh-CN"/>
        </w:rPr>
        <w:fldChar w:fldCharType="end"/>
      </w:r>
    </w:p>
    <w:p>
      <w:pPr>
        <w:pStyle w:val="17"/>
        <w:tabs>
          <w:tab w:val="right" w:leader="dot" w:pos="8200"/>
        </w:tabs>
      </w:pPr>
      <w:r>
        <w:rPr>
          <w:rFonts w:hint="eastAsia" w:ascii="Times New Roman" w:hAnsi="Times New Roman" w:eastAsia="宋体" w:cs="Times New Roman"/>
          <w:color w:val="auto"/>
          <w:highlight w:val="none"/>
          <w:u w:val="none"/>
          <w:lang w:eastAsia="zh-CN"/>
        </w:rPr>
        <w:fldChar w:fldCharType="begin"/>
      </w:r>
      <w:r>
        <w:rPr>
          <w:rFonts w:hint="eastAsia" w:ascii="Times New Roman" w:hAnsi="Times New Roman" w:eastAsia="宋体" w:cs="Times New Roman"/>
          <w:color w:val="auto"/>
          <w:highlight w:val="none"/>
          <w:u w:val="none"/>
          <w:lang w:eastAsia="zh-CN"/>
        </w:rPr>
        <w:instrText xml:space="preserve"> HYPERLINK \l "_13.2　可行性研究勘察" </w:instrText>
      </w:r>
      <w:r>
        <w:rPr>
          <w:rFonts w:hint="eastAsia" w:ascii="Times New Roman" w:hAnsi="Times New Roman" w:eastAsia="宋体" w:cs="Times New Roman"/>
          <w:color w:val="auto"/>
          <w:highlight w:val="none"/>
          <w:u w:val="none"/>
          <w:lang w:eastAsia="zh-CN"/>
        </w:rPr>
        <w:fldChar w:fldCharType="separate"/>
      </w:r>
      <w:r>
        <w:rPr>
          <w:rStyle w:val="27"/>
          <w:rFonts w:hint="eastAsia" w:ascii="Times New Roman" w:hAnsi="Times New Roman" w:eastAsia="宋体" w:cs="Times New Roman"/>
          <w:highlight w:val="none"/>
          <w:lang w:eastAsia="zh-CN"/>
        </w:rPr>
        <w:t>13.</w:t>
      </w:r>
      <w:r>
        <w:rPr>
          <w:rStyle w:val="27"/>
          <w:rFonts w:ascii="Times New Roman" w:hAnsi="Times New Roman" w:eastAsia="宋体" w:cs="Times New Roman"/>
          <w:highlight w:val="none"/>
        </w:rPr>
        <w:t>2</w:t>
      </w:r>
      <w:r>
        <w:rPr>
          <w:rStyle w:val="27"/>
          <w:rFonts w:hint="eastAsia" w:ascii="Times New Roman" w:hAnsi="Times New Roman" w:eastAsia="宋体" w:cs="Times New Roman"/>
          <w:highlight w:val="none"/>
          <w:lang w:val="en-US" w:eastAsia="zh-CN"/>
        </w:rPr>
        <w:t xml:space="preserve">  </w:t>
      </w:r>
      <w:r>
        <w:rPr>
          <w:rStyle w:val="27"/>
          <w:rFonts w:ascii="Times New Roman" w:hAnsi="Times New Roman" w:eastAsia="宋体" w:cs="Times New Roman"/>
          <w:highlight w:val="none"/>
        </w:rPr>
        <w:t>可行性研究勘察</w:t>
      </w:r>
      <w:r>
        <w:rPr>
          <w:rStyle w:val="27"/>
        </w:rPr>
        <w:tab/>
      </w:r>
      <w:r>
        <w:rPr>
          <w:rStyle w:val="27"/>
        </w:rPr>
        <w:fldChar w:fldCharType="begin"/>
      </w:r>
      <w:r>
        <w:rPr>
          <w:rStyle w:val="27"/>
        </w:rPr>
        <w:instrText xml:space="preserve"> PAGEREF _Toc5997 \h </w:instrText>
      </w:r>
      <w:r>
        <w:rPr>
          <w:rStyle w:val="27"/>
        </w:rPr>
        <w:fldChar w:fldCharType="separate"/>
      </w:r>
      <w:r>
        <w:rPr>
          <w:rStyle w:val="27"/>
        </w:rPr>
        <w:t>174</w:t>
      </w:r>
      <w:r>
        <w:rPr>
          <w:rStyle w:val="27"/>
        </w:rPr>
        <w:fldChar w:fldCharType="end"/>
      </w:r>
      <w:r>
        <w:rPr>
          <w:rFonts w:hint="eastAsia" w:ascii="Times New Roman" w:hAnsi="Times New Roman" w:eastAsia="宋体" w:cs="Times New Roman"/>
          <w:color w:val="auto"/>
          <w:highlight w:val="none"/>
          <w:u w:val="none"/>
          <w:lang w:eastAsia="zh-CN"/>
        </w:rPr>
        <w:fldChar w:fldCharType="end"/>
      </w:r>
    </w:p>
    <w:p>
      <w:pPr>
        <w:pStyle w:val="17"/>
        <w:tabs>
          <w:tab w:val="right" w:leader="dot" w:pos="8200"/>
        </w:tabs>
      </w:pPr>
      <w:r>
        <w:rPr>
          <w:rFonts w:hint="eastAsia" w:ascii="Times New Roman" w:hAnsi="Times New Roman" w:eastAsia="宋体" w:cs="Times New Roman"/>
          <w:color w:val="auto"/>
          <w:highlight w:val="none"/>
          <w:u w:val="none"/>
          <w:lang w:eastAsia="zh-CN"/>
        </w:rPr>
        <w:fldChar w:fldCharType="begin"/>
      </w:r>
      <w:r>
        <w:rPr>
          <w:rFonts w:hint="eastAsia" w:ascii="Times New Roman" w:hAnsi="Times New Roman" w:eastAsia="宋体" w:cs="Times New Roman"/>
          <w:color w:val="auto"/>
          <w:highlight w:val="none"/>
          <w:u w:val="none"/>
          <w:lang w:eastAsia="zh-CN"/>
        </w:rPr>
        <w:instrText xml:space="preserve"> HYPERLINK \l "_13.3　初步勘察" </w:instrText>
      </w:r>
      <w:r>
        <w:rPr>
          <w:rFonts w:hint="eastAsia" w:ascii="Times New Roman" w:hAnsi="Times New Roman" w:eastAsia="宋体" w:cs="Times New Roman"/>
          <w:color w:val="auto"/>
          <w:highlight w:val="none"/>
          <w:u w:val="none"/>
          <w:lang w:eastAsia="zh-CN"/>
        </w:rPr>
        <w:fldChar w:fldCharType="separate"/>
      </w:r>
      <w:r>
        <w:rPr>
          <w:rStyle w:val="27"/>
          <w:rFonts w:hint="eastAsia" w:ascii="Times New Roman" w:hAnsi="Times New Roman" w:eastAsia="宋体" w:cs="Times New Roman"/>
          <w:highlight w:val="none"/>
          <w:lang w:eastAsia="zh-CN"/>
        </w:rPr>
        <w:t>13.</w:t>
      </w:r>
      <w:r>
        <w:rPr>
          <w:rStyle w:val="27"/>
          <w:rFonts w:ascii="Times New Roman" w:hAnsi="Times New Roman" w:eastAsia="宋体" w:cs="Times New Roman"/>
          <w:highlight w:val="none"/>
        </w:rPr>
        <w:t>3</w:t>
      </w:r>
      <w:r>
        <w:rPr>
          <w:rStyle w:val="27"/>
          <w:rFonts w:hint="eastAsia" w:ascii="Times New Roman" w:hAnsi="Times New Roman" w:eastAsia="宋体" w:cs="Times New Roman"/>
          <w:highlight w:val="none"/>
          <w:lang w:val="en-US" w:eastAsia="zh-CN"/>
        </w:rPr>
        <w:t xml:space="preserve">  </w:t>
      </w:r>
      <w:r>
        <w:rPr>
          <w:rStyle w:val="27"/>
          <w:rFonts w:ascii="Times New Roman" w:hAnsi="Times New Roman" w:eastAsia="宋体" w:cs="Times New Roman"/>
          <w:highlight w:val="none"/>
        </w:rPr>
        <w:t>初步勘察</w:t>
      </w:r>
      <w:r>
        <w:rPr>
          <w:rStyle w:val="27"/>
        </w:rPr>
        <w:tab/>
      </w:r>
      <w:r>
        <w:rPr>
          <w:rStyle w:val="27"/>
        </w:rPr>
        <w:fldChar w:fldCharType="begin"/>
      </w:r>
      <w:r>
        <w:rPr>
          <w:rStyle w:val="27"/>
        </w:rPr>
        <w:instrText xml:space="preserve"> PAGEREF _Toc12697 \h </w:instrText>
      </w:r>
      <w:r>
        <w:rPr>
          <w:rStyle w:val="27"/>
        </w:rPr>
        <w:fldChar w:fldCharType="separate"/>
      </w:r>
      <w:r>
        <w:rPr>
          <w:rStyle w:val="27"/>
        </w:rPr>
        <w:t>174</w:t>
      </w:r>
      <w:r>
        <w:rPr>
          <w:rStyle w:val="27"/>
        </w:rPr>
        <w:fldChar w:fldCharType="end"/>
      </w:r>
      <w:r>
        <w:rPr>
          <w:rFonts w:hint="eastAsia" w:ascii="Times New Roman" w:hAnsi="Times New Roman" w:eastAsia="宋体" w:cs="Times New Roman"/>
          <w:color w:val="auto"/>
          <w:highlight w:val="none"/>
          <w:u w:val="none"/>
          <w:lang w:eastAsia="zh-CN"/>
        </w:rPr>
        <w:fldChar w:fldCharType="end"/>
      </w:r>
    </w:p>
    <w:p>
      <w:pPr>
        <w:pStyle w:val="17"/>
        <w:tabs>
          <w:tab w:val="right" w:leader="dot" w:pos="8200"/>
        </w:tabs>
      </w:pPr>
      <w:r>
        <w:rPr>
          <w:rFonts w:hint="eastAsia" w:ascii="Times New Roman" w:hAnsi="Times New Roman" w:eastAsia="宋体" w:cs="Times New Roman"/>
          <w:color w:val="auto"/>
          <w:highlight w:val="none"/>
          <w:u w:val="none"/>
          <w:lang w:eastAsia="zh-CN"/>
        </w:rPr>
        <w:fldChar w:fldCharType="begin"/>
      </w:r>
      <w:r>
        <w:rPr>
          <w:rFonts w:hint="eastAsia" w:ascii="Times New Roman" w:hAnsi="Times New Roman" w:eastAsia="宋体" w:cs="Times New Roman"/>
          <w:color w:val="auto"/>
          <w:highlight w:val="none"/>
          <w:u w:val="none"/>
          <w:lang w:eastAsia="zh-CN"/>
        </w:rPr>
        <w:instrText xml:space="preserve"> HYPERLINK \l "_13.4　详细勘察" </w:instrText>
      </w:r>
      <w:r>
        <w:rPr>
          <w:rFonts w:hint="eastAsia" w:ascii="Times New Roman" w:hAnsi="Times New Roman" w:eastAsia="宋体" w:cs="Times New Roman"/>
          <w:color w:val="auto"/>
          <w:highlight w:val="none"/>
          <w:u w:val="none"/>
          <w:lang w:eastAsia="zh-CN"/>
        </w:rPr>
        <w:fldChar w:fldCharType="separate"/>
      </w:r>
      <w:r>
        <w:rPr>
          <w:rStyle w:val="27"/>
          <w:rFonts w:hint="eastAsia" w:ascii="Times New Roman" w:hAnsi="Times New Roman" w:eastAsia="宋体" w:cs="Times New Roman"/>
          <w:highlight w:val="none"/>
          <w:lang w:eastAsia="zh-CN"/>
        </w:rPr>
        <w:t>13.</w:t>
      </w:r>
      <w:r>
        <w:rPr>
          <w:rStyle w:val="27"/>
          <w:rFonts w:ascii="Times New Roman" w:hAnsi="Times New Roman" w:eastAsia="宋体" w:cs="Times New Roman"/>
          <w:highlight w:val="none"/>
        </w:rPr>
        <w:t xml:space="preserve">4 </w:t>
      </w:r>
      <w:r>
        <w:rPr>
          <w:rStyle w:val="27"/>
          <w:rFonts w:hint="eastAsia" w:ascii="Times New Roman" w:hAnsi="Times New Roman" w:eastAsia="宋体" w:cs="Times New Roman"/>
          <w:highlight w:val="none"/>
          <w:lang w:val="en-US" w:eastAsia="zh-CN"/>
        </w:rPr>
        <w:t xml:space="preserve"> </w:t>
      </w:r>
      <w:r>
        <w:rPr>
          <w:rStyle w:val="27"/>
          <w:rFonts w:ascii="Times New Roman" w:hAnsi="Times New Roman" w:eastAsia="宋体" w:cs="Times New Roman"/>
          <w:highlight w:val="none"/>
        </w:rPr>
        <w:t>详细勘察</w:t>
      </w:r>
      <w:r>
        <w:rPr>
          <w:rStyle w:val="27"/>
        </w:rPr>
        <w:tab/>
      </w:r>
      <w:r>
        <w:rPr>
          <w:rStyle w:val="27"/>
        </w:rPr>
        <w:fldChar w:fldCharType="begin"/>
      </w:r>
      <w:r>
        <w:rPr>
          <w:rStyle w:val="27"/>
        </w:rPr>
        <w:instrText xml:space="preserve"> PAGEREF _Toc7395 \h </w:instrText>
      </w:r>
      <w:r>
        <w:rPr>
          <w:rStyle w:val="27"/>
        </w:rPr>
        <w:fldChar w:fldCharType="separate"/>
      </w:r>
      <w:r>
        <w:rPr>
          <w:rStyle w:val="27"/>
        </w:rPr>
        <w:t>175</w:t>
      </w:r>
      <w:r>
        <w:rPr>
          <w:rStyle w:val="27"/>
        </w:rPr>
        <w:fldChar w:fldCharType="end"/>
      </w:r>
      <w:r>
        <w:rPr>
          <w:rFonts w:hint="eastAsia" w:ascii="Times New Roman" w:hAnsi="Times New Roman" w:eastAsia="宋体" w:cs="Times New Roman"/>
          <w:color w:val="auto"/>
          <w:highlight w:val="none"/>
          <w:u w:val="none"/>
          <w:lang w:eastAsia="zh-CN"/>
        </w:rPr>
        <w:fldChar w:fldCharType="end"/>
      </w:r>
    </w:p>
    <w:p>
      <w:pPr>
        <w:pStyle w:val="13"/>
        <w:tabs>
          <w:tab w:val="right" w:leader="dot" w:pos="8200"/>
          <w:tab w:val="clear" w:pos="420"/>
          <w:tab w:val="clear" w:pos="9523"/>
        </w:tabs>
      </w:pPr>
      <w:r>
        <w:rPr>
          <w:rFonts w:hint="eastAsia" w:ascii="Times New Roman" w:hAnsi="Times New Roman" w:eastAsia="宋体"/>
          <w:color w:val="auto"/>
          <w:highlight w:val="none"/>
          <w:u w:val="none"/>
          <w:lang w:eastAsia="zh-CN"/>
        </w:rPr>
        <w:fldChar w:fldCharType="begin"/>
      </w:r>
      <w:r>
        <w:rPr>
          <w:rFonts w:hint="eastAsia" w:ascii="Times New Roman" w:hAnsi="Times New Roman" w:eastAsia="宋体"/>
          <w:color w:val="auto"/>
          <w:highlight w:val="none"/>
          <w:u w:val="none"/>
          <w:lang w:eastAsia="zh-CN"/>
        </w:rPr>
        <w:instrText xml:space="preserve"> HYPERLINK \l "_14　施工勘察" </w:instrText>
      </w:r>
      <w:r>
        <w:rPr>
          <w:rFonts w:hint="eastAsia" w:ascii="Times New Roman" w:hAnsi="Times New Roman" w:eastAsia="宋体"/>
          <w:color w:val="auto"/>
          <w:highlight w:val="none"/>
          <w:u w:val="none"/>
          <w:lang w:eastAsia="zh-CN"/>
        </w:rPr>
        <w:fldChar w:fldCharType="separate"/>
      </w:r>
      <w:r>
        <w:rPr>
          <w:rStyle w:val="27"/>
          <w:rFonts w:hint="eastAsia" w:ascii="Times New Roman" w:hAnsi="Times New Roman" w:eastAsia="宋体"/>
          <w:highlight w:val="none"/>
          <w:lang w:eastAsia="zh-CN"/>
        </w:rPr>
        <w:t>14</w:t>
      </w:r>
      <w:r>
        <w:rPr>
          <w:rStyle w:val="27"/>
          <w:rFonts w:hint="eastAsia" w:ascii="Times New Roman" w:hAnsi="Times New Roman" w:eastAsia="宋体"/>
          <w:highlight w:val="none"/>
        </w:rPr>
        <w:t xml:space="preserve">  </w:t>
      </w:r>
      <w:r>
        <w:rPr>
          <w:rStyle w:val="27"/>
          <w:rFonts w:ascii="Times New Roman" w:hAnsi="Times New Roman" w:eastAsia="宋体"/>
          <w:highlight w:val="none"/>
        </w:rPr>
        <w:t>施工勘察</w:t>
      </w:r>
      <w:r>
        <w:rPr>
          <w:rStyle w:val="27"/>
        </w:rPr>
        <w:tab/>
      </w:r>
      <w:r>
        <w:rPr>
          <w:rStyle w:val="27"/>
        </w:rPr>
        <w:fldChar w:fldCharType="begin"/>
      </w:r>
      <w:r>
        <w:rPr>
          <w:rStyle w:val="27"/>
        </w:rPr>
        <w:instrText xml:space="preserve"> PAGEREF _Toc11977 \h </w:instrText>
      </w:r>
      <w:r>
        <w:rPr>
          <w:rStyle w:val="27"/>
        </w:rPr>
        <w:fldChar w:fldCharType="separate"/>
      </w:r>
      <w:r>
        <w:rPr>
          <w:rStyle w:val="27"/>
        </w:rPr>
        <w:t>176</w:t>
      </w:r>
      <w:r>
        <w:rPr>
          <w:rStyle w:val="27"/>
        </w:rPr>
        <w:fldChar w:fldCharType="end"/>
      </w:r>
      <w:r>
        <w:rPr>
          <w:rFonts w:hint="eastAsia" w:ascii="Times New Roman" w:hAnsi="Times New Roman" w:eastAsia="宋体"/>
          <w:color w:val="auto"/>
          <w:highlight w:val="none"/>
          <w:u w:val="none"/>
          <w:lang w:eastAsia="zh-CN"/>
        </w:rPr>
        <w:fldChar w:fldCharType="end"/>
      </w:r>
    </w:p>
    <w:p>
      <w:pPr>
        <w:pStyle w:val="17"/>
        <w:tabs>
          <w:tab w:val="right" w:leader="dot" w:pos="8200"/>
        </w:tabs>
      </w:pPr>
      <w:r>
        <w:rPr>
          <w:rFonts w:hint="eastAsia" w:ascii="Times New Roman" w:hAnsi="Times New Roman" w:eastAsia="宋体" w:cs="Times New Roman"/>
          <w:color w:val="auto"/>
          <w:highlight w:val="none"/>
          <w:u w:val="none"/>
          <w:lang w:eastAsia="zh-CN"/>
        </w:rPr>
        <w:fldChar w:fldCharType="begin"/>
      </w:r>
      <w:r>
        <w:rPr>
          <w:rFonts w:hint="eastAsia" w:ascii="Times New Roman" w:hAnsi="Times New Roman" w:eastAsia="宋体" w:cs="Times New Roman"/>
          <w:color w:val="auto"/>
          <w:highlight w:val="none"/>
          <w:u w:val="none"/>
          <w:lang w:eastAsia="zh-CN"/>
        </w:rPr>
        <w:instrText xml:space="preserve"> HYPERLINK \l "_14.1　一般规定" </w:instrText>
      </w:r>
      <w:r>
        <w:rPr>
          <w:rFonts w:hint="eastAsia" w:ascii="Times New Roman" w:hAnsi="Times New Roman" w:eastAsia="宋体" w:cs="Times New Roman"/>
          <w:color w:val="auto"/>
          <w:highlight w:val="none"/>
          <w:u w:val="none"/>
          <w:lang w:eastAsia="zh-CN"/>
        </w:rPr>
        <w:fldChar w:fldCharType="separate"/>
      </w:r>
      <w:r>
        <w:rPr>
          <w:rStyle w:val="27"/>
          <w:rFonts w:hint="eastAsia" w:ascii="Times New Roman" w:hAnsi="Times New Roman" w:eastAsia="宋体" w:cs="Times New Roman"/>
          <w:highlight w:val="none"/>
          <w:lang w:eastAsia="zh-CN"/>
        </w:rPr>
        <w:t>14</w:t>
      </w:r>
      <w:r>
        <w:rPr>
          <w:rStyle w:val="27"/>
          <w:rFonts w:hint="eastAsia" w:ascii="Times New Roman" w:hAnsi="Times New Roman" w:eastAsia="宋体" w:cs="Times New Roman"/>
          <w:highlight w:val="none"/>
        </w:rPr>
        <w:t>.</w:t>
      </w:r>
      <w:r>
        <w:rPr>
          <w:rStyle w:val="27"/>
          <w:rFonts w:ascii="Times New Roman" w:hAnsi="Times New Roman" w:eastAsia="宋体" w:cs="Times New Roman"/>
          <w:highlight w:val="none"/>
        </w:rPr>
        <w:t>1</w:t>
      </w:r>
      <w:r>
        <w:rPr>
          <w:rStyle w:val="27"/>
          <w:rFonts w:hint="eastAsia" w:ascii="Times New Roman" w:hAnsi="Times New Roman" w:eastAsia="宋体" w:cs="Times New Roman"/>
          <w:highlight w:val="none"/>
        </w:rPr>
        <w:t xml:space="preserve">  </w:t>
      </w:r>
      <w:r>
        <w:rPr>
          <w:rStyle w:val="27"/>
          <w:rFonts w:ascii="Times New Roman" w:hAnsi="Times New Roman" w:eastAsia="宋体" w:cs="Times New Roman"/>
          <w:highlight w:val="none"/>
        </w:rPr>
        <w:t>一般规定</w:t>
      </w:r>
      <w:r>
        <w:rPr>
          <w:rStyle w:val="27"/>
        </w:rPr>
        <w:tab/>
      </w:r>
      <w:r>
        <w:rPr>
          <w:rStyle w:val="27"/>
        </w:rPr>
        <w:fldChar w:fldCharType="begin"/>
      </w:r>
      <w:r>
        <w:rPr>
          <w:rStyle w:val="27"/>
        </w:rPr>
        <w:instrText xml:space="preserve"> PAGEREF _Toc14905 \h </w:instrText>
      </w:r>
      <w:r>
        <w:rPr>
          <w:rStyle w:val="27"/>
        </w:rPr>
        <w:fldChar w:fldCharType="separate"/>
      </w:r>
      <w:r>
        <w:rPr>
          <w:rStyle w:val="27"/>
        </w:rPr>
        <w:t>176</w:t>
      </w:r>
      <w:r>
        <w:rPr>
          <w:rStyle w:val="27"/>
        </w:rPr>
        <w:fldChar w:fldCharType="end"/>
      </w:r>
      <w:r>
        <w:rPr>
          <w:rFonts w:hint="eastAsia" w:ascii="Times New Roman" w:hAnsi="Times New Roman" w:eastAsia="宋体" w:cs="Times New Roman"/>
          <w:color w:val="auto"/>
          <w:highlight w:val="none"/>
          <w:u w:val="none"/>
          <w:lang w:eastAsia="zh-CN"/>
        </w:rPr>
        <w:fldChar w:fldCharType="end"/>
      </w:r>
    </w:p>
    <w:p>
      <w:pPr>
        <w:pStyle w:val="17"/>
        <w:tabs>
          <w:tab w:val="right" w:leader="dot" w:pos="8200"/>
        </w:tabs>
      </w:pPr>
      <w:r>
        <w:rPr>
          <w:rFonts w:hint="eastAsia" w:ascii="Times New Roman" w:hAnsi="Times New Roman" w:eastAsia="宋体" w:cs="Times New Roman"/>
          <w:color w:val="auto"/>
          <w:highlight w:val="none"/>
          <w:u w:val="none"/>
          <w:lang w:eastAsia="zh-CN"/>
        </w:rPr>
        <w:fldChar w:fldCharType="begin"/>
      </w:r>
      <w:r>
        <w:rPr>
          <w:rFonts w:hint="eastAsia" w:ascii="Times New Roman" w:hAnsi="Times New Roman" w:eastAsia="宋体" w:cs="Times New Roman"/>
          <w:color w:val="auto"/>
          <w:highlight w:val="none"/>
          <w:u w:val="none"/>
          <w:lang w:eastAsia="zh-CN"/>
        </w:rPr>
        <w:instrText xml:space="preserve"> HYPERLINK \l "_14.2　勘察要点" </w:instrText>
      </w:r>
      <w:r>
        <w:rPr>
          <w:rFonts w:hint="eastAsia" w:ascii="Times New Roman" w:hAnsi="Times New Roman" w:eastAsia="宋体" w:cs="Times New Roman"/>
          <w:color w:val="auto"/>
          <w:highlight w:val="none"/>
          <w:u w:val="none"/>
          <w:lang w:eastAsia="zh-CN"/>
        </w:rPr>
        <w:fldChar w:fldCharType="separate"/>
      </w:r>
      <w:r>
        <w:rPr>
          <w:rStyle w:val="27"/>
          <w:rFonts w:hint="eastAsia" w:ascii="Times New Roman" w:hAnsi="Times New Roman" w:eastAsia="宋体" w:cs="Times New Roman"/>
          <w:highlight w:val="none"/>
          <w:lang w:eastAsia="zh-CN"/>
        </w:rPr>
        <w:t>14</w:t>
      </w:r>
      <w:r>
        <w:rPr>
          <w:rStyle w:val="27"/>
          <w:rFonts w:hint="eastAsia" w:ascii="Times New Roman" w:hAnsi="Times New Roman" w:eastAsia="宋体" w:cs="Times New Roman"/>
          <w:highlight w:val="none"/>
        </w:rPr>
        <w:t>.</w:t>
      </w:r>
      <w:r>
        <w:rPr>
          <w:rStyle w:val="27"/>
          <w:rFonts w:ascii="Times New Roman" w:hAnsi="Times New Roman" w:eastAsia="宋体" w:cs="Times New Roman"/>
          <w:highlight w:val="none"/>
        </w:rPr>
        <w:t xml:space="preserve">2 </w:t>
      </w:r>
      <w:r>
        <w:rPr>
          <w:rStyle w:val="27"/>
          <w:rFonts w:hint="eastAsia" w:ascii="Times New Roman" w:hAnsi="Times New Roman" w:eastAsia="宋体" w:cs="Times New Roman"/>
          <w:highlight w:val="none"/>
        </w:rPr>
        <w:t xml:space="preserve"> </w:t>
      </w:r>
      <w:r>
        <w:rPr>
          <w:rStyle w:val="27"/>
          <w:rFonts w:hint="eastAsia" w:ascii="Times New Roman" w:hAnsi="Times New Roman" w:eastAsia="宋体" w:cs="Times New Roman"/>
          <w:highlight w:val="none"/>
          <w:lang w:val="en-US" w:eastAsia="zh-CN"/>
        </w:rPr>
        <w:t>勘察要点</w:t>
      </w:r>
      <w:r>
        <w:rPr>
          <w:rStyle w:val="27"/>
        </w:rPr>
        <w:tab/>
      </w:r>
      <w:r>
        <w:rPr>
          <w:rStyle w:val="27"/>
        </w:rPr>
        <w:fldChar w:fldCharType="begin"/>
      </w:r>
      <w:r>
        <w:rPr>
          <w:rStyle w:val="27"/>
        </w:rPr>
        <w:instrText xml:space="preserve"> PAGEREF _Toc24368 \h </w:instrText>
      </w:r>
      <w:r>
        <w:rPr>
          <w:rStyle w:val="27"/>
        </w:rPr>
        <w:fldChar w:fldCharType="separate"/>
      </w:r>
      <w:r>
        <w:rPr>
          <w:rStyle w:val="27"/>
        </w:rPr>
        <w:t>177</w:t>
      </w:r>
      <w:r>
        <w:rPr>
          <w:rStyle w:val="27"/>
        </w:rPr>
        <w:fldChar w:fldCharType="end"/>
      </w:r>
      <w:r>
        <w:rPr>
          <w:rFonts w:hint="eastAsia" w:ascii="Times New Roman" w:hAnsi="Times New Roman" w:eastAsia="宋体" w:cs="Times New Roman"/>
          <w:color w:val="auto"/>
          <w:highlight w:val="none"/>
          <w:u w:val="none"/>
          <w:lang w:eastAsia="zh-CN"/>
        </w:rPr>
        <w:fldChar w:fldCharType="end"/>
      </w:r>
    </w:p>
    <w:p>
      <w:pPr>
        <w:pStyle w:val="13"/>
        <w:tabs>
          <w:tab w:val="right" w:leader="dot" w:pos="8200"/>
          <w:tab w:val="clear" w:pos="420"/>
          <w:tab w:val="clear" w:pos="9523"/>
        </w:tabs>
      </w:pPr>
      <w:r>
        <w:rPr>
          <w:rFonts w:ascii="Times New Roman" w:hAnsi="Times New Roman" w:eastAsia="宋体"/>
          <w:color w:val="auto"/>
          <w:highlight w:val="none"/>
          <w:u w:val="none"/>
        </w:rPr>
        <w:fldChar w:fldCharType="begin"/>
      </w:r>
      <w:r>
        <w:rPr>
          <w:rFonts w:ascii="Times New Roman" w:hAnsi="Times New Roman" w:eastAsia="宋体"/>
          <w:color w:val="auto"/>
          <w:highlight w:val="none"/>
          <w:u w:val="none"/>
        </w:rPr>
        <w:instrText xml:space="preserve"> HYPERLINK \l "_15　勘察成果与信息化" </w:instrText>
      </w:r>
      <w:r>
        <w:rPr>
          <w:rFonts w:ascii="Times New Roman" w:hAnsi="Times New Roman" w:eastAsia="宋体"/>
          <w:color w:val="auto"/>
          <w:highlight w:val="none"/>
          <w:u w:val="none"/>
        </w:rPr>
        <w:fldChar w:fldCharType="separate"/>
      </w:r>
      <w:r>
        <w:rPr>
          <w:rStyle w:val="27"/>
          <w:rFonts w:ascii="Times New Roman" w:hAnsi="Times New Roman" w:eastAsia="宋体"/>
          <w:highlight w:val="none"/>
        </w:rPr>
        <w:t>1</w:t>
      </w:r>
      <w:r>
        <w:rPr>
          <w:rStyle w:val="27"/>
          <w:rFonts w:hint="eastAsia" w:ascii="Times New Roman" w:hAnsi="Times New Roman" w:eastAsia="宋体"/>
          <w:highlight w:val="none"/>
          <w:lang w:val="en-US" w:eastAsia="zh-CN"/>
        </w:rPr>
        <w:t>5</w:t>
      </w:r>
      <w:r>
        <w:rPr>
          <w:rStyle w:val="27"/>
          <w:rFonts w:hint="eastAsia" w:ascii="Times New Roman" w:hAnsi="Times New Roman" w:eastAsia="宋体"/>
          <w:highlight w:val="none"/>
        </w:rPr>
        <w:t xml:space="preserve">  </w:t>
      </w:r>
      <w:r>
        <w:rPr>
          <w:rStyle w:val="27"/>
          <w:rFonts w:ascii="Times New Roman" w:hAnsi="Times New Roman" w:eastAsia="宋体"/>
          <w:highlight w:val="none"/>
        </w:rPr>
        <w:t>勘察成果</w:t>
      </w:r>
      <w:r>
        <w:rPr>
          <w:rStyle w:val="27"/>
          <w:rFonts w:hint="eastAsia" w:ascii="Times New Roman" w:hAnsi="Times New Roman" w:eastAsia="宋体"/>
          <w:highlight w:val="none"/>
          <w:lang w:val="en-US" w:eastAsia="zh-CN"/>
        </w:rPr>
        <w:t>与勘察信息化</w:t>
      </w:r>
      <w:r>
        <w:rPr>
          <w:rStyle w:val="27"/>
        </w:rPr>
        <w:tab/>
      </w:r>
      <w:r>
        <w:rPr>
          <w:rStyle w:val="27"/>
        </w:rPr>
        <w:fldChar w:fldCharType="begin"/>
      </w:r>
      <w:r>
        <w:rPr>
          <w:rStyle w:val="27"/>
        </w:rPr>
        <w:instrText xml:space="preserve"> PAGEREF _Toc14951 \h </w:instrText>
      </w:r>
      <w:r>
        <w:rPr>
          <w:rStyle w:val="27"/>
        </w:rPr>
        <w:fldChar w:fldCharType="separate"/>
      </w:r>
      <w:r>
        <w:rPr>
          <w:rStyle w:val="27"/>
        </w:rPr>
        <w:t>182</w:t>
      </w:r>
      <w:r>
        <w:rPr>
          <w:rStyle w:val="27"/>
        </w:rPr>
        <w:fldChar w:fldCharType="end"/>
      </w:r>
      <w:r>
        <w:rPr>
          <w:rFonts w:ascii="Times New Roman" w:hAnsi="Times New Roman" w:eastAsia="宋体"/>
          <w:color w:val="auto"/>
          <w:highlight w:val="none"/>
          <w:u w:val="none"/>
        </w:rPr>
        <w:fldChar w:fldCharType="end"/>
      </w:r>
    </w:p>
    <w:p>
      <w:pPr>
        <w:pStyle w:val="17"/>
        <w:tabs>
          <w:tab w:val="right" w:leader="dot" w:pos="8200"/>
        </w:tabs>
      </w:pPr>
      <w:r>
        <w:rPr>
          <w:rFonts w:hint="eastAsia" w:ascii="Times New Roman" w:hAnsi="Times New Roman" w:eastAsia="宋体" w:cs="Times New Roman"/>
          <w:color w:val="auto"/>
          <w:highlight w:val="none"/>
          <w:u w:val="none"/>
          <w:lang w:eastAsia="zh-CN"/>
        </w:rPr>
        <w:fldChar w:fldCharType="begin"/>
      </w:r>
      <w:r>
        <w:rPr>
          <w:rFonts w:hint="eastAsia" w:ascii="Times New Roman" w:hAnsi="Times New Roman" w:eastAsia="宋体" w:cs="Times New Roman"/>
          <w:color w:val="auto"/>
          <w:highlight w:val="none"/>
          <w:u w:val="none"/>
          <w:lang w:eastAsia="zh-CN"/>
        </w:rPr>
        <w:instrText xml:space="preserve"> HYPERLINK \l "_15.1　一般规定" </w:instrText>
      </w:r>
      <w:r>
        <w:rPr>
          <w:rFonts w:hint="eastAsia" w:ascii="Times New Roman" w:hAnsi="Times New Roman" w:eastAsia="宋体" w:cs="Times New Roman"/>
          <w:color w:val="auto"/>
          <w:highlight w:val="none"/>
          <w:u w:val="none"/>
          <w:lang w:eastAsia="zh-CN"/>
        </w:rPr>
        <w:fldChar w:fldCharType="separate"/>
      </w:r>
      <w:r>
        <w:rPr>
          <w:rStyle w:val="27"/>
          <w:rFonts w:hint="eastAsia" w:ascii="Times New Roman" w:hAnsi="Times New Roman" w:eastAsia="宋体" w:cs="Times New Roman"/>
          <w:highlight w:val="none"/>
          <w:lang w:eastAsia="zh-CN"/>
        </w:rPr>
        <w:t>15.</w:t>
      </w:r>
      <w:r>
        <w:rPr>
          <w:rStyle w:val="27"/>
          <w:rFonts w:hint="eastAsia" w:ascii="Times New Roman" w:hAnsi="Times New Roman" w:eastAsia="宋体" w:cs="Times New Roman"/>
          <w:highlight w:val="none"/>
          <w:lang w:val="en-US" w:eastAsia="zh-CN"/>
        </w:rPr>
        <w:t>1</w:t>
      </w:r>
      <w:r>
        <w:rPr>
          <w:rStyle w:val="27"/>
          <w:rFonts w:ascii="Times New Roman" w:hAnsi="Times New Roman" w:eastAsia="宋体" w:cs="Times New Roman"/>
          <w:highlight w:val="none"/>
        </w:rPr>
        <w:t xml:space="preserve"> </w:t>
      </w:r>
      <w:r>
        <w:rPr>
          <w:rStyle w:val="27"/>
          <w:rFonts w:hint="eastAsia" w:ascii="Times New Roman" w:hAnsi="Times New Roman" w:eastAsia="宋体" w:cs="Times New Roman"/>
          <w:highlight w:val="none"/>
          <w:lang w:val="en-US" w:eastAsia="zh-CN"/>
        </w:rPr>
        <w:t xml:space="preserve"> </w:t>
      </w:r>
      <w:r>
        <w:rPr>
          <w:rStyle w:val="27"/>
          <w:rFonts w:ascii="Times New Roman" w:hAnsi="Times New Roman" w:eastAsia="宋体" w:cs="Times New Roman"/>
          <w:highlight w:val="none"/>
        </w:rPr>
        <w:t>一般规定</w:t>
      </w:r>
      <w:r>
        <w:rPr>
          <w:rStyle w:val="27"/>
        </w:rPr>
        <w:tab/>
      </w:r>
      <w:r>
        <w:rPr>
          <w:rStyle w:val="27"/>
        </w:rPr>
        <w:fldChar w:fldCharType="begin"/>
      </w:r>
      <w:r>
        <w:rPr>
          <w:rStyle w:val="27"/>
        </w:rPr>
        <w:instrText xml:space="preserve"> PAGEREF _Toc10914 \h </w:instrText>
      </w:r>
      <w:r>
        <w:rPr>
          <w:rStyle w:val="27"/>
        </w:rPr>
        <w:fldChar w:fldCharType="separate"/>
      </w:r>
      <w:r>
        <w:rPr>
          <w:rStyle w:val="27"/>
        </w:rPr>
        <w:t>182</w:t>
      </w:r>
      <w:r>
        <w:rPr>
          <w:rStyle w:val="27"/>
        </w:rPr>
        <w:fldChar w:fldCharType="end"/>
      </w:r>
      <w:r>
        <w:rPr>
          <w:rFonts w:hint="eastAsia" w:ascii="Times New Roman" w:hAnsi="Times New Roman" w:eastAsia="宋体" w:cs="Times New Roman"/>
          <w:color w:val="auto"/>
          <w:highlight w:val="none"/>
          <w:u w:val="none"/>
          <w:lang w:eastAsia="zh-CN"/>
        </w:rPr>
        <w:fldChar w:fldCharType="end"/>
      </w:r>
    </w:p>
    <w:p>
      <w:pPr>
        <w:pStyle w:val="17"/>
        <w:tabs>
          <w:tab w:val="right" w:leader="dot" w:pos="8200"/>
        </w:tabs>
      </w:pPr>
      <w:r>
        <w:rPr>
          <w:rFonts w:hint="eastAsia" w:ascii="Times New Roman" w:hAnsi="Times New Roman" w:eastAsia="宋体" w:cs="Times New Roman"/>
          <w:color w:val="auto"/>
          <w:highlight w:val="none"/>
          <w:u w:val="none"/>
          <w:lang w:eastAsia="zh-CN"/>
        </w:rPr>
        <w:fldChar w:fldCharType="begin"/>
      </w:r>
      <w:r>
        <w:rPr>
          <w:rFonts w:hint="eastAsia" w:ascii="Times New Roman" w:hAnsi="Times New Roman" w:eastAsia="宋体" w:cs="Times New Roman"/>
          <w:color w:val="auto"/>
          <w:highlight w:val="none"/>
          <w:u w:val="none"/>
          <w:lang w:eastAsia="zh-CN"/>
        </w:rPr>
        <w:instrText xml:space="preserve"> HYPERLINK \l "_15.2　勘察报告" </w:instrText>
      </w:r>
      <w:r>
        <w:rPr>
          <w:rFonts w:hint="eastAsia" w:ascii="Times New Roman" w:hAnsi="Times New Roman" w:eastAsia="宋体" w:cs="Times New Roman"/>
          <w:color w:val="auto"/>
          <w:highlight w:val="none"/>
          <w:u w:val="none"/>
          <w:lang w:eastAsia="zh-CN"/>
        </w:rPr>
        <w:fldChar w:fldCharType="separate"/>
      </w:r>
      <w:r>
        <w:rPr>
          <w:rStyle w:val="27"/>
          <w:rFonts w:hint="eastAsia" w:ascii="Times New Roman" w:hAnsi="Times New Roman" w:eastAsia="宋体" w:cs="Times New Roman"/>
          <w:highlight w:val="none"/>
          <w:lang w:eastAsia="zh-CN"/>
        </w:rPr>
        <w:t>15.</w:t>
      </w:r>
      <w:r>
        <w:rPr>
          <w:rStyle w:val="27"/>
          <w:rFonts w:hint="eastAsia" w:ascii="Times New Roman" w:hAnsi="Times New Roman" w:eastAsia="宋体" w:cs="Times New Roman"/>
          <w:highlight w:val="none"/>
          <w:lang w:val="en-US" w:eastAsia="zh-CN"/>
        </w:rPr>
        <w:t>2</w:t>
      </w:r>
      <w:r>
        <w:rPr>
          <w:rStyle w:val="27"/>
          <w:rFonts w:ascii="Times New Roman" w:hAnsi="Times New Roman" w:eastAsia="宋体" w:cs="Times New Roman"/>
          <w:highlight w:val="none"/>
        </w:rPr>
        <w:t xml:space="preserve"> </w:t>
      </w:r>
      <w:r>
        <w:rPr>
          <w:rStyle w:val="27"/>
          <w:rFonts w:hint="eastAsia" w:ascii="Times New Roman" w:hAnsi="Times New Roman" w:eastAsia="宋体" w:cs="Times New Roman"/>
          <w:highlight w:val="none"/>
          <w:lang w:val="en-US" w:eastAsia="zh-CN"/>
        </w:rPr>
        <w:t xml:space="preserve"> </w:t>
      </w:r>
      <w:r>
        <w:rPr>
          <w:rStyle w:val="27"/>
          <w:rFonts w:ascii="Times New Roman" w:hAnsi="Times New Roman" w:eastAsia="宋体" w:cs="Times New Roman"/>
          <w:highlight w:val="none"/>
        </w:rPr>
        <w:t>勘察报告</w:t>
      </w:r>
      <w:r>
        <w:rPr>
          <w:rStyle w:val="27"/>
        </w:rPr>
        <w:tab/>
      </w:r>
      <w:r>
        <w:rPr>
          <w:rStyle w:val="27"/>
        </w:rPr>
        <w:fldChar w:fldCharType="begin"/>
      </w:r>
      <w:r>
        <w:rPr>
          <w:rStyle w:val="27"/>
        </w:rPr>
        <w:instrText xml:space="preserve"> PAGEREF _Toc29630 \h </w:instrText>
      </w:r>
      <w:r>
        <w:rPr>
          <w:rStyle w:val="27"/>
        </w:rPr>
        <w:fldChar w:fldCharType="separate"/>
      </w:r>
      <w:r>
        <w:rPr>
          <w:rStyle w:val="27"/>
        </w:rPr>
        <w:t>182</w:t>
      </w:r>
      <w:r>
        <w:rPr>
          <w:rStyle w:val="27"/>
        </w:rPr>
        <w:fldChar w:fldCharType="end"/>
      </w:r>
      <w:r>
        <w:rPr>
          <w:rFonts w:hint="eastAsia" w:ascii="Times New Roman" w:hAnsi="Times New Roman" w:eastAsia="宋体" w:cs="Times New Roman"/>
          <w:color w:val="auto"/>
          <w:highlight w:val="none"/>
          <w:u w:val="none"/>
          <w:lang w:eastAsia="zh-CN"/>
        </w:rPr>
        <w:fldChar w:fldCharType="end"/>
      </w:r>
    </w:p>
    <w:p>
      <w:pPr>
        <w:pStyle w:val="17"/>
        <w:tabs>
          <w:tab w:val="right" w:leader="dot" w:pos="8200"/>
        </w:tabs>
      </w:pPr>
      <w:r>
        <w:rPr>
          <w:rFonts w:hint="eastAsia" w:ascii="Times New Roman" w:hAnsi="Times New Roman" w:eastAsia="宋体" w:cs="Times New Roman"/>
          <w:color w:val="auto"/>
          <w:highlight w:val="none"/>
          <w:u w:val="none"/>
          <w:lang w:eastAsia="zh-CN"/>
        </w:rPr>
        <w:fldChar w:fldCharType="begin"/>
      </w:r>
      <w:r>
        <w:rPr>
          <w:rFonts w:hint="eastAsia" w:ascii="Times New Roman" w:hAnsi="Times New Roman" w:eastAsia="宋体" w:cs="Times New Roman"/>
          <w:color w:val="auto"/>
          <w:highlight w:val="none"/>
          <w:u w:val="none"/>
          <w:lang w:eastAsia="zh-CN"/>
        </w:rPr>
        <w:instrText xml:space="preserve"> HYPERLINK \l "_15.3　勘察成果数字化" </w:instrText>
      </w:r>
      <w:r>
        <w:rPr>
          <w:rFonts w:hint="eastAsia" w:ascii="Times New Roman" w:hAnsi="Times New Roman" w:eastAsia="宋体" w:cs="Times New Roman"/>
          <w:color w:val="auto"/>
          <w:highlight w:val="none"/>
          <w:u w:val="none"/>
          <w:lang w:eastAsia="zh-CN"/>
        </w:rPr>
        <w:fldChar w:fldCharType="separate"/>
      </w:r>
      <w:r>
        <w:rPr>
          <w:rStyle w:val="27"/>
          <w:rFonts w:hint="eastAsia" w:ascii="Times New Roman" w:hAnsi="Times New Roman" w:eastAsia="宋体" w:cs="Times New Roman"/>
          <w:highlight w:val="none"/>
          <w:lang w:eastAsia="zh-CN"/>
        </w:rPr>
        <w:t>15.</w:t>
      </w:r>
      <w:r>
        <w:rPr>
          <w:rStyle w:val="27"/>
          <w:rFonts w:hint="eastAsia" w:ascii="Times New Roman" w:hAnsi="Times New Roman" w:eastAsia="宋体" w:cs="Times New Roman"/>
          <w:highlight w:val="none"/>
          <w:lang w:val="en-US" w:eastAsia="zh-CN"/>
        </w:rPr>
        <w:t xml:space="preserve">3  </w:t>
      </w:r>
      <w:r>
        <w:rPr>
          <w:rStyle w:val="27"/>
          <w:rFonts w:ascii="Times New Roman" w:hAnsi="Times New Roman" w:eastAsia="宋体" w:cs="Times New Roman"/>
          <w:highlight w:val="none"/>
        </w:rPr>
        <w:t>勘察</w:t>
      </w:r>
      <w:r>
        <w:rPr>
          <w:rStyle w:val="27"/>
          <w:rFonts w:hint="eastAsia" w:ascii="Times New Roman" w:hAnsi="Times New Roman" w:eastAsia="宋体" w:cs="Times New Roman"/>
          <w:highlight w:val="none"/>
          <w:lang w:val="en-US" w:eastAsia="zh-CN"/>
        </w:rPr>
        <w:t>成果数字化</w:t>
      </w:r>
      <w:r>
        <w:rPr>
          <w:rStyle w:val="27"/>
        </w:rPr>
        <w:tab/>
      </w:r>
      <w:r>
        <w:rPr>
          <w:rStyle w:val="27"/>
        </w:rPr>
        <w:fldChar w:fldCharType="begin"/>
      </w:r>
      <w:r>
        <w:rPr>
          <w:rStyle w:val="27"/>
        </w:rPr>
        <w:instrText xml:space="preserve"> PAGEREF _Toc11443 \h </w:instrText>
      </w:r>
      <w:r>
        <w:rPr>
          <w:rStyle w:val="27"/>
        </w:rPr>
        <w:fldChar w:fldCharType="separate"/>
      </w:r>
      <w:r>
        <w:rPr>
          <w:rStyle w:val="27"/>
        </w:rPr>
        <w:t>184</w:t>
      </w:r>
      <w:r>
        <w:rPr>
          <w:rStyle w:val="27"/>
        </w:rPr>
        <w:fldChar w:fldCharType="end"/>
      </w:r>
      <w:r>
        <w:rPr>
          <w:rFonts w:hint="eastAsia" w:ascii="Times New Roman" w:hAnsi="Times New Roman" w:eastAsia="宋体" w:cs="Times New Roman"/>
          <w:color w:val="auto"/>
          <w:highlight w:val="none"/>
          <w:u w:val="none"/>
          <w:lang w:eastAsia="zh-CN"/>
        </w:rPr>
        <w:fldChar w:fldCharType="end"/>
      </w:r>
    </w:p>
    <w:p>
      <w:pPr>
        <w:pStyle w:val="17"/>
        <w:tabs>
          <w:tab w:val="right" w:leader="dot" w:pos="8200"/>
        </w:tabs>
      </w:pPr>
      <w:r>
        <w:rPr>
          <w:rFonts w:hint="eastAsia" w:ascii="Times New Roman" w:hAnsi="Times New Roman" w:eastAsia="宋体" w:cs="Times New Roman"/>
          <w:color w:val="auto"/>
          <w:highlight w:val="none"/>
          <w:u w:val="none"/>
          <w:lang w:eastAsia="zh-CN"/>
        </w:rPr>
        <w:fldChar w:fldCharType="begin"/>
      </w:r>
      <w:r>
        <w:rPr>
          <w:rFonts w:hint="eastAsia" w:ascii="Times New Roman" w:hAnsi="Times New Roman" w:eastAsia="宋体" w:cs="Times New Roman"/>
          <w:color w:val="auto"/>
          <w:highlight w:val="none"/>
          <w:u w:val="none"/>
          <w:lang w:eastAsia="zh-CN"/>
        </w:rPr>
        <w:instrText xml:space="preserve"> HYPERLINK \l "_15.4　勘察信息化" </w:instrText>
      </w:r>
      <w:r>
        <w:rPr>
          <w:rFonts w:hint="eastAsia" w:ascii="Times New Roman" w:hAnsi="Times New Roman" w:eastAsia="宋体" w:cs="Times New Roman"/>
          <w:color w:val="auto"/>
          <w:highlight w:val="none"/>
          <w:u w:val="none"/>
          <w:lang w:eastAsia="zh-CN"/>
        </w:rPr>
        <w:fldChar w:fldCharType="separate"/>
      </w:r>
      <w:r>
        <w:rPr>
          <w:rStyle w:val="27"/>
          <w:rFonts w:hint="eastAsia" w:ascii="Times New Roman" w:hAnsi="Times New Roman" w:eastAsia="宋体" w:cs="Times New Roman"/>
          <w:highlight w:val="none"/>
          <w:lang w:eastAsia="zh-CN"/>
        </w:rPr>
        <w:t>15.</w:t>
      </w:r>
      <w:r>
        <w:rPr>
          <w:rStyle w:val="27"/>
          <w:rFonts w:hint="eastAsia" w:ascii="Times New Roman" w:hAnsi="Times New Roman" w:eastAsia="宋体" w:cs="Times New Roman"/>
          <w:highlight w:val="none"/>
          <w:lang w:val="en-US" w:eastAsia="zh-CN"/>
        </w:rPr>
        <w:t xml:space="preserve">4 </w:t>
      </w:r>
      <w:r>
        <w:rPr>
          <w:rStyle w:val="27"/>
          <w:rFonts w:ascii="Times New Roman" w:hAnsi="Times New Roman" w:eastAsia="宋体" w:cs="Times New Roman"/>
          <w:highlight w:val="none"/>
        </w:rPr>
        <w:t xml:space="preserve"> </w:t>
      </w:r>
      <w:r>
        <w:rPr>
          <w:rStyle w:val="27"/>
          <w:rFonts w:hint="eastAsia" w:ascii="Times New Roman" w:hAnsi="Times New Roman" w:eastAsia="宋体" w:cs="Times New Roman"/>
          <w:highlight w:val="none"/>
          <w:lang w:val="en-US" w:eastAsia="zh-CN"/>
        </w:rPr>
        <w:t>勘察</w:t>
      </w:r>
      <w:r>
        <w:rPr>
          <w:rStyle w:val="27"/>
          <w:rFonts w:ascii="Times New Roman" w:hAnsi="Times New Roman" w:eastAsia="宋体" w:cs="Times New Roman"/>
          <w:highlight w:val="none"/>
        </w:rPr>
        <w:t>信息化</w:t>
      </w:r>
      <w:r>
        <w:rPr>
          <w:rStyle w:val="27"/>
        </w:rPr>
        <w:tab/>
      </w:r>
      <w:r>
        <w:rPr>
          <w:rStyle w:val="27"/>
        </w:rPr>
        <w:fldChar w:fldCharType="begin"/>
      </w:r>
      <w:r>
        <w:rPr>
          <w:rStyle w:val="27"/>
        </w:rPr>
        <w:instrText xml:space="preserve"> PAGEREF _Toc24549 \h </w:instrText>
      </w:r>
      <w:r>
        <w:rPr>
          <w:rStyle w:val="27"/>
        </w:rPr>
        <w:fldChar w:fldCharType="separate"/>
      </w:r>
      <w:r>
        <w:rPr>
          <w:rStyle w:val="27"/>
        </w:rPr>
        <w:t>186</w:t>
      </w:r>
      <w:r>
        <w:rPr>
          <w:rStyle w:val="27"/>
        </w:rPr>
        <w:fldChar w:fldCharType="end"/>
      </w:r>
      <w:r>
        <w:rPr>
          <w:rFonts w:hint="eastAsia" w:ascii="Times New Roman" w:hAnsi="Times New Roman" w:eastAsia="宋体" w:cs="Times New Roman"/>
          <w:color w:val="auto"/>
          <w:highlight w:val="none"/>
          <w:u w:val="none"/>
          <w:lang w:eastAsia="zh-CN"/>
        </w:rPr>
        <w:fldChar w:fldCharType="end"/>
      </w:r>
    </w:p>
    <w:p>
      <w:pPr>
        <w:pStyle w:val="13"/>
        <w:tabs>
          <w:tab w:val="right" w:leader="dot" w:pos="8200"/>
          <w:tab w:val="clear" w:pos="420"/>
          <w:tab w:val="clear" w:pos="9523"/>
        </w:tabs>
      </w:pPr>
      <w:r>
        <w:rPr>
          <w:rFonts w:ascii="Times New Roman" w:hAnsi="Times New Roman" w:eastAsia="宋体"/>
          <w:bCs/>
          <w:color w:val="auto"/>
          <w:szCs w:val="32"/>
          <w:highlight w:val="none"/>
          <w:u w:val="none"/>
        </w:rPr>
        <w:fldChar w:fldCharType="begin"/>
      </w:r>
      <w:r>
        <w:rPr>
          <w:rFonts w:ascii="Times New Roman" w:hAnsi="Times New Roman" w:eastAsia="宋体"/>
          <w:bCs/>
          <w:color w:val="auto"/>
          <w:szCs w:val="32"/>
          <w:highlight w:val="none"/>
          <w:u w:val="none"/>
        </w:rPr>
        <w:instrText xml:space="preserve"> HYPERLINK \l "_附录A  岩土试验项目" </w:instrText>
      </w:r>
      <w:r>
        <w:rPr>
          <w:rFonts w:ascii="Times New Roman" w:hAnsi="Times New Roman" w:eastAsia="宋体"/>
          <w:bCs/>
          <w:color w:val="auto"/>
          <w:szCs w:val="32"/>
          <w:highlight w:val="none"/>
          <w:u w:val="none"/>
        </w:rPr>
        <w:fldChar w:fldCharType="separate"/>
      </w:r>
      <w:r>
        <w:rPr>
          <w:rStyle w:val="27"/>
          <w:rFonts w:ascii="Times New Roman" w:hAnsi="Times New Roman" w:eastAsia="宋体"/>
          <w:bCs/>
          <w:szCs w:val="32"/>
          <w:highlight w:val="none"/>
        </w:rPr>
        <w:t>附录</w:t>
      </w:r>
      <w:r>
        <w:rPr>
          <w:rStyle w:val="27"/>
          <w:rFonts w:hint="eastAsia" w:ascii="Times New Roman" w:hAnsi="Times New Roman" w:eastAsia="宋体"/>
          <w:bCs/>
          <w:szCs w:val="32"/>
          <w:highlight w:val="none"/>
          <w:lang w:val="en-US" w:eastAsia="zh-CN"/>
        </w:rPr>
        <w:t>A</w:t>
      </w:r>
      <w:r>
        <w:rPr>
          <w:rStyle w:val="27"/>
          <w:rFonts w:ascii="Times New Roman" w:hAnsi="Times New Roman" w:eastAsia="宋体"/>
          <w:bCs/>
          <w:szCs w:val="32"/>
          <w:highlight w:val="none"/>
        </w:rPr>
        <w:t xml:space="preserve">  岩土试验项目</w:t>
      </w:r>
      <w:r>
        <w:rPr>
          <w:rStyle w:val="27"/>
        </w:rPr>
        <w:tab/>
      </w:r>
      <w:r>
        <w:rPr>
          <w:rStyle w:val="27"/>
        </w:rPr>
        <w:fldChar w:fldCharType="begin"/>
      </w:r>
      <w:r>
        <w:rPr>
          <w:rStyle w:val="27"/>
        </w:rPr>
        <w:instrText xml:space="preserve"> PAGEREF _Toc6986 \h </w:instrText>
      </w:r>
      <w:r>
        <w:rPr>
          <w:rStyle w:val="27"/>
        </w:rPr>
        <w:fldChar w:fldCharType="separate"/>
      </w:r>
      <w:r>
        <w:rPr>
          <w:rStyle w:val="27"/>
        </w:rPr>
        <w:t>188</w:t>
      </w:r>
      <w:r>
        <w:rPr>
          <w:rStyle w:val="27"/>
        </w:rPr>
        <w:fldChar w:fldCharType="end"/>
      </w:r>
      <w:r>
        <w:rPr>
          <w:rFonts w:ascii="Times New Roman" w:hAnsi="Times New Roman" w:eastAsia="宋体"/>
          <w:bCs/>
          <w:color w:val="auto"/>
          <w:szCs w:val="32"/>
          <w:highlight w:val="none"/>
          <w:u w:val="none"/>
        </w:rPr>
        <w:fldChar w:fldCharType="end"/>
      </w:r>
    </w:p>
    <w:p>
      <w:pPr>
        <w:pStyle w:val="13"/>
        <w:tabs>
          <w:tab w:val="right" w:leader="dot" w:pos="8200"/>
          <w:tab w:val="clear" w:pos="420"/>
          <w:tab w:val="clear" w:pos="9523"/>
        </w:tabs>
      </w:pPr>
      <w:r>
        <w:rPr>
          <w:rFonts w:ascii="Times New Roman" w:hAnsi="Times New Roman" w:eastAsia="宋体"/>
          <w:bCs/>
          <w:color w:val="auto"/>
          <w:szCs w:val="32"/>
          <w:highlight w:val="none"/>
          <w:u w:val="none"/>
        </w:rPr>
        <w:fldChar w:fldCharType="begin"/>
      </w:r>
      <w:r>
        <w:rPr>
          <w:rFonts w:ascii="Times New Roman" w:hAnsi="Times New Roman" w:eastAsia="宋体"/>
          <w:bCs/>
          <w:color w:val="auto"/>
          <w:szCs w:val="32"/>
          <w:highlight w:val="none"/>
          <w:u w:val="none"/>
        </w:rPr>
        <w:instrText xml:space="preserve"> HYPERLINK \l "_附录B  勘探岩芯摆放及照片拍摄" </w:instrText>
      </w:r>
      <w:r>
        <w:rPr>
          <w:rFonts w:ascii="Times New Roman" w:hAnsi="Times New Roman" w:eastAsia="宋体"/>
          <w:bCs/>
          <w:color w:val="auto"/>
          <w:szCs w:val="32"/>
          <w:highlight w:val="none"/>
          <w:u w:val="none"/>
        </w:rPr>
        <w:fldChar w:fldCharType="separate"/>
      </w:r>
      <w:r>
        <w:rPr>
          <w:rStyle w:val="27"/>
          <w:rFonts w:ascii="Times New Roman" w:hAnsi="Times New Roman" w:eastAsia="宋体"/>
          <w:bCs/>
          <w:szCs w:val="32"/>
          <w:highlight w:val="none"/>
        </w:rPr>
        <w:t>附录</w:t>
      </w:r>
      <w:r>
        <w:rPr>
          <w:rStyle w:val="27"/>
          <w:rFonts w:hint="eastAsia" w:ascii="Times New Roman" w:hAnsi="Times New Roman" w:eastAsia="宋体"/>
          <w:bCs/>
          <w:szCs w:val="32"/>
          <w:highlight w:val="none"/>
          <w:lang w:val="en-US" w:eastAsia="zh-CN"/>
        </w:rPr>
        <w:t>B</w:t>
      </w:r>
      <w:r>
        <w:rPr>
          <w:rStyle w:val="27"/>
          <w:rFonts w:ascii="Times New Roman" w:hAnsi="Times New Roman" w:eastAsia="宋体"/>
          <w:bCs/>
          <w:szCs w:val="32"/>
          <w:highlight w:val="none"/>
        </w:rPr>
        <w:t xml:space="preserve"> </w:t>
      </w:r>
      <w:r>
        <w:rPr>
          <w:rStyle w:val="27"/>
          <w:rFonts w:hint="eastAsia"/>
          <w:bCs/>
          <w:szCs w:val="32"/>
          <w:highlight w:val="none"/>
          <w:lang w:val="en-US" w:eastAsia="zh-CN"/>
        </w:rPr>
        <w:t xml:space="preserve"> </w:t>
      </w:r>
      <w:r>
        <w:rPr>
          <w:rStyle w:val="27"/>
          <w:rFonts w:hint="eastAsia" w:ascii="Times New Roman" w:hAnsi="Times New Roman" w:eastAsia="宋体"/>
          <w:bCs/>
          <w:szCs w:val="32"/>
          <w:highlight w:val="none"/>
          <w:lang w:val="en-US" w:eastAsia="zh-CN"/>
        </w:rPr>
        <w:t>勘探岩芯摆放及照片拍摄</w:t>
      </w:r>
      <w:r>
        <w:rPr>
          <w:rStyle w:val="27"/>
        </w:rPr>
        <w:tab/>
      </w:r>
      <w:r>
        <w:rPr>
          <w:rStyle w:val="27"/>
        </w:rPr>
        <w:fldChar w:fldCharType="begin"/>
      </w:r>
      <w:r>
        <w:rPr>
          <w:rStyle w:val="27"/>
        </w:rPr>
        <w:instrText xml:space="preserve"> PAGEREF _Toc23711 \h </w:instrText>
      </w:r>
      <w:r>
        <w:rPr>
          <w:rStyle w:val="27"/>
        </w:rPr>
        <w:fldChar w:fldCharType="separate"/>
      </w:r>
      <w:r>
        <w:rPr>
          <w:rStyle w:val="27"/>
        </w:rPr>
        <w:t>189</w:t>
      </w:r>
      <w:r>
        <w:rPr>
          <w:rStyle w:val="27"/>
        </w:rPr>
        <w:fldChar w:fldCharType="end"/>
      </w:r>
      <w:r>
        <w:rPr>
          <w:rFonts w:ascii="Times New Roman" w:hAnsi="Times New Roman" w:eastAsia="宋体"/>
          <w:bCs/>
          <w:color w:val="auto"/>
          <w:szCs w:val="32"/>
          <w:highlight w:val="none"/>
          <w:u w:val="none"/>
        </w:rPr>
        <w:fldChar w:fldCharType="end"/>
      </w:r>
    </w:p>
    <w:p>
      <w:pPr>
        <w:pStyle w:val="13"/>
        <w:tabs>
          <w:tab w:val="right" w:leader="dot" w:pos="8200"/>
          <w:tab w:val="clear" w:pos="420"/>
          <w:tab w:val="clear" w:pos="9523"/>
        </w:tabs>
      </w:pPr>
      <w:r>
        <w:rPr>
          <w:rFonts w:ascii="Times New Roman" w:hAnsi="Times New Roman" w:eastAsia="宋体" w:cs="Times New Roman"/>
          <w:bCs/>
          <w:color w:val="auto"/>
          <w:szCs w:val="32"/>
          <w:highlight w:val="none"/>
          <w:u w:val="none"/>
        </w:rPr>
        <w:fldChar w:fldCharType="begin"/>
      </w:r>
      <w:r>
        <w:rPr>
          <w:rFonts w:ascii="Times New Roman" w:hAnsi="Times New Roman" w:eastAsia="宋体" w:cs="Times New Roman"/>
          <w:bCs/>
          <w:color w:val="auto"/>
          <w:szCs w:val="32"/>
          <w:highlight w:val="none"/>
          <w:u w:val="none"/>
        </w:rPr>
        <w:instrText xml:space="preserve"> HYPERLINK \l "_附录D  圆锥动力触探和标准贯入锤击数修正" </w:instrText>
      </w:r>
      <w:r>
        <w:rPr>
          <w:rFonts w:ascii="Times New Roman" w:hAnsi="Times New Roman" w:eastAsia="宋体" w:cs="Times New Roman"/>
          <w:bCs/>
          <w:color w:val="auto"/>
          <w:szCs w:val="32"/>
          <w:highlight w:val="none"/>
          <w:u w:val="none"/>
        </w:rPr>
        <w:fldChar w:fldCharType="separate"/>
      </w:r>
      <w:r>
        <w:rPr>
          <w:rStyle w:val="27"/>
          <w:rFonts w:ascii="Times New Roman" w:hAnsi="Times New Roman" w:eastAsia="宋体" w:cs="Times New Roman"/>
          <w:bCs/>
          <w:szCs w:val="32"/>
          <w:highlight w:val="none"/>
        </w:rPr>
        <w:t>附录</w:t>
      </w:r>
      <w:r>
        <w:rPr>
          <w:rStyle w:val="27"/>
          <w:rFonts w:hint="eastAsia" w:ascii="Times New Roman" w:hAnsi="Times New Roman" w:eastAsia="宋体" w:cs="Times New Roman"/>
          <w:bCs/>
          <w:szCs w:val="32"/>
          <w:highlight w:val="none"/>
          <w:lang w:val="en-US" w:eastAsia="zh-CN"/>
        </w:rPr>
        <w:t>D</w:t>
      </w:r>
      <w:r>
        <w:rPr>
          <w:rStyle w:val="27"/>
          <w:rFonts w:ascii="Times New Roman" w:hAnsi="Times New Roman" w:eastAsia="宋体" w:cs="Times New Roman"/>
          <w:bCs/>
          <w:szCs w:val="32"/>
          <w:highlight w:val="none"/>
        </w:rPr>
        <w:t xml:space="preserve">  圆锥动力触探和标准贯入锤击数修正</w:t>
      </w:r>
      <w:r>
        <w:rPr>
          <w:rStyle w:val="27"/>
        </w:rPr>
        <w:tab/>
      </w:r>
      <w:r>
        <w:rPr>
          <w:rStyle w:val="27"/>
        </w:rPr>
        <w:fldChar w:fldCharType="begin"/>
      </w:r>
      <w:r>
        <w:rPr>
          <w:rStyle w:val="27"/>
        </w:rPr>
        <w:instrText xml:space="preserve"> PAGEREF _Toc9927 \h </w:instrText>
      </w:r>
      <w:r>
        <w:rPr>
          <w:rStyle w:val="27"/>
        </w:rPr>
        <w:fldChar w:fldCharType="separate"/>
      </w:r>
      <w:r>
        <w:rPr>
          <w:rStyle w:val="27"/>
        </w:rPr>
        <w:t>190</w:t>
      </w:r>
      <w:r>
        <w:rPr>
          <w:rStyle w:val="27"/>
        </w:rPr>
        <w:fldChar w:fldCharType="end"/>
      </w:r>
      <w:r>
        <w:rPr>
          <w:rFonts w:ascii="Times New Roman" w:hAnsi="Times New Roman" w:eastAsia="宋体" w:cs="Times New Roman"/>
          <w:bCs/>
          <w:color w:val="auto"/>
          <w:szCs w:val="32"/>
          <w:highlight w:val="none"/>
          <w:u w:val="none"/>
        </w:rPr>
        <w:fldChar w:fldCharType="end"/>
      </w:r>
    </w:p>
    <w:p>
      <w:pPr>
        <w:pStyle w:val="13"/>
        <w:tabs>
          <w:tab w:val="right" w:leader="dot" w:pos="8200"/>
          <w:tab w:val="clear" w:pos="420"/>
          <w:tab w:val="clear" w:pos="9523"/>
        </w:tabs>
      </w:pPr>
      <w:r>
        <w:rPr>
          <w:rFonts w:ascii="Times New Roman" w:hAnsi="Times New Roman" w:eastAsia="宋体"/>
          <w:bCs/>
          <w:color w:val="auto"/>
          <w:szCs w:val="32"/>
          <w:highlight w:val="none"/>
          <w:u w:val="none"/>
        </w:rPr>
        <w:fldChar w:fldCharType="begin"/>
      </w:r>
      <w:r>
        <w:rPr>
          <w:rFonts w:ascii="Times New Roman" w:hAnsi="Times New Roman" w:eastAsia="宋体"/>
          <w:bCs/>
          <w:color w:val="auto"/>
          <w:szCs w:val="32"/>
          <w:highlight w:val="none"/>
          <w:u w:val="none"/>
        </w:rPr>
        <w:instrText xml:space="preserve"> HYPERLINK \l "_附录E  路基干湿状态" </w:instrText>
      </w:r>
      <w:r>
        <w:rPr>
          <w:rFonts w:ascii="Times New Roman" w:hAnsi="Times New Roman" w:eastAsia="宋体"/>
          <w:bCs/>
          <w:color w:val="auto"/>
          <w:szCs w:val="32"/>
          <w:highlight w:val="none"/>
          <w:u w:val="none"/>
        </w:rPr>
        <w:fldChar w:fldCharType="separate"/>
      </w:r>
      <w:r>
        <w:rPr>
          <w:rStyle w:val="27"/>
          <w:rFonts w:ascii="Times New Roman" w:hAnsi="Times New Roman" w:eastAsia="宋体"/>
          <w:bCs/>
          <w:szCs w:val="32"/>
          <w:highlight w:val="none"/>
        </w:rPr>
        <w:t>附录</w:t>
      </w:r>
      <w:r>
        <w:rPr>
          <w:rStyle w:val="27"/>
          <w:rFonts w:hint="eastAsia" w:ascii="Times New Roman" w:hAnsi="Times New Roman" w:eastAsia="宋体"/>
          <w:bCs/>
          <w:szCs w:val="32"/>
          <w:highlight w:val="none"/>
          <w:lang w:val="en-US" w:eastAsia="zh-CN"/>
        </w:rPr>
        <w:t>E</w:t>
      </w:r>
      <w:r>
        <w:rPr>
          <w:rStyle w:val="27"/>
          <w:rFonts w:ascii="Times New Roman" w:hAnsi="Times New Roman" w:eastAsia="宋体"/>
          <w:bCs/>
          <w:szCs w:val="32"/>
          <w:highlight w:val="none"/>
        </w:rPr>
        <w:t xml:space="preserve"> </w:t>
      </w:r>
      <w:r>
        <w:rPr>
          <w:rStyle w:val="27"/>
          <w:rFonts w:hint="eastAsia"/>
          <w:bCs/>
          <w:szCs w:val="32"/>
          <w:highlight w:val="none"/>
          <w:lang w:val="en-US" w:eastAsia="zh-CN"/>
        </w:rPr>
        <w:t xml:space="preserve"> </w:t>
      </w:r>
      <w:r>
        <w:rPr>
          <w:rStyle w:val="27"/>
          <w:rFonts w:ascii="Times New Roman" w:hAnsi="Times New Roman" w:eastAsia="宋体"/>
          <w:bCs/>
          <w:szCs w:val="32"/>
          <w:highlight w:val="none"/>
        </w:rPr>
        <w:t>路基干湿状态</w:t>
      </w:r>
      <w:r>
        <w:rPr>
          <w:rStyle w:val="27"/>
        </w:rPr>
        <w:tab/>
      </w:r>
      <w:r>
        <w:rPr>
          <w:rStyle w:val="27"/>
        </w:rPr>
        <w:fldChar w:fldCharType="begin"/>
      </w:r>
      <w:r>
        <w:rPr>
          <w:rStyle w:val="27"/>
        </w:rPr>
        <w:instrText xml:space="preserve"> PAGEREF _Toc9157 \h </w:instrText>
      </w:r>
      <w:r>
        <w:rPr>
          <w:rStyle w:val="27"/>
        </w:rPr>
        <w:fldChar w:fldCharType="separate"/>
      </w:r>
      <w:r>
        <w:rPr>
          <w:rStyle w:val="27"/>
        </w:rPr>
        <w:t>191</w:t>
      </w:r>
      <w:r>
        <w:rPr>
          <w:rStyle w:val="27"/>
        </w:rPr>
        <w:fldChar w:fldCharType="end"/>
      </w:r>
      <w:r>
        <w:rPr>
          <w:rFonts w:ascii="Times New Roman" w:hAnsi="Times New Roman" w:eastAsia="宋体"/>
          <w:bCs/>
          <w:color w:val="auto"/>
          <w:szCs w:val="32"/>
          <w:highlight w:val="none"/>
          <w:u w:val="none"/>
        </w:rPr>
        <w:fldChar w:fldCharType="end"/>
      </w:r>
    </w:p>
    <w:p>
      <w:pPr>
        <w:pStyle w:val="13"/>
        <w:tabs>
          <w:tab w:val="right" w:leader="dot" w:pos="8200"/>
          <w:tab w:val="clear" w:pos="420"/>
          <w:tab w:val="clear" w:pos="9523"/>
        </w:tabs>
      </w:pPr>
      <w:r>
        <w:rPr>
          <w:rFonts w:ascii="Times New Roman" w:hAnsi="Times New Roman" w:eastAsia="宋体"/>
          <w:bCs/>
          <w:color w:val="auto"/>
          <w:szCs w:val="32"/>
          <w:highlight w:val="none"/>
          <w:u w:val="none"/>
        </w:rPr>
        <w:fldChar w:fldCharType="begin"/>
      </w:r>
      <w:r>
        <w:rPr>
          <w:rFonts w:ascii="Times New Roman" w:hAnsi="Times New Roman" w:eastAsia="宋体"/>
          <w:bCs/>
          <w:color w:val="auto"/>
          <w:szCs w:val="32"/>
          <w:highlight w:val="none"/>
          <w:u w:val="none"/>
        </w:rPr>
        <w:instrText xml:space="preserve"> HYPERLINK \l "_附录F  隧道围岩分级" </w:instrText>
      </w:r>
      <w:r>
        <w:rPr>
          <w:rFonts w:ascii="Times New Roman" w:hAnsi="Times New Roman" w:eastAsia="宋体"/>
          <w:bCs/>
          <w:color w:val="auto"/>
          <w:szCs w:val="32"/>
          <w:highlight w:val="none"/>
          <w:u w:val="none"/>
        </w:rPr>
        <w:fldChar w:fldCharType="separate"/>
      </w:r>
      <w:r>
        <w:rPr>
          <w:rStyle w:val="27"/>
          <w:rFonts w:ascii="Times New Roman" w:hAnsi="Times New Roman" w:eastAsia="宋体"/>
          <w:bCs/>
          <w:szCs w:val="32"/>
          <w:highlight w:val="none"/>
        </w:rPr>
        <w:t>附录</w:t>
      </w:r>
      <w:r>
        <w:rPr>
          <w:rStyle w:val="27"/>
          <w:rFonts w:hint="eastAsia" w:ascii="Times New Roman" w:hAnsi="Times New Roman" w:eastAsia="宋体"/>
          <w:bCs/>
          <w:szCs w:val="32"/>
          <w:highlight w:val="none"/>
          <w:lang w:val="en-US" w:eastAsia="zh-CN"/>
        </w:rPr>
        <w:t>F</w:t>
      </w:r>
      <w:r>
        <w:rPr>
          <w:rStyle w:val="27"/>
          <w:rFonts w:hint="eastAsia"/>
          <w:bCs/>
          <w:szCs w:val="32"/>
          <w:highlight w:val="none"/>
          <w:lang w:val="en-US" w:eastAsia="zh-CN"/>
        </w:rPr>
        <w:t xml:space="preserve"> </w:t>
      </w:r>
      <w:r>
        <w:rPr>
          <w:rStyle w:val="27"/>
          <w:rFonts w:ascii="Times New Roman" w:hAnsi="Times New Roman" w:eastAsia="宋体"/>
          <w:bCs/>
          <w:szCs w:val="32"/>
          <w:highlight w:val="none"/>
        </w:rPr>
        <w:t xml:space="preserve"> 隧道围岩分级</w:t>
      </w:r>
      <w:r>
        <w:rPr>
          <w:rStyle w:val="27"/>
        </w:rPr>
        <w:tab/>
      </w:r>
      <w:r>
        <w:rPr>
          <w:rStyle w:val="27"/>
        </w:rPr>
        <w:fldChar w:fldCharType="begin"/>
      </w:r>
      <w:r>
        <w:rPr>
          <w:rStyle w:val="27"/>
        </w:rPr>
        <w:instrText xml:space="preserve"> PAGEREF _Toc18586 \h </w:instrText>
      </w:r>
      <w:r>
        <w:rPr>
          <w:rStyle w:val="27"/>
        </w:rPr>
        <w:fldChar w:fldCharType="separate"/>
      </w:r>
      <w:r>
        <w:rPr>
          <w:rStyle w:val="27"/>
        </w:rPr>
        <w:t>192</w:t>
      </w:r>
      <w:r>
        <w:rPr>
          <w:rStyle w:val="27"/>
        </w:rPr>
        <w:fldChar w:fldCharType="end"/>
      </w:r>
      <w:r>
        <w:rPr>
          <w:rFonts w:ascii="Times New Roman" w:hAnsi="Times New Roman" w:eastAsia="宋体"/>
          <w:bCs/>
          <w:color w:val="auto"/>
          <w:szCs w:val="32"/>
          <w:highlight w:val="none"/>
          <w:u w:val="none"/>
        </w:rPr>
        <w:fldChar w:fldCharType="end"/>
      </w:r>
    </w:p>
    <w:p>
      <w:pPr>
        <w:pStyle w:val="13"/>
        <w:tabs>
          <w:tab w:val="right" w:leader="dot" w:pos="8200"/>
          <w:tab w:val="clear" w:pos="420"/>
          <w:tab w:val="clear" w:pos="9523"/>
        </w:tabs>
      </w:pPr>
      <w:r>
        <w:rPr>
          <w:rFonts w:ascii="Times New Roman" w:hAnsi="Times New Roman" w:eastAsia="宋体"/>
          <w:bCs/>
          <w:color w:val="auto"/>
          <w:szCs w:val="32"/>
          <w:highlight w:val="none"/>
          <w:u w:val="none"/>
        </w:rPr>
        <w:fldChar w:fldCharType="begin"/>
      </w:r>
      <w:r>
        <w:rPr>
          <w:rFonts w:ascii="Times New Roman" w:hAnsi="Times New Roman" w:eastAsia="宋体"/>
          <w:bCs/>
          <w:color w:val="auto"/>
          <w:szCs w:val="32"/>
          <w:highlight w:val="none"/>
          <w:u w:val="none"/>
        </w:rPr>
        <w:instrText xml:space="preserve"> HYPERLINK \l "_附录G  土石工程分级" </w:instrText>
      </w:r>
      <w:r>
        <w:rPr>
          <w:rFonts w:ascii="Times New Roman" w:hAnsi="Times New Roman" w:eastAsia="宋体"/>
          <w:bCs/>
          <w:color w:val="auto"/>
          <w:szCs w:val="32"/>
          <w:highlight w:val="none"/>
          <w:u w:val="none"/>
        </w:rPr>
        <w:fldChar w:fldCharType="separate"/>
      </w:r>
      <w:r>
        <w:rPr>
          <w:rStyle w:val="27"/>
          <w:rFonts w:ascii="Times New Roman" w:hAnsi="Times New Roman" w:eastAsia="宋体"/>
          <w:bCs/>
          <w:szCs w:val="32"/>
          <w:highlight w:val="none"/>
        </w:rPr>
        <w:t>附录</w:t>
      </w:r>
      <w:r>
        <w:rPr>
          <w:rStyle w:val="27"/>
          <w:rFonts w:hint="eastAsia" w:ascii="Times New Roman" w:hAnsi="Times New Roman" w:eastAsia="宋体"/>
          <w:bCs/>
          <w:szCs w:val="32"/>
          <w:highlight w:val="none"/>
          <w:lang w:val="en-US" w:eastAsia="zh-CN"/>
        </w:rPr>
        <w:t>G</w:t>
      </w:r>
      <w:r>
        <w:rPr>
          <w:rStyle w:val="27"/>
          <w:rFonts w:ascii="Times New Roman" w:hAnsi="Times New Roman" w:eastAsia="宋体"/>
          <w:bCs/>
          <w:szCs w:val="32"/>
          <w:highlight w:val="none"/>
        </w:rPr>
        <w:t xml:space="preserve"> </w:t>
      </w:r>
      <w:r>
        <w:rPr>
          <w:rStyle w:val="27"/>
          <w:rFonts w:hint="eastAsia"/>
          <w:bCs/>
          <w:szCs w:val="32"/>
          <w:highlight w:val="none"/>
          <w:lang w:val="en-US" w:eastAsia="zh-CN"/>
        </w:rPr>
        <w:t xml:space="preserve"> </w:t>
      </w:r>
      <w:r>
        <w:rPr>
          <w:rStyle w:val="27"/>
          <w:rFonts w:ascii="Times New Roman" w:hAnsi="Times New Roman" w:eastAsia="宋体"/>
          <w:bCs/>
          <w:szCs w:val="32"/>
          <w:highlight w:val="none"/>
        </w:rPr>
        <w:t>土石工程分级</w:t>
      </w:r>
      <w:r>
        <w:rPr>
          <w:rStyle w:val="27"/>
        </w:rPr>
        <w:tab/>
      </w:r>
      <w:r>
        <w:rPr>
          <w:rStyle w:val="27"/>
        </w:rPr>
        <w:fldChar w:fldCharType="begin"/>
      </w:r>
      <w:r>
        <w:rPr>
          <w:rStyle w:val="27"/>
        </w:rPr>
        <w:instrText xml:space="preserve"> PAGEREF _Toc15392 \h </w:instrText>
      </w:r>
      <w:r>
        <w:rPr>
          <w:rStyle w:val="27"/>
        </w:rPr>
        <w:fldChar w:fldCharType="separate"/>
      </w:r>
      <w:r>
        <w:rPr>
          <w:rStyle w:val="27"/>
        </w:rPr>
        <w:t>193</w:t>
      </w:r>
      <w:r>
        <w:rPr>
          <w:rStyle w:val="27"/>
        </w:rPr>
        <w:fldChar w:fldCharType="end"/>
      </w:r>
      <w:r>
        <w:rPr>
          <w:rFonts w:ascii="Times New Roman" w:hAnsi="Times New Roman" w:eastAsia="宋体"/>
          <w:bCs/>
          <w:color w:val="auto"/>
          <w:szCs w:val="32"/>
          <w:highlight w:val="none"/>
          <w:u w:val="none"/>
        </w:rPr>
        <w:fldChar w:fldCharType="end"/>
      </w:r>
    </w:p>
    <w:p>
      <w:pPr>
        <w:pStyle w:val="13"/>
        <w:tabs>
          <w:tab w:val="right" w:leader="dot" w:pos="8200"/>
          <w:tab w:val="clear" w:pos="420"/>
          <w:tab w:val="clear" w:pos="9523"/>
        </w:tabs>
        <w:rPr>
          <w:rFonts w:ascii="Times New Roman" w:hAnsi="Times New Roman" w:eastAsia="宋体"/>
          <w:color w:val="auto"/>
          <w:highlight w:val="none"/>
        </w:rPr>
      </w:pPr>
      <w:r>
        <w:rPr>
          <w:rFonts w:ascii="Times New Roman" w:hAnsi="Times New Roman" w:eastAsia="宋体"/>
          <w:bCs/>
          <w:color w:val="auto"/>
          <w:szCs w:val="32"/>
          <w:highlight w:val="none"/>
          <w:u w:val="none"/>
        </w:rPr>
        <w:fldChar w:fldCharType="begin"/>
      </w:r>
      <w:r>
        <w:rPr>
          <w:rFonts w:ascii="Times New Roman" w:hAnsi="Times New Roman" w:eastAsia="宋体"/>
          <w:bCs/>
          <w:color w:val="auto"/>
          <w:szCs w:val="32"/>
          <w:highlight w:val="none"/>
          <w:u w:val="none"/>
        </w:rPr>
        <w:instrText xml:space="preserve"> HYPERLINK \l "_附录H  回填封孔" </w:instrText>
      </w:r>
      <w:r>
        <w:rPr>
          <w:rFonts w:ascii="Times New Roman" w:hAnsi="Times New Roman" w:eastAsia="宋体"/>
          <w:bCs/>
          <w:color w:val="auto"/>
          <w:szCs w:val="32"/>
          <w:highlight w:val="none"/>
          <w:u w:val="none"/>
        </w:rPr>
        <w:fldChar w:fldCharType="separate"/>
      </w:r>
      <w:r>
        <w:rPr>
          <w:rStyle w:val="27"/>
          <w:rFonts w:ascii="Times New Roman" w:hAnsi="Times New Roman" w:eastAsia="宋体"/>
          <w:bCs/>
          <w:szCs w:val="32"/>
          <w:highlight w:val="none"/>
        </w:rPr>
        <w:t>附录</w:t>
      </w:r>
      <w:r>
        <w:rPr>
          <w:rStyle w:val="27"/>
          <w:rFonts w:hint="eastAsia" w:ascii="Times New Roman" w:hAnsi="Times New Roman" w:eastAsia="宋体"/>
          <w:bCs/>
          <w:szCs w:val="32"/>
          <w:highlight w:val="none"/>
          <w:lang w:val="en-US" w:eastAsia="zh-CN"/>
        </w:rPr>
        <w:t>H</w:t>
      </w:r>
      <w:r>
        <w:rPr>
          <w:rStyle w:val="27"/>
          <w:rFonts w:ascii="Times New Roman" w:hAnsi="Times New Roman" w:eastAsia="宋体"/>
          <w:bCs/>
          <w:szCs w:val="32"/>
          <w:highlight w:val="none"/>
        </w:rPr>
        <w:t xml:space="preserve"> </w:t>
      </w:r>
      <w:r>
        <w:rPr>
          <w:rStyle w:val="27"/>
          <w:rFonts w:hint="eastAsia"/>
          <w:bCs/>
          <w:szCs w:val="32"/>
          <w:highlight w:val="none"/>
          <w:lang w:val="en-US" w:eastAsia="zh-CN"/>
        </w:rPr>
        <w:t xml:space="preserve"> </w:t>
      </w:r>
      <w:r>
        <w:rPr>
          <w:rStyle w:val="27"/>
          <w:rFonts w:hint="eastAsia" w:ascii="Times New Roman" w:hAnsi="Times New Roman" w:eastAsia="宋体"/>
          <w:bCs/>
          <w:szCs w:val="32"/>
          <w:highlight w:val="none"/>
          <w:lang w:val="en-US" w:eastAsia="zh-CN"/>
        </w:rPr>
        <w:t>回填封孔</w:t>
      </w:r>
      <w:r>
        <w:rPr>
          <w:rStyle w:val="27"/>
        </w:rPr>
        <w:tab/>
      </w:r>
      <w:r>
        <w:rPr>
          <w:rStyle w:val="27"/>
        </w:rPr>
        <w:fldChar w:fldCharType="begin"/>
      </w:r>
      <w:r>
        <w:rPr>
          <w:rStyle w:val="27"/>
        </w:rPr>
        <w:instrText xml:space="preserve"> PAGEREF _Toc23344 \h </w:instrText>
      </w:r>
      <w:r>
        <w:rPr>
          <w:rStyle w:val="27"/>
        </w:rPr>
        <w:fldChar w:fldCharType="separate"/>
      </w:r>
      <w:r>
        <w:rPr>
          <w:rStyle w:val="27"/>
        </w:rPr>
        <w:t>194</w:t>
      </w:r>
      <w:r>
        <w:rPr>
          <w:rStyle w:val="27"/>
        </w:rPr>
        <w:fldChar w:fldCharType="end"/>
      </w:r>
      <w:r>
        <w:rPr>
          <w:rFonts w:ascii="Times New Roman" w:hAnsi="Times New Roman" w:eastAsia="宋体"/>
          <w:bCs/>
          <w:color w:val="auto"/>
          <w:szCs w:val="32"/>
          <w:highlight w:val="none"/>
          <w:u w:val="none"/>
        </w:rPr>
        <w:fldChar w:fldCharType="end"/>
      </w:r>
    </w:p>
    <w:p>
      <w:pPr>
        <w:rPr>
          <w:rFonts w:ascii="Times New Roman" w:hAnsi="Times New Roman" w:eastAsia="宋体"/>
          <w:color w:val="auto"/>
          <w:highlight w:val="none"/>
        </w:rPr>
      </w:pPr>
      <w:r>
        <w:rPr>
          <w:rFonts w:ascii="Times New Roman" w:hAnsi="Times New Roman" w:eastAsia="宋体"/>
          <w:color w:val="auto"/>
          <w:highlight w:val="none"/>
        </w:rPr>
        <w:br w:type="page"/>
      </w:r>
    </w:p>
    <w:p>
      <w:pPr>
        <w:bidi w:val="0"/>
        <w:rPr>
          <w:color w:val="auto"/>
          <w:highlight w:val="none"/>
        </w:rPr>
      </w:pPr>
    </w:p>
    <w:p>
      <w:pPr>
        <w:pStyle w:val="2"/>
        <w:rPr>
          <w:rFonts w:ascii="Times New Roman" w:hAnsi="Times New Roman" w:eastAsia="宋体"/>
          <w:color w:val="auto"/>
          <w:highlight w:val="none"/>
        </w:rPr>
      </w:pPr>
      <w:bookmarkStart w:id="312" w:name="_Toc5010"/>
      <w:r>
        <w:rPr>
          <w:rFonts w:ascii="Times New Roman" w:hAnsi="Times New Roman" w:eastAsia="宋体"/>
          <w:color w:val="auto"/>
          <w:highlight w:val="none"/>
        </w:rPr>
        <w:t>1</w:t>
      </w:r>
      <w:r>
        <w:rPr>
          <w:rFonts w:hint="eastAsia" w:ascii="Times New Roman" w:hAnsi="Times New Roman" w:eastAsia="宋体"/>
          <w:color w:val="auto"/>
          <w:highlight w:val="none"/>
        </w:rPr>
        <w:t xml:space="preserve">  </w:t>
      </w:r>
      <w:r>
        <w:rPr>
          <w:rFonts w:ascii="Times New Roman" w:hAnsi="Times New Roman" w:eastAsia="宋体"/>
          <w:color w:val="auto"/>
          <w:highlight w:val="none"/>
        </w:rPr>
        <w:t>总则</w:t>
      </w:r>
      <w:bookmarkEnd w:id="311"/>
      <w:bookmarkEnd w:id="312"/>
    </w:p>
    <w:p>
      <w:pPr>
        <w:spacing w:line="360" w:lineRule="auto"/>
        <w:rPr>
          <w:rFonts w:ascii="Times New Roman" w:hAnsi="Times New Roman" w:eastAsia="宋体"/>
          <w:color w:val="auto"/>
          <w:szCs w:val="21"/>
          <w:highlight w:val="none"/>
        </w:rPr>
      </w:pPr>
      <w:r>
        <w:rPr>
          <w:rFonts w:ascii="Times New Roman" w:hAnsi="Times New Roman" w:eastAsia="宋体"/>
          <w:b/>
          <w:bCs/>
          <w:color w:val="auto"/>
          <w:szCs w:val="21"/>
          <w:highlight w:val="none"/>
        </w:rPr>
        <w:t xml:space="preserve">1.0.1 </w:t>
      </w:r>
      <w:r>
        <w:rPr>
          <w:rFonts w:ascii="Times New Roman" w:hAnsi="Times New Roman" w:eastAsia="宋体"/>
          <w:color w:val="auto"/>
          <w:szCs w:val="21"/>
          <w:highlight w:val="none"/>
        </w:rPr>
        <w:t xml:space="preserve"> 广东省是我国沿海地区最早的经济开放地区之一，经济发展迅速，</w:t>
      </w:r>
      <w:r>
        <w:rPr>
          <w:rFonts w:hint="eastAsia" w:ascii="Times New Roman" w:hAnsi="Times New Roman" w:eastAsia="宋体"/>
          <w:color w:val="auto"/>
          <w:szCs w:val="21"/>
          <w:highlight w:val="none"/>
          <w:lang w:eastAsia="zh-CN"/>
        </w:rPr>
        <w:t>城市</w:t>
      </w:r>
      <w:r>
        <w:rPr>
          <w:rFonts w:ascii="Times New Roman" w:hAnsi="Times New Roman" w:eastAsia="宋体"/>
          <w:color w:val="auto"/>
          <w:szCs w:val="21"/>
          <w:highlight w:val="none"/>
        </w:rPr>
        <w:t>化率全国领先，城市建设规模巨大</w:t>
      </w:r>
      <w:r>
        <w:rPr>
          <w:rFonts w:hint="eastAsia" w:ascii="Times New Roman" w:hAnsi="Times New Roman" w:eastAsia="宋体"/>
          <w:color w:val="auto"/>
          <w:szCs w:val="21"/>
          <w:highlight w:val="none"/>
        </w:rPr>
        <w:t>，管理要求高；加之</w:t>
      </w:r>
      <w:r>
        <w:rPr>
          <w:rFonts w:ascii="Times New Roman" w:hAnsi="Times New Roman" w:eastAsia="宋体"/>
          <w:color w:val="auto"/>
          <w:szCs w:val="21"/>
          <w:highlight w:val="none"/>
        </w:rPr>
        <w:t>广东省的地质条件十分复杂，一些新的勘察手段和信息化技术也在市政工程勘察先试先行，</w:t>
      </w:r>
      <w:r>
        <w:rPr>
          <w:rFonts w:hint="eastAsia" w:ascii="Times New Roman" w:hAnsi="Times New Roman" w:eastAsia="宋体"/>
          <w:color w:val="auto"/>
          <w:szCs w:val="21"/>
          <w:highlight w:val="none"/>
        </w:rPr>
        <w:t>施工勘察等方面也</w:t>
      </w:r>
      <w:r>
        <w:rPr>
          <w:rFonts w:ascii="Times New Roman" w:hAnsi="Times New Roman" w:eastAsia="宋体"/>
          <w:color w:val="auto"/>
          <w:szCs w:val="21"/>
          <w:highlight w:val="none"/>
        </w:rPr>
        <w:t>积累了一些独特的地方性经验</w:t>
      </w:r>
      <w:r>
        <w:rPr>
          <w:rFonts w:hint="eastAsia" w:ascii="Times New Roman" w:hAnsi="Times New Roman" w:eastAsia="宋体"/>
          <w:color w:val="auto"/>
          <w:szCs w:val="21"/>
          <w:highlight w:val="none"/>
        </w:rPr>
        <w:t>，均有予以归纳、总结的必要</w:t>
      </w:r>
      <w:r>
        <w:rPr>
          <w:rFonts w:ascii="Times New Roman" w:hAnsi="Times New Roman" w:eastAsia="宋体"/>
          <w:color w:val="auto"/>
          <w:szCs w:val="21"/>
          <w:highlight w:val="none"/>
        </w:rPr>
        <w:t>。</w:t>
      </w:r>
    </w:p>
    <w:p>
      <w:pPr>
        <w:spacing w:line="360" w:lineRule="auto"/>
        <w:ind w:firstLine="420" w:firstLineChars="200"/>
        <w:rPr>
          <w:rFonts w:ascii="Times New Roman" w:hAnsi="Times New Roman" w:eastAsia="宋体"/>
          <w:color w:val="auto"/>
          <w:szCs w:val="21"/>
          <w:highlight w:val="none"/>
        </w:rPr>
      </w:pPr>
      <w:r>
        <w:rPr>
          <w:rFonts w:ascii="Times New Roman" w:hAnsi="Times New Roman" w:eastAsia="宋体"/>
          <w:color w:val="auto"/>
          <w:szCs w:val="21"/>
          <w:highlight w:val="none"/>
        </w:rPr>
        <w:t>本规范旨在总结广东省市政工程勘察的有益经验，促进勘察新技术、新方法的应用</w:t>
      </w:r>
      <w:r>
        <w:rPr>
          <w:rFonts w:hint="eastAsia" w:ascii="Times New Roman" w:hAnsi="Times New Roman" w:eastAsia="宋体"/>
          <w:color w:val="auto"/>
          <w:szCs w:val="21"/>
          <w:highlight w:val="none"/>
        </w:rPr>
        <w:t>，推广我省近年来的一些新成果，并推动</w:t>
      </w:r>
      <w:r>
        <w:rPr>
          <w:rFonts w:ascii="Times New Roman" w:hAnsi="Times New Roman" w:eastAsia="宋体"/>
          <w:color w:val="auto"/>
          <w:szCs w:val="21"/>
          <w:highlight w:val="none"/>
        </w:rPr>
        <w:t>勘察信息化的发展。</w:t>
      </w:r>
    </w:p>
    <w:p>
      <w:pPr>
        <w:spacing w:line="360" w:lineRule="auto"/>
        <w:rPr>
          <w:rFonts w:ascii="Times New Roman" w:hAnsi="Times New Roman" w:eastAsia="宋体"/>
          <w:color w:val="auto"/>
          <w:szCs w:val="21"/>
          <w:highlight w:val="none"/>
        </w:rPr>
      </w:pPr>
      <w:r>
        <w:rPr>
          <w:rFonts w:ascii="Times New Roman" w:hAnsi="Times New Roman" w:eastAsia="宋体"/>
          <w:b/>
          <w:bCs/>
          <w:color w:val="auto"/>
          <w:szCs w:val="21"/>
          <w:highlight w:val="none"/>
        </w:rPr>
        <w:t xml:space="preserve">1.0.2 </w:t>
      </w:r>
      <w:r>
        <w:rPr>
          <w:rFonts w:hint="eastAsia"/>
          <w:b/>
          <w:bCs/>
          <w:color w:val="auto"/>
          <w:szCs w:val="21"/>
          <w:highlight w:val="none"/>
          <w:lang w:val="en-US" w:eastAsia="zh-CN"/>
        </w:rPr>
        <w:t xml:space="preserve"> </w:t>
      </w:r>
      <w:r>
        <w:rPr>
          <w:rFonts w:hint="eastAsia" w:ascii="Times New Roman" w:hAnsi="Times New Roman" w:eastAsia="宋体"/>
          <w:color w:val="auto"/>
          <w:szCs w:val="21"/>
          <w:highlight w:val="none"/>
        </w:rPr>
        <w:t>市政工程勘察涉及的工程种类很多，而近年来又增加了诸如深层排水隧道、地埋式污水处理厂、地下综合管廊工程、场地平整工程等新的工程类型，在实际工作中带来不少的困惑，例如：</w:t>
      </w:r>
    </w:p>
    <w:p>
      <w:pPr>
        <w:spacing w:line="360" w:lineRule="auto"/>
        <w:ind w:firstLine="422" w:firstLineChars="200"/>
        <w:rPr>
          <w:rFonts w:ascii="Times New Roman" w:hAnsi="Times New Roman" w:eastAsia="宋体"/>
          <w:color w:val="auto"/>
          <w:szCs w:val="21"/>
          <w:highlight w:val="none"/>
        </w:rPr>
      </w:pPr>
      <w:r>
        <w:rPr>
          <w:rFonts w:hint="eastAsia" w:ascii="Times New Roman" w:hAnsi="Times New Roman" w:eastAsia="宋体"/>
          <w:b/>
          <w:bCs/>
          <w:color w:val="auto"/>
          <w:szCs w:val="21"/>
          <w:highlight w:val="none"/>
        </w:rPr>
        <w:t>1</w:t>
      </w:r>
      <w:r>
        <w:rPr>
          <w:rFonts w:ascii="Times New Roman" w:hAnsi="Times New Roman" w:eastAsia="宋体"/>
          <w:color w:val="auto"/>
          <w:szCs w:val="21"/>
          <w:highlight w:val="none"/>
        </w:rPr>
        <w:t xml:space="preserve"> </w:t>
      </w:r>
      <w:r>
        <w:rPr>
          <w:rFonts w:hint="eastAsia"/>
          <w:color w:val="auto"/>
          <w:szCs w:val="21"/>
          <w:highlight w:val="none"/>
          <w:lang w:val="en-US" w:eastAsia="zh-CN"/>
        </w:rPr>
        <w:t xml:space="preserve"> </w:t>
      </w:r>
      <w:r>
        <w:rPr>
          <w:rFonts w:hint="eastAsia" w:ascii="Times New Roman" w:hAnsi="Times New Roman" w:eastAsia="宋体"/>
          <w:color w:val="auto"/>
          <w:szCs w:val="21"/>
          <w:highlight w:val="none"/>
        </w:rPr>
        <w:t>在一些工程项目中，不仅要执行行标《市政工程勘察规范》，还要执行公路、房建、轨道交通、水利等多个行业的勘察规范以及相关的设计规范。这些规范在编制时往往有不同的侧重点和出发点，导致不少规定相互冲突，使得勘察人员在使用上无所适从，甚至产生不必要的纠纷。</w:t>
      </w:r>
    </w:p>
    <w:p>
      <w:pPr>
        <w:spacing w:line="360" w:lineRule="auto"/>
        <w:ind w:firstLine="422" w:firstLineChars="200"/>
        <w:rPr>
          <w:rFonts w:ascii="Times New Roman" w:hAnsi="Times New Roman" w:eastAsia="宋体"/>
          <w:color w:val="auto"/>
          <w:szCs w:val="21"/>
          <w:highlight w:val="none"/>
        </w:rPr>
      </w:pPr>
      <w:r>
        <w:rPr>
          <w:rFonts w:hint="eastAsia" w:ascii="Times New Roman" w:hAnsi="Times New Roman" w:eastAsia="宋体"/>
          <w:b/>
          <w:bCs/>
          <w:color w:val="auto"/>
          <w:szCs w:val="21"/>
          <w:highlight w:val="none"/>
        </w:rPr>
        <w:t>2</w:t>
      </w:r>
      <w:r>
        <w:rPr>
          <w:rFonts w:ascii="Times New Roman" w:hAnsi="Times New Roman" w:eastAsia="宋体"/>
          <w:color w:val="auto"/>
          <w:szCs w:val="21"/>
          <w:highlight w:val="none"/>
        </w:rPr>
        <w:t xml:space="preserve"> </w:t>
      </w:r>
      <w:r>
        <w:rPr>
          <w:rFonts w:hint="eastAsia"/>
          <w:color w:val="auto"/>
          <w:szCs w:val="21"/>
          <w:highlight w:val="none"/>
          <w:lang w:val="en-US" w:eastAsia="zh-CN"/>
        </w:rPr>
        <w:t xml:space="preserve"> </w:t>
      </w:r>
      <w:r>
        <w:rPr>
          <w:rFonts w:hint="eastAsia" w:ascii="Times New Roman" w:hAnsi="Times New Roman" w:eastAsia="宋体"/>
          <w:color w:val="auto"/>
          <w:szCs w:val="21"/>
          <w:highlight w:val="none"/>
        </w:rPr>
        <w:t>一些新类型的工程，例如一些大型的地下综合管廊工程或长距离输水管道工程，其有别于一般的室外管道工程，开挖面宽度可达10m甚至15m以上，某种程度上更类似于隧道工程，按当前行标《市政工程勘察规范》的规定可能无法满足设计要求。因而，需要重新明确这类工程的布孔原则、孔深控制要求、测试试验方案等。</w:t>
      </w:r>
    </w:p>
    <w:p>
      <w:pPr>
        <w:spacing w:line="360" w:lineRule="auto"/>
        <w:ind w:firstLine="420" w:firstLineChars="200"/>
        <w:rPr>
          <w:rFonts w:ascii="Times New Roman" w:hAnsi="Times New Roman" w:eastAsia="宋体"/>
          <w:color w:val="auto"/>
          <w:szCs w:val="21"/>
          <w:highlight w:val="none"/>
        </w:rPr>
      </w:pPr>
      <w:r>
        <w:rPr>
          <w:rFonts w:hint="eastAsia" w:ascii="Times New Roman" w:hAnsi="Times New Roman" w:eastAsia="宋体"/>
          <w:color w:val="auto"/>
          <w:szCs w:val="21"/>
          <w:highlight w:val="none"/>
        </w:rPr>
        <w:t>再如场地平整工程，其勘察没有可依照执行的现行规范，也需要在总结实际工程经验基础上，编制标准来规范相关的勘察技术要求。</w:t>
      </w:r>
    </w:p>
    <w:p>
      <w:pPr>
        <w:spacing w:line="360" w:lineRule="auto"/>
        <w:ind w:firstLine="422" w:firstLineChars="200"/>
        <w:rPr>
          <w:rFonts w:ascii="Times New Roman" w:hAnsi="Times New Roman" w:eastAsia="宋体"/>
          <w:color w:val="auto"/>
          <w:szCs w:val="21"/>
          <w:highlight w:val="none"/>
        </w:rPr>
      </w:pPr>
      <w:r>
        <w:rPr>
          <w:rFonts w:hint="eastAsia" w:ascii="Times New Roman" w:hAnsi="Times New Roman" w:eastAsia="宋体"/>
          <w:b/>
          <w:bCs/>
          <w:color w:val="auto"/>
          <w:szCs w:val="21"/>
          <w:highlight w:val="none"/>
        </w:rPr>
        <w:t>3</w:t>
      </w:r>
      <w:r>
        <w:rPr>
          <w:rFonts w:ascii="Times New Roman" w:hAnsi="Times New Roman" w:eastAsia="宋体"/>
          <w:color w:val="auto"/>
          <w:szCs w:val="21"/>
          <w:highlight w:val="none"/>
        </w:rPr>
        <w:t xml:space="preserve"> </w:t>
      </w:r>
      <w:r>
        <w:rPr>
          <w:rFonts w:hint="eastAsia"/>
          <w:color w:val="auto"/>
          <w:szCs w:val="21"/>
          <w:highlight w:val="none"/>
          <w:lang w:val="en-US" w:eastAsia="zh-CN"/>
        </w:rPr>
        <w:t xml:space="preserve"> </w:t>
      </w:r>
      <w:r>
        <w:rPr>
          <w:rFonts w:hint="eastAsia" w:ascii="Times New Roman" w:hAnsi="Times New Roman" w:eastAsia="宋体"/>
          <w:color w:val="auto"/>
          <w:szCs w:val="21"/>
          <w:highlight w:val="none"/>
        </w:rPr>
        <w:t>在一些场地或地基岩土条件复杂的工程中，施工勘察作为确定局部的具体工艺措施、确保地下结构进入有效持力层或查明特殊岩土工程问题的重要手段，以及作为具体工作量确认的依据，越来越成为施工的一个不可或缺的环节。但是，在现有规范中，对于施工勘察的条文一般较少，多数是原则性或零星的要求，缺乏具体而系统性的规定。</w:t>
      </w:r>
    </w:p>
    <w:p>
      <w:pPr>
        <w:spacing w:line="360" w:lineRule="auto"/>
        <w:ind w:firstLine="420" w:firstLineChars="200"/>
        <w:rPr>
          <w:rFonts w:ascii="Times New Roman" w:hAnsi="Times New Roman" w:eastAsia="宋体"/>
          <w:color w:val="auto"/>
          <w:szCs w:val="21"/>
          <w:highlight w:val="none"/>
        </w:rPr>
      </w:pPr>
      <w:r>
        <w:rPr>
          <w:rFonts w:hint="eastAsia" w:ascii="Times New Roman" w:hAnsi="Times New Roman" w:eastAsia="宋体"/>
          <w:color w:val="auto"/>
          <w:szCs w:val="21"/>
          <w:highlight w:val="none"/>
        </w:rPr>
        <w:t>例如，在行标《市政工程勘察规范》中仅有3.0.9一条涉及施工勘察，规定“施工勘察应在详细勘察的基础上，针对施工方法、施工措施的特殊要求或施工中出现的工程地质或岩土工程问题，开展施工阶段勘察工作，其勘察工作内容和工作成果应当满足施工阶段设计和施工的相关要求”。概括得很全面，但无法指导具体工程所遇具体问题的施工勘察方案制定。</w:t>
      </w:r>
    </w:p>
    <w:p>
      <w:pPr>
        <w:spacing w:line="360" w:lineRule="auto"/>
        <w:ind w:firstLine="420" w:firstLineChars="200"/>
        <w:rPr>
          <w:rFonts w:ascii="Times New Roman" w:hAnsi="Times New Roman" w:eastAsia="宋体"/>
          <w:color w:val="auto"/>
          <w:szCs w:val="21"/>
          <w:highlight w:val="none"/>
        </w:rPr>
      </w:pPr>
      <w:r>
        <w:rPr>
          <w:rFonts w:hint="eastAsia" w:ascii="Times New Roman" w:hAnsi="Times New Roman" w:eastAsia="宋体"/>
          <w:color w:val="auto"/>
          <w:szCs w:val="21"/>
          <w:highlight w:val="none"/>
        </w:rPr>
        <w:t>再如，国标《岩土工程勘察规范》主要在不良地质作用“5.1岩溶”一节中，有两处提到施工勘察，即5.1.2条的第4小点和5.1.6条，除了泛泛地提到土洞、坍塌地段或尚待查明的专门问题外，主要对大直径桩提出了较具体的要求，包括逐桩布置勘探点及孔深控制原则。</w:t>
      </w:r>
    </w:p>
    <w:p>
      <w:pPr>
        <w:spacing w:line="360" w:lineRule="auto"/>
        <w:ind w:firstLine="420" w:firstLineChars="200"/>
        <w:rPr>
          <w:rFonts w:ascii="Times New Roman" w:hAnsi="Times New Roman" w:eastAsia="宋体"/>
          <w:color w:val="auto"/>
          <w:szCs w:val="21"/>
          <w:highlight w:val="none"/>
        </w:rPr>
      </w:pPr>
      <w:r>
        <w:rPr>
          <w:rFonts w:hint="eastAsia" w:ascii="Times New Roman" w:hAnsi="Times New Roman" w:eastAsia="宋体"/>
          <w:color w:val="auto"/>
          <w:szCs w:val="21"/>
          <w:highlight w:val="none"/>
        </w:rPr>
        <w:t>鉴于城市轨道交通建设过程中所遇到的施工勘察工作较多，《城市轨道交通岩土工程勘察规范》向前迈进了一大步，将施工勘察专门列了一章。该章对施工勘察开展的前提、工作内容和方式提出了要求，但主要也还是原则上的规定，不涉及具体的勘察手段、工作量布置方面的要求。</w:t>
      </w:r>
    </w:p>
    <w:p>
      <w:pPr>
        <w:spacing w:line="360" w:lineRule="auto"/>
        <w:ind w:firstLine="420" w:firstLineChars="200"/>
        <w:rPr>
          <w:rFonts w:ascii="Times New Roman" w:hAnsi="Times New Roman" w:eastAsia="宋体"/>
          <w:color w:val="auto"/>
          <w:szCs w:val="21"/>
          <w:highlight w:val="none"/>
        </w:rPr>
      </w:pPr>
      <w:r>
        <w:rPr>
          <w:rFonts w:hint="eastAsia" w:ascii="Times New Roman" w:hAnsi="Times New Roman" w:eastAsia="宋体"/>
          <w:color w:val="auto"/>
          <w:szCs w:val="21"/>
          <w:highlight w:val="none"/>
        </w:rPr>
        <w:t>因此，本规范针对以上问题开展了相关的调研工作，编制了相关内容，即：在分析、比较的基础上，整合了不同规范中的差异点；对一些新的工程类型增加了规范条文；专门增加了“场地平整工程”和“施工勘察”章节，对广东省的既有经验进行了系统的梳理和规定。</w:t>
      </w:r>
    </w:p>
    <w:p>
      <w:pPr>
        <w:spacing w:line="360" w:lineRule="auto"/>
        <w:ind w:firstLine="420" w:firstLineChars="200"/>
        <w:rPr>
          <w:rFonts w:ascii="Times New Roman" w:hAnsi="Times New Roman" w:eastAsia="宋体"/>
          <w:color w:val="auto"/>
          <w:szCs w:val="21"/>
          <w:highlight w:val="none"/>
        </w:rPr>
      </w:pPr>
      <w:r>
        <w:rPr>
          <w:rFonts w:hint="eastAsia" w:ascii="Times New Roman" w:hAnsi="Times New Roman" w:eastAsia="宋体"/>
          <w:color w:val="auto"/>
          <w:szCs w:val="21"/>
          <w:highlight w:val="none"/>
        </w:rPr>
        <w:t>此外，现行规范个别条款的局部错漏，本次规范编制中也进行了修订，在相应条款中作了具体说明。</w:t>
      </w:r>
    </w:p>
    <w:p>
      <w:pPr>
        <w:spacing w:line="360" w:lineRule="auto"/>
        <w:rPr>
          <w:rFonts w:ascii="Times New Roman" w:hAnsi="Times New Roman" w:eastAsia="宋体"/>
          <w:color w:val="auto"/>
          <w:highlight w:val="none"/>
        </w:rPr>
      </w:pPr>
      <w:r>
        <w:rPr>
          <w:rFonts w:hint="eastAsia" w:ascii="Times New Roman" w:hAnsi="Times New Roman" w:eastAsia="宋体"/>
          <w:b/>
          <w:bCs/>
          <w:color w:val="auto"/>
          <w:highlight w:val="none"/>
        </w:rPr>
        <w:t>1.0.3</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hint="eastAsia" w:ascii="Times New Roman" w:hAnsi="Times New Roman" w:eastAsia="宋体"/>
          <w:color w:val="auto"/>
          <w:highlight w:val="none"/>
        </w:rPr>
        <w:t>“先勘察、后设计、再施工”是工程建设的基本程序，也是国家建设管理部门强调的基本政策。但是，市政工程项目一般都位于人类活动密集区，民用设施、军用设施、建构筑物、地下管线、文物、鱼塘、农作物、堤防、航道等，权属主体</w:t>
      </w:r>
      <w:r>
        <w:rPr>
          <w:rFonts w:hint="eastAsia" w:ascii="Times New Roman" w:hAnsi="Times New Roman" w:eastAsia="宋体"/>
          <w:color w:val="auto"/>
          <w:highlight w:val="none"/>
          <w:lang w:val="en-US" w:eastAsia="zh-CN"/>
        </w:rPr>
        <w:t>多而复杂</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勘察进场施工</w:t>
      </w:r>
      <w:r>
        <w:rPr>
          <w:rFonts w:hint="eastAsia" w:ascii="Times New Roman" w:hAnsi="Times New Roman" w:eastAsia="宋体"/>
          <w:color w:val="auto"/>
          <w:highlight w:val="none"/>
        </w:rPr>
        <w:t>往往</w:t>
      </w:r>
      <w:r>
        <w:rPr>
          <w:rFonts w:hint="eastAsia" w:ascii="Times New Roman" w:hAnsi="Times New Roman" w:eastAsia="宋体"/>
          <w:color w:val="auto"/>
          <w:highlight w:val="none"/>
          <w:lang w:val="en-US" w:eastAsia="zh-CN"/>
        </w:rPr>
        <w:t>受</w:t>
      </w:r>
      <w:r>
        <w:rPr>
          <w:rFonts w:hint="eastAsia" w:ascii="Times New Roman" w:hAnsi="Times New Roman" w:eastAsia="宋体"/>
          <w:color w:val="auto"/>
          <w:highlight w:val="none"/>
        </w:rPr>
        <w:t>征地拆迁、补偿谈判等</w:t>
      </w:r>
      <w:r>
        <w:rPr>
          <w:rFonts w:hint="eastAsia" w:ascii="Times New Roman" w:hAnsi="Times New Roman" w:eastAsia="宋体"/>
          <w:color w:val="auto"/>
          <w:highlight w:val="none"/>
          <w:lang w:val="en-US" w:eastAsia="zh-CN"/>
        </w:rPr>
        <w:t>众多因素的制约</w:t>
      </w:r>
      <w:r>
        <w:rPr>
          <w:rFonts w:hint="eastAsia" w:ascii="Times New Roman" w:hAnsi="Times New Roman" w:eastAsia="宋体"/>
          <w:color w:val="auto"/>
          <w:highlight w:val="none"/>
        </w:rPr>
        <w:t>。因此，极少有市政工程项目能在</w:t>
      </w:r>
      <w:r>
        <w:rPr>
          <w:rFonts w:hint="eastAsia" w:ascii="Times New Roman" w:hAnsi="Times New Roman" w:eastAsia="宋体"/>
          <w:color w:val="auto"/>
          <w:highlight w:val="none"/>
          <w:lang w:val="en-US" w:eastAsia="zh-CN"/>
        </w:rPr>
        <w:t>施工图审查或</w:t>
      </w:r>
      <w:r>
        <w:rPr>
          <w:rFonts w:hint="eastAsia" w:ascii="Times New Roman" w:hAnsi="Times New Roman" w:eastAsia="宋体"/>
          <w:color w:val="auto"/>
          <w:highlight w:val="none"/>
        </w:rPr>
        <w:t>施工</w:t>
      </w:r>
      <w:r>
        <w:rPr>
          <w:rFonts w:hint="eastAsia" w:ascii="Times New Roman" w:hAnsi="Times New Roman" w:eastAsia="宋体"/>
          <w:color w:val="auto"/>
          <w:highlight w:val="none"/>
          <w:lang w:val="en-US" w:eastAsia="zh-CN"/>
        </w:rPr>
        <w:t>招标</w:t>
      </w:r>
      <w:r>
        <w:rPr>
          <w:rFonts w:hint="eastAsia" w:ascii="Times New Roman" w:hAnsi="Times New Roman" w:eastAsia="宋体"/>
          <w:color w:val="auto"/>
          <w:highlight w:val="none"/>
        </w:rPr>
        <w:t>之前完成</w:t>
      </w:r>
      <w:r>
        <w:rPr>
          <w:rFonts w:hint="eastAsia" w:ascii="Times New Roman" w:hAnsi="Times New Roman" w:eastAsia="宋体"/>
          <w:color w:val="auto"/>
          <w:highlight w:val="none"/>
          <w:lang w:val="en-US" w:eastAsia="zh-CN"/>
        </w:rPr>
        <w:t>全部</w:t>
      </w:r>
      <w:r>
        <w:rPr>
          <w:rFonts w:hint="eastAsia" w:ascii="Times New Roman" w:hAnsi="Times New Roman" w:eastAsia="宋体"/>
          <w:color w:val="auto"/>
          <w:highlight w:val="none"/>
        </w:rPr>
        <w:t>勘察任务。无原则地打乱基本建设程序固然不行，但若僵化而毫无转圜余地单方面强调基本建设程序</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要求施工图审查或</w:t>
      </w:r>
      <w:r>
        <w:rPr>
          <w:rFonts w:hint="eastAsia" w:ascii="Times New Roman" w:hAnsi="Times New Roman" w:eastAsia="宋体"/>
          <w:color w:val="auto"/>
          <w:highlight w:val="none"/>
        </w:rPr>
        <w:t>施工</w:t>
      </w:r>
      <w:r>
        <w:rPr>
          <w:rFonts w:hint="eastAsia" w:ascii="Times New Roman" w:hAnsi="Times New Roman" w:eastAsia="宋体"/>
          <w:color w:val="auto"/>
          <w:highlight w:val="none"/>
          <w:lang w:val="en-US" w:eastAsia="zh-CN"/>
        </w:rPr>
        <w:t>招标</w:t>
      </w:r>
      <w:r>
        <w:rPr>
          <w:rFonts w:hint="eastAsia" w:ascii="Times New Roman" w:hAnsi="Times New Roman" w:eastAsia="宋体"/>
          <w:color w:val="auto"/>
          <w:highlight w:val="none"/>
        </w:rPr>
        <w:t>之前</w:t>
      </w:r>
      <w:r>
        <w:rPr>
          <w:rFonts w:hint="eastAsia" w:ascii="Times New Roman" w:hAnsi="Times New Roman" w:eastAsia="宋体"/>
          <w:color w:val="auto"/>
          <w:highlight w:val="none"/>
          <w:lang w:val="en-US" w:eastAsia="zh-CN"/>
        </w:rPr>
        <w:t>务必完成勘察工作，</w:t>
      </w:r>
      <w:r>
        <w:rPr>
          <w:rFonts w:hint="eastAsia" w:ascii="Times New Roman" w:hAnsi="Times New Roman" w:eastAsia="宋体"/>
          <w:color w:val="auto"/>
          <w:highlight w:val="none"/>
        </w:rPr>
        <w:t>则将导致市政工程建设难以</w:t>
      </w:r>
      <w:r>
        <w:rPr>
          <w:rFonts w:hint="eastAsia" w:ascii="Times New Roman" w:hAnsi="Times New Roman" w:eastAsia="宋体"/>
          <w:color w:val="auto"/>
          <w:highlight w:val="none"/>
          <w:lang w:val="en-US" w:eastAsia="zh-CN"/>
        </w:rPr>
        <w:t>推进</w:t>
      </w:r>
      <w:r>
        <w:rPr>
          <w:rFonts w:hint="eastAsia" w:ascii="Times New Roman" w:hAnsi="Times New Roman" w:eastAsia="宋体"/>
          <w:color w:val="auto"/>
          <w:highlight w:val="none"/>
        </w:rPr>
        <w:t>，与现实出现脱节。因此，</w:t>
      </w:r>
      <w:r>
        <w:rPr>
          <w:rFonts w:hint="eastAsia" w:ascii="Times New Roman" w:hAnsi="Times New Roman" w:eastAsia="宋体"/>
          <w:color w:val="auto"/>
          <w:highlight w:val="none"/>
          <w:lang w:val="en-US" w:eastAsia="zh-CN"/>
        </w:rPr>
        <w:t>建设各方应实事求是</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明确在施工进场后于施工前可完成或施工进场后也无法完成的勘察工作，对施工进场后可完成的提醒各方在有条件后通知勘察方完成补充勘察，</w:t>
      </w:r>
      <w:r>
        <w:rPr>
          <w:rFonts w:hint="eastAsia" w:ascii="Times New Roman" w:hAnsi="Times New Roman" w:eastAsia="宋体"/>
          <w:color w:val="auto"/>
          <w:highlight w:val="none"/>
        </w:rPr>
        <w:t>并提醒设计单位对设计方案</w:t>
      </w:r>
      <w:r>
        <w:rPr>
          <w:rFonts w:hint="eastAsia" w:ascii="Times New Roman" w:hAnsi="Times New Roman" w:eastAsia="宋体"/>
          <w:color w:val="auto"/>
          <w:highlight w:val="none"/>
          <w:lang w:val="en-US" w:eastAsia="zh-CN"/>
        </w:rPr>
        <w:t>根据补充勘察成果</w:t>
      </w:r>
      <w:r>
        <w:rPr>
          <w:rFonts w:hint="eastAsia" w:ascii="Times New Roman" w:hAnsi="Times New Roman" w:eastAsia="宋体"/>
          <w:color w:val="auto"/>
          <w:highlight w:val="none"/>
        </w:rPr>
        <w:t>进行复核、调整</w:t>
      </w:r>
      <w:r>
        <w:rPr>
          <w:rFonts w:hint="eastAsia" w:ascii="Times New Roman" w:hAnsi="Times New Roman" w:eastAsia="宋体"/>
          <w:color w:val="auto"/>
          <w:highlight w:val="none"/>
          <w:lang w:val="en-US" w:eastAsia="zh-CN"/>
        </w:rPr>
        <w:t>；对施工进场后也无法完成的，提醒设计、施工采取必要的施工勘察或措施和预案</w:t>
      </w:r>
      <w:r>
        <w:rPr>
          <w:rFonts w:hint="eastAsia" w:ascii="Times New Roman" w:hAnsi="Times New Roman" w:eastAsia="宋体"/>
          <w:color w:val="auto"/>
          <w:highlight w:val="none"/>
        </w:rPr>
        <w:t>。</w:t>
      </w:r>
    </w:p>
    <w:p>
      <w:pPr>
        <w:spacing w:line="360" w:lineRule="auto"/>
        <w:ind w:firstLine="420" w:firstLineChars="200"/>
        <w:rPr>
          <w:rFonts w:ascii="Times New Roman" w:hAnsi="Times New Roman" w:eastAsia="宋体"/>
          <w:color w:val="auto"/>
          <w:highlight w:val="none"/>
        </w:rPr>
      </w:pPr>
      <w:r>
        <w:rPr>
          <w:rFonts w:hint="eastAsia" w:ascii="Times New Roman" w:hAnsi="Times New Roman" w:eastAsia="宋体"/>
          <w:color w:val="auto"/>
          <w:highlight w:val="none"/>
        </w:rPr>
        <w:t>在</w:t>
      </w:r>
      <w:r>
        <w:rPr>
          <w:rFonts w:hint="eastAsia" w:ascii="Times New Roman" w:hAnsi="Times New Roman" w:eastAsia="宋体"/>
          <w:color w:val="auto"/>
          <w:highlight w:val="none"/>
          <w:lang w:eastAsia="zh-CN"/>
        </w:rPr>
        <w:t>城市</w:t>
      </w:r>
      <w:r>
        <w:rPr>
          <w:rFonts w:hint="eastAsia" w:ascii="Times New Roman" w:hAnsi="Times New Roman" w:eastAsia="宋体"/>
          <w:color w:val="auto"/>
          <w:highlight w:val="none"/>
        </w:rPr>
        <w:t>地区，既有勘察成果相对较为丰富，对于拟建市政工程项目往往有一定数量的临近勘察资料可以参考甚至直接利用，尤其在项目暂未正式立项的可行性研究阶段，具有相当大的作用。故充分收集、分析既有勘察资料是勘察工作的重要一环。但是，目前在我省大多数城市中，勘察资料的收集都面临岩土定名和分层标准不统一、资料分散于不同单位、没有统一的数据管理与共享平台等诸多制约因素，大大降低了城市既有勘察数据的使用价值和使用效率。</w:t>
      </w:r>
      <w:r>
        <w:rPr>
          <w:rFonts w:hint="eastAsia" w:ascii="Times New Roman" w:hAnsi="Times New Roman" w:eastAsia="宋体"/>
          <w:color w:val="auto"/>
          <w:highlight w:val="none"/>
          <w:lang w:val="en-US" w:eastAsia="zh-CN"/>
        </w:rPr>
        <w:t>建立各地统一的岩土定名和分层标准、建设统一的数据管理与共享平台，</w:t>
      </w:r>
      <w:r>
        <w:rPr>
          <w:rFonts w:hint="eastAsia" w:ascii="Times New Roman" w:hAnsi="Times New Roman" w:eastAsia="宋体"/>
          <w:color w:val="auto"/>
          <w:highlight w:val="none"/>
        </w:rPr>
        <w:t>是需要我省广大勘察工作者共同努力推进的</w:t>
      </w:r>
      <w:r>
        <w:rPr>
          <w:rFonts w:hint="eastAsia" w:ascii="Times New Roman" w:hAnsi="Times New Roman" w:eastAsia="宋体"/>
          <w:color w:val="auto"/>
          <w:highlight w:val="none"/>
          <w:lang w:val="en-US" w:eastAsia="zh-CN"/>
        </w:rPr>
        <w:t>工作</w:t>
      </w:r>
      <w:r>
        <w:rPr>
          <w:rFonts w:hint="eastAsia" w:ascii="Times New Roman" w:hAnsi="Times New Roman" w:eastAsia="宋体"/>
          <w:color w:val="auto"/>
          <w:highlight w:val="none"/>
        </w:rPr>
        <w:t>。</w:t>
      </w:r>
    </w:p>
    <w:p>
      <w:pPr>
        <w:spacing w:line="360" w:lineRule="auto"/>
        <w:rPr>
          <w:rFonts w:ascii="Times New Roman" w:hAnsi="Times New Roman" w:eastAsia="宋体"/>
          <w:color w:val="auto"/>
          <w:szCs w:val="21"/>
          <w:highlight w:val="none"/>
        </w:rPr>
      </w:pPr>
      <w:r>
        <w:rPr>
          <w:rFonts w:hint="eastAsia" w:ascii="Times New Roman" w:hAnsi="Times New Roman" w:eastAsia="宋体"/>
          <w:b/>
          <w:bCs/>
          <w:color w:val="auto"/>
          <w:highlight w:val="none"/>
        </w:rPr>
        <w:t>1.0.4</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hint="eastAsia" w:ascii="Times New Roman" w:hAnsi="Times New Roman" w:eastAsia="宋体"/>
          <w:color w:val="auto"/>
          <w:highlight w:val="none"/>
        </w:rPr>
        <w:t>本规范</w:t>
      </w:r>
      <w:r>
        <w:rPr>
          <w:rFonts w:hint="eastAsia" w:ascii="Times New Roman" w:hAnsi="Times New Roman" w:eastAsia="宋体"/>
          <w:color w:val="auto"/>
          <w:highlight w:val="none"/>
          <w:lang w:val="en-US" w:eastAsia="zh-CN"/>
        </w:rPr>
        <w:t>主要</w:t>
      </w:r>
      <w:r>
        <w:rPr>
          <w:rFonts w:hint="eastAsia" w:ascii="Times New Roman" w:hAnsi="Times New Roman" w:eastAsia="宋体"/>
          <w:color w:val="auto"/>
          <w:highlight w:val="none"/>
        </w:rPr>
        <w:t>根据现行</w:t>
      </w:r>
      <w:r>
        <w:rPr>
          <w:rFonts w:hint="eastAsia" w:ascii="Times New Roman" w:hAnsi="Times New Roman" w:eastAsia="宋体"/>
          <w:color w:val="auto"/>
          <w:highlight w:val="none"/>
          <w:lang w:val="en-US" w:eastAsia="zh-CN"/>
        </w:rPr>
        <w:t>国家标准、</w:t>
      </w:r>
      <w:r>
        <w:rPr>
          <w:rFonts w:hint="eastAsia" w:ascii="Times New Roman" w:hAnsi="Times New Roman" w:eastAsia="宋体"/>
          <w:color w:val="auto"/>
          <w:highlight w:val="none"/>
        </w:rPr>
        <w:t>行业标准</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政策文件</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并参照若干</w:t>
      </w:r>
      <w:r>
        <w:rPr>
          <w:rFonts w:hint="eastAsia" w:ascii="Times New Roman" w:hAnsi="Times New Roman" w:eastAsia="宋体"/>
          <w:color w:val="auto"/>
          <w:highlight w:val="none"/>
        </w:rPr>
        <w:t>地方标准规范规程</w:t>
      </w:r>
      <w:r>
        <w:rPr>
          <w:rFonts w:hint="eastAsia" w:ascii="Times New Roman" w:hAnsi="Times New Roman" w:eastAsia="宋体"/>
          <w:color w:val="auto"/>
          <w:highlight w:val="none"/>
          <w:lang w:val="en-US" w:eastAsia="zh-CN"/>
        </w:rPr>
        <w:t>及工程</w:t>
      </w:r>
      <w:r>
        <w:rPr>
          <w:rFonts w:hint="eastAsia" w:ascii="Times New Roman" w:hAnsi="Times New Roman" w:eastAsia="宋体"/>
          <w:color w:val="auto"/>
          <w:szCs w:val="21"/>
          <w:highlight w:val="none"/>
        </w:rPr>
        <w:t>手册，结合广东地区的特点和经验而制定。相关标准所引用的条款中对不适合广东省的内容有所剔除，相互冲突的</w:t>
      </w:r>
      <w:r>
        <w:rPr>
          <w:rFonts w:hint="eastAsia" w:ascii="Times New Roman" w:hAnsi="Times New Roman" w:eastAsia="宋体"/>
          <w:color w:val="auto"/>
          <w:szCs w:val="21"/>
          <w:highlight w:val="none"/>
          <w:lang w:val="en-US" w:eastAsia="zh-CN"/>
        </w:rPr>
        <w:t>内容</w:t>
      </w:r>
      <w:r>
        <w:rPr>
          <w:rFonts w:hint="eastAsia" w:ascii="Times New Roman" w:hAnsi="Times New Roman" w:eastAsia="宋体"/>
          <w:color w:val="auto"/>
          <w:szCs w:val="21"/>
          <w:highlight w:val="none"/>
        </w:rPr>
        <w:t>进行了分析、对比和梳理；应用不是很广泛的或在广东省不是很成熟的，则未列入本规范。故如遇到本规范未作阐明或规定的事项和问题，应按照国家标准或行业标准的规定执行。</w:t>
      </w:r>
    </w:p>
    <w:p>
      <w:pPr>
        <w:spacing w:line="360" w:lineRule="auto"/>
        <w:jc w:val="center"/>
        <w:rPr>
          <w:rFonts w:ascii="Times New Roman" w:hAnsi="Times New Roman" w:eastAsia="宋体"/>
          <w:b/>
          <w:bCs/>
          <w:color w:val="auto"/>
          <w:highlight w:val="none"/>
        </w:rPr>
      </w:pPr>
      <w:r>
        <w:rPr>
          <w:rFonts w:ascii="Times New Roman" w:hAnsi="Times New Roman" w:eastAsia="宋体"/>
          <w:b/>
          <w:bCs/>
          <w:color w:val="auto"/>
          <w:highlight w:val="none"/>
        </w:rPr>
        <w:br w:type="page"/>
      </w:r>
    </w:p>
    <w:p>
      <w:pPr>
        <w:spacing w:line="360" w:lineRule="auto"/>
        <w:jc w:val="center"/>
        <w:rPr>
          <w:rFonts w:ascii="Times New Roman" w:hAnsi="Times New Roman" w:eastAsia="宋体"/>
          <w:b/>
          <w:bCs/>
          <w:color w:val="auto"/>
          <w:highlight w:val="none"/>
        </w:rPr>
      </w:pPr>
    </w:p>
    <w:p>
      <w:pPr>
        <w:pStyle w:val="2"/>
        <w:rPr>
          <w:rFonts w:ascii="Times New Roman" w:hAnsi="Times New Roman" w:eastAsia="宋体"/>
          <w:color w:val="auto"/>
          <w:highlight w:val="none"/>
        </w:rPr>
      </w:pPr>
      <w:bookmarkStart w:id="313" w:name="_Toc76998254"/>
      <w:bookmarkStart w:id="314" w:name="_Toc21967"/>
      <w:bookmarkStart w:id="315" w:name="_Toc32545"/>
      <w:r>
        <w:rPr>
          <w:rFonts w:ascii="Times New Roman" w:hAnsi="Times New Roman" w:eastAsia="宋体"/>
          <w:color w:val="auto"/>
          <w:highlight w:val="none"/>
        </w:rPr>
        <w:t>2</w:t>
      </w:r>
      <w:r>
        <w:rPr>
          <w:rFonts w:hint="eastAsia" w:ascii="Times New Roman" w:hAnsi="Times New Roman" w:eastAsia="宋体"/>
          <w:color w:val="auto"/>
          <w:highlight w:val="none"/>
        </w:rPr>
        <w:t xml:space="preserve">  </w:t>
      </w:r>
      <w:r>
        <w:rPr>
          <w:rFonts w:ascii="Times New Roman" w:hAnsi="Times New Roman" w:eastAsia="宋体"/>
          <w:color w:val="auto"/>
          <w:highlight w:val="none"/>
        </w:rPr>
        <w:t>术语和符号</w:t>
      </w:r>
      <w:bookmarkEnd w:id="313"/>
      <w:bookmarkEnd w:id="314"/>
      <w:bookmarkEnd w:id="315"/>
    </w:p>
    <w:p>
      <w:pPr>
        <w:pStyle w:val="3"/>
        <w:jc w:val="center"/>
        <w:outlineLvl w:val="0"/>
        <w:rPr>
          <w:rFonts w:ascii="Times New Roman" w:hAnsi="Times New Roman" w:eastAsia="宋体" w:cs="Times New Roman"/>
          <w:color w:val="auto"/>
          <w:sz w:val="24"/>
          <w:highlight w:val="none"/>
        </w:rPr>
      </w:pPr>
      <w:bookmarkStart w:id="316" w:name="_Toc32650"/>
      <w:bookmarkStart w:id="317" w:name="_Toc238"/>
      <w:r>
        <w:rPr>
          <w:rFonts w:ascii="Times New Roman" w:hAnsi="Times New Roman" w:eastAsia="宋体" w:cs="Times New Roman"/>
          <w:color w:val="auto"/>
          <w:sz w:val="24"/>
          <w:highlight w:val="none"/>
        </w:rPr>
        <w:t xml:space="preserve">2.1 </w:t>
      </w:r>
      <w:r>
        <w:rPr>
          <w:rFonts w:hint="eastAsia" w:ascii="Times New Roman" w:hAnsi="Times New Roman" w:eastAsia="宋体" w:cs="Times New Roman"/>
          <w:color w:val="auto"/>
          <w:sz w:val="24"/>
          <w:highlight w:val="none"/>
          <w:lang w:val="en-US" w:eastAsia="zh-CN"/>
        </w:rPr>
        <w:t xml:space="preserve"> </w:t>
      </w:r>
      <w:r>
        <w:rPr>
          <w:rFonts w:ascii="Times New Roman" w:hAnsi="Times New Roman" w:eastAsia="宋体" w:cs="Times New Roman"/>
          <w:color w:val="auto"/>
          <w:sz w:val="24"/>
          <w:highlight w:val="none"/>
        </w:rPr>
        <w:t>术语</w:t>
      </w:r>
      <w:bookmarkEnd w:id="316"/>
      <w:bookmarkEnd w:id="317"/>
    </w:p>
    <w:p>
      <w:pPr>
        <w:spacing w:line="360" w:lineRule="auto"/>
        <w:rPr>
          <w:rFonts w:hint="eastAsia" w:ascii="Times New Roman" w:hAnsi="Times New Roman" w:eastAsia="宋体"/>
          <w:color w:val="auto"/>
          <w:szCs w:val="21"/>
          <w:highlight w:val="none"/>
          <w:shd w:val="clear" w:color="auto" w:fill="FFFFFF"/>
          <w:lang w:val="en-US" w:eastAsia="zh-CN"/>
        </w:rPr>
      </w:pPr>
      <w:r>
        <w:rPr>
          <w:rFonts w:hint="eastAsia" w:ascii="Times New Roman" w:hAnsi="Times New Roman" w:eastAsia="宋体"/>
          <w:b/>
          <w:bCs/>
          <w:color w:val="auto"/>
          <w:highlight w:val="none"/>
          <w:lang w:val="en-US" w:eastAsia="zh-CN"/>
        </w:rPr>
        <w:t xml:space="preserve">2.1.1 </w:t>
      </w:r>
      <w:r>
        <w:rPr>
          <w:rFonts w:hint="eastAsia"/>
          <w:b/>
          <w:bCs/>
          <w:color w:val="auto"/>
          <w:highlight w:val="none"/>
          <w:lang w:val="en-US" w:eastAsia="zh-CN"/>
        </w:rPr>
        <w:t xml:space="preserve">  </w:t>
      </w:r>
      <w:r>
        <w:rPr>
          <w:rFonts w:ascii="Times New Roman" w:hAnsi="Times New Roman" w:eastAsia="宋体"/>
          <w:color w:val="auto"/>
          <w:highlight w:val="none"/>
        </w:rPr>
        <w:t>市政工程</w:t>
      </w:r>
      <w:r>
        <w:rPr>
          <w:rFonts w:hint="eastAsia" w:ascii="Times New Roman" w:hAnsi="Times New Roman" w:eastAsia="宋体"/>
          <w:color w:val="auto"/>
          <w:highlight w:val="none"/>
          <w:lang w:val="en-US" w:eastAsia="zh-CN"/>
        </w:rPr>
        <w:t>又称</w:t>
      </w:r>
      <w:r>
        <w:rPr>
          <w:rFonts w:ascii="Times New Roman" w:hAnsi="Times New Roman" w:eastAsia="宋体"/>
          <w:color w:val="auto"/>
          <w:szCs w:val="21"/>
          <w:highlight w:val="none"/>
          <w:shd w:val="clear" w:color="auto" w:fill="FFFFFF"/>
        </w:rPr>
        <w:t>市政基础设施建设工程</w:t>
      </w:r>
      <w:r>
        <w:rPr>
          <w:rFonts w:hint="eastAsia" w:ascii="Times New Roman" w:hAnsi="Times New Roman" w:eastAsia="宋体"/>
          <w:color w:val="auto"/>
          <w:szCs w:val="21"/>
          <w:highlight w:val="none"/>
          <w:shd w:val="clear" w:color="auto" w:fill="FFFFFF"/>
          <w:lang w:eastAsia="zh-CN"/>
        </w:rPr>
        <w:t>，</w:t>
      </w:r>
      <w:r>
        <w:rPr>
          <w:rFonts w:ascii="Times New Roman" w:hAnsi="Times New Roman" w:eastAsia="宋体"/>
          <w:color w:val="auto"/>
          <w:szCs w:val="21"/>
          <w:highlight w:val="none"/>
          <w:shd w:val="clear" w:color="auto" w:fill="FFFFFF"/>
        </w:rPr>
        <w:t>包括公共交通设施、公共水处理设施、市政管道、</w:t>
      </w:r>
      <w:r>
        <w:rPr>
          <w:rFonts w:hint="eastAsia" w:ascii="Times New Roman" w:hAnsi="Times New Roman" w:eastAsia="宋体"/>
          <w:color w:val="auto"/>
          <w:szCs w:val="21"/>
          <w:highlight w:val="none"/>
          <w:shd w:val="clear" w:color="auto" w:fill="FFFFFF"/>
          <w:lang w:val="en-US" w:eastAsia="zh-CN"/>
        </w:rPr>
        <w:t>管廊、</w:t>
      </w:r>
      <w:r>
        <w:rPr>
          <w:rFonts w:hint="eastAsia" w:ascii="Times New Roman" w:hAnsi="Times New Roman" w:eastAsia="宋体"/>
          <w:color w:val="auto"/>
          <w:szCs w:val="21"/>
          <w:highlight w:val="none"/>
          <w:shd w:val="clear" w:color="auto" w:fill="FFFFFF"/>
          <w:lang w:eastAsia="zh-CN"/>
        </w:rPr>
        <w:t>城市</w:t>
      </w:r>
      <w:r>
        <w:rPr>
          <w:rFonts w:ascii="Times New Roman" w:hAnsi="Times New Roman" w:eastAsia="宋体"/>
          <w:color w:val="auto"/>
          <w:szCs w:val="21"/>
          <w:highlight w:val="none"/>
          <w:shd w:val="clear" w:color="auto" w:fill="FFFFFF"/>
        </w:rPr>
        <w:t>新增建设用地平整、公共废弃物处</w:t>
      </w:r>
      <w:r>
        <w:rPr>
          <w:rFonts w:hint="eastAsia" w:ascii="Times New Roman" w:hAnsi="Times New Roman" w:eastAsia="宋体"/>
          <w:color w:val="auto"/>
          <w:szCs w:val="21"/>
          <w:highlight w:val="none"/>
          <w:shd w:val="clear" w:color="auto" w:fill="FFFFFF"/>
          <w:lang w:val="en-US" w:eastAsia="zh-CN"/>
        </w:rPr>
        <w:t>置</w:t>
      </w:r>
      <w:r>
        <w:rPr>
          <w:rFonts w:ascii="Times New Roman" w:hAnsi="Times New Roman" w:eastAsia="宋体"/>
          <w:color w:val="auto"/>
          <w:szCs w:val="21"/>
          <w:highlight w:val="none"/>
          <w:shd w:val="clear" w:color="auto" w:fill="FFFFFF"/>
        </w:rPr>
        <w:t>设施、河道堤岸等</w:t>
      </w:r>
      <w:r>
        <w:rPr>
          <w:rFonts w:hint="eastAsia" w:ascii="Times New Roman" w:hAnsi="Times New Roman" w:eastAsia="宋体"/>
          <w:color w:val="auto"/>
          <w:szCs w:val="21"/>
          <w:highlight w:val="none"/>
          <w:shd w:val="clear" w:color="auto" w:fill="FFFFFF"/>
          <w:lang w:val="en-US" w:eastAsia="zh-CN"/>
        </w:rPr>
        <w:t>工程</w:t>
      </w:r>
      <w:r>
        <w:rPr>
          <w:rFonts w:hint="eastAsia" w:ascii="Times New Roman" w:hAnsi="Times New Roman" w:eastAsia="宋体"/>
          <w:color w:val="auto"/>
          <w:szCs w:val="21"/>
          <w:highlight w:val="none"/>
          <w:shd w:val="clear" w:color="auto" w:fill="FFFFFF"/>
          <w:lang w:eastAsia="zh-CN"/>
        </w:rPr>
        <w:t>。</w:t>
      </w:r>
      <w:r>
        <w:rPr>
          <w:rFonts w:hint="eastAsia" w:ascii="Times New Roman" w:hAnsi="Times New Roman" w:eastAsia="宋体"/>
          <w:color w:val="auto"/>
          <w:szCs w:val="21"/>
          <w:highlight w:val="none"/>
          <w:shd w:val="clear" w:color="auto" w:fill="FFFFFF"/>
          <w:lang w:val="en-US" w:eastAsia="zh-CN"/>
        </w:rPr>
        <w:t>根据现行国家标准《城市规划基本术语标准》（GB/T50280-98）第2.0.2条定义，城市包括市和镇。</w:t>
      </w:r>
    </w:p>
    <w:p>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olor w:val="auto"/>
          <w:szCs w:val="21"/>
          <w:highlight w:val="none"/>
          <w:shd w:val="clear" w:color="auto" w:fill="FFFFFF"/>
          <w:lang w:val="en-US" w:eastAsia="zh-CN"/>
        </w:rPr>
      </w:pPr>
      <w:r>
        <w:rPr>
          <w:rFonts w:hint="eastAsia" w:ascii="Times New Roman" w:hAnsi="Times New Roman" w:eastAsia="宋体"/>
          <w:b/>
          <w:bCs/>
          <w:color w:val="auto"/>
          <w:highlight w:val="none"/>
          <w:lang w:val="en-US" w:eastAsia="zh-CN"/>
        </w:rPr>
        <w:t xml:space="preserve">2.1.4 </w:t>
      </w:r>
      <w:r>
        <w:rPr>
          <w:rFonts w:hint="eastAsia"/>
          <w:b/>
          <w:bCs/>
          <w:color w:val="auto"/>
          <w:highlight w:val="none"/>
          <w:lang w:val="en-US" w:eastAsia="zh-CN"/>
        </w:rPr>
        <w:t xml:space="preserve">  </w:t>
      </w:r>
      <w:r>
        <w:rPr>
          <w:rFonts w:hint="eastAsia" w:ascii="Times New Roman" w:hAnsi="Times New Roman" w:eastAsia="宋体"/>
          <w:b w:val="0"/>
          <w:bCs w:val="0"/>
          <w:color w:val="auto"/>
          <w:highlight w:val="none"/>
          <w:lang w:val="en-US" w:eastAsia="zh-CN"/>
        </w:rPr>
        <w:t>目前，关于埋深多大的排水隧道可称为深层排水隧道尚无明确的定义。</w:t>
      </w:r>
      <w:r>
        <w:rPr>
          <w:rFonts w:hint="eastAsia" w:ascii="Times New Roman" w:hAnsi="Times New Roman" w:eastAsia="宋体"/>
          <w:color w:val="auto"/>
          <w:szCs w:val="21"/>
          <w:highlight w:val="none"/>
          <w:shd w:val="clear" w:color="auto" w:fill="FFFFFF"/>
          <w:lang w:val="en-US" w:eastAsia="zh-CN"/>
        </w:rPr>
        <w:t>从国外既有的深层排水隧道看，埋深（即隧道开挖断面的顶部至自然地面的垂直距离）达22m~200m不等；广州、武汉也建设了深层排水隧道，埋深分别为33m~40m、25.5m~35.5m。表2-1是部分深层排水隧道的规模和埋深情况。</w:t>
      </w:r>
    </w:p>
    <w:p>
      <w:pPr>
        <w:spacing w:line="360" w:lineRule="auto"/>
        <w:ind w:firstLine="0" w:firstLineChars="0"/>
        <w:jc w:val="center"/>
        <w:rPr>
          <w:rFonts w:hint="eastAsia" w:ascii="Times New Roman" w:hAnsi="Times New Roman" w:eastAsia="宋体"/>
          <w:color w:val="auto"/>
          <w:szCs w:val="21"/>
          <w:highlight w:val="none"/>
          <w:shd w:val="clear" w:color="auto" w:fill="FFFFFF"/>
          <w:lang w:val="en-US" w:eastAsia="zh-CN"/>
        </w:rPr>
      </w:pPr>
      <w:r>
        <w:rPr>
          <w:rFonts w:ascii="Times New Roman" w:hAnsi="Times New Roman" w:eastAsia="宋体"/>
          <w:b/>
          <w:bCs/>
          <w:color w:val="auto"/>
          <w:szCs w:val="18"/>
          <w:highlight w:val="none"/>
        </w:rPr>
        <w:t>表</w:t>
      </w:r>
      <w:r>
        <w:rPr>
          <w:rFonts w:hint="eastAsia" w:ascii="Times New Roman" w:hAnsi="Times New Roman" w:eastAsia="宋体"/>
          <w:b/>
          <w:bCs/>
          <w:color w:val="auto"/>
          <w:szCs w:val="18"/>
          <w:highlight w:val="none"/>
          <w:lang w:val="en-US" w:eastAsia="zh-CN"/>
        </w:rPr>
        <w:t>2</w:t>
      </w:r>
      <w:r>
        <w:rPr>
          <w:rFonts w:ascii="Times New Roman" w:hAnsi="Times New Roman" w:eastAsia="宋体"/>
          <w:b/>
          <w:bCs/>
          <w:color w:val="auto"/>
          <w:szCs w:val="18"/>
          <w:highlight w:val="none"/>
        </w:rPr>
        <w:t>-</w:t>
      </w:r>
      <w:r>
        <w:rPr>
          <w:rFonts w:hint="eastAsia" w:ascii="Times New Roman" w:hAnsi="Times New Roman" w:eastAsia="宋体"/>
          <w:b/>
          <w:bCs/>
          <w:color w:val="auto"/>
          <w:szCs w:val="18"/>
          <w:highlight w:val="none"/>
          <w:lang w:val="en-US" w:eastAsia="zh-CN"/>
        </w:rPr>
        <w:t>1</w:t>
      </w:r>
      <w:r>
        <w:rPr>
          <w:rFonts w:ascii="Times New Roman" w:hAnsi="Times New Roman" w:eastAsia="宋体"/>
          <w:b/>
          <w:bCs/>
          <w:color w:val="auto"/>
          <w:szCs w:val="18"/>
          <w:highlight w:val="none"/>
        </w:rPr>
        <w:t xml:space="preserve"> </w:t>
      </w:r>
      <w:r>
        <w:rPr>
          <w:rFonts w:hint="eastAsia" w:ascii="Times New Roman" w:hAnsi="Times New Roman" w:eastAsia="宋体"/>
          <w:b/>
          <w:bCs/>
          <w:color w:val="auto"/>
          <w:szCs w:val="18"/>
          <w:highlight w:val="none"/>
          <w:lang w:val="en-US" w:eastAsia="zh-CN"/>
        </w:rPr>
        <w:t>各国深层排水隧道的规模和埋深</w:t>
      </w:r>
    </w:p>
    <w:tbl>
      <w:tblPr>
        <w:tblStyle w:val="23"/>
        <w:tblpPr w:leftFromText="180" w:rightFromText="180" w:vertAnchor="text" w:horzAnchor="page" w:tblpX="1862" w:tblpY="109"/>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220"/>
        <w:gridCol w:w="1455"/>
        <w:gridCol w:w="1395"/>
        <w:gridCol w:w="25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5"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default" w:ascii="Times New Roman" w:hAnsi="Times New Roman" w:eastAsia="宋体" w:cs="Times New Roman"/>
                <w:color w:val="auto"/>
                <w:sz w:val="20"/>
                <w:szCs w:val="20"/>
                <w:highlight w:val="none"/>
                <w:shd w:val="clear" w:color="auto" w:fill="FFFFFF"/>
                <w:vertAlign w:val="baseline"/>
                <w:lang w:val="en-US" w:eastAsia="zh-CN"/>
              </w:rPr>
              <w:t>序号</w:t>
            </w:r>
          </w:p>
        </w:tc>
        <w:tc>
          <w:tcPr>
            <w:tcW w:w="222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default" w:ascii="Times New Roman" w:hAnsi="Times New Roman" w:eastAsia="宋体" w:cs="Times New Roman"/>
                <w:color w:val="auto"/>
                <w:sz w:val="20"/>
                <w:szCs w:val="20"/>
                <w:highlight w:val="none"/>
                <w:shd w:val="clear" w:color="auto" w:fill="FFFFFF"/>
                <w:vertAlign w:val="baseline"/>
                <w:lang w:val="en-US" w:eastAsia="zh-CN"/>
              </w:rPr>
              <w:t>隧道名称</w:t>
            </w:r>
          </w:p>
        </w:tc>
        <w:tc>
          <w:tcPr>
            <w:tcW w:w="1455"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default" w:ascii="Times New Roman" w:hAnsi="Times New Roman" w:eastAsia="宋体" w:cs="Times New Roman"/>
                <w:color w:val="auto"/>
                <w:sz w:val="20"/>
                <w:szCs w:val="20"/>
                <w:highlight w:val="none"/>
                <w:shd w:val="clear" w:color="auto" w:fill="FFFFFF"/>
                <w:vertAlign w:val="baseline"/>
                <w:lang w:val="en-US" w:eastAsia="zh-CN"/>
              </w:rPr>
              <w:t>所在城市</w:t>
            </w:r>
          </w:p>
        </w:tc>
        <w:tc>
          <w:tcPr>
            <w:tcW w:w="1395"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default" w:ascii="Times New Roman" w:hAnsi="Times New Roman" w:eastAsia="宋体" w:cs="Times New Roman"/>
                <w:color w:val="auto"/>
                <w:sz w:val="20"/>
                <w:szCs w:val="20"/>
                <w:highlight w:val="none"/>
                <w:shd w:val="clear" w:color="auto" w:fill="FFFFFF"/>
                <w:vertAlign w:val="baseline"/>
                <w:lang w:val="en-US" w:eastAsia="zh-CN"/>
              </w:rPr>
              <w:t>埋深</w:t>
            </w:r>
          </w:p>
        </w:tc>
        <w:tc>
          <w:tcPr>
            <w:tcW w:w="252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default" w:ascii="Times New Roman" w:hAnsi="Times New Roman" w:eastAsia="宋体" w:cs="Times New Roman"/>
                <w:color w:val="auto"/>
                <w:sz w:val="20"/>
                <w:szCs w:val="20"/>
                <w:highlight w:val="none"/>
                <w:shd w:val="clear" w:color="auto" w:fill="FFFFFF"/>
                <w:vertAlign w:val="baseline"/>
                <w:lang w:val="en-US" w:eastAsia="zh-CN"/>
              </w:rPr>
              <w:t>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default" w:ascii="Times New Roman" w:hAnsi="Times New Roman" w:eastAsia="宋体" w:cs="Times New Roman"/>
                <w:color w:val="auto"/>
                <w:sz w:val="20"/>
                <w:szCs w:val="20"/>
                <w:highlight w:val="none"/>
                <w:shd w:val="clear" w:color="auto" w:fill="FFFFFF"/>
                <w:vertAlign w:val="baseline"/>
                <w:lang w:val="en-US" w:eastAsia="zh-CN"/>
              </w:rPr>
              <w:t>1</w:t>
            </w:r>
          </w:p>
        </w:tc>
        <w:tc>
          <w:tcPr>
            <w:tcW w:w="2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default" w:ascii="Times New Roman" w:hAnsi="Times New Roman" w:eastAsia="宋体" w:cs="Times New Roman"/>
                <w:color w:val="auto"/>
                <w:sz w:val="20"/>
                <w:szCs w:val="20"/>
                <w:highlight w:val="none"/>
                <w:shd w:val="clear" w:color="auto" w:fill="FFFFFF"/>
                <w:vertAlign w:val="baseline"/>
                <w:lang w:val="en-US" w:eastAsia="zh-CN"/>
              </w:rPr>
              <w:t>荃湾雨水排放隧道</w:t>
            </w:r>
          </w:p>
        </w:tc>
        <w:tc>
          <w:tcPr>
            <w:tcW w:w="14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中国香港</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default" w:ascii="Times New Roman" w:hAnsi="Times New Roman" w:eastAsia="宋体" w:cs="Times New Roman"/>
                <w:color w:val="auto"/>
                <w:sz w:val="20"/>
                <w:szCs w:val="20"/>
                <w:highlight w:val="none"/>
                <w:shd w:val="clear" w:color="auto" w:fill="FFFFFF"/>
                <w:vertAlign w:val="baseline"/>
                <w:lang w:val="en-US" w:eastAsia="zh-CN"/>
              </w:rPr>
              <w:t>最大约200m</w:t>
            </w:r>
          </w:p>
        </w:tc>
        <w:tc>
          <w:tcPr>
            <w:tcW w:w="2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default" w:ascii="Times New Roman" w:hAnsi="Times New Roman" w:eastAsia="宋体" w:cs="Times New Roman"/>
                <w:color w:val="auto"/>
                <w:sz w:val="20"/>
                <w:szCs w:val="20"/>
                <w:highlight w:val="none"/>
                <w:shd w:val="clear" w:color="auto" w:fill="FFFFFF"/>
                <w:vertAlign w:val="baseline"/>
                <w:lang w:val="en-US" w:eastAsia="zh-CN"/>
              </w:rPr>
              <w:t>长5.1km</w:t>
            </w:r>
            <w:r>
              <w:rPr>
                <w:rFonts w:hint="eastAsia" w:ascii="Times New Roman" w:hAnsi="Times New Roman" w:eastAsia="宋体" w:cs="Times New Roman"/>
                <w:color w:val="auto"/>
                <w:sz w:val="20"/>
                <w:szCs w:val="20"/>
                <w:highlight w:val="none"/>
                <w:shd w:val="clear" w:color="auto" w:fill="FFFFFF"/>
                <w:vertAlign w:val="baseline"/>
                <w:lang w:val="en-US" w:eastAsia="zh-CN"/>
              </w:rPr>
              <w:t>，内径</w:t>
            </w:r>
            <w:r>
              <w:rPr>
                <w:rFonts w:hint="default" w:ascii="Times New Roman" w:hAnsi="Times New Roman" w:eastAsia="宋体" w:cs="Times New Roman"/>
                <w:color w:val="auto"/>
                <w:sz w:val="20"/>
                <w:szCs w:val="20"/>
                <w:highlight w:val="none"/>
                <w:shd w:val="clear" w:color="auto" w:fill="FFFFFF"/>
                <w:vertAlign w:val="baseline"/>
                <w:lang w:val="en-US" w:eastAsia="zh-CN"/>
              </w:rPr>
              <w:t>6.5m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2</w:t>
            </w:r>
          </w:p>
        </w:tc>
        <w:tc>
          <w:tcPr>
            <w:tcW w:w="2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净化海港计划污水隧道</w:t>
            </w:r>
          </w:p>
        </w:tc>
        <w:tc>
          <w:tcPr>
            <w:tcW w:w="14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中国香港</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100m</w:t>
            </w:r>
          </w:p>
        </w:tc>
        <w:tc>
          <w:tcPr>
            <w:tcW w:w="2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长23.6km，内径0.9~3m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3</w:t>
            </w:r>
          </w:p>
        </w:tc>
        <w:tc>
          <w:tcPr>
            <w:tcW w:w="2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荔枝角雨水排放隧道</w:t>
            </w:r>
          </w:p>
        </w:tc>
        <w:tc>
          <w:tcPr>
            <w:tcW w:w="14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中国香港</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40m</w:t>
            </w:r>
          </w:p>
        </w:tc>
        <w:tc>
          <w:tcPr>
            <w:tcW w:w="2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长3.7km，内径4.9m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4</w:t>
            </w:r>
          </w:p>
        </w:tc>
        <w:tc>
          <w:tcPr>
            <w:tcW w:w="2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和田弥生干线</w:t>
            </w:r>
          </w:p>
        </w:tc>
        <w:tc>
          <w:tcPr>
            <w:tcW w:w="14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日本东京都</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40m</w:t>
            </w:r>
          </w:p>
        </w:tc>
        <w:tc>
          <w:tcPr>
            <w:tcW w:w="2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长4.5km，内径12.5m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5</w:t>
            </w:r>
          </w:p>
        </w:tc>
        <w:tc>
          <w:tcPr>
            <w:tcW w:w="2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寝室川南部地下河川</w:t>
            </w:r>
          </w:p>
        </w:tc>
        <w:tc>
          <w:tcPr>
            <w:tcW w:w="14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日本大阪府</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25m</w:t>
            </w:r>
          </w:p>
        </w:tc>
        <w:tc>
          <w:tcPr>
            <w:tcW w:w="2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长11.2km，内径9.8～6.9m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6</w:t>
            </w:r>
          </w:p>
        </w:tc>
        <w:tc>
          <w:tcPr>
            <w:tcW w:w="2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今井川地下河川</w:t>
            </w:r>
          </w:p>
        </w:tc>
        <w:tc>
          <w:tcPr>
            <w:tcW w:w="14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日本横滨市</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50m</w:t>
            </w:r>
          </w:p>
        </w:tc>
        <w:tc>
          <w:tcPr>
            <w:tcW w:w="2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长2.0km，内径10.8m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7</w:t>
            </w:r>
          </w:p>
        </w:tc>
        <w:tc>
          <w:tcPr>
            <w:tcW w:w="2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矢上川地下调节池</w:t>
            </w:r>
          </w:p>
        </w:tc>
        <w:tc>
          <w:tcPr>
            <w:tcW w:w="14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日本神奈川县</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55m</w:t>
            </w:r>
          </w:p>
        </w:tc>
        <w:tc>
          <w:tcPr>
            <w:tcW w:w="2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长4.0km，内径7.9m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8</w:t>
            </w:r>
          </w:p>
        </w:tc>
        <w:tc>
          <w:tcPr>
            <w:tcW w:w="2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鹤见川地下河川</w:t>
            </w:r>
          </w:p>
        </w:tc>
        <w:tc>
          <w:tcPr>
            <w:tcW w:w="14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日本神奈川县</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50m</w:t>
            </w:r>
          </w:p>
        </w:tc>
        <w:tc>
          <w:tcPr>
            <w:tcW w:w="2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长4.0km，内径10m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9</w:t>
            </w:r>
          </w:p>
        </w:tc>
        <w:tc>
          <w:tcPr>
            <w:tcW w:w="2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东京都古川地下调节池</w:t>
            </w:r>
          </w:p>
        </w:tc>
        <w:tc>
          <w:tcPr>
            <w:tcW w:w="14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日本东京都</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36m</w:t>
            </w:r>
          </w:p>
        </w:tc>
        <w:tc>
          <w:tcPr>
            <w:tcW w:w="2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长3.26km，内径7.5m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10</w:t>
            </w:r>
          </w:p>
        </w:tc>
        <w:tc>
          <w:tcPr>
            <w:tcW w:w="2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kern w:val="2"/>
                <w:sz w:val="20"/>
                <w:szCs w:val="20"/>
                <w:highlight w:val="none"/>
                <w:shd w:val="clear" w:color="auto" w:fill="FFFFFF"/>
                <w:vertAlign w:val="baseline"/>
                <w:lang w:val="en-US" w:eastAsia="zh-CN" w:bidi="ar-SA"/>
              </w:rPr>
              <w:t>江户川深层排水隧道</w:t>
            </w:r>
          </w:p>
        </w:tc>
        <w:tc>
          <w:tcPr>
            <w:tcW w:w="14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kern w:val="2"/>
                <w:sz w:val="20"/>
                <w:szCs w:val="20"/>
                <w:highlight w:val="none"/>
                <w:shd w:val="clear" w:color="auto" w:fill="FFFFFF"/>
                <w:vertAlign w:val="baseline"/>
                <w:lang w:val="en-US" w:eastAsia="zh-CN" w:bidi="ar-SA"/>
              </w:rPr>
              <w:t>日本东京</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kern w:val="2"/>
                <w:sz w:val="20"/>
                <w:szCs w:val="20"/>
                <w:highlight w:val="none"/>
                <w:shd w:val="clear" w:color="auto" w:fill="FFFFFF"/>
                <w:vertAlign w:val="baseline"/>
                <w:lang w:val="en-US" w:eastAsia="zh-CN" w:bidi="ar-SA"/>
              </w:rPr>
              <w:t>60m~100m</w:t>
            </w:r>
          </w:p>
        </w:tc>
        <w:tc>
          <w:tcPr>
            <w:tcW w:w="2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kern w:val="2"/>
                <w:sz w:val="20"/>
                <w:szCs w:val="20"/>
                <w:highlight w:val="none"/>
                <w:shd w:val="clear" w:color="auto" w:fill="FFFFFF"/>
                <w:vertAlign w:val="baseline"/>
                <w:lang w:val="en-US" w:eastAsia="zh-CN" w:bidi="ar-SA"/>
              </w:rPr>
              <w:t>长6.3km，内径10.6m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11</w:t>
            </w:r>
          </w:p>
        </w:tc>
        <w:tc>
          <w:tcPr>
            <w:tcW w:w="2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东部深层排水隧道工程</w:t>
            </w:r>
          </w:p>
        </w:tc>
        <w:tc>
          <w:tcPr>
            <w:tcW w:w="14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墨西哥城</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200m</w:t>
            </w:r>
          </w:p>
        </w:tc>
        <w:tc>
          <w:tcPr>
            <w:tcW w:w="2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长63km，内径7m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12</w:t>
            </w:r>
          </w:p>
        </w:tc>
        <w:tc>
          <w:tcPr>
            <w:tcW w:w="2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芝加哥隧道和水库方案</w:t>
            </w:r>
          </w:p>
        </w:tc>
        <w:tc>
          <w:tcPr>
            <w:tcW w:w="14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美国芝加哥</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107m</w:t>
            </w:r>
          </w:p>
        </w:tc>
        <w:tc>
          <w:tcPr>
            <w:tcW w:w="2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长176km，内径10.6m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13</w:t>
            </w:r>
          </w:p>
        </w:tc>
        <w:tc>
          <w:tcPr>
            <w:tcW w:w="2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密尔沃基隧道系统</w:t>
            </w:r>
          </w:p>
        </w:tc>
        <w:tc>
          <w:tcPr>
            <w:tcW w:w="14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美国密尔沃基</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100m</w:t>
            </w:r>
          </w:p>
        </w:tc>
        <w:tc>
          <w:tcPr>
            <w:tcW w:w="2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长45.5km，内径10m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14</w:t>
            </w:r>
          </w:p>
        </w:tc>
        <w:tc>
          <w:tcPr>
            <w:tcW w:w="2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旧金山输送调蓄系统</w:t>
            </w:r>
          </w:p>
        </w:tc>
        <w:tc>
          <w:tcPr>
            <w:tcW w:w="14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美国旧金山</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30m</w:t>
            </w:r>
          </w:p>
        </w:tc>
        <w:tc>
          <w:tcPr>
            <w:tcW w:w="2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长3km，内径9m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15</w:t>
            </w:r>
          </w:p>
        </w:tc>
        <w:tc>
          <w:tcPr>
            <w:tcW w:w="2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印第安纳波利斯深层隧道系统</w:t>
            </w:r>
          </w:p>
        </w:tc>
        <w:tc>
          <w:tcPr>
            <w:tcW w:w="14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美国印第安纳波利斯</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75m</w:t>
            </w:r>
          </w:p>
        </w:tc>
        <w:tc>
          <w:tcPr>
            <w:tcW w:w="2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长40km，内径5.5m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16</w:t>
            </w:r>
          </w:p>
        </w:tc>
        <w:tc>
          <w:tcPr>
            <w:tcW w:w="2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泰晤士深层隧道</w:t>
            </w:r>
          </w:p>
        </w:tc>
        <w:tc>
          <w:tcPr>
            <w:tcW w:w="14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英国伦敦</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30m~65m</w:t>
            </w:r>
          </w:p>
        </w:tc>
        <w:tc>
          <w:tcPr>
            <w:tcW w:w="2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长35km，内径7.2~9.0m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17</w:t>
            </w:r>
          </w:p>
        </w:tc>
        <w:tc>
          <w:tcPr>
            <w:tcW w:w="2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深隧道污水系统</w:t>
            </w:r>
          </w:p>
        </w:tc>
        <w:tc>
          <w:tcPr>
            <w:tcW w:w="14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新加坡</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22m~55m</w:t>
            </w:r>
          </w:p>
        </w:tc>
        <w:tc>
          <w:tcPr>
            <w:tcW w:w="2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长98km，内径6m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18</w:t>
            </w:r>
          </w:p>
        </w:tc>
        <w:tc>
          <w:tcPr>
            <w:tcW w:w="2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广州深层排水隧道东濠涌试验段</w:t>
            </w:r>
          </w:p>
        </w:tc>
        <w:tc>
          <w:tcPr>
            <w:tcW w:w="14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中国广州</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olor w:val="auto"/>
                <w:szCs w:val="21"/>
                <w:highlight w:val="none"/>
                <w:shd w:val="clear" w:color="auto" w:fill="FFFFFF"/>
                <w:lang w:val="en-US" w:eastAsia="zh-CN"/>
              </w:rPr>
              <w:t>33m~40m</w:t>
            </w:r>
          </w:p>
        </w:tc>
        <w:tc>
          <w:tcPr>
            <w:tcW w:w="2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长1.77km，内径6m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19</w:t>
            </w:r>
          </w:p>
        </w:tc>
        <w:tc>
          <w:tcPr>
            <w:tcW w:w="2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大东湖污水深隧系统</w:t>
            </w:r>
          </w:p>
        </w:tc>
        <w:tc>
          <w:tcPr>
            <w:tcW w:w="14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s="Times New Roman"/>
                <w:color w:val="auto"/>
                <w:sz w:val="20"/>
                <w:szCs w:val="20"/>
                <w:highlight w:val="none"/>
                <w:shd w:val="clear" w:color="auto" w:fill="FFFFFF"/>
                <w:vertAlign w:val="baseline"/>
                <w:lang w:val="en-US" w:eastAsia="zh-CN"/>
              </w:rPr>
              <w:t>中国武汉</w:t>
            </w:r>
          </w:p>
        </w:tc>
        <w:tc>
          <w:tcPr>
            <w:tcW w:w="13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0"/>
                <w:szCs w:val="20"/>
                <w:highlight w:val="none"/>
                <w:shd w:val="clear" w:color="auto" w:fill="FFFFFF"/>
                <w:vertAlign w:val="baseline"/>
                <w:lang w:val="en-US" w:eastAsia="zh-CN"/>
              </w:rPr>
            </w:pPr>
            <w:r>
              <w:rPr>
                <w:rFonts w:hint="eastAsia" w:ascii="Times New Roman" w:hAnsi="Times New Roman" w:eastAsia="宋体"/>
                <w:color w:val="auto"/>
                <w:szCs w:val="21"/>
                <w:highlight w:val="none"/>
                <w:shd w:val="clear" w:color="auto" w:fill="FFFFFF"/>
                <w:lang w:val="en-US" w:eastAsia="zh-CN"/>
              </w:rPr>
              <w:t>25.5m~35.5m</w:t>
            </w:r>
          </w:p>
        </w:tc>
        <w:tc>
          <w:tcPr>
            <w:tcW w:w="2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0"/>
                <w:szCs w:val="20"/>
                <w:highlight w:val="none"/>
                <w:shd w:val="clear" w:color="auto" w:fill="FFFFFF"/>
                <w:vertAlign w:val="baseline"/>
                <w:lang w:val="en-US" w:eastAsia="zh-CN" w:bidi="ar-SA"/>
              </w:rPr>
            </w:pPr>
            <w:r>
              <w:rPr>
                <w:rFonts w:hint="eastAsia" w:ascii="Times New Roman" w:hAnsi="Times New Roman" w:eastAsia="宋体" w:cs="Times New Roman"/>
                <w:color w:val="auto"/>
                <w:sz w:val="20"/>
                <w:szCs w:val="20"/>
                <w:highlight w:val="none"/>
                <w:shd w:val="clear" w:color="auto" w:fill="FFFFFF"/>
                <w:vertAlign w:val="baseline"/>
                <w:lang w:val="en-US" w:eastAsia="zh-CN"/>
              </w:rPr>
              <w:t>长17.52km，内径3.0~3.4m</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20" w:firstLineChars="200"/>
        <w:textAlignment w:val="auto"/>
        <w:rPr>
          <w:rFonts w:hint="eastAsia" w:ascii="Times New Roman" w:hAnsi="Times New Roman" w:eastAsia="宋体"/>
          <w:color w:val="auto"/>
          <w:szCs w:val="21"/>
          <w:highlight w:val="none"/>
          <w:shd w:val="clear" w:color="auto" w:fill="FFFFFF"/>
          <w:lang w:val="en-US" w:eastAsia="zh-CN"/>
        </w:rPr>
      </w:pPr>
      <w:r>
        <w:rPr>
          <w:rFonts w:hint="eastAsia" w:ascii="Times New Roman" w:hAnsi="Times New Roman" w:eastAsia="宋体"/>
          <w:b w:val="0"/>
          <w:bCs w:val="0"/>
          <w:color w:val="auto"/>
          <w:highlight w:val="none"/>
          <w:lang w:val="en-US" w:eastAsia="zh-CN"/>
        </w:rPr>
        <w:t>城市中，浅层和深层地下空间是一组相对的概念。一般浅层地下空间是指人类工程活动比较频繁的深度范围，一般有大量地下室、地下通道、地下管道、地下管廊、房屋基础等，建设长距离通道的环境条件较为恶劣；而深层地下空间是极少人类建设活动的深度范围，建设长距离通道的环境条件相对优越。目前，</w:t>
      </w:r>
      <w:r>
        <w:rPr>
          <w:rFonts w:hint="eastAsia" w:ascii="Times New Roman" w:hAnsi="Times New Roman" w:eastAsia="宋体"/>
          <w:color w:val="auto"/>
          <w:szCs w:val="21"/>
          <w:highlight w:val="none"/>
          <w:shd w:val="clear" w:color="auto" w:fill="FFFFFF"/>
          <w:lang w:val="en-US" w:eastAsia="zh-CN"/>
        </w:rPr>
        <w:t>一般将埋深15m以内城市地下空间的定义为浅层地下空间，埋深15m~30m的定义为中层地下空间，埋深超过30m的定义为深层地下空间。在编的国标《城市地下空间与地下工程分类标准》则将30m~50m深度范围的地下空间定义为次深层地下空间，超过50m范围的才定义为深层地下空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b w:val="0"/>
          <w:bCs w:val="0"/>
          <w:color w:val="auto"/>
          <w:highlight w:val="none"/>
          <w:lang w:val="en-US" w:eastAsia="zh-CN"/>
        </w:rPr>
      </w:pPr>
      <w:r>
        <w:rPr>
          <w:rFonts w:hint="eastAsia" w:ascii="Times New Roman" w:hAnsi="Times New Roman" w:eastAsia="宋体"/>
          <w:b w:val="0"/>
          <w:bCs w:val="0"/>
          <w:color w:val="auto"/>
          <w:highlight w:val="none"/>
          <w:lang w:val="en-US" w:eastAsia="zh-CN"/>
        </w:rPr>
        <w:t>目前称作“排水隧道”的有两种，一般沿河涌线位布设，分别称为浅层排水隧道和深层排水隧道。浅层排水隧道埋深较小，位于人类工程活动频繁的浅层空间，形式有管道、有箱涵，施工工法以明挖为主、顶管法或浅埋暗挖法为主，在建设上可归于水中埋设的室外管道工程。如果与此相对，那么深层排水隧道则属于纯粹的地下洞室，一般采用盾构法或矿山法施工，在建设上应归于水下隧道工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b w:val="0"/>
          <w:bCs w:val="0"/>
          <w:color w:val="auto"/>
          <w:highlight w:val="none"/>
          <w:lang w:val="en-US" w:eastAsia="zh-CN"/>
        </w:rPr>
      </w:pPr>
      <w:r>
        <w:rPr>
          <w:rFonts w:hint="eastAsia" w:ascii="Times New Roman" w:hAnsi="Times New Roman" w:eastAsia="宋体"/>
          <w:b w:val="0"/>
          <w:bCs w:val="0"/>
          <w:color w:val="auto"/>
          <w:highlight w:val="none"/>
          <w:lang w:val="en-US" w:eastAsia="zh-CN"/>
        </w:rPr>
        <w:t>故综合考虑，埋深超过15m的排水隧道均可定义为深层排水隧道，其最大埋深一般不小于25m。</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 xml:space="preserve">2.1.5 </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沉管隧道最早于1910年发源于美国底特律，我国于上世纪90年代引入，近年来在国内应用得越来越广泛，是一种特殊的隧道。其特殊性体现在几个方面：首先，它是一种过水域的隧道；其次，</w:t>
      </w:r>
      <w:r>
        <w:rPr>
          <w:rFonts w:hint="eastAsia"/>
          <w:color w:val="auto"/>
          <w:highlight w:val="none"/>
          <w:lang w:val="en-US" w:eastAsia="zh-CN"/>
        </w:rPr>
        <w:t>其</w:t>
      </w:r>
      <w:r>
        <w:rPr>
          <w:rFonts w:hint="eastAsia" w:ascii="Times New Roman" w:hAnsi="Times New Roman" w:eastAsia="宋体"/>
          <w:color w:val="auto"/>
          <w:highlight w:val="none"/>
          <w:lang w:val="en-US" w:eastAsia="zh-CN"/>
        </w:rPr>
        <w:t>隧道结构不在原位制作，而是其他地方预制好后运来；第三，它不以“穿越”岩土层的方式建设，而是放置于岩土层（基槽）之上再覆土的方式建设。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沉管隧道</w:t>
      </w:r>
      <w:r>
        <w:rPr>
          <w:rFonts w:hint="eastAsia" w:ascii="Times New Roman" w:hAnsi="Times New Roman" w:eastAsia="宋体"/>
          <w:color w:val="auto"/>
          <w:highlight w:val="none"/>
          <w:lang w:val="en-US" w:eastAsia="zh-CN"/>
        </w:rPr>
        <w:t>在城市中的应用越来越广泛，因为</w:t>
      </w:r>
      <w:r>
        <w:rPr>
          <w:rFonts w:hint="default" w:ascii="Times New Roman" w:hAnsi="Times New Roman" w:eastAsia="宋体"/>
          <w:color w:val="auto"/>
          <w:highlight w:val="none"/>
          <w:lang w:val="en-US" w:eastAsia="zh-CN"/>
        </w:rPr>
        <w:t>与其他</w:t>
      </w:r>
      <w:r>
        <w:rPr>
          <w:rFonts w:hint="eastAsia" w:ascii="Times New Roman" w:hAnsi="Times New Roman" w:eastAsia="宋体"/>
          <w:color w:val="auto"/>
          <w:highlight w:val="none"/>
          <w:lang w:val="en-US" w:eastAsia="zh-CN"/>
        </w:rPr>
        <w:t>穿越水域</w:t>
      </w:r>
      <w:r>
        <w:rPr>
          <w:rFonts w:hint="default" w:ascii="Times New Roman" w:hAnsi="Times New Roman" w:eastAsia="宋体"/>
          <w:color w:val="auto"/>
          <w:highlight w:val="none"/>
          <w:lang w:val="en-US" w:eastAsia="zh-CN"/>
        </w:rPr>
        <w:t>的隧道相比，</w:t>
      </w:r>
      <w:r>
        <w:rPr>
          <w:rFonts w:hint="eastAsia" w:ascii="Times New Roman" w:hAnsi="Times New Roman" w:eastAsia="宋体"/>
          <w:color w:val="auto"/>
          <w:highlight w:val="none"/>
          <w:lang w:val="en-US" w:eastAsia="zh-CN"/>
        </w:rPr>
        <w:t>沉管隧道</w:t>
      </w:r>
      <w:r>
        <w:rPr>
          <w:rFonts w:hint="default" w:ascii="Times New Roman" w:hAnsi="Times New Roman" w:eastAsia="宋体"/>
          <w:color w:val="auto"/>
          <w:highlight w:val="none"/>
          <w:lang w:val="en-US" w:eastAsia="zh-CN"/>
        </w:rPr>
        <w:t>有如下</w:t>
      </w:r>
      <w:r>
        <w:rPr>
          <w:rFonts w:hint="eastAsia" w:ascii="Times New Roman" w:hAnsi="Times New Roman" w:eastAsia="宋体"/>
          <w:color w:val="auto"/>
          <w:highlight w:val="none"/>
          <w:lang w:val="en-US" w:eastAsia="zh-CN"/>
        </w:rPr>
        <w:t>显著的优</w:t>
      </w:r>
      <w:r>
        <w:rPr>
          <w:rFonts w:hint="default" w:ascii="Times New Roman" w:hAnsi="Times New Roman" w:eastAsia="宋体"/>
          <w:color w:val="auto"/>
          <w:highlight w:val="none"/>
          <w:lang w:val="en-US" w:eastAsia="zh-CN"/>
        </w:rPr>
        <w:t>点：</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200" w:firstLine="0" w:firstLineChars="0"/>
        <w:textAlignment w:val="auto"/>
        <w:rPr>
          <w:rFonts w:hint="default" w:ascii="Times New Roman" w:hAnsi="Times New Roman" w:eastAsia="宋体"/>
          <w:color w:val="auto"/>
          <w:highlight w:val="none"/>
          <w:lang w:val="en-US" w:eastAsia="zh-CN"/>
        </w:rPr>
      </w:pPr>
      <w:r>
        <w:rPr>
          <w:b/>
          <w:bCs/>
          <w:color w:val="auto"/>
          <w:highlight w:val="none"/>
        </w:rPr>
        <w:t>1</w:t>
      </w:r>
      <w:r>
        <w:rPr>
          <w:rFonts w:hint="eastAsia"/>
          <w:color w:val="auto"/>
          <w:highlight w:val="none"/>
        </w:rPr>
        <w:t>　</w:t>
      </w:r>
      <w:r>
        <w:rPr>
          <w:rFonts w:hint="default" w:ascii="Times New Roman" w:hAnsi="Times New Roman" w:eastAsia="宋体"/>
          <w:color w:val="auto"/>
          <w:highlight w:val="none"/>
          <w:lang w:val="en-US" w:eastAsia="zh-CN"/>
        </w:rPr>
        <w:t>沉管隧道</w:t>
      </w:r>
      <w:r>
        <w:rPr>
          <w:rFonts w:hint="eastAsia" w:ascii="Times New Roman" w:hAnsi="Times New Roman" w:eastAsia="宋体"/>
          <w:color w:val="auto"/>
          <w:highlight w:val="none"/>
          <w:lang w:val="en-US" w:eastAsia="zh-CN"/>
        </w:rPr>
        <w:t>埋藏浅，其深度</w:t>
      </w:r>
      <w:r>
        <w:rPr>
          <w:rFonts w:hint="default" w:ascii="Times New Roman" w:hAnsi="Times New Roman" w:eastAsia="宋体"/>
          <w:color w:val="auto"/>
          <w:highlight w:val="none"/>
          <w:lang w:val="en-US" w:eastAsia="zh-CN"/>
        </w:rPr>
        <w:t>只要不妨碍通航</w:t>
      </w:r>
      <w:r>
        <w:rPr>
          <w:rFonts w:hint="eastAsia" w:ascii="Times New Roman" w:hAnsi="Times New Roman" w:eastAsia="宋体"/>
          <w:color w:val="auto"/>
          <w:highlight w:val="none"/>
          <w:lang w:val="en-US" w:eastAsia="zh-CN"/>
        </w:rPr>
        <w:t>即可</w:t>
      </w:r>
      <w:r>
        <w:rPr>
          <w:rFonts w:hint="default" w:ascii="Times New Roman" w:hAnsi="Times New Roman" w:eastAsia="宋体"/>
          <w:color w:val="auto"/>
          <w:highlight w:val="none"/>
          <w:lang w:val="en-US" w:eastAsia="zh-CN"/>
        </w:rPr>
        <w:t>，故隧道</w:t>
      </w:r>
      <w:r>
        <w:rPr>
          <w:rFonts w:hint="eastAsia" w:ascii="Times New Roman" w:hAnsi="Times New Roman" w:eastAsia="宋体"/>
          <w:color w:val="auto"/>
          <w:highlight w:val="none"/>
          <w:lang w:val="en-US" w:eastAsia="zh-CN"/>
        </w:rPr>
        <w:t>总</w:t>
      </w:r>
      <w:r>
        <w:rPr>
          <w:rFonts w:hint="default" w:ascii="Times New Roman" w:hAnsi="Times New Roman" w:eastAsia="宋体"/>
          <w:color w:val="auto"/>
          <w:highlight w:val="none"/>
          <w:lang w:val="en-US" w:eastAsia="zh-CN"/>
        </w:rPr>
        <w:t>长可以缩短</w:t>
      </w:r>
      <w:r>
        <w:rPr>
          <w:rFonts w:hint="eastAsia" w:ascii="Times New Roman" w:hAnsi="Times New Roman" w:eastAsia="宋体"/>
          <w:color w:val="auto"/>
          <w:highlight w:val="none"/>
          <w:lang w:val="en-US" w:eastAsia="zh-CN"/>
        </w:rPr>
        <w:t>，上岸不远即可出地面，与上部道路衔接</w:t>
      </w:r>
      <w:r>
        <w:rPr>
          <w:rFonts w:hint="default" w:ascii="Times New Roman" w:hAnsi="Times New Roman" w:eastAsia="宋体"/>
          <w:color w:val="auto"/>
          <w:highlight w:val="none"/>
          <w:lang w:val="en-US"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420" w:leftChars="200" w:firstLine="0" w:firstLineChars="0"/>
        <w:textAlignment w:val="auto"/>
        <w:rPr>
          <w:rFonts w:hint="default" w:ascii="Times New Roman" w:hAnsi="Times New Roman" w:eastAsia="宋体"/>
          <w:color w:val="auto"/>
          <w:highlight w:val="none"/>
          <w:lang w:val="en-US" w:eastAsia="zh-CN"/>
        </w:rPr>
      </w:pPr>
      <w:r>
        <w:rPr>
          <w:rFonts w:hint="eastAsia"/>
          <w:b/>
          <w:bCs/>
          <w:color w:val="auto"/>
          <w:highlight w:val="none"/>
          <w:lang w:val="en-US" w:eastAsia="zh-CN"/>
        </w:rPr>
        <w:t>2</w:t>
      </w:r>
      <w:r>
        <w:rPr>
          <w:rFonts w:hint="eastAsia"/>
          <w:color w:val="auto"/>
          <w:highlight w:val="none"/>
        </w:rPr>
        <w:t>　</w:t>
      </w:r>
      <w:r>
        <w:rPr>
          <w:rFonts w:hint="default" w:ascii="Times New Roman" w:hAnsi="Times New Roman" w:eastAsia="宋体"/>
          <w:color w:val="auto"/>
          <w:highlight w:val="none"/>
          <w:lang w:val="en-US" w:eastAsia="zh-CN"/>
        </w:rPr>
        <w:t>隧道管段是预制的，效率高、工期短</w:t>
      </w:r>
      <w:r>
        <w:rPr>
          <w:rFonts w:hint="eastAsia" w:ascii="Times New Roman" w:hAnsi="Times New Roman" w:eastAsia="宋体"/>
          <w:color w:val="auto"/>
          <w:highlight w:val="none"/>
          <w:lang w:val="en-US" w:eastAsia="zh-CN"/>
        </w:rPr>
        <w:t>、</w:t>
      </w:r>
      <w:r>
        <w:rPr>
          <w:rFonts w:hint="default" w:ascii="Times New Roman" w:hAnsi="Times New Roman" w:eastAsia="宋体"/>
          <w:color w:val="auto"/>
          <w:highlight w:val="none"/>
          <w:lang w:val="en-US" w:eastAsia="zh-CN"/>
        </w:rPr>
        <w:t>质量好</w:t>
      </w:r>
      <w:r>
        <w:rPr>
          <w:rFonts w:hint="eastAsia" w:ascii="Times New Roman" w:hAnsi="Times New Roman" w:eastAsia="宋体"/>
          <w:color w:val="auto"/>
          <w:highlight w:val="none"/>
          <w:lang w:val="en-US" w:eastAsia="zh-CN"/>
        </w:rPr>
        <w:t>、</w:t>
      </w:r>
      <w:r>
        <w:rPr>
          <w:rFonts w:hint="default" w:ascii="Times New Roman" w:hAnsi="Times New Roman" w:eastAsia="宋体"/>
          <w:color w:val="auto"/>
          <w:highlight w:val="none"/>
          <w:lang w:val="en-US" w:eastAsia="zh-CN"/>
        </w:rPr>
        <w:t>水密性高；</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420" w:leftChars="200" w:firstLine="0" w:firstLineChars="0"/>
        <w:textAlignment w:val="auto"/>
        <w:rPr>
          <w:rFonts w:hint="default" w:ascii="Times New Roman" w:hAnsi="Times New Roman" w:eastAsia="宋体"/>
          <w:color w:val="auto"/>
          <w:highlight w:val="none"/>
          <w:lang w:val="en-US" w:eastAsia="zh-CN"/>
        </w:rPr>
      </w:pPr>
      <w:r>
        <w:rPr>
          <w:rFonts w:hint="eastAsia"/>
          <w:b/>
          <w:bCs/>
          <w:color w:val="auto"/>
          <w:highlight w:val="none"/>
          <w:lang w:val="en-US" w:eastAsia="zh-CN"/>
        </w:rPr>
        <w:t>3</w:t>
      </w:r>
      <w:r>
        <w:rPr>
          <w:rFonts w:hint="eastAsia"/>
          <w:color w:val="auto"/>
          <w:highlight w:val="none"/>
        </w:rPr>
        <w:t>　</w:t>
      </w:r>
      <w:r>
        <w:rPr>
          <w:rFonts w:hint="default" w:ascii="Times New Roman" w:hAnsi="Times New Roman" w:eastAsia="宋体"/>
          <w:color w:val="auto"/>
          <w:highlight w:val="none"/>
          <w:lang w:val="en-US" w:eastAsia="zh-CN"/>
        </w:rPr>
        <w:t>因有浮力作用在隧道上，</w:t>
      </w:r>
      <w:r>
        <w:rPr>
          <w:rFonts w:hint="eastAsia" w:ascii="Times New Roman" w:hAnsi="Times New Roman" w:eastAsia="宋体"/>
          <w:color w:val="auto"/>
          <w:highlight w:val="none"/>
          <w:lang w:val="en-US" w:eastAsia="zh-CN"/>
        </w:rPr>
        <w:t>荷载</w:t>
      </w:r>
      <w:r>
        <w:rPr>
          <w:rFonts w:hint="default" w:ascii="Times New Roman" w:hAnsi="Times New Roman" w:eastAsia="宋体"/>
          <w:color w:val="auto"/>
          <w:highlight w:val="none"/>
          <w:lang w:val="en-US" w:eastAsia="zh-CN"/>
        </w:rPr>
        <w:t>小，要求地层承载力不大，</w:t>
      </w:r>
      <w:r>
        <w:rPr>
          <w:rFonts w:hint="eastAsia" w:ascii="Times New Roman" w:hAnsi="Times New Roman" w:eastAsia="宋体"/>
          <w:color w:val="auto"/>
          <w:highlight w:val="none"/>
          <w:lang w:val="en-US" w:eastAsia="zh-CN"/>
        </w:rPr>
        <w:t>可</w:t>
      </w:r>
      <w:r>
        <w:rPr>
          <w:rFonts w:hint="default" w:ascii="Times New Roman" w:hAnsi="Times New Roman" w:eastAsia="宋体"/>
          <w:color w:val="auto"/>
          <w:highlight w:val="none"/>
          <w:lang w:val="en-US" w:eastAsia="zh-CN"/>
        </w:rPr>
        <w:t>适用于</w:t>
      </w:r>
      <w:r>
        <w:rPr>
          <w:rFonts w:hint="eastAsia" w:ascii="Times New Roman" w:hAnsi="Times New Roman" w:eastAsia="宋体"/>
          <w:color w:val="auto"/>
          <w:highlight w:val="none"/>
          <w:lang w:val="en-US" w:eastAsia="zh-CN"/>
        </w:rPr>
        <w:t>较</w:t>
      </w:r>
      <w:r>
        <w:rPr>
          <w:rFonts w:hint="default" w:ascii="Times New Roman" w:hAnsi="Times New Roman" w:eastAsia="宋体"/>
          <w:color w:val="auto"/>
          <w:highlight w:val="none"/>
          <w:lang w:val="en-US" w:eastAsia="zh-CN"/>
        </w:rPr>
        <w:t>软弱</w:t>
      </w:r>
      <w:r>
        <w:rPr>
          <w:rFonts w:hint="eastAsia" w:ascii="Times New Roman" w:hAnsi="Times New Roman" w:eastAsia="宋体"/>
          <w:color w:val="auto"/>
          <w:highlight w:val="none"/>
          <w:lang w:val="en-US" w:eastAsia="zh-CN"/>
        </w:rPr>
        <w:t>的</w:t>
      </w:r>
      <w:r>
        <w:rPr>
          <w:rFonts w:hint="default" w:ascii="Times New Roman" w:hAnsi="Times New Roman" w:eastAsia="宋体"/>
          <w:color w:val="auto"/>
          <w:highlight w:val="none"/>
          <w:lang w:val="en-US" w:eastAsia="zh-CN"/>
        </w:rPr>
        <w:t>地层；</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420" w:leftChars="200" w:firstLine="0" w:firstLineChars="0"/>
        <w:textAlignment w:val="auto"/>
        <w:rPr>
          <w:rFonts w:hint="default" w:ascii="Times New Roman" w:hAnsi="Times New Roman" w:eastAsia="宋体"/>
          <w:color w:val="auto"/>
          <w:highlight w:val="none"/>
          <w:lang w:val="en-US" w:eastAsia="zh-CN"/>
        </w:rPr>
      </w:pPr>
      <w:r>
        <w:rPr>
          <w:rFonts w:hint="eastAsia"/>
          <w:b/>
          <w:bCs/>
          <w:color w:val="auto"/>
          <w:highlight w:val="none"/>
          <w:lang w:val="en-US" w:eastAsia="zh-CN"/>
        </w:rPr>
        <w:t>4</w:t>
      </w:r>
      <w:r>
        <w:rPr>
          <w:rFonts w:hint="eastAsia"/>
          <w:color w:val="auto"/>
          <w:highlight w:val="none"/>
        </w:rPr>
        <w:t>　</w:t>
      </w:r>
      <w:r>
        <w:rPr>
          <w:rFonts w:hint="default" w:ascii="Times New Roman" w:hAnsi="Times New Roman" w:eastAsia="宋体"/>
          <w:color w:val="auto"/>
          <w:highlight w:val="none"/>
          <w:lang w:val="en-US" w:eastAsia="zh-CN"/>
        </w:rPr>
        <w:fldChar w:fldCharType="begin"/>
      </w:r>
      <w:r>
        <w:rPr>
          <w:rFonts w:hint="default" w:ascii="Times New Roman" w:hAnsi="Times New Roman" w:eastAsia="宋体"/>
          <w:color w:val="auto"/>
          <w:highlight w:val="none"/>
          <w:lang w:val="en-US" w:eastAsia="zh-CN"/>
        </w:rPr>
        <w:instrText xml:space="preserve"> HYPERLINK "https://baike.baidu.com/item/%E6%96%AD%E9%9D%A2/3016306" \t "https://baike.baidu.com/item/%E6%B2%89%E7%AE%A1%E5%BC%8F%E9%9A%A7%E9%81%93/_blank" </w:instrText>
      </w:r>
      <w:r>
        <w:rPr>
          <w:rFonts w:hint="default" w:ascii="Times New Roman" w:hAnsi="Times New Roman" w:eastAsia="宋体"/>
          <w:color w:val="auto"/>
          <w:highlight w:val="none"/>
          <w:lang w:val="en-US" w:eastAsia="zh-CN"/>
        </w:rPr>
        <w:fldChar w:fldCharType="separate"/>
      </w:r>
      <w:r>
        <w:rPr>
          <w:rFonts w:hint="default" w:ascii="Times New Roman" w:hAnsi="Times New Roman" w:eastAsia="宋体"/>
          <w:color w:val="auto"/>
          <w:highlight w:val="none"/>
          <w:lang w:val="en-US" w:eastAsia="zh-CN"/>
        </w:rPr>
        <w:t>断面</w:t>
      </w:r>
      <w:r>
        <w:rPr>
          <w:rFonts w:hint="default" w:ascii="Times New Roman" w:hAnsi="Times New Roman" w:eastAsia="宋体"/>
          <w:color w:val="auto"/>
          <w:highlight w:val="none"/>
          <w:lang w:val="en-US" w:eastAsia="zh-CN"/>
        </w:rPr>
        <w:fldChar w:fldCharType="end"/>
      </w:r>
      <w:r>
        <w:rPr>
          <w:rFonts w:hint="default" w:ascii="Times New Roman" w:hAnsi="Times New Roman" w:eastAsia="宋体"/>
          <w:color w:val="auto"/>
          <w:highlight w:val="none"/>
          <w:lang w:val="en-US" w:eastAsia="zh-CN"/>
        </w:rPr>
        <w:t>形状无特殊限制，可按用途自由选择</w:t>
      </w:r>
      <w:r>
        <w:rPr>
          <w:rFonts w:hint="eastAsia" w:ascii="Times New Roman" w:hAnsi="Times New Roman" w:eastAsia="宋体"/>
          <w:color w:val="auto"/>
          <w:highlight w:val="none"/>
          <w:lang w:val="en-US" w:eastAsia="zh-CN"/>
        </w:rPr>
        <w:t>、组合</w:t>
      </w:r>
      <w:r>
        <w:rPr>
          <w:rFonts w:hint="default" w:ascii="Times New Roman" w:hAnsi="Times New Roman" w:eastAsia="宋体"/>
          <w:color w:val="auto"/>
          <w:highlight w:val="none"/>
          <w:lang w:val="en-US" w:eastAsia="zh-CN"/>
        </w:rPr>
        <w:t>，特别适应较宽的断面形式</w:t>
      </w:r>
      <w:r>
        <w:rPr>
          <w:rFonts w:hint="eastAsia" w:ascii="Times New Roman" w:hAnsi="Times New Roman" w:eastAsia="宋体"/>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 xml:space="preserve">2.1.6 </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下沉式道路虽然称为“道路”，但下沉式道路其实是城市中比较特殊的一种隧道形式，常见于隧道的出入口与一般道路的衔接段，往往称为隧道的敞开段；也有部分下沉式道路并无一般隧道段，即全线均是上部敞开的，没有上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宋体"/>
          <w:color w:val="auto"/>
          <w:szCs w:val="21"/>
          <w:highlight w:val="none"/>
          <w:shd w:val="clear" w:color="auto" w:fill="FFFFFF"/>
        </w:rPr>
      </w:pPr>
      <w:r>
        <w:rPr>
          <w:rFonts w:hint="eastAsia" w:ascii="Times New Roman" w:hAnsi="Times New Roman" w:eastAsia="宋体"/>
          <w:color w:val="auto"/>
          <w:highlight w:val="none"/>
          <w:lang w:val="en-US" w:eastAsia="zh-CN"/>
        </w:rPr>
        <w:t>下沉式道路从</w:t>
      </w:r>
      <w:r>
        <w:rPr>
          <w:rFonts w:hint="eastAsia" w:ascii="Times New Roman" w:hAnsi="Times New Roman" w:eastAsia="宋体"/>
          <w:color w:val="auto"/>
          <w:szCs w:val="21"/>
          <w:highlight w:val="none"/>
          <w:shd w:val="clear" w:color="auto" w:fill="FFFFFF"/>
          <w:lang w:val="en-US" w:eastAsia="zh-CN"/>
        </w:rPr>
        <w:t>断面</w:t>
      </w:r>
      <w:r>
        <w:rPr>
          <w:rFonts w:hint="eastAsia" w:ascii="Times New Roman" w:hAnsi="Times New Roman" w:eastAsia="宋体"/>
          <w:color w:val="auto"/>
          <w:highlight w:val="none"/>
          <w:lang w:val="en-US" w:eastAsia="zh-CN"/>
        </w:rPr>
        <w:t>形式上有些类似路堑，但是又与路堑有本质的区别。首先，当前大量城市隧道的敞开段事实上是下沉式道路，但约定俗成地，都视其为一般隧道的一部分，而不视作道路的路堑段；其次，下沉式道路一般按基坑进行支护设计，而路堑则按边坡进行支护设计；第三，下沉式道路有专门的结构底板，而道路路堑没有结构底板，只是一般路基；第四，下沉式道路需要考虑结构的防渗和抗浮，而路堑不需要。下沉式道路的这几个特点都表明，其性质上属于隧道，因此本规范将下沉式道路纳入城市隧道工程章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olor w:val="auto"/>
          <w:szCs w:val="21"/>
          <w:highlight w:val="none"/>
          <w:shd w:val="clear" w:color="auto" w:fill="FFFFFF"/>
        </w:rPr>
      </w:pPr>
      <w:r>
        <w:rPr>
          <w:rFonts w:hint="eastAsia" w:ascii="Times New Roman" w:hAnsi="Times New Roman" w:eastAsia="宋体"/>
          <w:b/>
          <w:bCs/>
          <w:color w:val="auto"/>
          <w:highlight w:val="none"/>
          <w:lang w:val="en-US" w:eastAsia="zh-CN"/>
        </w:rPr>
        <w:t xml:space="preserve">2.1.7 </w:t>
      </w:r>
      <w:r>
        <w:rPr>
          <w:rFonts w:hint="eastAsia"/>
          <w:b/>
          <w:bCs/>
          <w:color w:val="auto"/>
          <w:highlight w:val="none"/>
          <w:lang w:val="en-US" w:eastAsia="zh-CN"/>
        </w:rPr>
        <w:t xml:space="preserve"> </w:t>
      </w:r>
      <w:r>
        <w:rPr>
          <w:rFonts w:hint="eastAsia" w:ascii="Times New Roman" w:hAnsi="Times New Roman" w:eastAsia="宋体"/>
          <w:color w:val="auto"/>
          <w:szCs w:val="21"/>
          <w:highlight w:val="none"/>
          <w:shd w:val="clear" w:color="auto" w:fill="FFFFFF"/>
        </w:rPr>
        <w:t>管廊的定义、使用功能及特点与国家标准《城市综合管廊工程技术规范》GB 50838 保持一致。干线综合管廊一般设置于机动车道或道路中央下方，主要连接原站（如自来水厂、发电厂、热力厂等）与支线综合管廊，其一般不直接服务于沿线地区。干线综合管廊的断面通常为圆形或多格箱形，如图</w:t>
      </w:r>
      <w:r>
        <w:rPr>
          <w:rFonts w:ascii="Times New Roman" w:hAnsi="Times New Roman" w:eastAsia="宋体"/>
          <w:color w:val="auto"/>
          <w:szCs w:val="21"/>
          <w:highlight w:val="none"/>
          <w:shd w:val="clear" w:color="auto" w:fill="FFFFFF"/>
        </w:rPr>
        <w:t xml:space="preserve"> 1 所示。</w:t>
      </w:r>
    </w:p>
    <w:p>
      <w:pPr>
        <w:jc w:val="center"/>
        <w:rPr>
          <w:color w:val="auto"/>
          <w:highlight w:val="none"/>
        </w:rPr>
      </w:pPr>
      <w:r>
        <w:rPr>
          <w:rFonts w:ascii="宋体" w:hAnsi="宋体" w:eastAsia="宋体" w:cs="宋体"/>
          <w:color w:val="auto"/>
          <w:sz w:val="24"/>
          <w:szCs w:val="24"/>
          <w:highlight w:val="none"/>
        </w:rPr>
        <w:drawing>
          <wp:inline distT="0" distB="0" distL="114300" distR="114300">
            <wp:extent cx="5266055" cy="2088515"/>
            <wp:effectExtent l="0" t="0" r="10795" b="6985"/>
            <wp:docPr id="136" name="图片 1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IMG_256"/>
                    <pic:cNvPicPr>
                      <a:picLocks noChangeAspect="1"/>
                    </pic:cNvPicPr>
                  </pic:nvPicPr>
                  <pic:blipFill>
                    <a:blip r:embed="rId51"/>
                    <a:srcRect l="12817" t="30572" r="11661" b="27040"/>
                    <a:stretch>
                      <a:fillRect/>
                    </a:stretch>
                  </pic:blipFill>
                  <pic:spPr>
                    <a:xfrm>
                      <a:off x="0" y="0"/>
                      <a:ext cx="5266055" cy="2088515"/>
                    </a:xfrm>
                    <a:prstGeom prst="rect">
                      <a:avLst/>
                    </a:prstGeom>
                    <a:noFill/>
                    <a:ln w="9525">
                      <a:noFill/>
                    </a:ln>
                  </pic:spPr>
                </pic:pic>
              </a:graphicData>
            </a:graphic>
          </wp:inline>
        </w:drawing>
      </w:r>
    </w:p>
    <w:p>
      <w:pPr>
        <w:spacing w:line="360" w:lineRule="auto"/>
        <w:jc w:val="center"/>
        <w:rPr>
          <w:rFonts w:hint="default" w:ascii="Times New Roman" w:hAnsi="Times New Roman" w:eastAsia="宋体"/>
          <w:b/>
          <w:bCs/>
          <w:color w:val="auto"/>
          <w:highlight w:val="none"/>
          <w:vertAlign w:val="baseline"/>
          <w:lang w:val="en-US" w:eastAsia="zh-CN"/>
        </w:rPr>
      </w:pPr>
      <w:r>
        <w:rPr>
          <w:rFonts w:hint="eastAsia"/>
          <w:b/>
          <w:bCs/>
          <w:color w:val="auto"/>
          <w:highlight w:val="none"/>
          <w:lang w:val="en-US" w:eastAsia="zh-CN"/>
        </w:rPr>
        <w:t>图2</w:t>
      </w:r>
      <w:r>
        <w:rPr>
          <w:rFonts w:hint="eastAsia" w:ascii="Times New Roman" w:hAnsi="Times New Roman" w:eastAsia="宋体"/>
          <w:b/>
          <w:bCs/>
          <w:color w:val="auto"/>
          <w:highlight w:val="none"/>
          <w:lang w:val="en-US" w:eastAsia="zh-CN"/>
        </w:rPr>
        <w:t xml:space="preserve">-1 </w:t>
      </w:r>
      <w:r>
        <w:rPr>
          <w:rFonts w:hint="eastAsia"/>
          <w:b/>
          <w:bCs/>
          <w:color w:val="auto"/>
          <w:highlight w:val="none"/>
          <w:lang w:val="en-US" w:eastAsia="zh-CN"/>
        </w:rPr>
        <w:t xml:space="preserve"> 干线综合管廊示意图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olor w:val="auto"/>
          <w:szCs w:val="21"/>
          <w:highlight w:val="none"/>
          <w:shd w:val="clear" w:color="auto" w:fill="FFFFFF"/>
        </w:rPr>
      </w:pPr>
      <w:r>
        <w:rPr>
          <w:rFonts w:hint="eastAsia" w:ascii="Times New Roman" w:hAnsi="Times New Roman" w:eastAsia="宋体"/>
          <w:color w:val="auto"/>
          <w:szCs w:val="21"/>
          <w:highlight w:val="none"/>
          <w:shd w:val="clear" w:color="auto" w:fill="FFFFFF"/>
        </w:rPr>
        <w:t>支线综合管廊主要用于将各种供给从干线综合管廊分配、输送至各直接用户。其一般设置在道路的两旁，容纳直接服务于沿线地区的各种管线。支线综合管廊的截面以矩形较为常见，一般为单舱或双舱箱形结构，如图 2 所示。</w:t>
      </w:r>
    </w:p>
    <w:p>
      <w:pPr>
        <w:jc w:val="center"/>
        <w:rPr>
          <w:color w:val="auto"/>
          <w:highlight w:val="none"/>
        </w:rPr>
      </w:pPr>
      <w:r>
        <w:rPr>
          <w:rFonts w:ascii="宋体" w:hAnsi="宋体" w:eastAsia="宋体" w:cs="宋体"/>
          <w:color w:val="auto"/>
          <w:sz w:val="24"/>
          <w:szCs w:val="24"/>
          <w:highlight w:val="none"/>
        </w:rPr>
        <w:drawing>
          <wp:inline distT="0" distB="0" distL="114300" distR="114300">
            <wp:extent cx="2741295" cy="2944495"/>
            <wp:effectExtent l="0" t="0" r="8255" b="1905"/>
            <wp:docPr id="137" name="图片 1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IMG_256"/>
                    <pic:cNvPicPr>
                      <a:picLocks noChangeAspect="1"/>
                    </pic:cNvPicPr>
                  </pic:nvPicPr>
                  <pic:blipFill>
                    <a:blip r:embed="rId52"/>
                    <a:srcRect l="20669" t="29384" r="21503" b="26746"/>
                    <a:stretch>
                      <a:fillRect/>
                    </a:stretch>
                  </pic:blipFill>
                  <pic:spPr>
                    <a:xfrm rot="16200000">
                      <a:off x="0" y="0"/>
                      <a:ext cx="2741295" cy="2944495"/>
                    </a:xfrm>
                    <a:prstGeom prst="rect">
                      <a:avLst/>
                    </a:prstGeom>
                    <a:noFill/>
                    <a:ln w="9525">
                      <a:noFill/>
                    </a:ln>
                  </pic:spPr>
                </pic:pic>
              </a:graphicData>
            </a:graphic>
          </wp:inline>
        </w:drawing>
      </w:r>
    </w:p>
    <w:p>
      <w:pPr>
        <w:spacing w:line="360" w:lineRule="auto"/>
        <w:jc w:val="center"/>
        <w:rPr>
          <w:color w:val="auto"/>
          <w:highlight w:val="none"/>
        </w:rPr>
      </w:pPr>
      <w:r>
        <w:rPr>
          <w:rFonts w:hint="eastAsia"/>
          <w:b/>
          <w:bCs/>
          <w:color w:val="auto"/>
          <w:highlight w:val="none"/>
          <w:lang w:val="en-US" w:eastAsia="zh-CN"/>
        </w:rPr>
        <w:t>图2</w:t>
      </w:r>
      <w:r>
        <w:rPr>
          <w:rFonts w:hint="eastAsia" w:ascii="Times New Roman" w:hAnsi="Times New Roman" w:eastAsia="宋体"/>
          <w:b/>
          <w:bCs/>
          <w:color w:val="auto"/>
          <w:highlight w:val="none"/>
          <w:lang w:val="en-US" w:eastAsia="zh-CN"/>
        </w:rPr>
        <w:t>-</w:t>
      </w:r>
      <w:r>
        <w:rPr>
          <w:rFonts w:hint="eastAsia"/>
          <w:b/>
          <w:bCs/>
          <w:color w:val="auto"/>
          <w:highlight w:val="none"/>
          <w:lang w:val="en-US" w:eastAsia="zh-CN"/>
        </w:rPr>
        <w:t>2</w:t>
      </w:r>
      <w:r>
        <w:rPr>
          <w:rFonts w:hint="eastAsia" w:ascii="Times New Roman" w:hAnsi="Times New Roman" w:eastAsia="宋体"/>
          <w:b/>
          <w:bCs/>
          <w:color w:val="auto"/>
          <w:highlight w:val="none"/>
          <w:lang w:val="en-US" w:eastAsia="zh-CN"/>
        </w:rPr>
        <w:t xml:space="preserve"> </w:t>
      </w:r>
      <w:r>
        <w:rPr>
          <w:rFonts w:hint="eastAsia"/>
          <w:b/>
          <w:bCs/>
          <w:color w:val="auto"/>
          <w:highlight w:val="none"/>
          <w:lang w:val="en-US" w:eastAsia="zh-CN"/>
        </w:rPr>
        <w:t xml:space="preserve"> 支线综合管廊示意图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olor w:val="auto"/>
          <w:szCs w:val="21"/>
          <w:highlight w:val="none"/>
          <w:shd w:val="clear" w:color="auto" w:fill="FFFFFF"/>
        </w:rPr>
      </w:pPr>
      <w:r>
        <w:rPr>
          <w:rFonts w:hint="eastAsia" w:ascii="Times New Roman" w:hAnsi="Times New Roman" w:eastAsia="宋体"/>
          <w:color w:val="auto"/>
          <w:szCs w:val="21"/>
          <w:highlight w:val="none"/>
          <w:shd w:val="clear" w:color="auto" w:fill="FFFFFF"/>
        </w:rPr>
        <w:t>缆线管廊一般设置在道路的人行道下面，其埋深较浅。截面以矩形较为常见，如图 3 所示。一般工作通道不要求通行，管廊内不要求设置照明、通风等设备，仅设置供维护时可开启的盖板或工作手孔即可。</w:t>
      </w:r>
    </w:p>
    <w:p>
      <w:pPr>
        <w:jc w:val="center"/>
        <w:rPr>
          <w:color w:val="auto"/>
          <w:highlight w:val="none"/>
        </w:rPr>
      </w:pPr>
      <w:r>
        <w:rPr>
          <w:rFonts w:ascii="宋体" w:hAnsi="宋体" w:eastAsia="宋体" w:cs="宋体"/>
          <w:color w:val="auto"/>
          <w:sz w:val="24"/>
          <w:szCs w:val="24"/>
          <w:highlight w:val="none"/>
        </w:rPr>
        <w:drawing>
          <wp:inline distT="0" distB="0" distL="114300" distR="114300">
            <wp:extent cx="2361565" cy="4553585"/>
            <wp:effectExtent l="0" t="0" r="18415" b="635"/>
            <wp:docPr id="159" name="图片 1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IMG_256"/>
                    <pic:cNvPicPr>
                      <a:picLocks noChangeAspect="1"/>
                    </pic:cNvPicPr>
                  </pic:nvPicPr>
                  <pic:blipFill>
                    <a:blip r:embed="rId53"/>
                    <a:srcRect l="26046" t="13575" r="23412" b="17624"/>
                    <a:stretch>
                      <a:fillRect/>
                    </a:stretch>
                  </pic:blipFill>
                  <pic:spPr>
                    <a:xfrm rot="16200000">
                      <a:off x="0" y="0"/>
                      <a:ext cx="2361565" cy="4553585"/>
                    </a:xfrm>
                    <a:prstGeom prst="rect">
                      <a:avLst/>
                    </a:prstGeom>
                    <a:noFill/>
                    <a:ln w="9525">
                      <a:noFill/>
                    </a:ln>
                  </pic:spPr>
                </pic:pic>
              </a:graphicData>
            </a:graphic>
          </wp:inline>
        </w:drawing>
      </w:r>
    </w:p>
    <w:p>
      <w:pPr>
        <w:spacing w:line="360" w:lineRule="auto"/>
        <w:jc w:val="center"/>
        <w:rPr>
          <w:color w:val="auto"/>
          <w:highlight w:val="none"/>
        </w:rPr>
      </w:pPr>
      <w:r>
        <w:rPr>
          <w:rFonts w:hint="eastAsia"/>
          <w:b/>
          <w:bCs/>
          <w:color w:val="auto"/>
          <w:highlight w:val="none"/>
          <w:lang w:val="en-US" w:eastAsia="zh-CN"/>
        </w:rPr>
        <w:t>图2</w:t>
      </w:r>
      <w:r>
        <w:rPr>
          <w:rFonts w:hint="eastAsia" w:ascii="Times New Roman" w:hAnsi="Times New Roman" w:eastAsia="宋体"/>
          <w:b/>
          <w:bCs/>
          <w:color w:val="auto"/>
          <w:highlight w:val="none"/>
          <w:lang w:val="en-US" w:eastAsia="zh-CN"/>
        </w:rPr>
        <w:t>-</w:t>
      </w:r>
      <w:r>
        <w:rPr>
          <w:rFonts w:hint="eastAsia"/>
          <w:b/>
          <w:bCs/>
          <w:color w:val="auto"/>
          <w:highlight w:val="none"/>
          <w:lang w:val="en-US" w:eastAsia="zh-CN"/>
        </w:rPr>
        <w:t>3</w:t>
      </w:r>
      <w:r>
        <w:rPr>
          <w:rFonts w:hint="eastAsia" w:ascii="Times New Roman" w:hAnsi="Times New Roman" w:eastAsia="宋体"/>
          <w:b/>
          <w:bCs/>
          <w:color w:val="auto"/>
          <w:highlight w:val="none"/>
          <w:lang w:val="en-US" w:eastAsia="zh-CN"/>
        </w:rPr>
        <w:t xml:space="preserve"> </w:t>
      </w:r>
      <w:r>
        <w:rPr>
          <w:rFonts w:hint="eastAsia"/>
          <w:b/>
          <w:bCs/>
          <w:color w:val="auto"/>
          <w:highlight w:val="none"/>
          <w:lang w:val="en-US" w:eastAsia="zh-CN"/>
        </w:rPr>
        <w:t xml:space="preserve"> 缆线综合管廊示意图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olor w:val="auto"/>
          <w:szCs w:val="21"/>
          <w:highlight w:val="none"/>
          <w:shd w:val="clear" w:color="auto" w:fill="FFFFFF"/>
        </w:rPr>
      </w:pPr>
      <w:r>
        <w:rPr>
          <w:rFonts w:hint="eastAsia" w:ascii="Times New Roman" w:hAnsi="Times New Roman" w:eastAsia="宋体"/>
          <w:color w:val="auto"/>
          <w:szCs w:val="21"/>
          <w:highlight w:val="none"/>
          <w:shd w:val="clear" w:color="auto" w:fill="FFFFFF"/>
        </w:rPr>
        <w:t>依据国家标准《城市综合管廊工程技术规范》GB 50838，综合管廊为“容纳两类及以上城市工程管线的构筑物及附属设施”，缆线管廊可</w:t>
      </w:r>
      <w:r>
        <w:rPr>
          <w:rFonts w:hint="eastAsia" w:ascii="Times New Roman" w:hAnsi="Times New Roman" w:eastAsia="宋体"/>
          <w:color w:val="auto"/>
          <w:szCs w:val="21"/>
          <w:highlight w:val="none"/>
          <w:shd w:val="clear" w:color="auto" w:fill="FFFFFF"/>
          <w:lang w:val="en-US" w:eastAsia="zh-CN"/>
        </w:rPr>
        <w:t>视为一种特殊的</w:t>
      </w:r>
      <w:r>
        <w:rPr>
          <w:rFonts w:hint="eastAsia" w:ascii="Times New Roman" w:hAnsi="Times New Roman" w:eastAsia="宋体"/>
          <w:color w:val="auto"/>
          <w:szCs w:val="21"/>
          <w:highlight w:val="none"/>
          <w:shd w:val="clear" w:color="auto" w:fill="FFFFFF"/>
        </w:rPr>
        <w:t>综合管廊。</w:t>
      </w:r>
    </w:p>
    <w:p>
      <w:pPr>
        <w:spacing w:line="360" w:lineRule="auto"/>
        <w:rPr>
          <w:rFonts w:hint="eastAsia"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 xml:space="preserve">2.1.9  </w:t>
      </w:r>
      <w:r>
        <w:rPr>
          <w:rFonts w:hint="eastAsia" w:ascii="Times New Roman" w:hAnsi="Times New Roman" w:eastAsia="宋体"/>
          <w:color w:val="auto"/>
          <w:szCs w:val="21"/>
          <w:highlight w:val="none"/>
          <w:shd w:val="clear" w:color="auto" w:fill="FFFFFF"/>
          <w:lang w:val="en-US" w:eastAsia="zh-CN"/>
        </w:rPr>
        <w:t>垃圾焚烧厂</w:t>
      </w:r>
      <w:r>
        <w:rPr>
          <w:rFonts w:hint="eastAsia" w:ascii="Helvetica" w:hAnsi="Helvetica" w:eastAsia="宋体" w:cs="Helvetica"/>
          <w:i w:val="0"/>
          <w:caps w:val="0"/>
          <w:color w:val="auto"/>
          <w:spacing w:val="0"/>
          <w:sz w:val="21"/>
          <w:szCs w:val="21"/>
          <w:highlight w:val="none"/>
          <w:shd w:val="clear" w:fill="FFFFFF"/>
          <w:lang w:val="en-US" w:eastAsia="zh-CN"/>
        </w:rPr>
        <w:t>一般指垃圾焚烧发电厂。</w:t>
      </w:r>
    </w:p>
    <w:p>
      <w:pPr>
        <w:spacing w:line="360" w:lineRule="auto"/>
        <w:rPr>
          <w:rFonts w:hint="default" w:ascii="Times New Roman" w:hAnsi="Times New Roman" w:eastAsia="宋体"/>
          <w:color w:val="auto"/>
          <w:szCs w:val="21"/>
          <w:highlight w:val="none"/>
          <w:lang w:val="en-US"/>
        </w:rPr>
      </w:pPr>
      <w:r>
        <w:rPr>
          <w:rFonts w:hint="eastAsia" w:ascii="Times New Roman" w:hAnsi="Times New Roman" w:eastAsia="宋体"/>
          <w:b/>
          <w:bCs/>
          <w:color w:val="auto"/>
          <w:highlight w:val="none"/>
          <w:lang w:val="en-US" w:eastAsia="zh-CN"/>
        </w:rPr>
        <w:t xml:space="preserve">2.1.10  </w:t>
      </w:r>
      <w:r>
        <w:rPr>
          <w:rFonts w:ascii="Times New Roman" w:hAnsi="Times New Roman" w:eastAsia="宋体"/>
          <w:color w:val="auto"/>
          <w:szCs w:val="21"/>
          <w:highlight w:val="none"/>
          <w:shd w:val="clear" w:color="auto" w:fill="FFFFFF"/>
        </w:rPr>
        <w:t>场地平整工程</w:t>
      </w:r>
      <w:r>
        <w:rPr>
          <w:rFonts w:hint="eastAsia" w:ascii="Times New Roman" w:hAnsi="Times New Roman" w:eastAsia="宋体"/>
          <w:color w:val="auto"/>
          <w:szCs w:val="21"/>
          <w:highlight w:val="none"/>
          <w:shd w:val="clear" w:color="auto" w:fill="FFFFFF"/>
          <w:lang w:val="en-US" w:eastAsia="zh-CN"/>
        </w:rPr>
        <w:t>在深圳市称为“造地工程”或“场地整备工程”，</w:t>
      </w:r>
      <w:r>
        <w:rPr>
          <w:rFonts w:ascii="Times New Roman" w:hAnsi="Times New Roman" w:eastAsia="宋体"/>
          <w:color w:val="auto"/>
          <w:szCs w:val="21"/>
          <w:highlight w:val="none"/>
          <w:shd w:val="clear" w:color="auto" w:fill="FFFFFF"/>
        </w:rPr>
        <w:t>本规范主要针对在广东省内作为单一项目进行建设招投标的挖山和填海两类大型场地平整工程</w:t>
      </w:r>
      <w:r>
        <w:rPr>
          <w:rFonts w:hint="eastAsia" w:ascii="Times New Roman" w:hAnsi="Times New Roman" w:eastAsia="宋体"/>
          <w:color w:val="auto"/>
          <w:szCs w:val="21"/>
          <w:highlight w:val="none"/>
          <w:shd w:val="clear" w:color="auto" w:fill="FFFFFF"/>
          <w:lang w:eastAsia="zh-CN"/>
        </w:rPr>
        <w:t>。</w:t>
      </w:r>
      <w:r>
        <w:rPr>
          <w:rFonts w:hint="eastAsia" w:ascii="Times New Roman" w:hAnsi="Times New Roman" w:eastAsia="宋体"/>
          <w:color w:val="auto"/>
          <w:szCs w:val="21"/>
          <w:highlight w:val="none"/>
          <w:shd w:val="clear" w:color="auto" w:fill="FFFFFF"/>
          <w:lang w:val="en-US" w:eastAsia="zh-CN"/>
        </w:rPr>
        <w:t>不同于一般场地平整作业无需作前期勘察，这两类场地平整项目涉及的平整工程量较大，面临一定的岩土工程问题，有针对性勘察的需求。本世纪以来在广东省丘陵地带和沿海城市类似工程项目较多。</w:t>
      </w:r>
    </w:p>
    <w:p>
      <w:pPr>
        <w:pStyle w:val="3"/>
        <w:jc w:val="center"/>
        <w:outlineLvl w:val="0"/>
        <w:rPr>
          <w:rFonts w:ascii="Times New Roman" w:hAnsi="Times New Roman" w:eastAsia="宋体" w:cs="Times New Roman"/>
          <w:color w:val="auto"/>
          <w:sz w:val="24"/>
          <w:highlight w:val="none"/>
        </w:rPr>
      </w:pPr>
      <w:bookmarkStart w:id="318" w:name="_Toc29803"/>
      <w:bookmarkStart w:id="319" w:name="_Toc16574"/>
      <w:bookmarkStart w:id="320" w:name="_Toc27235"/>
      <w:r>
        <w:rPr>
          <w:rFonts w:ascii="Times New Roman" w:hAnsi="Times New Roman" w:eastAsia="宋体" w:cs="Times New Roman"/>
          <w:color w:val="auto"/>
          <w:sz w:val="24"/>
          <w:highlight w:val="none"/>
        </w:rPr>
        <w:t xml:space="preserve">2.2 </w:t>
      </w:r>
      <w:r>
        <w:rPr>
          <w:rFonts w:hint="eastAsia" w:ascii="Times New Roman" w:hAnsi="Times New Roman" w:eastAsia="宋体" w:cs="Times New Roman"/>
          <w:color w:val="auto"/>
          <w:sz w:val="24"/>
          <w:highlight w:val="none"/>
          <w:lang w:val="en-US" w:eastAsia="zh-CN"/>
        </w:rPr>
        <w:t xml:space="preserve"> </w:t>
      </w:r>
      <w:r>
        <w:rPr>
          <w:rFonts w:ascii="Times New Roman" w:hAnsi="Times New Roman" w:eastAsia="宋体" w:cs="Times New Roman"/>
          <w:color w:val="auto"/>
          <w:sz w:val="24"/>
          <w:highlight w:val="none"/>
        </w:rPr>
        <w:t>符号</w:t>
      </w:r>
      <w:bookmarkEnd w:id="318"/>
      <w:bookmarkEnd w:id="319"/>
      <w:bookmarkEnd w:id="320"/>
      <w:r>
        <w:rPr>
          <w:rFonts w:ascii="Times New Roman" w:hAnsi="Times New Roman" w:eastAsia="宋体" w:cs="Times New Roman"/>
          <w:color w:val="auto"/>
          <w:sz w:val="24"/>
          <w:highlight w:val="none"/>
        </w:rPr>
        <w:tab/>
      </w:r>
    </w:p>
    <w:p>
      <w:pPr>
        <w:spacing w:line="360" w:lineRule="auto"/>
        <w:rPr>
          <w:rFonts w:hint="eastAsia" w:ascii="Times New Roman" w:hAnsi="Times New Roman" w:eastAsia="宋体"/>
          <w:color w:val="auto"/>
          <w:szCs w:val="21"/>
          <w:highlight w:val="none"/>
          <w:lang w:val="en-US" w:eastAsia="zh-CN"/>
        </w:rPr>
      </w:pPr>
      <w:r>
        <w:rPr>
          <w:rFonts w:hint="eastAsia" w:ascii="Times New Roman" w:hAnsi="Times New Roman" w:eastAsia="宋体"/>
          <w:b/>
          <w:bCs/>
          <w:color w:val="auto"/>
          <w:highlight w:val="none"/>
          <w:lang w:val="en-US" w:eastAsia="zh-CN"/>
        </w:rPr>
        <w:t xml:space="preserve">2.2.2 </w:t>
      </w:r>
      <w:r>
        <w:rPr>
          <w:rFonts w:hint="eastAsia"/>
          <w:b/>
          <w:bCs/>
          <w:color w:val="auto"/>
          <w:highlight w:val="none"/>
          <w:lang w:val="en-US" w:eastAsia="zh-CN"/>
        </w:rPr>
        <w:t xml:space="preserve"> </w:t>
      </w:r>
      <w:r>
        <w:rPr>
          <w:rFonts w:hint="eastAsia" w:ascii="Times New Roman" w:hAnsi="Times New Roman" w:eastAsia="宋体"/>
          <w:b w:val="0"/>
          <w:bCs w:val="0"/>
          <w:color w:val="auto"/>
          <w:highlight w:val="none"/>
          <w:lang w:val="en-US" w:eastAsia="zh-CN"/>
        </w:rPr>
        <w:t>在</w:t>
      </w:r>
      <w:r>
        <w:rPr>
          <w:rFonts w:ascii="Times New Roman" w:hAnsi="Times New Roman" w:eastAsia="宋体"/>
          <w:color w:val="auto"/>
          <w:szCs w:val="21"/>
          <w:highlight w:val="none"/>
        </w:rPr>
        <w:t>《城</w:t>
      </w:r>
      <w:r>
        <w:rPr>
          <w:rFonts w:hint="eastAsia" w:ascii="Times New Roman" w:hAnsi="Times New Roman" w:eastAsia="宋体"/>
          <w:color w:val="auto"/>
          <w:szCs w:val="21"/>
          <w:highlight w:val="none"/>
        </w:rPr>
        <w:t>市</w:t>
      </w:r>
      <w:r>
        <w:rPr>
          <w:rFonts w:ascii="Times New Roman" w:hAnsi="Times New Roman" w:eastAsia="宋体"/>
          <w:color w:val="auto"/>
          <w:szCs w:val="21"/>
          <w:highlight w:val="none"/>
        </w:rPr>
        <w:t>道路路基设计规范》CJJ 194-2013</w:t>
      </w:r>
      <w:r>
        <w:rPr>
          <w:rFonts w:hint="eastAsia" w:ascii="Times New Roman" w:hAnsi="Times New Roman" w:eastAsia="宋体"/>
          <w:color w:val="auto"/>
          <w:szCs w:val="21"/>
          <w:highlight w:val="none"/>
          <w:lang w:val="en-US" w:eastAsia="zh-CN"/>
        </w:rPr>
        <w:t>中，</w:t>
      </w:r>
      <w:r>
        <w:rPr>
          <w:rFonts w:ascii="Times New Roman" w:hAnsi="Times New Roman" w:eastAsia="宋体"/>
          <w:color w:val="auto"/>
          <w:szCs w:val="21"/>
          <w:highlight w:val="none"/>
          <w:shd w:val="clear" w:color="auto" w:fill="FFFFFF"/>
        </w:rPr>
        <w:t>路基</w:t>
      </w:r>
      <w:r>
        <w:rPr>
          <w:rFonts w:ascii="Times New Roman" w:hAnsi="Times New Roman" w:eastAsia="宋体"/>
          <w:color w:val="auto"/>
          <w:szCs w:val="21"/>
          <w:highlight w:val="none"/>
        </w:rPr>
        <w:t>回弹模量</w:t>
      </w:r>
      <w:r>
        <w:rPr>
          <w:rFonts w:hint="eastAsia" w:ascii="Times New Roman" w:hAnsi="Times New Roman" w:eastAsia="宋体"/>
          <w:color w:val="auto"/>
          <w:szCs w:val="21"/>
          <w:highlight w:val="none"/>
          <w:lang w:val="en-US" w:eastAsia="zh-CN"/>
        </w:rPr>
        <w:t>的符号是</w:t>
      </w:r>
      <w:r>
        <w:rPr>
          <w:rFonts w:ascii="Times New Roman" w:hAnsi="Times New Roman" w:eastAsia="宋体"/>
          <w:i/>
          <w:iCs/>
          <w:color w:val="auto"/>
          <w:szCs w:val="21"/>
          <w:highlight w:val="none"/>
        </w:rPr>
        <w:t>E</w:t>
      </w:r>
      <w:r>
        <w:rPr>
          <w:rFonts w:ascii="Times New Roman" w:hAnsi="Times New Roman" w:eastAsia="宋体"/>
          <w:color w:val="auto"/>
          <w:szCs w:val="21"/>
          <w:highlight w:val="none"/>
          <w:vertAlign w:val="subscript"/>
        </w:rPr>
        <w:t>0</w:t>
      </w:r>
      <w:r>
        <w:rPr>
          <w:rFonts w:hint="eastAsia" w:ascii="Times New Roman" w:hAnsi="Times New Roman" w:eastAsia="宋体"/>
          <w:color w:val="auto"/>
          <w:szCs w:val="21"/>
          <w:highlight w:val="none"/>
          <w:lang w:val="en-US" w:eastAsia="zh-CN"/>
        </w:rPr>
        <w:t>。但</w:t>
      </w:r>
      <w:r>
        <w:rPr>
          <w:rFonts w:hint="eastAsia" w:ascii="Times New Roman" w:hAnsi="Times New Roman" w:eastAsia="宋体"/>
          <w:b w:val="0"/>
          <w:bCs w:val="0"/>
          <w:color w:val="auto"/>
          <w:highlight w:val="none"/>
          <w:lang w:val="en-US" w:eastAsia="zh-CN"/>
        </w:rPr>
        <w:t>因</w:t>
      </w:r>
      <w:r>
        <w:rPr>
          <w:rFonts w:hint="eastAsia" w:ascii="Times New Roman" w:hAnsi="Times New Roman" w:eastAsia="宋体"/>
          <w:color w:val="auto"/>
          <w:szCs w:val="21"/>
          <w:highlight w:val="none"/>
        </w:rPr>
        <w:t>勘察报告常用</w:t>
      </w:r>
      <w:r>
        <w:rPr>
          <w:rFonts w:hint="eastAsia" w:ascii="Times New Roman" w:hAnsi="Times New Roman" w:eastAsia="宋体"/>
          <w:color w:val="auto"/>
          <w:szCs w:val="21"/>
          <w:highlight w:val="none"/>
          <w:lang w:val="en-US" w:eastAsia="zh-CN"/>
        </w:rPr>
        <w:t>指代</w:t>
      </w:r>
      <w:r>
        <w:rPr>
          <w:rFonts w:ascii="Times New Roman" w:hAnsi="Times New Roman" w:eastAsia="宋体"/>
          <w:i/>
          <w:iCs/>
          <w:color w:val="auto"/>
          <w:szCs w:val="21"/>
          <w:highlight w:val="none"/>
        </w:rPr>
        <w:t>E</w:t>
      </w:r>
      <w:r>
        <w:rPr>
          <w:rFonts w:ascii="Times New Roman" w:hAnsi="Times New Roman" w:eastAsia="宋体"/>
          <w:color w:val="auto"/>
          <w:szCs w:val="21"/>
          <w:highlight w:val="none"/>
          <w:vertAlign w:val="subscript"/>
        </w:rPr>
        <w:t>0</w:t>
      </w:r>
      <w:r>
        <w:rPr>
          <w:rFonts w:hint="eastAsia" w:ascii="Times New Roman" w:hAnsi="Times New Roman" w:eastAsia="宋体"/>
          <w:color w:val="auto"/>
          <w:szCs w:val="21"/>
          <w:highlight w:val="none"/>
        </w:rPr>
        <w:t>变形模量</w:t>
      </w:r>
      <w:r>
        <w:rPr>
          <w:rFonts w:hint="eastAsia" w:ascii="Times New Roman" w:hAnsi="Times New Roman" w:eastAsia="宋体"/>
          <w:b w:val="0"/>
          <w:bCs w:val="0"/>
          <w:color w:val="auto"/>
          <w:highlight w:val="none"/>
          <w:lang w:val="en-US" w:eastAsia="zh-CN"/>
        </w:rPr>
        <w:t>，故本规范将</w:t>
      </w:r>
      <w:r>
        <w:rPr>
          <w:rFonts w:ascii="Times New Roman" w:hAnsi="Times New Roman" w:eastAsia="宋体"/>
          <w:color w:val="auto"/>
          <w:szCs w:val="21"/>
          <w:highlight w:val="none"/>
        </w:rPr>
        <w:t>路基回弹模量</w:t>
      </w:r>
      <w:r>
        <w:rPr>
          <w:rFonts w:hint="eastAsia" w:ascii="Times New Roman" w:hAnsi="Times New Roman" w:eastAsia="宋体"/>
          <w:color w:val="auto"/>
          <w:szCs w:val="21"/>
          <w:highlight w:val="none"/>
          <w:lang w:val="en-US" w:eastAsia="zh-CN"/>
        </w:rPr>
        <w:t>的符号增加了一个下标“R”，即</w:t>
      </w:r>
      <w:r>
        <w:rPr>
          <w:rFonts w:ascii="Times New Roman" w:hAnsi="Times New Roman" w:eastAsia="宋体"/>
          <w:i/>
          <w:iCs/>
          <w:color w:val="auto"/>
          <w:szCs w:val="21"/>
          <w:highlight w:val="none"/>
        </w:rPr>
        <w:t>E</w:t>
      </w:r>
      <w:r>
        <w:rPr>
          <w:rFonts w:ascii="Times New Roman" w:hAnsi="Times New Roman" w:eastAsia="宋体"/>
          <w:color w:val="auto"/>
          <w:szCs w:val="21"/>
          <w:highlight w:val="none"/>
          <w:vertAlign w:val="subscript"/>
        </w:rPr>
        <w:t>0</w:t>
      </w:r>
      <w:r>
        <w:rPr>
          <w:rFonts w:hint="eastAsia" w:ascii="Times New Roman" w:hAnsi="Times New Roman" w:eastAsia="宋体"/>
          <w:color w:val="auto"/>
          <w:szCs w:val="21"/>
          <w:highlight w:val="none"/>
          <w:vertAlign w:val="subscript"/>
          <w:lang w:val="en-US" w:eastAsia="zh-CN"/>
        </w:rPr>
        <w:t>R</w:t>
      </w:r>
      <w:r>
        <w:rPr>
          <w:rFonts w:hint="eastAsia" w:ascii="Times New Roman" w:hAnsi="Times New Roman" w:eastAsia="宋体"/>
          <w:color w:val="auto"/>
          <w:szCs w:val="21"/>
          <w:highlight w:val="none"/>
          <w:lang w:val="en-US" w:eastAsia="zh-CN"/>
        </w:rPr>
        <w:t>，以作区别。</w:t>
      </w:r>
    </w:p>
    <w:p>
      <w:pPr>
        <w:spacing w:line="360" w:lineRule="auto"/>
        <w:rPr>
          <w:rFonts w:ascii="Times New Roman" w:hAnsi="Times New Roman" w:eastAsia="宋体"/>
          <w:b/>
          <w:bCs/>
          <w:color w:val="auto"/>
          <w:highlight w:val="none"/>
        </w:rPr>
      </w:pPr>
      <w:r>
        <w:rPr>
          <w:rFonts w:hint="eastAsia" w:ascii="Times New Roman" w:hAnsi="Times New Roman" w:eastAsia="宋体"/>
          <w:b/>
          <w:bCs/>
          <w:color w:val="auto"/>
          <w:highlight w:val="none"/>
          <w:lang w:val="en-US" w:eastAsia="zh-CN"/>
        </w:rPr>
        <w:t xml:space="preserve">2.2.5 </w:t>
      </w:r>
      <w:r>
        <w:rPr>
          <w:rFonts w:hint="eastAsia"/>
          <w:b/>
          <w:bCs/>
          <w:color w:val="auto"/>
          <w:highlight w:val="none"/>
          <w:lang w:val="en-US" w:eastAsia="zh-CN"/>
        </w:rPr>
        <w:t xml:space="preserve"> </w:t>
      </w:r>
      <w:r>
        <w:rPr>
          <w:rFonts w:hint="eastAsia" w:ascii="Times New Roman" w:hAnsi="Times New Roman" w:eastAsia="宋体"/>
          <w:color w:val="auto"/>
          <w:szCs w:val="21"/>
          <w:highlight w:val="none"/>
          <w:lang w:val="en-US" w:eastAsia="zh-CN"/>
        </w:rPr>
        <w:t>由于</w:t>
      </w:r>
      <w:r>
        <w:rPr>
          <w:rFonts w:ascii="Times New Roman" w:hAnsi="Times New Roman" w:eastAsia="宋体"/>
          <w:i/>
          <w:iCs/>
          <w:color w:val="auto"/>
          <w:kern w:val="0"/>
          <w:szCs w:val="21"/>
          <w:highlight w:val="none"/>
        </w:rPr>
        <w:t>K</w:t>
      </w:r>
      <w:r>
        <w:rPr>
          <w:rFonts w:ascii="Times New Roman" w:hAnsi="Times New Roman" w:eastAsia="宋体"/>
          <w:color w:val="auto"/>
          <w:kern w:val="0"/>
          <w:szCs w:val="21"/>
          <w:highlight w:val="none"/>
          <w:vertAlign w:val="subscript"/>
        </w:rPr>
        <w:t>v</w:t>
      </w:r>
      <w:r>
        <w:rPr>
          <w:rFonts w:hint="eastAsia" w:ascii="Times New Roman" w:hAnsi="Times New Roman" w:eastAsia="宋体"/>
          <w:color w:val="auto"/>
          <w:szCs w:val="21"/>
          <w:highlight w:val="none"/>
          <w:lang w:val="en-US" w:eastAsia="zh-CN"/>
        </w:rPr>
        <w:t>广泛地用作岩体</w:t>
      </w:r>
      <w:r>
        <w:rPr>
          <w:rFonts w:ascii="Times New Roman" w:hAnsi="Times New Roman" w:eastAsia="宋体"/>
          <w:color w:val="auto"/>
          <w:kern w:val="0"/>
          <w:szCs w:val="21"/>
          <w:highlight w:val="none"/>
        </w:rPr>
        <w:t>完整性指数</w:t>
      </w:r>
      <w:r>
        <w:rPr>
          <w:rFonts w:hint="eastAsia" w:ascii="Times New Roman" w:hAnsi="Times New Roman" w:eastAsia="宋体"/>
          <w:color w:val="auto"/>
          <w:kern w:val="0"/>
          <w:szCs w:val="21"/>
          <w:highlight w:val="none"/>
          <w:lang w:val="en-US" w:eastAsia="zh-CN"/>
        </w:rPr>
        <w:t>的符号，而</w:t>
      </w:r>
      <w:r>
        <w:rPr>
          <w:rFonts w:hint="eastAsia" w:ascii="Times New Roman" w:hAnsi="Times New Roman" w:eastAsia="宋体"/>
          <w:color w:val="auto"/>
          <w:szCs w:val="21"/>
          <w:highlight w:val="none"/>
          <w:lang w:val="en-US" w:eastAsia="zh-CN"/>
        </w:rPr>
        <w:t>波速比的符号与其冲突，故在本规范中，将波速比的符号增加了一个下标“p”，即</w:t>
      </w:r>
      <w:r>
        <w:rPr>
          <w:rFonts w:ascii="Times New Roman" w:hAnsi="Times New Roman" w:eastAsia="宋体"/>
          <w:i/>
          <w:iCs/>
          <w:color w:val="auto"/>
          <w:kern w:val="0"/>
          <w:szCs w:val="21"/>
          <w:highlight w:val="none"/>
        </w:rPr>
        <w:t>K</w:t>
      </w:r>
      <w:r>
        <w:rPr>
          <w:rFonts w:ascii="Times New Roman" w:hAnsi="Times New Roman" w:eastAsia="宋体"/>
          <w:color w:val="auto"/>
          <w:kern w:val="0"/>
          <w:szCs w:val="21"/>
          <w:highlight w:val="none"/>
          <w:vertAlign w:val="subscript"/>
        </w:rPr>
        <w:t>v</w:t>
      </w:r>
      <w:r>
        <w:rPr>
          <w:rFonts w:hint="eastAsia" w:ascii="Times New Roman" w:hAnsi="Times New Roman" w:eastAsia="宋体"/>
          <w:color w:val="auto"/>
          <w:kern w:val="0"/>
          <w:szCs w:val="21"/>
          <w:highlight w:val="none"/>
          <w:vertAlign w:val="subscript"/>
          <w:lang w:val="en-US" w:eastAsia="zh-CN"/>
        </w:rPr>
        <w:t>p</w:t>
      </w:r>
      <w:r>
        <w:rPr>
          <w:rFonts w:hint="eastAsia" w:ascii="Times New Roman" w:hAnsi="Times New Roman" w:eastAsia="宋体"/>
          <w:color w:val="auto"/>
          <w:szCs w:val="21"/>
          <w:highlight w:val="none"/>
          <w:lang w:val="en-US" w:eastAsia="zh-CN"/>
        </w:rPr>
        <w:t>，以作区别。</w:t>
      </w:r>
      <w:r>
        <w:rPr>
          <w:rFonts w:ascii="Times New Roman" w:hAnsi="Times New Roman" w:eastAsia="宋体"/>
          <w:b/>
          <w:bCs/>
          <w:color w:val="auto"/>
          <w:highlight w:val="none"/>
        </w:rPr>
        <w:br w:type="page"/>
      </w:r>
    </w:p>
    <w:p>
      <w:pPr>
        <w:widowControl/>
        <w:jc w:val="left"/>
        <w:rPr>
          <w:rFonts w:ascii="Times New Roman" w:hAnsi="Times New Roman" w:eastAsia="宋体"/>
          <w:color w:val="auto"/>
          <w:sz w:val="22"/>
          <w:highlight w:val="none"/>
        </w:rPr>
      </w:pPr>
    </w:p>
    <w:p>
      <w:pPr>
        <w:pStyle w:val="2"/>
        <w:rPr>
          <w:rFonts w:ascii="Times New Roman" w:hAnsi="Times New Roman" w:eastAsia="宋体"/>
          <w:color w:val="auto"/>
          <w:highlight w:val="none"/>
        </w:rPr>
      </w:pPr>
      <w:bookmarkStart w:id="321" w:name="_Toc76998257"/>
      <w:bookmarkStart w:id="322" w:name="_Toc14773"/>
      <w:bookmarkStart w:id="323" w:name="_Toc24026"/>
      <w:r>
        <w:rPr>
          <w:rFonts w:ascii="Times New Roman" w:hAnsi="Times New Roman" w:eastAsia="宋体"/>
          <w:color w:val="auto"/>
          <w:highlight w:val="none"/>
        </w:rPr>
        <w:t>3</w:t>
      </w:r>
      <w:r>
        <w:rPr>
          <w:rFonts w:hint="eastAsia" w:ascii="Times New Roman" w:hAnsi="Times New Roman" w:eastAsia="宋体"/>
          <w:color w:val="auto"/>
          <w:highlight w:val="none"/>
        </w:rPr>
        <w:t xml:space="preserve">  </w:t>
      </w:r>
      <w:r>
        <w:rPr>
          <w:rFonts w:ascii="Times New Roman" w:hAnsi="Times New Roman" w:eastAsia="宋体"/>
          <w:color w:val="auto"/>
          <w:highlight w:val="none"/>
        </w:rPr>
        <w:t>基本规定</w:t>
      </w:r>
      <w:bookmarkEnd w:id="321"/>
      <w:bookmarkEnd w:id="322"/>
      <w:bookmarkEnd w:id="323"/>
    </w:p>
    <w:p>
      <w:pPr>
        <w:spacing w:line="360" w:lineRule="auto"/>
        <w:rPr>
          <w:rFonts w:hint="default" w:ascii="Times New Roman" w:hAnsi="Times New Roman" w:eastAsia="宋体"/>
          <w:color w:val="auto"/>
          <w:highlight w:val="none"/>
          <w:lang w:val="en-US"/>
        </w:rPr>
      </w:pPr>
      <w:r>
        <w:rPr>
          <w:rFonts w:ascii="Times New Roman" w:hAnsi="Times New Roman" w:eastAsia="宋体"/>
          <w:b/>
          <w:bCs/>
          <w:color w:val="auto"/>
          <w:highlight w:val="none"/>
        </w:rPr>
        <w:t>3.0.1</w:t>
      </w:r>
      <w:r>
        <w:rPr>
          <w:rFonts w:hint="eastAsia" w:ascii="Times New Roman" w:hAnsi="Times New Roman" w:eastAsia="宋体"/>
          <w:b/>
          <w:bCs/>
          <w:color w:val="auto"/>
          <w:highlight w:val="none"/>
          <w:lang w:val="en-US" w:eastAsia="zh-CN"/>
        </w:rPr>
        <w:t xml:space="preserve"> </w:t>
      </w:r>
      <w:r>
        <w:rPr>
          <w:rFonts w:hint="eastAsia"/>
          <w:b/>
          <w:bCs/>
          <w:color w:val="auto"/>
          <w:highlight w:val="none"/>
          <w:lang w:val="en-US" w:eastAsia="zh-CN"/>
        </w:rPr>
        <w:t xml:space="preserve">  </w:t>
      </w:r>
      <w:r>
        <w:rPr>
          <w:rFonts w:hint="eastAsia" w:ascii="Times New Roman" w:hAnsi="Times New Roman" w:eastAsia="宋体"/>
          <w:b w:val="0"/>
          <w:bCs w:val="0"/>
          <w:color w:val="auto"/>
          <w:highlight w:val="none"/>
          <w:lang w:val="en-US" w:eastAsia="zh-CN"/>
        </w:rPr>
        <w:t>就本条各款说明如下：</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 xml:space="preserve">1 </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本规范在</w:t>
      </w:r>
      <w:r>
        <w:rPr>
          <w:rFonts w:ascii="Times New Roman" w:hAnsi="Times New Roman" w:eastAsia="宋体"/>
          <w:color w:val="auto"/>
          <w:highlight w:val="none"/>
        </w:rPr>
        <w:t>行标《市政工程勘察规范》CJJ 56-2012表3.0.1-1</w:t>
      </w:r>
      <w:r>
        <w:rPr>
          <w:rFonts w:hint="eastAsia" w:ascii="Times New Roman" w:hAnsi="Times New Roman" w:eastAsia="宋体"/>
          <w:color w:val="auto"/>
          <w:highlight w:val="none"/>
          <w:lang w:val="en-US" w:eastAsia="zh-CN"/>
        </w:rPr>
        <w:t>基础上，对工程重要性等级划分作了若干调整，具体包括：</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1）</w:t>
      </w:r>
      <w:r>
        <w:rPr>
          <w:rFonts w:hint="eastAsia" w:ascii="Times New Roman" w:hAnsi="Times New Roman" w:eastAsia="宋体"/>
          <w:color w:val="auto"/>
          <w:highlight w:val="none"/>
          <w:lang w:val="en-US" w:eastAsia="zh-CN"/>
        </w:rPr>
        <w:t>根据当前市政项目类型情况，</w:t>
      </w:r>
      <w:r>
        <w:rPr>
          <w:rFonts w:ascii="Times New Roman" w:hAnsi="Times New Roman" w:eastAsia="宋体"/>
          <w:color w:val="auto"/>
          <w:highlight w:val="none"/>
        </w:rPr>
        <w:t>增加了</w:t>
      </w:r>
      <w:r>
        <w:rPr>
          <w:rFonts w:hint="eastAsia" w:ascii="Times New Roman" w:hAnsi="Times New Roman" w:eastAsia="宋体"/>
          <w:color w:val="auto"/>
          <w:highlight w:val="none"/>
          <w:lang w:val="en-US" w:eastAsia="zh-CN"/>
        </w:rPr>
        <w:t>管廊工程、</w:t>
      </w:r>
      <w:r>
        <w:rPr>
          <w:rFonts w:ascii="Times New Roman" w:hAnsi="Times New Roman" w:eastAsia="宋体"/>
          <w:color w:val="auto"/>
          <w:highlight w:val="none"/>
        </w:rPr>
        <w:t>场地平整工程和</w:t>
      </w:r>
      <w:r>
        <w:rPr>
          <w:rFonts w:hint="eastAsia" w:ascii="Times New Roman" w:hAnsi="Times New Roman" w:eastAsia="宋体"/>
          <w:color w:val="auto"/>
          <w:highlight w:val="none"/>
          <w:lang w:val="en-US" w:eastAsia="zh-CN"/>
        </w:rPr>
        <w:t>固体</w:t>
      </w:r>
      <w:r>
        <w:rPr>
          <w:rFonts w:ascii="Times New Roman" w:hAnsi="Times New Roman" w:eastAsia="宋体"/>
          <w:color w:val="auto"/>
          <w:highlight w:val="none"/>
        </w:rPr>
        <w:t>废弃物</w:t>
      </w:r>
      <w:r>
        <w:rPr>
          <w:rFonts w:hint="eastAsia" w:ascii="Times New Roman" w:hAnsi="Times New Roman" w:eastAsia="宋体"/>
          <w:color w:val="auto"/>
          <w:highlight w:val="none"/>
          <w:lang w:val="en-US" w:eastAsia="zh-CN"/>
        </w:rPr>
        <w:t>处理</w:t>
      </w:r>
      <w:r>
        <w:rPr>
          <w:rFonts w:ascii="Times New Roman" w:hAnsi="Times New Roman" w:eastAsia="宋体"/>
          <w:color w:val="auto"/>
          <w:highlight w:val="none"/>
        </w:rPr>
        <w:t>工程。</w:t>
      </w:r>
    </w:p>
    <w:p>
      <w:pPr>
        <w:spacing w:line="360" w:lineRule="auto"/>
        <w:ind w:firstLine="422" w:firstLineChars="200"/>
        <w:rPr>
          <w:rFonts w:hint="default" w:ascii="Times New Roman" w:hAnsi="Times New Roman" w:eastAsia="宋体"/>
          <w:color w:val="auto"/>
          <w:highlight w:val="none"/>
          <w:lang w:val="en-US" w:eastAsia="zh-CN"/>
        </w:rPr>
      </w:pPr>
      <w:r>
        <w:rPr>
          <w:rFonts w:ascii="Times New Roman" w:hAnsi="Times New Roman" w:eastAsia="宋体"/>
          <w:b/>
          <w:bCs/>
          <w:color w:val="auto"/>
          <w:highlight w:val="none"/>
        </w:rPr>
        <w:t>2）</w:t>
      </w:r>
      <w:r>
        <w:rPr>
          <w:rFonts w:ascii="Times New Roman" w:hAnsi="Times New Roman" w:eastAsia="宋体"/>
          <w:color w:val="auto"/>
          <w:highlight w:val="none"/>
        </w:rPr>
        <w:t>道路</w:t>
      </w:r>
      <w:r>
        <w:rPr>
          <w:rFonts w:hint="eastAsia" w:ascii="Times New Roman" w:hAnsi="Times New Roman" w:eastAsia="宋体"/>
          <w:color w:val="auto"/>
          <w:highlight w:val="none"/>
          <w:lang w:val="en-US" w:eastAsia="zh-CN"/>
        </w:rPr>
        <w:t>工程中，将城市中较新的类型绿道、慢行道路列入了</w:t>
      </w:r>
      <w:r>
        <w:rPr>
          <w:rFonts w:ascii="Times New Roman" w:hAnsi="Times New Roman" w:eastAsia="宋体"/>
          <w:color w:val="auto"/>
          <w:highlight w:val="none"/>
        </w:rPr>
        <w:t>。</w:t>
      </w:r>
      <w:r>
        <w:rPr>
          <w:rFonts w:ascii="Times New Roman" w:hAnsi="Times New Roman" w:eastAsia="宋体"/>
          <w:color w:val="auto"/>
          <w:szCs w:val="21"/>
          <w:highlight w:val="none"/>
        </w:rPr>
        <w:t>《公路路基设计规范》JTG D30-2015</w:t>
      </w:r>
      <w:r>
        <w:rPr>
          <w:rFonts w:hint="eastAsia" w:ascii="Times New Roman" w:hAnsi="Times New Roman" w:eastAsia="宋体"/>
          <w:color w:val="auto"/>
          <w:szCs w:val="21"/>
          <w:highlight w:val="none"/>
          <w:lang w:val="en-US" w:eastAsia="zh-CN"/>
        </w:rPr>
        <w:t>规定</w:t>
      </w:r>
      <w:r>
        <w:rPr>
          <w:rFonts w:hint="eastAsia" w:ascii="Times New Roman" w:hAnsi="Times New Roman" w:eastAsia="宋体"/>
          <w:color w:val="auto"/>
          <w:szCs w:val="21"/>
          <w:highlight w:val="none"/>
          <w:lang w:eastAsia="zh-CN"/>
        </w:rPr>
        <w:t>，</w:t>
      </w:r>
      <w:r>
        <w:rPr>
          <w:rFonts w:hint="eastAsia" w:ascii="Times New Roman" w:hAnsi="Times New Roman" w:eastAsia="宋体"/>
          <w:color w:val="auto"/>
          <w:highlight w:val="none"/>
          <w:lang w:val="en-US" w:eastAsia="zh-CN"/>
        </w:rPr>
        <w:t>高路堤是路基填土边坡高度大于20m的路堤，陡坡路堤是地面斜坡陡于1:2.5的路堤。而上海市《岩土工程勘察规范》</w:t>
      </w:r>
      <w:r>
        <w:rPr>
          <w:rFonts w:ascii="Times New Roman" w:hAnsi="Times New Roman" w:eastAsia="宋体"/>
          <w:color w:val="auto"/>
          <w:highlight w:val="none"/>
        </w:rPr>
        <w:t>DGJ</w:t>
      </w:r>
      <w:r>
        <w:rPr>
          <w:rFonts w:hint="eastAsia" w:ascii="Times New Roman" w:hAnsi="Times New Roman" w:eastAsia="宋体"/>
          <w:color w:val="auto"/>
          <w:highlight w:val="none"/>
          <w:lang w:val="en-US" w:eastAsia="zh-CN"/>
        </w:rPr>
        <w:t xml:space="preserve"> </w:t>
      </w:r>
      <w:r>
        <w:rPr>
          <w:rFonts w:ascii="Times New Roman" w:hAnsi="Times New Roman" w:eastAsia="宋体"/>
          <w:color w:val="auto"/>
          <w:highlight w:val="none"/>
        </w:rPr>
        <w:t>08-37-2012</w:t>
      </w:r>
      <w:r>
        <w:rPr>
          <w:rFonts w:hint="eastAsia" w:ascii="Times New Roman" w:hAnsi="Times New Roman" w:eastAsia="宋体"/>
          <w:color w:val="auto"/>
          <w:highlight w:val="none"/>
          <w:lang w:val="en-US" w:eastAsia="zh-CN"/>
        </w:rPr>
        <w:t>规定，填土高度超过2.5m的路堤为高填土路堤。鉴于城市区域的运营环境，综合考虑，本规范所指的高路堤为填土高度超过2.5m的路堤；陡坡路堤为地面斜坡陡于1:2.5的路堤。</w:t>
      </w:r>
    </w:p>
    <w:p>
      <w:pPr>
        <w:spacing w:line="360" w:lineRule="auto"/>
        <w:ind w:firstLine="422" w:firstLineChars="200"/>
        <w:rPr>
          <w:rFonts w:hint="eastAsia" w:ascii="Times New Roman" w:hAnsi="Times New Roman" w:eastAsia="宋体"/>
          <w:color w:val="auto"/>
          <w:szCs w:val="21"/>
          <w:highlight w:val="none"/>
          <w:lang w:val="en-US" w:eastAsia="zh-CN"/>
        </w:rPr>
      </w:pPr>
      <w:r>
        <w:rPr>
          <w:rFonts w:hint="eastAsia" w:ascii="Times New Roman" w:hAnsi="Times New Roman" w:eastAsia="宋体"/>
          <w:b/>
          <w:bCs/>
          <w:color w:val="auto"/>
          <w:highlight w:val="none"/>
          <w:lang w:val="en-US" w:eastAsia="zh-CN"/>
        </w:rPr>
        <w:t>3）</w:t>
      </w:r>
      <w:r>
        <w:rPr>
          <w:rFonts w:hint="eastAsia" w:ascii="Times New Roman" w:hAnsi="Times New Roman" w:eastAsia="宋体"/>
          <w:color w:val="auto"/>
          <w:highlight w:val="none"/>
          <w:lang w:val="en-US" w:eastAsia="zh-CN"/>
        </w:rPr>
        <w:t>根据《公路</w:t>
      </w:r>
      <w:r>
        <w:rPr>
          <w:rFonts w:hint="eastAsia" w:ascii="Times New Roman" w:hAnsi="Times New Roman" w:eastAsia="宋体"/>
          <w:color w:val="auto"/>
          <w:szCs w:val="21"/>
          <w:highlight w:val="none"/>
          <w:lang w:val="en-US" w:eastAsia="zh-CN"/>
        </w:rPr>
        <w:t>桥涵设计通用规范》JTG D60-2015，</w:t>
      </w:r>
      <w:r>
        <w:rPr>
          <w:rFonts w:hint="eastAsia" w:ascii="Times New Roman" w:hAnsi="Times New Roman" w:eastAsia="宋体"/>
          <w:color w:val="auto"/>
          <w:highlight w:val="none"/>
          <w:lang w:val="en-US" w:eastAsia="zh-CN"/>
        </w:rPr>
        <w:t>特大桥、大桥、中桥、小桥及涵洞按单孔跨径或多孔跨径总长如表3-1</w:t>
      </w:r>
      <w:r>
        <w:rPr>
          <w:rFonts w:hint="eastAsia" w:ascii="Times New Roman" w:hAnsi="Times New Roman" w:eastAsia="宋体"/>
          <w:color w:val="auto"/>
          <w:szCs w:val="21"/>
          <w:highlight w:val="none"/>
          <w:lang w:val="en-US" w:eastAsia="zh-CN"/>
        </w:rPr>
        <w:t>分类。</w:t>
      </w:r>
    </w:p>
    <w:p>
      <w:pPr>
        <w:spacing w:line="360" w:lineRule="auto"/>
        <w:jc w:val="center"/>
        <w:rPr>
          <w:rFonts w:hint="eastAsia" w:ascii="Times New Roman" w:hAnsi="Times New Roman" w:eastAsia="宋体"/>
          <w:b/>
          <w:bCs/>
          <w:color w:val="auto"/>
          <w:highlight w:val="none"/>
          <w:vertAlign w:val="baseline"/>
          <w:lang w:val="en-US" w:eastAsia="zh-CN"/>
        </w:rPr>
      </w:pPr>
      <w:r>
        <w:rPr>
          <w:rFonts w:hint="eastAsia" w:ascii="Times New Roman" w:hAnsi="Times New Roman" w:eastAsia="宋体"/>
          <w:b/>
          <w:bCs/>
          <w:color w:val="auto"/>
          <w:highlight w:val="none"/>
          <w:lang w:val="en-US" w:eastAsia="zh-CN"/>
        </w:rPr>
        <w:t xml:space="preserve">表3-1 </w:t>
      </w:r>
      <w:r>
        <w:rPr>
          <w:rFonts w:hint="eastAsia"/>
          <w:b/>
          <w:bCs/>
          <w:color w:val="auto"/>
          <w:highlight w:val="none"/>
          <w:lang w:val="en-US" w:eastAsia="zh-CN"/>
        </w:rPr>
        <w:t xml:space="preserve"> </w:t>
      </w:r>
      <w:r>
        <w:rPr>
          <w:rFonts w:hint="eastAsia" w:ascii="Times New Roman" w:hAnsi="Times New Roman" w:eastAsia="宋体"/>
          <w:b/>
          <w:bCs/>
          <w:color w:val="auto"/>
          <w:highlight w:val="none"/>
          <w:lang w:val="en-US" w:eastAsia="zh-CN"/>
        </w:rPr>
        <w:t>桥梁涵洞分类</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桥涵分类</w:t>
            </w:r>
          </w:p>
        </w:tc>
        <w:tc>
          <w:tcPr>
            <w:tcW w:w="284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多孔跨径总长</w:t>
            </w:r>
            <w:r>
              <w:rPr>
                <w:rFonts w:hint="eastAsia" w:ascii="Times New Roman" w:hAnsi="Times New Roman" w:eastAsia="宋体"/>
                <w:i/>
                <w:iCs/>
                <w:color w:val="auto"/>
                <w:sz w:val="20"/>
                <w:szCs w:val="21"/>
                <w:highlight w:val="none"/>
                <w:vertAlign w:val="baseline"/>
                <w:lang w:val="en-US" w:eastAsia="zh-CN"/>
              </w:rPr>
              <w:t>L</w:t>
            </w:r>
            <w:r>
              <w:rPr>
                <w:rFonts w:hint="eastAsia" w:ascii="Times New Roman" w:hAnsi="Times New Roman" w:eastAsia="宋体"/>
                <w:color w:val="auto"/>
                <w:sz w:val="20"/>
                <w:szCs w:val="21"/>
                <w:highlight w:val="none"/>
                <w:vertAlign w:val="baseline"/>
                <w:lang w:val="en-US" w:eastAsia="zh-CN"/>
              </w:rPr>
              <w:t>（m）</w:t>
            </w:r>
          </w:p>
        </w:tc>
        <w:tc>
          <w:tcPr>
            <w:tcW w:w="284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单孔跨径</w:t>
            </w:r>
            <w:r>
              <w:rPr>
                <w:rFonts w:hint="eastAsia" w:ascii="Times New Roman" w:hAnsi="Times New Roman" w:eastAsia="宋体"/>
                <w:i/>
                <w:iCs/>
                <w:color w:val="auto"/>
                <w:sz w:val="20"/>
                <w:szCs w:val="21"/>
                <w:highlight w:val="none"/>
                <w:vertAlign w:val="baseline"/>
                <w:lang w:val="en-US" w:eastAsia="zh-CN"/>
              </w:rPr>
              <w:t>L</w:t>
            </w:r>
            <w:r>
              <w:rPr>
                <w:rFonts w:hint="eastAsia" w:ascii="Times New Roman" w:hAnsi="Times New Roman" w:eastAsia="宋体"/>
                <w:color w:val="auto"/>
                <w:sz w:val="20"/>
                <w:szCs w:val="21"/>
                <w:highlight w:val="none"/>
                <w:vertAlign w:val="subscript"/>
                <w:lang w:val="en-US" w:eastAsia="zh-CN"/>
              </w:rPr>
              <w:t>K</w:t>
            </w:r>
            <w:r>
              <w:rPr>
                <w:rFonts w:hint="eastAsia" w:ascii="Times New Roman" w:hAnsi="Times New Roman" w:eastAsia="宋体"/>
                <w:color w:val="auto"/>
                <w:sz w:val="20"/>
                <w:szCs w:val="21"/>
                <w:highlight w:val="none"/>
                <w:vertAlign w:val="baseline"/>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特大桥</w:t>
            </w:r>
          </w:p>
        </w:tc>
        <w:tc>
          <w:tcPr>
            <w:tcW w:w="284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i/>
                <w:iCs/>
                <w:color w:val="auto"/>
                <w:sz w:val="20"/>
                <w:szCs w:val="21"/>
                <w:highlight w:val="none"/>
                <w:vertAlign w:val="baseline"/>
                <w:lang w:val="en-US" w:eastAsia="zh-CN"/>
              </w:rPr>
              <w:t>L</w:t>
            </w:r>
            <w:r>
              <w:rPr>
                <w:rFonts w:hint="eastAsia" w:ascii="Times New Roman" w:hAnsi="Times New Roman" w:eastAsia="宋体"/>
                <w:i w:val="0"/>
                <w:iCs w:val="0"/>
                <w:color w:val="auto"/>
                <w:sz w:val="20"/>
                <w:szCs w:val="21"/>
                <w:highlight w:val="none"/>
                <w:vertAlign w:val="baseline"/>
                <w:lang w:val="en-US" w:eastAsia="zh-CN"/>
              </w:rPr>
              <w:t>&gt;1000</w:t>
            </w:r>
          </w:p>
        </w:tc>
        <w:tc>
          <w:tcPr>
            <w:tcW w:w="284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i/>
                <w:iCs/>
                <w:color w:val="auto"/>
                <w:sz w:val="20"/>
                <w:szCs w:val="21"/>
                <w:highlight w:val="none"/>
                <w:vertAlign w:val="baseline"/>
                <w:lang w:val="en-US" w:eastAsia="zh-CN"/>
              </w:rPr>
              <w:t>L</w:t>
            </w:r>
            <w:r>
              <w:rPr>
                <w:rFonts w:hint="eastAsia" w:ascii="Times New Roman" w:hAnsi="Times New Roman" w:eastAsia="宋体"/>
                <w:color w:val="auto"/>
                <w:sz w:val="20"/>
                <w:szCs w:val="21"/>
                <w:highlight w:val="none"/>
                <w:vertAlign w:val="subscript"/>
                <w:lang w:val="en-US" w:eastAsia="zh-CN"/>
              </w:rPr>
              <w:t>K</w:t>
            </w:r>
            <w:r>
              <w:rPr>
                <w:rFonts w:hint="eastAsia" w:ascii="Times New Roman" w:hAnsi="Times New Roman" w:eastAsia="宋体"/>
                <w:i w:val="0"/>
                <w:iCs w:val="0"/>
                <w:color w:val="auto"/>
                <w:sz w:val="20"/>
                <w:szCs w:val="21"/>
                <w:highlight w:val="none"/>
                <w:vertAlign w:val="baseline"/>
                <w:lang w:val="en-US" w:eastAsia="zh-CN"/>
              </w:rPr>
              <w:t>&gt;150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大桥</w:t>
            </w:r>
          </w:p>
        </w:tc>
        <w:tc>
          <w:tcPr>
            <w:tcW w:w="284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default" w:ascii="Times New Roman" w:hAnsi="Times New Roman" w:eastAsia="宋体" w:cs="Times New Roman"/>
                <w:color w:val="auto"/>
                <w:sz w:val="20"/>
                <w:szCs w:val="21"/>
                <w:highlight w:val="none"/>
                <w:vertAlign w:val="baseline"/>
                <w:lang w:val="en-US" w:eastAsia="zh-CN"/>
              </w:rPr>
              <w:t>100</w:t>
            </w:r>
            <w:r>
              <w:rPr>
                <w:rFonts w:hint="eastAsia" w:ascii="宋体" w:hAnsi="宋体" w:eastAsia="宋体" w:cs="宋体"/>
                <w:color w:val="auto"/>
                <w:sz w:val="20"/>
                <w:szCs w:val="21"/>
                <w:highlight w:val="none"/>
                <w:vertAlign w:val="baseline"/>
                <w:lang w:val="en-US" w:eastAsia="zh-CN"/>
              </w:rPr>
              <w:t>≤</w:t>
            </w:r>
            <w:r>
              <w:rPr>
                <w:rFonts w:hint="eastAsia" w:ascii="Times New Roman" w:hAnsi="Times New Roman" w:eastAsia="宋体"/>
                <w:i/>
                <w:iCs/>
                <w:color w:val="auto"/>
                <w:sz w:val="20"/>
                <w:szCs w:val="21"/>
                <w:highlight w:val="none"/>
                <w:vertAlign w:val="baseline"/>
                <w:lang w:val="en-US" w:eastAsia="zh-CN"/>
              </w:rPr>
              <w:t>L</w:t>
            </w:r>
            <w:r>
              <w:rPr>
                <w:rFonts w:hint="eastAsia" w:ascii="宋体" w:hAnsi="宋体" w:eastAsia="宋体" w:cs="宋体"/>
                <w:color w:val="auto"/>
                <w:sz w:val="20"/>
                <w:szCs w:val="21"/>
                <w:highlight w:val="none"/>
                <w:vertAlign w:val="baseline"/>
                <w:lang w:val="en-US" w:eastAsia="zh-CN"/>
              </w:rPr>
              <w:t>≤</w:t>
            </w:r>
            <w:r>
              <w:rPr>
                <w:rFonts w:hint="default" w:ascii="Times New Roman" w:hAnsi="Times New Roman" w:eastAsia="宋体" w:cs="Times New Roman"/>
                <w:color w:val="auto"/>
                <w:sz w:val="20"/>
                <w:szCs w:val="21"/>
                <w:highlight w:val="none"/>
                <w:vertAlign w:val="baseline"/>
                <w:lang w:val="en-US" w:eastAsia="zh-CN"/>
              </w:rPr>
              <w:t>1000</w:t>
            </w:r>
          </w:p>
        </w:tc>
        <w:tc>
          <w:tcPr>
            <w:tcW w:w="284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s="Times New Roman"/>
                <w:color w:val="auto"/>
                <w:sz w:val="20"/>
                <w:szCs w:val="21"/>
                <w:highlight w:val="none"/>
                <w:vertAlign w:val="baseline"/>
                <w:lang w:val="en-US" w:eastAsia="zh-CN"/>
              </w:rPr>
              <w:t>4</w:t>
            </w:r>
            <w:r>
              <w:rPr>
                <w:rFonts w:hint="default" w:ascii="Times New Roman" w:hAnsi="Times New Roman" w:eastAsia="宋体" w:cs="Times New Roman"/>
                <w:color w:val="auto"/>
                <w:sz w:val="20"/>
                <w:szCs w:val="21"/>
                <w:highlight w:val="none"/>
                <w:vertAlign w:val="baseline"/>
                <w:lang w:val="en-US" w:eastAsia="zh-CN"/>
              </w:rPr>
              <w:t>0</w:t>
            </w:r>
            <w:r>
              <w:rPr>
                <w:rFonts w:hint="eastAsia" w:ascii="宋体" w:hAnsi="宋体" w:eastAsia="宋体" w:cs="宋体"/>
                <w:color w:val="auto"/>
                <w:sz w:val="20"/>
                <w:szCs w:val="21"/>
                <w:highlight w:val="none"/>
                <w:vertAlign w:val="baseline"/>
                <w:lang w:val="en-US" w:eastAsia="zh-CN"/>
              </w:rPr>
              <w:t>≤</w:t>
            </w:r>
            <w:r>
              <w:rPr>
                <w:rFonts w:hint="eastAsia" w:ascii="Times New Roman" w:hAnsi="Times New Roman" w:eastAsia="宋体"/>
                <w:i/>
                <w:iCs/>
                <w:color w:val="auto"/>
                <w:sz w:val="20"/>
                <w:szCs w:val="21"/>
                <w:highlight w:val="none"/>
                <w:vertAlign w:val="baseline"/>
                <w:lang w:val="en-US" w:eastAsia="zh-CN"/>
              </w:rPr>
              <w:t>L</w:t>
            </w:r>
            <w:r>
              <w:rPr>
                <w:rFonts w:hint="eastAsia" w:ascii="Times New Roman" w:hAnsi="Times New Roman" w:eastAsia="宋体"/>
                <w:color w:val="auto"/>
                <w:sz w:val="20"/>
                <w:szCs w:val="21"/>
                <w:highlight w:val="none"/>
                <w:vertAlign w:val="subscript"/>
                <w:lang w:val="en-US" w:eastAsia="zh-CN"/>
              </w:rPr>
              <w:t>K</w:t>
            </w:r>
            <w:r>
              <w:rPr>
                <w:rFonts w:hint="eastAsia" w:ascii="宋体" w:hAnsi="宋体" w:eastAsia="宋体" w:cs="宋体"/>
                <w:color w:val="auto"/>
                <w:sz w:val="20"/>
                <w:szCs w:val="21"/>
                <w:highlight w:val="none"/>
                <w:vertAlign w:val="baseline"/>
                <w:lang w:val="en-US" w:eastAsia="zh-CN"/>
              </w:rPr>
              <w:t>≤</w:t>
            </w:r>
            <w:r>
              <w:rPr>
                <w:rFonts w:hint="default" w:ascii="Times New Roman" w:hAnsi="Times New Roman" w:eastAsia="宋体" w:cs="Times New Roman"/>
                <w:color w:val="auto"/>
                <w:sz w:val="20"/>
                <w:szCs w:val="21"/>
                <w:highlight w:val="none"/>
                <w:vertAlign w:val="baseline"/>
                <w:lang w:val="en-US" w:eastAsia="zh-CN"/>
              </w:rPr>
              <w:t>1</w:t>
            </w:r>
            <w:r>
              <w:rPr>
                <w:rFonts w:hint="eastAsia" w:ascii="Times New Roman" w:hAnsi="Times New Roman" w:eastAsia="宋体" w:cs="Times New Roman"/>
                <w:color w:val="auto"/>
                <w:sz w:val="20"/>
                <w:szCs w:val="21"/>
                <w:highlight w:val="none"/>
                <w:vertAlign w:val="baseline"/>
                <w:lang w:val="en-US" w:eastAsia="zh-CN"/>
              </w:rPr>
              <w:t>5</w:t>
            </w:r>
            <w:r>
              <w:rPr>
                <w:rFonts w:hint="default" w:ascii="Times New Roman" w:hAnsi="Times New Roman" w:eastAsia="宋体" w:cs="Times New Roman"/>
                <w:color w:val="auto"/>
                <w:sz w:val="20"/>
                <w:szCs w:val="21"/>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中桥</w:t>
            </w:r>
          </w:p>
        </w:tc>
        <w:tc>
          <w:tcPr>
            <w:tcW w:w="284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30&lt;</w:t>
            </w:r>
            <w:r>
              <w:rPr>
                <w:rFonts w:hint="eastAsia" w:ascii="Times New Roman" w:hAnsi="Times New Roman" w:eastAsia="宋体"/>
                <w:i/>
                <w:iCs/>
                <w:color w:val="auto"/>
                <w:sz w:val="20"/>
                <w:szCs w:val="21"/>
                <w:highlight w:val="none"/>
                <w:vertAlign w:val="baseline"/>
                <w:lang w:val="en-US" w:eastAsia="zh-CN"/>
              </w:rPr>
              <w:t>L</w:t>
            </w:r>
            <w:r>
              <w:rPr>
                <w:rFonts w:hint="eastAsia" w:ascii="Times New Roman" w:hAnsi="Times New Roman" w:eastAsia="宋体"/>
                <w:color w:val="auto"/>
                <w:sz w:val="20"/>
                <w:szCs w:val="21"/>
                <w:highlight w:val="none"/>
                <w:vertAlign w:val="baseline"/>
                <w:lang w:val="en-US" w:eastAsia="zh-CN"/>
              </w:rPr>
              <w:t>&lt;100</w:t>
            </w:r>
          </w:p>
        </w:tc>
        <w:tc>
          <w:tcPr>
            <w:tcW w:w="284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s="Times New Roman"/>
                <w:color w:val="auto"/>
                <w:sz w:val="20"/>
                <w:szCs w:val="21"/>
                <w:highlight w:val="none"/>
                <w:vertAlign w:val="baseline"/>
                <w:lang w:val="en-US" w:eastAsia="zh-CN"/>
              </w:rPr>
              <w:t>2</w:t>
            </w:r>
            <w:r>
              <w:rPr>
                <w:rFonts w:hint="default" w:ascii="Times New Roman" w:hAnsi="Times New Roman" w:eastAsia="宋体" w:cs="Times New Roman"/>
                <w:color w:val="auto"/>
                <w:sz w:val="20"/>
                <w:szCs w:val="21"/>
                <w:highlight w:val="none"/>
                <w:vertAlign w:val="baseline"/>
                <w:lang w:val="en-US" w:eastAsia="zh-CN"/>
              </w:rPr>
              <w:t>0</w:t>
            </w:r>
            <w:r>
              <w:rPr>
                <w:rFonts w:hint="eastAsia" w:ascii="宋体" w:hAnsi="宋体" w:eastAsia="宋体" w:cs="宋体"/>
                <w:color w:val="auto"/>
                <w:sz w:val="20"/>
                <w:szCs w:val="21"/>
                <w:highlight w:val="none"/>
                <w:vertAlign w:val="baseline"/>
                <w:lang w:val="en-US" w:eastAsia="zh-CN"/>
              </w:rPr>
              <w:t>≤</w:t>
            </w:r>
            <w:r>
              <w:rPr>
                <w:rFonts w:hint="eastAsia" w:ascii="Times New Roman" w:hAnsi="Times New Roman" w:eastAsia="宋体"/>
                <w:i/>
                <w:iCs/>
                <w:color w:val="auto"/>
                <w:sz w:val="20"/>
                <w:szCs w:val="21"/>
                <w:highlight w:val="none"/>
                <w:vertAlign w:val="baseline"/>
                <w:lang w:val="en-US" w:eastAsia="zh-CN"/>
              </w:rPr>
              <w:t>L</w:t>
            </w:r>
            <w:r>
              <w:rPr>
                <w:rFonts w:hint="eastAsia" w:ascii="Times New Roman" w:hAnsi="Times New Roman" w:eastAsia="宋体"/>
                <w:color w:val="auto"/>
                <w:sz w:val="20"/>
                <w:szCs w:val="21"/>
                <w:highlight w:val="none"/>
                <w:vertAlign w:val="subscript"/>
                <w:lang w:val="en-US" w:eastAsia="zh-CN"/>
              </w:rPr>
              <w:t>K</w:t>
            </w:r>
            <w:r>
              <w:rPr>
                <w:rFonts w:hint="eastAsia" w:ascii="Times New Roman" w:hAnsi="Times New Roman" w:eastAsia="宋体"/>
                <w:i/>
                <w:iCs/>
                <w:color w:val="auto"/>
                <w:sz w:val="20"/>
                <w:szCs w:val="21"/>
                <w:highlight w:val="none"/>
                <w:vertAlign w:val="baseline"/>
                <w:lang w:val="en-US" w:eastAsia="zh-CN"/>
              </w:rPr>
              <w:t>&lt;</w:t>
            </w:r>
            <w:r>
              <w:rPr>
                <w:rFonts w:hint="eastAsia" w:ascii="Times New Roman" w:hAnsi="Times New Roman" w:eastAsia="宋体" w:cs="Times New Roman"/>
                <w:color w:val="auto"/>
                <w:sz w:val="20"/>
                <w:szCs w:val="21"/>
                <w:highlight w:val="none"/>
                <w:vertAlign w:val="baseline"/>
                <w:lang w:val="en-US" w:eastAsia="zh-CN"/>
              </w:rPr>
              <w:t>4</w:t>
            </w:r>
            <w:r>
              <w:rPr>
                <w:rFonts w:hint="default" w:ascii="Times New Roman" w:hAnsi="Times New Roman" w:eastAsia="宋体" w:cs="Times New Roman"/>
                <w:color w:val="auto"/>
                <w:sz w:val="20"/>
                <w:szCs w:val="21"/>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小桥</w:t>
            </w:r>
          </w:p>
        </w:tc>
        <w:tc>
          <w:tcPr>
            <w:tcW w:w="284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8</w:t>
            </w:r>
            <w:r>
              <w:rPr>
                <w:rFonts w:hint="eastAsia" w:ascii="宋体" w:hAnsi="宋体" w:eastAsia="宋体" w:cs="宋体"/>
                <w:color w:val="auto"/>
                <w:sz w:val="20"/>
                <w:szCs w:val="21"/>
                <w:highlight w:val="none"/>
                <w:vertAlign w:val="baseline"/>
                <w:lang w:val="en-US" w:eastAsia="zh-CN"/>
              </w:rPr>
              <w:t>≤</w:t>
            </w:r>
            <w:r>
              <w:rPr>
                <w:rFonts w:hint="eastAsia" w:ascii="Times New Roman" w:hAnsi="Times New Roman" w:eastAsia="宋体"/>
                <w:i/>
                <w:iCs/>
                <w:color w:val="auto"/>
                <w:sz w:val="20"/>
                <w:szCs w:val="21"/>
                <w:highlight w:val="none"/>
                <w:vertAlign w:val="baseline"/>
                <w:lang w:val="en-US" w:eastAsia="zh-CN"/>
              </w:rPr>
              <w:t>L</w:t>
            </w:r>
            <w:r>
              <w:rPr>
                <w:rFonts w:hint="eastAsia" w:ascii="宋体" w:hAnsi="宋体" w:eastAsia="宋体" w:cs="宋体"/>
                <w:color w:val="auto"/>
                <w:sz w:val="20"/>
                <w:szCs w:val="21"/>
                <w:highlight w:val="none"/>
                <w:vertAlign w:val="baseline"/>
                <w:lang w:val="en-US" w:eastAsia="zh-CN"/>
              </w:rPr>
              <w:t>≤</w:t>
            </w:r>
            <w:r>
              <w:rPr>
                <w:rFonts w:hint="default" w:ascii="Times New Roman" w:hAnsi="Times New Roman" w:eastAsia="宋体" w:cs="Times New Roman"/>
                <w:color w:val="auto"/>
                <w:sz w:val="20"/>
                <w:szCs w:val="21"/>
                <w:highlight w:val="none"/>
                <w:vertAlign w:val="baseline"/>
                <w:lang w:val="en-US" w:eastAsia="zh-CN"/>
              </w:rPr>
              <w:t>30</w:t>
            </w:r>
          </w:p>
        </w:tc>
        <w:tc>
          <w:tcPr>
            <w:tcW w:w="284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s="Times New Roman"/>
                <w:color w:val="auto"/>
                <w:sz w:val="20"/>
                <w:szCs w:val="21"/>
                <w:highlight w:val="none"/>
                <w:vertAlign w:val="baseline"/>
                <w:lang w:val="en-US" w:eastAsia="zh-CN"/>
              </w:rPr>
              <w:t>5</w:t>
            </w:r>
            <w:r>
              <w:rPr>
                <w:rFonts w:hint="eastAsia" w:ascii="宋体" w:hAnsi="宋体" w:eastAsia="宋体" w:cs="宋体"/>
                <w:color w:val="auto"/>
                <w:sz w:val="20"/>
                <w:szCs w:val="21"/>
                <w:highlight w:val="none"/>
                <w:vertAlign w:val="baseline"/>
                <w:lang w:val="en-US" w:eastAsia="zh-CN"/>
              </w:rPr>
              <w:t>≤</w:t>
            </w:r>
            <w:r>
              <w:rPr>
                <w:rFonts w:hint="eastAsia" w:ascii="Times New Roman" w:hAnsi="Times New Roman" w:eastAsia="宋体"/>
                <w:i/>
                <w:iCs/>
                <w:color w:val="auto"/>
                <w:sz w:val="20"/>
                <w:szCs w:val="21"/>
                <w:highlight w:val="none"/>
                <w:vertAlign w:val="baseline"/>
                <w:lang w:val="en-US" w:eastAsia="zh-CN"/>
              </w:rPr>
              <w:t>L</w:t>
            </w:r>
            <w:r>
              <w:rPr>
                <w:rFonts w:hint="eastAsia" w:ascii="Times New Roman" w:hAnsi="Times New Roman" w:eastAsia="宋体"/>
                <w:color w:val="auto"/>
                <w:sz w:val="20"/>
                <w:szCs w:val="21"/>
                <w:highlight w:val="none"/>
                <w:vertAlign w:val="subscript"/>
                <w:lang w:val="en-US" w:eastAsia="zh-CN"/>
              </w:rPr>
              <w:t>K</w:t>
            </w:r>
            <w:r>
              <w:rPr>
                <w:rFonts w:hint="eastAsia" w:ascii="Times New Roman" w:hAnsi="Times New Roman" w:eastAsia="宋体"/>
                <w:i/>
                <w:iCs/>
                <w:color w:val="auto"/>
                <w:sz w:val="20"/>
                <w:szCs w:val="21"/>
                <w:highlight w:val="none"/>
                <w:vertAlign w:val="baseline"/>
                <w:lang w:val="en-US" w:eastAsia="zh-CN"/>
              </w:rPr>
              <w:t>&lt;</w:t>
            </w:r>
            <w:r>
              <w:rPr>
                <w:rFonts w:hint="eastAsia" w:ascii="Times New Roman" w:hAnsi="Times New Roman" w:eastAsia="宋体" w:cs="Times New Roman"/>
                <w:color w:val="auto"/>
                <w:sz w:val="20"/>
                <w:szCs w:val="21"/>
                <w:highlight w:val="none"/>
                <w:vertAlign w:val="baseline"/>
                <w:lang w:val="en-US" w:eastAsia="zh-CN"/>
              </w:rPr>
              <w:t>2</w:t>
            </w:r>
            <w:r>
              <w:rPr>
                <w:rFonts w:hint="default" w:ascii="Times New Roman" w:hAnsi="Times New Roman" w:eastAsia="宋体" w:cs="Times New Roman"/>
                <w:color w:val="auto"/>
                <w:sz w:val="20"/>
                <w:szCs w:val="21"/>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涵洞</w:t>
            </w:r>
          </w:p>
        </w:tc>
        <w:tc>
          <w:tcPr>
            <w:tcW w:w="284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w:t>
            </w:r>
          </w:p>
        </w:tc>
        <w:tc>
          <w:tcPr>
            <w:tcW w:w="284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i/>
                <w:iCs/>
                <w:color w:val="auto"/>
                <w:sz w:val="20"/>
                <w:szCs w:val="21"/>
                <w:highlight w:val="none"/>
                <w:vertAlign w:val="baseline"/>
                <w:lang w:val="en-US" w:eastAsia="zh-CN"/>
              </w:rPr>
              <w:t>L</w:t>
            </w:r>
            <w:r>
              <w:rPr>
                <w:rFonts w:hint="eastAsia" w:ascii="Times New Roman" w:hAnsi="Times New Roman" w:eastAsia="宋体"/>
                <w:color w:val="auto"/>
                <w:sz w:val="20"/>
                <w:szCs w:val="21"/>
                <w:highlight w:val="none"/>
                <w:vertAlign w:val="subscript"/>
                <w:lang w:val="en-US" w:eastAsia="zh-CN"/>
              </w:rPr>
              <w:t>K</w:t>
            </w:r>
            <w:r>
              <w:rPr>
                <w:rFonts w:hint="eastAsia" w:ascii="Times New Roman" w:hAnsi="Times New Roman" w:eastAsia="宋体"/>
                <w:i/>
                <w:iCs/>
                <w:color w:val="auto"/>
                <w:sz w:val="20"/>
                <w:szCs w:val="21"/>
                <w:highlight w:val="none"/>
                <w:vertAlign w:val="baseline"/>
                <w:lang w:val="en-US" w:eastAsia="zh-CN"/>
              </w:rPr>
              <w:t>&lt;</w:t>
            </w:r>
            <w:r>
              <w:rPr>
                <w:rFonts w:hint="eastAsia" w:ascii="Times New Roman" w:hAnsi="Times New Roman" w:eastAsia="宋体" w:cs="Times New Roman"/>
                <w:color w:val="auto"/>
                <w:sz w:val="20"/>
                <w:szCs w:val="21"/>
                <w:highlight w:val="none"/>
                <w:vertAlign w:val="baseline"/>
                <w:lang w:val="en-US" w:eastAsia="zh-CN"/>
              </w:rPr>
              <w:t>5</w:t>
            </w:r>
          </w:p>
        </w:tc>
      </w:tr>
    </w:tbl>
    <w:p>
      <w:pPr>
        <w:keepNext w:val="0"/>
        <w:keepLines w:val="0"/>
        <w:pageBreakBefore w:val="0"/>
        <w:widowControl w:val="0"/>
        <w:kinsoku/>
        <w:wordWrap/>
        <w:overflowPunct/>
        <w:topLinePunct w:val="0"/>
        <w:autoSpaceDE/>
        <w:autoSpaceDN/>
        <w:bidi w:val="0"/>
        <w:adjustRightInd/>
        <w:snapToGrid/>
        <w:spacing w:line="240" w:lineRule="auto"/>
        <w:ind w:left="540" w:hanging="540" w:hangingChars="300"/>
        <w:textAlignment w:val="auto"/>
        <w:rPr>
          <w:rFonts w:hint="default" w:ascii="Times New Roman" w:hAnsi="Times New Roman" w:eastAsia="宋体"/>
          <w:color w:val="auto"/>
          <w:sz w:val="18"/>
          <w:szCs w:val="20"/>
          <w:highlight w:val="none"/>
          <w:lang w:val="en-US" w:eastAsia="zh-CN"/>
        </w:rPr>
      </w:pPr>
      <w:r>
        <w:rPr>
          <w:rFonts w:hint="eastAsia" w:ascii="Times New Roman" w:hAnsi="Times New Roman" w:eastAsia="宋体"/>
          <w:color w:val="auto"/>
          <w:sz w:val="18"/>
          <w:szCs w:val="20"/>
          <w:highlight w:val="none"/>
          <w:lang w:val="en-US" w:eastAsia="zh-CN"/>
        </w:rPr>
        <w:t>注：1</w:t>
      </w:r>
      <w:r>
        <w:rPr>
          <w:rFonts w:hint="eastAsia"/>
          <w:color w:val="auto"/>
          <w:sz w:val="18"/>
          <w:szCs w:val="20"/>
          <w:highlight w:val="none"/>
          <w:lang w:val="en-US" w:eastAsia="zh-CN"/>
        </w:rPr>
        <w:t xml:space="preserve"> </w:t>
      </w:r>
      <w:r>
        <w:rPr>
          <w:rFonts w:hint="eastAsia" w:ascii="Times New Roman" w:hAnsi="Times New Roman" w:eastAsia="宋体"/>
          <w:color w:val="auto"/>
          <w:sz w:val="18"/>
          <w:szCs w:val="20"/>
          <w:highlight w:val="none"/>
          <w:lang w:val="en-US" w:eastAsia="zh-CN"/>
        </w:rPr>
        <w:t xml:space="preserve"> 单孔跨径指标准跨径，梁式桥、板式桥以两桥墩中线间距离或桥墩中线与台背前缘间距为准；拱式桥和涵洞以净跨径为准。</w:t>
      </w:r>
    </w:p>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left="690" w:leftChars="200" w:hanging="270" w:hangingChars="150"/>
        <w:textAlignment w:val="auto"/>
        <w:rPr>
          <w:rFonts w:hint="default" w:ascii="Times New Roman" w:hAnsi="Times New Roman" w:eastAsia="宋体"/>
          <w:color w:val="auto"/>
          <w:sz w:val="18"/>
          <w:szCs w:val="20"/>
          <w:highlight w:val="none"/>
          <w:lang w:val="en-US" w:eastAsia="zh-CN"/>
        </w:rPr>
      </w:pPr>
      <w:r>
        <w:rPr>
          <w:rFonts w:hint="eastAsia"/>
          <w:color w:val="auto"/>
          <w:sz w:val="18"/>
          <w:szCs w:val="20"/>
          <w:highlight w:val="none"/>
          <w:lang w:val="en-US" w:eastAsia="zh-CN"/>
        </w:rPr>
        <w:t xml:space="preserve">2  </w:t>
      </w:r>
      <w:r>
        <w:rPr>
          <w:rFonts w:hint="eastAsia" w:ascii="Times New Roman" w:hAnsi="Times New Roman" w:eastAsia="宋体"/>
          <w:color w:val="auto"/>
          <w:sz w:val="18"/>
          <w:szCs w:val="20"/>
          <w:highlight w:val="none"/>
          <w:lang w:val="en-US" w:eastAsia="zh-CN"/>
        </w:rPr>
        <w:t>梁式桥、板式桥的多孔跨径总长为多孔标准跨径的总长；拱式桥为两端桥台内起拱线间的距离；其他形式桥梁为桥面系行车道长度。</w:t>
      </w:r>
    </w:p>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left="690" w:leftChars="200" w:hanging="270" w:hangingChars="150"/>
        <w:textAlignment w:val="auto"/>
        <w:rPr>
          <w:rFonts w:hint="default" w:ascii="Times New Roman" w:hAnsi="Times New Roman" w:eastAsia="宋体"/>
          <w:color w:val="auto"/>
          <w:sz w:val="18"/>
          <w:szCs w:val="20"/>
          <w:highlight w:val="none"/>
          <w:lang w:val="en-US" w:eastAsia="zh-CN"/>
        </w:rPr>
      </w:pPr>
      <w:r>
        <w:rPr>
          <w:rFonts w:hint="eastAsia"/>
          <w:color w:val="auto"/>
          <w:sz w:val="18"/>
          <w:szCs w:val="20"/>
          <w:highlight w:val="none"/>
          <w:lang w:val="en-US" w:eastAsia="zh-CN"/>
        </w:rPr>
        <w:t xml:space="preserve">3  </w:t>
      </w:r>
      <w:r>
        <w:rPr>
          <w:rFonts w:hint="eastAsia" w:ascii="Times New Roman" w:hAnsi="Times New Roman" w:eastAsia="宋体"/>
          <w:color w:val="auto"/>
          <w:sz w:val="18"/>
          <w:szCs w:val="20"/>
          <w:highlight w:val="none"/>
          <w:lang w:val="en-US" w:eastAsia="zh-CN"/>
        </w:rPr>
        <w:t>涵洞不论孔数多少，均称为涵洞。</w:t>
      </w:r>
    </w:p>
    <w:p>
      <w:pPr>
        <w:spacing w:line="360" w:lineRule="auto"/>
        <w:ind w:firstLine="422" w:firstLineChars="200"/>
        <w:rPr>
          <w:rFonts w:hint="eastAsia"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4）</w:t>
      </w:r>
      <w:r>
        <w:rPr>
          <w:rFonts w:hint="eastAsia" w:ascii="Times New Roman" w:hAnsi="Times New Roman" w:eastAsia="宋体"/>
          <w:color w:val="auto"/>
          <w:highlight w:val="none"/>
          <w:lang w:val="en-US" w:eastAsia="zh-CN"/>
        </w:rPr>
        <w:t>给排水工程等级按表3-2划分为大型、中型、小型三类。</w:t>
      </w:r>
      <w:r>
        <w:rPr>
          <w:rFonts w:ascii="Times New Roman" w:hAnsi="Times New Roman" w:eastAsia="宋体"/>
          <w:color w:val="auto"/>
          <w:highlight w:val="none"/>
        </w:rPr>
        <w:t>鉴于一般地埋式给排水厂站的地下结构高度基本都在5m以上，已属于深基坑，故给排水厂站工程则将地埋式厂站都归为一级</w:t>
      </w:r>
      <w:r>
        <w:rPr>
          <w:rFonts w:hint="eastAsia" w:ascii="Times New Roman" w:hAnsi="Times New Roman" w:eastAsia="宋体"/>
          <w:color w:val="auto"/>
          <w:highlight w:val="none"/>
          <w:lang w:eastAsia="zh-CN"/>
        </w:rPr>
        <w:t>。</w:t>
      </w:r>
    </w:p>
    <w:p>
      <w:pPr>
        <w:spacing w:line="360" w:lineRule="auto"/>
        <w:jc w:val="center"/>
        <w:rPr>
          <w:rFonts w:hint="default" w:ascii="Times New Roman" w:hAnsi="Times New Roman" w:eastAsia="宋体"/>
          <w:b/>
          <w:bCs/>
          <w:color w:val="auto"/>
          <w:highlight w:val="none"/>
          <w:vertAlign w:val="baseline"/>
          <w:lang w:val="en-US" w:eastAsia="zh-CN"/>
        </w:rPr>
      </w:pPr>
      <w:r>
        <w:rPr>
          <w:rFonts w:hint="eastAsia" w:ascii="Times New Roman" w:hAnsi="Times New Roman" w:eastAsia="宋体"/>
          <w:b/>
          <w:bCs/>
          <w:color w:val="auto"/>
          <w:highlight w:val="none"/>
          <w:lang w:val="en-US" w:eastAsia="zh-CN"/>
        </w:rPr>
        <w:t>表3-2</w:t>
      </w:r>
      <w:r>
        <w:rPr>
          <w:rFonts w:hint="eastAsia"/>
          <w:b/>
          <w:bCs/>
          <w:color w:val="auto"/>
          <w:highlight w:val="none"/>
          <w:lang w:val="en-US" w:eastAsia="zh-CN"/>
        </w:rPr>
        <w:t xml:space="preserve">  </w:t>
      </w:r>
      <w:r>
        <w:rPr>
          <w:rFonts w:hint="eastAsia" w:ascii="Times New Roman" w:hAnsi="Times New Roman" w:eastAsia="宋体"/>
          <w:b/>
          <w:bCs/>
          <w:color w:val="auto"/>
          <w:highlight w:val="none"/>
          <w:lang w:val="en-US" w:eastAsia="zh-CN"/>
        </w:rPr>
        <w:t>给排水工程等级（10</w:t>
      </w:r>
      <w:r>
        <w:rPr>
          <w:rFonts w:hint="eastAsia" w:ascii="Times New Roman" w:hAnsi="Times New Roman" w:eastAsia="宋体"/>
          <w:b/>
          <w:bCs/>
          <w:color w:val="auto"/>
          <w:highlight w:val="none"/>
          <w:vertAlign w:val="superscript"/>
          <w:lang w:val="en-US" w:eastAsia="zh-CN"/>
        </w:rPr>
        <w:t>4</w:t>
      </w:r>
      <w:r>
        <w:rPr>
          <w:rFonts w:hint="eastAsia" w:ascii="Times New Roman" w:hAnsi="Times New Roman" w:eastAsia="宋体"/>
          <w:b/>
          <w:bCs/>
          <w:color w:val="auto"/>
          <w:highlight w:val="none"/>
          <w:vertAlign w:val="baseline"/>
          <w:lang w:val="en-US" w:eastAsia="zh-CN"/>
        </w:rPr>
        <w:t>m³/d）</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0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工程等级</w:t>
            </w:r>
          </w:p>
        </w:tc>
        <w:tc>
          <w:tcPr>
            <w:tcW w:w="1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大型</w:t>
            </w:r>
          </w:p>
        </w:tc>
        <w:tc>
          <w:tcPr>
            <w:tcW w:w="1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中型</w:t>
            </w:r>
          </w:p>
        </w:tc>
        <w:tc>
          <w:tcPr>
            <w:tcW w:w="1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小型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0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给水工程</w:t>
            </w:r>
          </w:p>
        </w:tc>
        <w:tc>
          <w:tcPr>
            <w:tcW w:w="1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净水厂</w:t>
            </w:r>
          </w:p>
        </w:tc>
        <w:tc>
          <w:tcPr>
            <w:tcW w:w="1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highlight w:val="none"/>
                <w:lang w:val="en-US" w:eastAsia="zh-CN"/>
              </w:rPr>
              <w:t>≥10</w:t>
            </w:r>
          </w:p>
        </w:tc>
        <w:tc>
          <w:tcPr>
            <w:tcW w:w="1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10~5</w:t>
            </w:r>
          </w:p>
        </w:tc>
        <w:tc>
          <w:tcPr>
            <w:tcW w:w="1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&lt;5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p>
        </w:tc>
        <w:tc>
          <w:tcPr>
            <w:tcW w:w="1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泵站</w:t>
            </w:r>
          </w:p>
        </w:tc>
        <w:tc>
          <w:tcPr>
            <w:tcW w:w="1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highlight w:val="none"/>
                <w:lang w:val="en-US" w:eastAsia="zh-CN"/>
              </w:rPr>
              <w:t>≥20</w:t>
            </w:r>
          </w:p>
        </w:tc>
        <w:tc>
          <w:tcPr>
            <w:tcW w:w="1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20~5</w:t>
            </w:r>
          </w:p>
        </w:tc>
        <w:tc>
          <w:tcPr>
            <w:tcW w:w="1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&lt;5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0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排水工程</w:t>
            </w:r>
          </w:p>
        </w:tc>
        <w:tc>
          <w:tcPr>
            <w:tcW w:w="1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处理厂</w:t>
            </w:r>
          </w:p>
        </w:tc>
        <w:tc>
          <w:tcPr>
            <w:tcW w:w="1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highlight w:val="none"/>
                <w:lang w:val="en-US" w:eastAsia="zh-CN"/>
              </w:rPr>
              <w:t>≥8</w:t>
            </w:r>
          </w:p>
        </w:tc>
        <w:tc>
          <w:tcPr>
            <w:tcW w:w="1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8~4</w:t>
            </w:r>
          </w:p>
        </w:tc>
        <w:tc>
          <w:tcPr>
            <w:tcW w:w="1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&lt;4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p>
        </w:tc>
        <w:tc>
          <w:tcPr>
            <w:tcW w:w="1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泵站</w:t>
            </w:r>
          </w:p>
        </w:tc>
        <w:tc>
          <w:tcPr>
            <w:tcW w:w="1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highlight w:val="none"/>
                <w:lang w:val="en-US" w:eastAsia="zh-CN"/>
              </w:rPr>
              <w:t>≥10</w:t>
            </w:r>
          </w:p>
        </w:tc>
        <w:tc>
          <w:tcPr>
            <w:tcW w:w="1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10~5</w:t>
            </w:r>
          </w:p>
        </w:tc>
        <w:tc>
          <w:tcPr>
            <w:tcW w:w="1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olor w:val="auto"/>
                <w:sz w:val="20"/>
                <w:szCs w:val="21"/>
                <w:highlight w:val="none"/>
                <w:vertAlign w:val="baseline"/>
                <w:lang w:val="en-US" w:eastAsia="zh-CN"/>
              </w:rPr>
            </w:pPr>
            <w:r>
              <w:rPr>
                <w:rFonts w:hint="eastAsia" w:ascii="Times New Roman" w:hAnsi="Times New Roman" w:eastAsia="宋体"/>
                <w:color w:val="auto"/>
                <w:sz w:val="20"/>
                <w:szCs w:val="21"/>
                <w:highlight w:val="none"/>
                <w:vertAlign w:val="baseline"/>
                <w:lang w:val="en-US" w:eastAsia="zh-CN"/>
              </w:rPr>
              <w:t>&lt;5</w:t>
            </w:r>
          </w:p>
        </w:tc>
      </w:tr>
    </w:tbl>
    <w:p>
      <w:pPr>
        <w:spacing w:line="360" w:lineRule="auto"/>
        <w:ind w:firstLine="422" w:firstLineChars="200"/>
        <w:rPr>
          <w:rFonts w:hint="default"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5）</w:t>
      </w:r>
      <w:r>
        <w:rPr>
          <w:rFonts w:hint="eastAsia" w:ascii="Times New Roman" w:hAnsi="Times New Roman" w:eastAsia="宋体"/>
          <w:color w:val="auto"/>
          <w:highlight w:val="none"/>
          <w:lang w:val="en-US" w:eastAsia="zh-CN"/>
        </w:rPr>
        <w:t>根据住建部印发的《危险性较大的分部分项工程安全管理规定》（住房和城乡建设部令第37号）、《广东省住房和城乡建设厅关于危险性较大的分部分项工程安全管理的实施细则》，基坑开挖深度超过3m（含3m）为危险性较大的分部分项工程，超过5m（含5m）为超过一定规模的危险性较大的分部分项工程。同时，与北方降水相对少、地下水埋藏深不同，广东省降雨量大、地下水埋藏浅，城市中埋深超过8m的管道基本都是采用非开挖法敷设，埋深5m以上的明挖管道都不多。基于上述原因，故本规范将管道基坑开挖深度Z≥5m定为一级，5m＞Z≥3m定为二级，Z＜3m定为三级。顶管法、夯管法、定向钻法、盾构法等施工的管道统称为非开挖法施工（敷设）的管道。</w:t>
      </w:r>
    </w:p>
    <w:p>
      <w:pPr>
        <w:spacing w:line="360" w:lineRule="auto"/>
        <w:ind w:firstLine="422" w:firstLineChars="200"/>
        <w:rPr>
          <w:rFonts w:hint="default"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6）</w:t>
      </w:r>
      <w:r>
        <w:rPr>
          <w:rFonts w:hint="eastAsia" w:ascii="Times New Roman" w:hAnsi="Times New Roman" w:eastAsia="宋体"/>
          <w:color w:val="auto"/>
          <w:highlight w:val="none"/>
          <w:lang w:val="en-US" w:eastAsia="zh-CN"/>
        </w:rPr>
        <w:t>根据《城市综合管廊工程技术规范》GB 50838-2015第8.1.1条、8.1.6条规定，综合管廊内容纳的管线为电力、给水等城市生命线，破坏后产生的经济损失和社会影响都比较严重，故确定综合管廊的安全等级为一级；而根据其表8.1.1，缆线管廊的工程重要性等级划分和室外管道是一致的。</w:t>
      </w:r>
    </w:p>
    <w:p>
      <w:pPr>
        <w:spacing w:line="360" w:lineRule="auto"/>
        <w:ind w:firstLine="422" w:firstLineChars="200"/>
        <w:rPr>
          <w:rFonts w:hint="default"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7</w:t>
      </w:r>
      <w:r>
        <w:rPr>
          <w:rFonts w:ascii="Times New Roman" w:hAnsi="Times New Roman" w:eastAsia="宋体"/>
          <w:b/>
          <w:bCs/>
          <w:color w:val="auto"/>
          <w:highlight w:val="none"/>
        </w:rPr>
        <w:t>）</w:t>
      </w:r>
      <w:r>
        <w:rPr>
          <w:rFonts w:hint="eastAsia" w:ascii="Times New Roman" w:hAnsi="Times New Roman" w:eastAsia="宋体"/>
          <w:color w:val="auto"/>
          <w:highlight w:val="none"/>
          <w:lang w:val="en-US" w:eastAsia="zh-CN"/>
        </w:rPr>
        <w:t>场地平整工程是本规范新列出的工程类型，勘察的目的任务相对简单，但勘察结果对政府部门场地整备的造价控制影响较大。故综合考虑，将其工程重要性等级定为二级。</w:t>
      </w:r>
    </w:p>
    <w:p>
      <w:pPr>
        <w:spacing w:line="360" w:lineRule="auto"/>
        <w:ind w:firstLine="422" w:firstLineChars="200"/>
        <w:rPr>
          <w:rFonts w:hint="default"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8</w:t>
      </w:r>
      <w:r>
        <w:rPr>
          <w:rFonts w:ascii="Times New Roman" w:hAnsi="Times New Roman" w:eastAsia="宋体"/>
          <w:b/>
          <w:bCs/>
          <w:color w:val="auto"/>
          <w:highlight w:val="none"/>
        </w:rPr>
        <w:t>）</w:t>
      </w:r>
      <w:r>
        <w:rPr>
          <w:rFonts w:hint="eastAsia" w:ascii="Times New Roman" w:hAnsi="Times New Roman" w:eastAsia="宋体"/>
          <w:color w:val="auto"/>
          <w:highlight w:val="none"/>
          <w:lang w:val="en-US" w:eastAsia="zh-CN"/>
        </w:rPr>
        <w:t>城市固体废弃物包括生活垃圾、建筑垃圾、医疗垃圾、工业垃圾等。</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固体废弃物</w:t>
      </w:r>
      <w:r>
        <w:rPr>
          <w:rFonts w:hint="eastAsia" w:ascii="Times New Roman" w:hAnsi="Times New Roman" w:eastAsia="宋体"/>
          <w:color w:val="auto"/>
          <w:highlight w:val="none"/>
          <w:lang w:val="en-US" w:eastAsia="zh-CN"/>
        </w:rPr>
        <w:t>填埋场包括卫生填埋场和安全填埋场。其中，卫生填埋场主要处理生活垃圾以及经其他方式预处置过的医疗垃圾。安全填埋场则主要用于处理工业危险废弃物，本规范不考虑；建筑垃圾的处置一般称为弃土场，本规范也不予考虑。卫生填埋场工程重要性等级的划分参考了江苏省《生活垃圾卫生填埋场岩土工程勘察规程》</w:t>
      </w:r>
      <w:r>
        <w:rPr>
          <w:rFonts w:hint="eastAsia" w:ascii="Times New Roman" w:hAnsi="Times New Roman" w:eastAsia="宋体"/>
          <w:color w:val="auto"/>
          <w:highlight w:val="none"/>
        </w:rPr>
        <w:t>DGJ32/J</w:t>
      </w:r>
      <w:r>
        <w:rPr>
          <w:rFonts w:hint="eastAsia" w:ascii="Times New Roman" w:hAnsi="Times New Roman" w:eastAsia="宋体"/>
          <w:color w:val="auto"/>
          <w:highlight w:val="none"/>
          <w:lang w:val="en-US" w:eastAsia="zh-CN"/>
        </w:rPr>
        <w:t xml:space="preserve"> </w:t>
      </w:r>
      <w:r>
        <w:rPr>
          <w:rFonts w:hint="eastAsia" w:ascii="Times New Roman" w:hAnsi="Times New Roman" w:eastAsia="宋体"/>
          <w:color w:val="auto"/>
          <w:highlight w:val="none"/>
        </w:rPr>
        <w:t>180-2014</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垃圾焚烧厂的工程重要性等级划分参照了行标《生活垃圾焚烧处理工程技术规范》CJJ 90-2009，特大类和I类垃圾焚烧厂的工程重要性等级定为一级，</w:t>
      </w:r>
      <w:r>
        <w:rPr>
          <w:rFonts w:hint="eastAsia" w:ascii="宋体" w:hAnsi="宋体" w:eastAsia="宋体" w:cs="宋体"/>
          <w:color w:val="auto"/>
          <w:highlight w:val="none"/>
          <w:lang w:val="en-US" w:eastAsia="zh-CN"/>
        </w:rPr>
        <w:t>Ⅱ类</w:t>
      </w:r>
      <w:r>
        <w:rPr>
          <w:rFonts w:hint="eastAsia" w:ascii="Times New Roman" w:hAnsi="Times New Roman" w:eastAsia="宋体"/>
          <w:color w:val="auto"/>
          <w:highlight w:val="none"/>
          <w:lang w:val="en-US" w:eastAsia="zh-CN"/>
        </w:rPr>
        <w:t>垃圾焚烧厂的工程重要性等级定为二级，</w:t>
      </w:r>
      <w:r>
        <w:rPr>
          <w:rFonts w:hint="eastAsia" w:ascii="宋体" w:hAnsi="宋体" w:eastAsia="宋体" w:cs="宋体"/>
          <w:color w:val="auto"/>
          <w:highlight w:val="none"/>
          <w:lang w:val="en-US" w:eastAsia="zh-CN"/>
        </w:rPr>
        <w:t>Ⅲ类</w:t>
      </w:r>
      <w:r>
        <w:rPr>
          <w:rFonts w:hint="eastAsia" w:ascii="Times New Roman" w:hAnsi="Times New Roman" w:eastAsia="宋体"/>
          <w:color w:val="auto"/>
          <w:highlight w:val="none"/>
          <w:lang w:val="en-US" w:eastAsia="zh-CN"/>
        </w:rPr>
        <w:t>垃圾焚烧厂的工程重要性等级定为三级。</w:t>
      </w:r>
    </w:p>
    <w:p>
      <w:pPr>
        <w:spacing w:line="360" w:lineRule="auto"/>
        <w:ind w:firstLine="422" w:firstLineChars="200"/>
        <w:rPr>
          <w:rFonts w:ascii="Times New Roman" w:hAnsi="Times New Roman" w:eastAsia="宋体"/>
          <w:color w:val="auto"/>
          <w:highlight w:val="none"/>
        </w:rPr>
      </w:pPr>
      <w:r>
        <w:rPr>
          <w:rFonts w:hint="eastAsia" w:ascii="Times New Roman" w:hAnsi="Times New Roman" w:eastAsia="宋体"/>
          <w:b/>
          <w:bCs/>
          <w:color w:val="auto"/>
          <w:highlight w:val="none"/>
          <w:lang w:val="en-US" w:eastAsia="zh-CN"/>
        </w:rPr>
        <w:t>9）</w:t>
      </w:r>
      <w:r>
        <w:rPr>
          <w:rFonts w:ascii="Times New Roman" w:hAnsi="Times New Roman" w:eastAsia="宋体"/>
          <w:color w:val="auto"/>
          <w:highlight w:val="none"/>
        </w:rPr>
        <w:t>根据《堤防工程设计规范》GB 50286-2013第3.1.3条的堤防工程级别划分，重现期</w:t>
      </w:r>
      <w:r>
        <w:rPr>
          <w:rFonts w:hint="eastAsia" w:ascii="宋体" w:hAnsi="宋体" w:eastAsia="宋体" w:cs="宋体"/>
          <w:color w:val="auto"/>
          <w:highlight w:val="none"/>
        </w:rPr>
        <w:t>≥</w:t>
      </w:r>
      <w:r>
        <w:rPr>
          <w:rFonts w:ascii="Times New Roman" w:hAnsi="Times New Roman" w:eastAsia="宋体"/>
          <w:color w:val="auto"/>
          <w:highlight w:val="none"/>
        </w:rPr>
        <w:t>100年为1级，重现期50~100年为2级，重现期30~50年为3级，重现期20~30年为4级，重现期&lt;20年为5级。因此，</w:t>
      </w:r>
      <w:r>
        <w:rPr>
          <w:rFonts w:hint="eastAsia" w:ascii="Times New Roman" w:hAnsi="Times New Roman" w:eastAsia="宋体"/>
          <w:color w:val="auto"/>
          <w:highlight w:val="none"/>
          <w:lang w:val="en-US" w:eastAsia="zh-CN"/>
        </w:rPr>
        <w:t>在</w:t>
      </w:r>
      <w:r>
        <w:rPr>
          <w:rFonts w:ascii="Times New Roman" w:hAnsi="Times New Roman" w:eastAsia="宋体"/>
          <w:color w:val="auto"/>
          <w:highlight w:val="none"/>
        </w:rPr>
        <w:t>堤岸工程重要性等级</w:t>
      </w:r>
      <w:r>
        <w:rPr>
          <w:rFonts w:hint="eastAsia" w:ascii="Times New Roman" w:hAnsi="Times New Roman" w:eastAsia="宋体"/>
          <w:color w:val="auto"/>
          <w:highlight w:val="none"/>
          <w:lang w:val="en-US" w:eastAsia="zh-CN"/>
        </w:rPr>
        <w:t>中</w:t>
      </w:r>
      <w:r>
        <w:rPr>
          <w:rFonts w:ascii="Times New Roman" w:hAnsi="Times New Roman" w:eastAsia="宋体"/>
          <w:color w:val="auto"/>
          <w:highlight w:val="none"/>
        </w:rPr>
        <w:t>，</w:t>
      </w:r>
      <w:r>
        <w:rPr>
          <w:rFonts w:hint="eastAsia" w:ascii="Times New Roman" w:hAnsi="Times New Roman" w:eastAsia="宋体"/>
          <w:color w:val="auto"/>
          <w:highlight w:val="none"/>
          <w:lang w:val="en-US" w:eastAsia="zh-CN"/>
        </w:rPr>
        <w:t>在依照</w:t>
      </w:r>
      <w:r>
        <w:rPr>
          <w:rFonts w:ascii="Times New Roman" w:hAnsi="Times New Roman" w:eastAsia="宋体"/>
          <w:color w:val="auto"/>
          <w:highlight w:val="none"/>
        </w:rPr>
        <w:t>行标《市政工程勘察规范》</w:t>
      </w:r>
      <w:r>
        <w:rPr>
          <w:rFonts w:hint="eastAsia" w:ascii="Times New Roman" w:hAnsi="Times New Roman" w:eastAsia="宋体"/>
          <w:color w:val="auto"/>
          <w:highlight w:val="none"/>
          <w:lang w:val="en-US" w:eastAsia="zh-CN"/>
        </w:rPr>
        <w:t>考虑</w:t>
      </w:r>
      <w:r>
        <w:rPr>
          <w:rFonts w:ascii="Times New Roman" w:hAnsi="Times New Roman" w:eastAsia="宋体"/>
          <w:color w:val="auto"/>
          <w:highlight w:val="none"/>
        </w:rPr>
        <w:t>堤岸形式</w:t>
      </w:r>
      <w:r>
        <w:rPr>
          <w:rFonts w:hint="eastAsia" w:ascii="Times New Roman" w:hAnsi="Times New Roman" w:eastAsia="宋体"/>
          <w:color w:val="auto"/>
          <w:highlight w:val="none"/>
          <w:lang w:val="en-US" w:eastAsia="zh-CN"/>
        </w:rPr>
        <w:t>外，同时考虑了堤防工程级别</w:t>
      </w:r>
      <w:r>
        <w:rPr>
          <w:rFonts w:ascii="Times New Roman" w:hAnsi="Times New Roman" w:eastAsia="宋体"/>
          <w:color w:val="auto"/>
          <w:highlight w:val="none"/>
        </w:rPr>
        <w:t>。</w:t>
      </w:r>
    </w:p>
    <w:p>
      <w:pPr>
        <w:spacing w:line="360" w:lineRule="auto"/>
        <w:ind w:firstLine="422" w:firstLineChars="200"/>
        <w:rPr>
          <w:rFonts w:ascii="Times New Roman" w:hAnsi="Times New Roman" w:eastAsia="宋体"/>
          <w:b/>
          <w:bCs/>
          <w:color w:val="auto"/>
          <w:highlight w:val="none"/>
        </w:rPr>
      </w:pPr>
      <w:r>
        <w:rPr>
          <w:rFonts w:ascii="Times New Roman" w:hAnsi="Times New Roman" w:eastAsia="宋体"/>
          <w:b/>
          <w:bCs/>
          <w:color w:val="auto"/>
          <w:highlight w:val="none"/>
        </w:rPr>
        <w:t xml:space="preserve">2  </w:t>
      </w:r>
      <w:r>
        <w:rPr>
          <w:rFonts w:ascii="Times New Roman" w:hAnsi="Times New Roman" w:eastAsia="宋体"/>
          <w:color w:val="auto"/>
          <w:highlight w:val="none"/>
        </w:rPr>
        <w:t>场地各因素复杂等级的划分具体可参照如下标准：</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1）</w:t>
      </w:r>
      <w:r>
        <w:rPr>
          <w:rFonts w:ascii="Times New Roman" w:hAnsi="Times New Roman" w:eastAsia="宋体"/>
          <w:color w:val="auto"/>
          <w:highlight w:val="none"/>
        </w:rPr>
        <w:t>地形地貌复杂是指山地，或有两种以上地貌，或地形坡度&gt;30°，地面相对高差大；地形地貌简单是指地形坡度&lt;10°的单一地貌，地面相对高差小；其它情况属于地形地貌较复杂。</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2）</w:t>
      </w:r>
      <w:r>
        <w:rPr>
          <w:rFonts w:ascii="Times New Roman" w:hAnsi="Times New Roman" w:eastAsia="宋体"/>
          <w:color w:val="auto"/>
          <w:highlight w:val="none"/>
        </w:rPr>
        <w:t>抗震地段划分</w:t>
      </w:r>
      <w:r>
        <w:rPr>
          <w:rFonts w:hint="eastAsia" w:ascii="Times New Roman" w:hAnsi="Times New Roman" w:eastAsia="宋体"/>
          <w:color w:val="auto"/>
          <w:highlight w:val="none"/>
          <w:lang w:val="en-US" w:eastAsia="zh-CN"/>
        </w:rPr>
        <w:t>执行现行国家标准</w:t>
      </w:r>
      <w:r>
        <w:rPr>
          <w:rFonts w:ascii="Times New Roman" w:hAnsi="Times New Roman" w:eastAsia="宋体"/>
          <w:color w:val="auto"/>
          <w:highlight w:val="none"/>
        </w:rPr>
        <w:t>《建筑抗震设计规范》GB 50011</w:t>
      </w:r>
      <w:r>
        <w:rPr>
          <w:rFonts w:hint="eastAsia" w:ascii="Times New Roman" w:hAnsi="Times New Roman" w:eastAsia="宋体"/>
          <w:color w:val="auto"/>
          <w:highlight w:val="none"/>
          <w:lang w:val="en-US" w:eastAsia="zh-CN"/>
        </w:rPr>
        <w:t>的有关规定</w:t>
      </w:r>
      <w:r>
        <w:rPr>
          <w:rFonts w:ascii="Times New Roman" w:hAnsi="Times New Roman" w:eastAsia="宋体"/>
          <w:color w:val="auto"/>
          <w:highlight w:val="none"/>
        </w:rPr>
        <w:t>。</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3）</w:t>
      </w:r>
      <w:r>
        <w:rPr>
          <w:rFonts w:ascii="Times New Roman" w:hAnsi="Times New Roman" w:eastAsia="宋体"/>
          <w:color w:val="auto"/>
          <w:highlight w:val="none"/>
        </w:rPr>
        <w:t>溶（土）洞、滑坡/崩塌、泥石流、地面局部沉降/塌陷、砂土液化中，某项强烈发育，或者</w:t>
      </w:r>
      <w:r>
        <w:rPr>
          <w:rFonts w:hint="eastAsia" w:ascii="Times New Roman" w:hAnsi="Times New Roman" w:eastAsia="宋体"/>
          <w:color w:val="auto"/>
          <w:highlight w:val="none"/>
          <w:lang w:val="en-US" w:eastAsia="zh-CN"/>
        </w:rPr>
        <w:t>存在</w:t>
      </w:r>
      <w:r>
        <w:rPr>
          <w:rFonts w:ascii="Times New Roman" w:hAnsi="Times New Roman" w:eastAsia="宋体"/>
          <w:color w:val="auto"/>
          <w:highlight w:val="none"/>
        </w:rPr>
        <w:t>不少于3项为较发育，则认为场地不良地质作用强烈发育；以上各项均不发育，则认为场地不良地质不发育；其</w:t>
      </w:r>
      <w:r>
        <w:rPr>
          <w:rFonts w:hint="eastAsia" w:ascii="Times New Roman" w:hAnsi="Times New Roman" w:eastAsia="宋体"/>
          <w:color w:val="auto"/>
          <w:highlight w:val="none"/>
          <w:lang w:val="en-US" w:eastAsia="zh-CN"/>
        </w:rPr>
        <w:t>余</w:t>
      </w:r>
      <w:r>
        <w:rPr>
          <w:rFonts w:ascii="Times New Roman" w:hAnsi="Times New Roman" w:eastAsia="宋体"/>
          <w:color w:val="auto"/>
          <w:highlight w:val="none"/>
        </w:rPr>
        <w:t>情况属于不良地质一般发育。</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4）</w:t>
      </w:r>
      <w:r>
        <w:rPr>
          <w:rFonts w:ascii="Times New Roman" w:hAnsi="Times New Roman" w:eastAsia="宋体"/>
          <w:color w:val="auto"/>
          <w:highlight w:val="none"/>
        </w:rPr>
        <w:t>地质环境指采空区、区域性的地面总体下沉、水位总体上升、水体或土体受到化学污染等。当地质环境变化已经或可能直接威胁工程安全时，判定场地地质环境受到强烈破坏；当地质环境变化已经或可能有影响但不严重时，判定场地地质环境受到一般破坏；</w:t>
      </w:r>
      <w:r>
        <w:rPr>
          <w:rFonts w:hint="eastAsia" w:ascii="Times New Roman" w:hAnsi="Times New Roman" w:eastAsia="宋体"/>
          <w:color w:val="auto"/>
          <w:highlight w:val="none"/>
          <w:lang w:val="en-US" w:eastAsia="zh-CN"/>
        </w:rPr>
        <w:t>其余情况</w:t>
      </w:r>
      <w:r>
        <w:rPr>
          <w:rFonts w:ascii="Times New Roman" w:hAnsi="Times New Roman" w:eastAsia="宋体"/>
          <w:color w:val="auto"/>
          <w:highlight w:val="none"/>
        </w:rPr>
        <w:t>判定场地地质环境基本未受到破坏。</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5）</w:t>
      </w:r>
      <w:r>
        <w:rPr>
          <w:rFonts w:ascii="Times New Roman" w:hAnsi="Times New Roman" w:eastAsia="宋体"/>
          <w:color w:val="auto"/>
          <w:highlight w:val="none"/>
        </w:rPr>
        <w:t>对于基础位于地下水位以下的场地，当水文地质条件复杂需专门开展水文地质研究</w:t>
      </w:r>
      <w:r>
        <w:rPr>
          <w:rFonts w:hint="eastAsia" w:ascii="Times New Roman" w:hAnsi="Times New Roman" w:eastAsia="宋体"/>
          <w:color w:val="auto"/>
          <w:highlight w:val="none"/>
          <w:lang w:val="en-US" w:eastAsia="zh-CN"/>
        </w:rPr>
        <w:t>时</w:t>
      </w:r>
      <w:r>
        <w:rPr>
          <w:rFonts w:ascii="Times New Roman" w:hAnsi="Times New Roman" w:eastAsia="宋体"/>
          <w:color w:val="auto"/>
          <w:highlight w:val="none"/>
        </w:rPr>
        <w:t>，判定</w:t>
      </w:r>
      <w:r>
        <w:rPr>
          <w:rFonts w:hint="eastAsia" w:ascii="Times New Roman" w:hAnsi="Times New Roman" w:eastAsia="宋体"/>
          <w:color w:val="auto"/>
          <w:highlight w:val="none"/>
          <w:lang w:val="en-US" w:eastAsia="zh-CN"/>
        </w:rPr>
        <w:t>为</w:t>
      </w:r>
      <w:r>
        <w:rPr>
          <w:rFonts w:ascii="Times New Roman" w:hAnsi="Times New Roman" w:eastAsia="宋体"/>
          <w:color w:val="auto"/>
          <w:highlight w:val="none"/>
        </w:rPr>
        <w:t>地下水对工程影响大；</w:t>
      </w:r>
      <w:r>
        <w:rPr>
          <w:rFonts w:hint="eastAsia" w:ascii="Times New Roman" w:hAnsi="Times New Roman" w:eastAsia="宋体"/>
          <w:color w:val="auto"/>
          <w:highlight w:val="none"/>
          <w:lang w:val="en-US" w:eastAsia="zh-CN"/>
        </w:rPr>
        <w:t>当工程位于地下水位以上，或水文地质条件简单不需特别考虑水文地质条件对地基础和工程周边环境的影响时，判定为地下水对工程影响小；其余情况</w:t>
      </w:r>
      <w:r>
        <w:rPr>
          <w:rFonts w:ascii="Times New Roman" w:hAnsi="Times New Roman" w:eastAsia="宋体"/>
          <w:color w:val="auto"/>
          <w:highlight w:val="none"/>
        </w:rPr>
        <w:t>判定为地下水对工程影响一般。</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6）</w:t>
      </w:r>
      <w:r>
        <w:rPr>
          <w:rFonts w:ascii="Times New Roman" w:hAnsi="Times New Roman" w:eastAsia="宋体"/>
          <w:color w:val="auto"/>
          <w:highlight w:val="none"/>
        </w:rPr>
        <w:t>场地周边需要保护的相关设施多或重要，需要制定专门的保护方案的，判定为周边环境复杂；需要临时采取某些针对性保护措施但不用专门制定方案的，判定为周边环境中等复杂；只需采取少量常规性保护措施，对工程建设基本无影响的，判定为周边环境简单。</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 xml:space="preserve">3  </w:t>
      </w:r>
      <w:r>
        <w:rPr>
          <w:rFonts w:ascii="Times New Roman" w:hAnsi="Times New Roman" w:eastAsia="宋体"/>
          <w:color w:val="auto"/>
          <w:highlight w:val="none"/>
        </w:rPr>
        <w:t>岩土条件各因素复杂等级的划分</w:t>
      </w:r>
      <w:r>
        <w:rPr>
          <w:rFonts w:hint="eastAsia" w:ascii="Times New Roman" w:hAnsi="Times New Roman" w:eastAsia="宋体"/>
          <w:color w:val="auto"/>
          <w:highlight w:val="none"/>
          <w:lang w:val="en-US" w:eastAsia="zh-CN"/>
        </w:rPr>
        <w:t>涉及岩土种类、岩土性质和特殊性岩土情况，包括</w:t>
      </w:r>
      <w:r>
        <w:rPr>
          <w:rFonts w:ascii="Times New Roman" w:hAnsi="Times New Roman" w:eastAsia="宋体"/>
          <w:color w:val="auto"/>
          <w:highlight w:val="none"/>
        </w:rPr>
        <w:t>：</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1）</w:t>
      </w:r>
      <w:r>
        <w:rPr>
          <w:rFonts w:ascii="Times New Roman" w:hAnsi="Times New Roman" w:eastAsia="宋体"/>
          <w:color w:val="auto"/>
          <w:highlight w:val="none"/>
        </w:rPr>
        <w:t>岩土种类多</w:t>
      </w:r>
      <w:r>
        <w:rPr>
          <w:rFonts w:hint="eastAsia" w:ascii="Times New Roman" w:hAnsi="Times New Roman" w:eastAsia="宋体"/>
          <w:color w:val="auto"/>
          <w:highlight w:val="none"/>
          <w:lang w:val="en-US" w:eastAsia="zh-CN"/>
        </w:rPr>
        <w:t>少宜综合考虑岩和</w:t>
      </w:r>
      <w:r>
        <w:rPr>
          <w:rFonts w:ascii="Times New Roman" w:hAnsi="Times New Roman" w:eastAsia="宋体"/>
          <w:color w:val="auto"/>
          <w:highlight w:val="none"/>
        </w:rPr>
        <w:t>土</w:t>
      </w:r>
      <w:r>
        <w:rPr>
          <w:rFonts w:hint="eastAsia" w:ascii="Times New Roman" w:hAnsi="Times New Roman" w:eastAsia="宋体"/>
          <w:color w:val="auto"/>
          <w:highlight w:val="none"/>
          <w:lang w:val="en-US" w:eastAsia="zh-CN"/>
        </w:rPr>
        <w:t>的</w:t>
      </w:r>
      <w:r>
        <w:rPr>
          <w:rFonts w:ascii="Times New Roman" w:hAnsi="Times New Roman" w:eastAsia="宋体"/>
          <w:color w:val="auto"/>
          <w:highlight w:val="none"/>
        </w:rPr>
        <w:t>种类</w:t>
      </w:r>
      <w:r>
        <w:rPr>
          <w:rFonts w:hint="eastAsia" w:ascii="Times New Roman" w:hAnsi="Times New Roman" w:eastAsia="宋体"/>
          <w:color w:val="auto"/>
          <w:highlight w:val="none"/>
          <w:lang w:val="en-US" w:eastAsia="zh-CN"/>
        </w:rPr>
        <w:t>数量多寡</w:t>
      </w:r>
      <w:r>
        <w:rPr>
          <w:rFonts w:ascii="Times New Roman" w:hAnsi="Times New Roman" w:eastAsia="宋体"/>
          <w:color w:val="auto"/>
          <w:highlight w:val="none"/>
        </w:rPr>
        <w:t>。</w:t>
      </w:r>
      <w:r>
        <w:rPr>
          <w:rFonts w:hint="eastAsia" w:ascii="Times New Roman" w:hAnsi="Times New Roman" w:eastAsia="宋体"/>
          <w:color w:val="auto"/>
          <w:highlight w:val="none"/>
          <w:lang w:val="en-US" w:eastAsia="zh-CN"/>
        </w:rPr>
        <w:t>其中，</w:t>
      </w:r>
      <w:r>
        <w:rPr>
          <w:rFonts w:ascii="Times New Roman" w:hAnsi="Times New Roman" w:eastAsia="宋体"/>
          <w:color w:val="auto"/>
          <w:highlight w:val="none"/>
        </w:rPr>
        <w:t>岩</w:t>
      </w:r>
      <w:r>
        <w:rPr>
          <w:rFonts w:hint="eastAsia" w:ascii="Times New Roman" w:hAnsi="Times New Roman" w:eastAsia="宋体"/>
          <w:color w:val="auto"/>
          <w:highlight w:val="none"/>
          <w:lang w:val="en-US" w:eastAsia="zh-CN"/>
        </w:rPr>
        <w:t>的种类可参照本规范4.1.2条划分</w:t>
      </w:r>
      <w:r>
        <w:rPr>
          <w:rFonts w:ascii="Times New Roman" w:hAnsi="Times New Roman" w:eastAsia="宋体"/>
          <w:color w:val="auto"/>
          <w:highlight w:val="none"/>
        </w:rPr>
        <w:t>，土</w:t>
      </w:r>
      <w:r>
        <w:rPr>
          <w:rFonts w:hint="eastAsia" w:ascii="Times New Roman" w:hAnsi="Times New Roman" w:eastAsia="宋体"/>
          <w:color w:val="auto"/>
          <w:highlight w:val="none"/>
          <w:lang w:val="en-US" w:eastAsia="zh-CN"/>
        </w:rPr>
        <w:t>的种类可划分为</w:t>
      </w:r>
      <w:r>
        <w:rPr>
          <w:rFonts w:ascii="Times New Roman" w:hAnsi="Times New Roman" w:eastAsia="宋体"/>
          <w:color w:val="auto"/>
          <w:highlight w:val="none"/>
        </w:rPr>
        <w:t>碎石土、砂土、粉土、黏性土</w:t>
      </w:r>
      <w:r>
        <w:rPr>
          <w:rFonts w:hint="eastAsia" w:ascii="Times New Roman" w:hAnsi="Times New Roman" w:eastAsia="宋体"/>
          <w:color w:val="auto"/>
          <w:highlight w:val="none"/>
          <w:lang w:val="en-US" w:eastAsia="zh-CN"/>
        </w:rPr>
        <w:t>和各类特殊性土</w:t>
      </w:r>
      <w:r>
        <w:rPr>
          <w:rFonts w:ascii="Times New Roman" w:hAnsi="Times New Roman" w:eastAsia="宋体"/>
          <w:color w:val="auto"/>
          <w:highlight w:val="none"/>
        </w:rPr>
        <w:t>。</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2）</w:t>
      </w:r>
      <w:r>
        <w:rPr>
          <w:rFonts w:ascii="Times New Roman" w:hAnsi="Times New Roman" w:eastAsia="宋体"/>
          <w:color w:val="auto"/>
          <w:highlight w:val="none"/>
        </w:rPr>
        <w:t>岩土性质</w:t>
      </w:r>
      <w:r>
        <w:rPr>
          <w:rFonts w:hint="eastAsia" w:ascii="Times New Roman" w:hAnsi="Times New Roman" w:eastAsia="宋体"/>
          <w:color w:val="auto"/>
          <w:highlight w:val="none"/>
          <w:lang w:val="en-US" w:eastAsia="zh-CN"/>
        </w:rPr>
        <w:t>也包括岩的性质和土的性质。其中</w:t>
      </w:r>
      <w:r>
        <w:rPr>
          <w:rFonts w:ascii="Times New Roman" w:hAnsi="Times New Roman" w:eastAsia="宋体"/>
          <w:color w:val="auto"/>
          <w:highlight w:val="none"/>
        </w:rPr>
        <w:t>，岩</w:t>
      </w:r>
      <w:r>
        <w:rPr>
          <w:rFonts w:hint="eastAsia" w:ascii="Times New Roman" w:hAnsi="Times New Roman" w:eastAsia="宋体"/>
          <w:color w:val="auto"/>
          <w:highlight w:val="none"/>
          <w:lang w:val="en-US" w:eastAsia="zh-CN"/>
        </w:rPr>
        <w:t>的性质宜从</w:t>
      </w:r>
      <w:r>
        <w:rPr>
          <w:rFonts w:ascii="Times New Roman" w:hAnsi="Times New Roman" w:eastAsia="宋体"/>
          <w:color w:val="auto"/>
          <w:highlight w:val="none"/>
        </w:rPr>
        <w:t>坚硬程度和完整程度两个维度</w:t>
      </w:r>
      <w:r>
        <w:rPr>
          <w:rFonts w:hint="eastAsia" w:ascii="Times New Roman" w:hAnsi="Times New Roman" w:eastAsia="宋体"/>
          <w:color w:val="auto"/>
          <w:highlight w:val="none"/>
          <w:lang w:val="en-US" w:eastAsia="zh-CN"/>
        </w:rPr>
        <w:t>考量</w:t>
      </w:r>
      <w:r>
        <w:rPr>
          <w:rFonts w:ascii="Times New Roman" w:hAnsi="Times New Roman" w:eastAsia="宋体"/>
          <w:color w:val="auto"/>
          <w:highlight w:val="none"/>
        </w:rPr>
        <w:t>；</w:t>
      </w:r>
      <w:r>
        <w:rPr>
          <w:rFonts w:hint="eastAsia" w:ascii="Times New Roman" w:hAnsi="Times New Roman" w:eastAsia="宋体"/>
          <w:color w:val="auto"/>
          <w:highlight w:val="none"/>
          <w:lang w:val="en-US" w:eastAsia="zh-CN"/>
        </w:rPr>
        <w:t>黏性土的强度和压缩性可通过土的塑性状态直观体现</w:t>
      </w:r>
      <w:r>
        <w:rPr>
          <w:rFonts w:ascii="Times New Roman" w:hAnsi="Times New Roman" w:eastAsia="宋体"/>
          <w:color w:val="auto"/>
          <w:highlight w:val="none"/>
        </w:rPr>
        <w:t>；砂土、粉土</w:t>
      </w:r>
      <w:r>
        <w:rPr>
          <w:rFonts w:hint="eastAsia" w:ascii="Times New Roman" w:hAnsi="Times New Roman" w:eastAsia="宋体"/>
          <w:color w:val="auto"/>
          <w:highlight w:val="none"/>
          <w:lang w:val="en-US" w:eastAsia="zh-CN"/>
        </w:rPr>
        <w:t>主要</w:t>
      </w:r>
      <w:r>
        <w:rPr>
          <w:rFonts w:ascii="Times New Roman" w:hAnsi="Times New Roman" w:eastAsia="宋体"/>
          <w:color w:val="auto"/>
          <w:highlight w:val="none"/>
        </w:rPr>
        <w:t>按密实度</w:t>
      </w:r>
      <w:r>
        <w:rPr>
          <w:rFonts w:hint="eastAsia" w:ascii="Times New Roman" w:hAnsi="Times New Roman" w:eastAsia="宋体"/>
          <w:color w:val="auto"/>
          <w:highlight w:val="none"/>
          <w:lang w:val="en-US" w:eastAsia="zh-CN"/>
        </w:rPr>
        <w:t>考量；特殊性土则从其属性划分考量</w:t>
      </w:r>
      <w:r>
        <w:rPr>
          <w:rFonts w:ascii="Times New Roman" w:hAnsi="Times New Roman" w:eastAsia="宋体"/>
          <w:color w:val="auto"/>
          <w:highlight w:val="none"/>
        </w:rPr>
        <w:t>。</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3）</w:t>
      </w:r>
      <w:r>
        <w:rPr>
          <w:rFonts w:ascii="Times New Roman" w:hAnsi="Times New Roman" w:eastAsia="宋体"/>
          <w:color w:val="auto"/>
          <w:highlight w:val="none"/>
        </w:rPr>
        <w:t>特殊性岩土是否需专门治理要考虑工程的属性。例如，某管道工程场地软土发育但埋藏较深，软土之上有足够厚度的硬壳层，管道设计埋深很浅，此时软土并不需要处理，即：有特殊性土但不需要专门处理，岩土条件复杂等级可取二级甚至三级。</w:t>
      </w:r>
    </w:p>
    <w:p>
      <w:pPr>
        <w:spacing w:line="360" w:lineRule="auto"/>
        <w:rPr>
          <w:rFonts w:ascii="Times New Roman" w:hAnsi="Times New Roman" w:eastAsia="宋体"/>
          <w:color w:val="auto"/>
          <w:highlight w:val="none"/>
        </w:rPr>
      </w:pPr>
      <w:r>
        <w:rPr>
          <w:rFonts w:ascii="Times New Roman" w:hAnsi="Times New Roman" w:eastAsia="宋体"/>
          <w:b/>
          <w:bCs/>
          <w:color w:val="auto"/>
          <w:highlight w:val="none"/>
        </w:rPr>
        <w:t xml:space="preserve">3.0.2 </w:t>
      </w:r>
      <w:r>
        <w:rPr>
          <w:rFonts w:hint="eastAsia"/>
          <w:b/>
          <w:bCs/>
          <w:color w:val="auto"/>
          <w:highlight w:val="none"/>
          <w:lang w:val="en-US" w:eastAsia="zh-CN"/>
        </w:rPr>
        <w:t xml:space="preserve"> </w:t>
      </w:r>
      <w:r>
        <w:rPr>
          <w:rFonts w:ascii="Times New Roman" w:hAnsi="Times New Roman" w:eastAsia="宋体"/>
          <w:color w:val="auto"/>
          <w:highlight w:val="none"/>
        </w:rPr>
        <w:t>本条强调</w:t>
      </w:r>
      <w:r>
        <w:rPr>
          <w:rFonts w:hint="eastAsia" w:ascii="Times New Roman" w:hAnsi="Times New Roman" w:eastAsia="宋体"/>
          <w:color w:val="auto"/>
          <w:highlight w:val="none"/>
          <w:lang w:val="en-US" w:eastAsia="zh-CN"/>
        </w:rPr>
        <w:t>了</w:t>
      </w:r>
      <w:r>
        <w:rPr>
          <w:rFonts w:ascii="Times New Roman" w:hAnsi="Times New Roman" w:eastAsia="宋体"/>
          <w:color w:val="auto"/>
          <w:highlight w:val="none"/>
        </w:rPr>
        <w:t>既有勘察资料收集。事实上，由于</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为人类建设活动密集区域，拟建市政工程项目往往存在两个突出的现象：</w:t>
      </w:r>
      <w:r>
        <w:rPr>
          <w:rFonts w:hint="eastAsia" w:ascii="宋体" w:hAnsi="宋体" w:cs="宋体"/>
          <w:color w:val="auto"/>
          <w:kern w:val="0"/>
          <w:sz w:val="21"/>
          <w:szCs w:val="21"/>
          <w:highlight w:val="none"/>
          <w:lang w:val="en-US" w:eastAsia="zh-CN" w:bidi="ar"/>
        </w:rPr>
        <w:t>1）</w:t>
      </w:r>
      <w:r>
        <w:rPr>
          <w:rFonts w:ascii="Times New Roman" w:hAnsi="Times New Roman" w:eastAsia="宋体"/>
          <w:color w:val="auto"/>
          <w:highlight w:val="none"/>
        </w:rPr>
        <w:t>勘察工作往往受邻近相关设施，尤其地下设施的制约而难以按计划实施；</w:t>
      </w:r>
      <w:r>
        <w:rPr>
          <w:rFonts w:hint="eastAsia"/>
          <w:color w:val="auto"/>
          <w:highlight w:val="none"/>
          <w:lang w:val="en-US" w:eastAsia="zh-CN"/>
        </w:rPr>
        <w:t>2</w:t>
      </w:r>
      <w:r>
        <w:rPr>
          <w:rFonts w:ascii="Times New Roman" w:hAnsi="Times New Roman" w:eastAsia="宋体"/>
          <w:color w:val="auto"/>
          <w:highlight w:val="none"/>
        </w:rPr>
        <w:t>）邻近建构筑物建设工程已积累一定的勘察资料可资参考。因此，充分、有效地收集邻近场区的相关工程勘察资料，包括地质资料、地下管线及其它地下设施资料，是顺利开展市政工程勘察的重要前提和有效手段。由此出发，也期待各个</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能建立起相关</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基础资料的数据共享体系，以利于</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建设的效率和质量。</w:t>
      </w:r>
      <w:r>
        <w:rPr>
          <w:rFonts w:hint="eastAsia"/>
          <w:color w:val="auto"/>
          <w:highlight w:val="none"/>
          <w:lang w:val="en-US" w:eastAsia="zh-CN"/>
        </w:rPr>
        <w:t>此外，</w:t>
      </w:r>
      <w:r>
        <w:rPr>
          <w:rFonts w:hint="eastAsia" w:ascii="宋体" w:hAnsi="宋体" w:eastAsia="宋体" w:cs="宋体"/>
          <w:color w:val="auto"/>
          <w:kern w:val="0"/>
          <w:sz w:val="21"/>
          <w:szCs w:val="21"/>
          <w:highlight w:val="none"/>
          <w:lang w:val="en-US" w:eastAsia="zh-CN" w:bidi="ar"/>
        </w:rPr>
        <w:t>对于地形地貌发生重大变化的场地，宜收集不同时期地形图、用地沿革等相关资料</w:t>
      </w:r>
      <w:r>
        <w:rPr>
          <w:rFonts w:hint="eastAsia" w:ascii="宋体" w:hAnsi="宋体" w:cs="宋体"/>
          <w:color w:val="auto"/>
          <w:kern w:val="0"/>
          <w:sz w:val="21"/>
          <w:szCs w:val="21"/>
          <w:highlight w:val="none"/>
          <w:lang w:val="en-US" w:eastAsia="zh-CN" w:bidi="ar"/>
        </w:rPr>
        <w:t>。</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勘察纲要</w:t>
      </w:r>
      <w:r>
        <w:rPr>
          <w:rFonts w:hint="eastAsia" w:ascii="Times New Roman" w:hAnsi="Times New Roman" w:eastAsia="宋体"/>
          <w:color w:val="auto"/>
          <w:highlight w:val="none"/>
          <w:lang w:val="en-US" w:eastAsia="zh-CN"/>
        </w:rPr>
        <w:t>有时也称</w:t>
      </w:r>
      <w:r>
        <w:rPr>
          <w:rFonts w:ascii="Times New Roman" w:hAnsi="Times New Roman" w:eastAsia="宋体"/>
          <w:color w:val="auto"/>
          <w:highlight w:val="none"/>
        </w:rPr>
        <w:t>勘察大纲</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是指导勘察工作开展的纲领性文件</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合理编制勘察纲要对市政工程勘察可保持勘察过程按</w:t>
      </w:r>
      <w:r>
        <w:rPr>
          <w:rFonts w:hint="eastAsia" w:ascii="Times New Roman" w:hAnsi="Times New Roman" w:eastAsia="宋体"/>
          <w:color w:val="auto"/>
          <w:highlight w:val="none"/>
          <w:lang w:val="en-US" w:eastAsia="zh-CN"/>
        </w:rPr>
        <w:t>技术标准</w:t>
      </w:r>
      <w:r>
        <w:rPr>
          <w:rFonts w:ascii="Times New Roman" w:hAnsi="Times New Roman" w:eastAsia="宋体"/>
          <w:color w:val="auto"/>
          <w:highlight w:val="none"/>
        </w:rPr>
        <w:t>统一</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加强质量安全和文明施工、工期控制等</w:t>
      </w:r>
      <w:r>
        <w:rPr>
          <w:rFonts w:ascii="Times New Roman" w:hAnsi="Times New Roman" w:eastAsia="宋体"/>
          <w:color w:val="auto"/>
          <w:highlight w:val="none"/>
        </w:rPr>
        <w:t>，能起到</w:t>
      </w:r>
      <w:r>
        <w:rPr>
          <w:rFonts w:hint="eastAsia" w:ascii="Times New Roman" w:hAnsi="Times New Roman" w:eastAsia="宋体"/>
          <w:color w:val="auto"/>
          <w:highlight w:val="none"/>
          <w:lang w:val="en-US" w:eastAsia="zh-CN"/>
        </w:rPr>
        <w:t>统领和指引</w:t>
      </w:r>
      <w:r>
        <w:rPr>
          <w:rFonts w:ascii="Times New Roman" w:hAnsi="Times New Roman" w:eastAsia="宋体"/>
          <w:color w:val="auto"/>
          <w:highlight w:val="none"/>
        </w:rPr>
        <w:t>作用，应予以重视。</w:t>
      </w:r>
    </w:p>
    <w:p>
      <w:pPr>
        <w:spacing w:line="360" w:lineRule="auto"/>
        <w:rPr>
          <w:rFonts w:hint="eastAsia" w:ascii="Times New Roman" w:hAnsi="Times New Roman" w:eastAsia="宋体"/>
          <w:color w:val="auto"/>
          <w:highlight w:val="none"/>
          <w:lang w:val="en-US" w:eastAsia="zh-CN"/>
        </w:rPr>
      </w:pPr>
      <w:r>
        <w:rPr>
          <w:rFonts w:ascii="Times New Roman" w:hAnsi="Times New Roman" w:eastAsia="宋体"/>
          <w:b/>
          <w:bCs/>
          <w:color w:val="auto"/>
          <w:highlight w:val="none"/>
        </w:rPr>
        <w:t>3.0.</w:t>
      </w:r>
      <w:r>
        <w:rPr>
          <w:rFonts w:hint="eastAsia" w:ascii="Times New Roman" w:hAnsi="Times New Roman" w:eastAsia="宋体"/>
          <w:b/>
          <w:bCs/>
          <w:color w:val="auto"/>
          <w:highlight w:val="none"/>
          <w:lang w:val="en-US" w:eastAsia="zh-CN"/>
        </w:rPr>
        <w:t>3</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利用原勘察资料时，</w:t>
      </w:r>
      <w:r>
        <w:rPr>
          <w:rFonts w:hint="eastAsia"/>
          <w:color w:val="auto"/>
          <w:highlight w:val="none"/>
          <w:lang w:val="en-US" w:eastAsia="zh-CN"/>
        </w:rPr>
        <w:t>需要</w:t>
      </w:r>
      <w:r>
        <w:rPr>
          <w:rFonts w:hint="eastAsia" w:ascii="Times New Roman" w:hAnsi="Times New Roman" w:eastAsia="宋体"/>
          <w:color w:val="auto"/>
          <w:highlight w:val="none"/>
          <w:lang w:val="en-US" w:eastAsia="zh-CN"/>
        </w:rPr>
        <w:t>分析以下条件后酌情采用：</w:t>
      </w:r>
    </w:p>
    <w:p>
      <w:pPr>
        <w:spacing w:line="360" w:lineRule="auto"/>
        <w:ind w:firstLine="422" w:firstLineChars="200"/>
        <w:rPr>
          <w:rFonts w:hint="default"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1</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既有资料的来源及可信度。来源于有相应资质单位的最终成果，资料完整，且与场地的区域地质资料基本吻合，则可利用。当有多份不同来源的资料时，宜相互对照分析后判断资料的可信度。</w:t>
      </w:r>
    </w:p>
    <w:p>
      <w:pPr>
        <w:spacing w:line="360" w:lineRule="auto"/>
        <w:ind w:firstLine="422" w:firstLineChars="200"/>
        <w:rPr>
          <w:rFonts w:hint="default"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2</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利用资料钻孔距离拟建工程的远近。总体上，场地和岩土条件越复杂时要求距离越近，场地和岩土条件越简单时距离可以越远；一般路基可以允许稍微远一点，隧道、管道、管廊、基坑、边坡工程应当近一点；桩基工程应当更近一些；桥梁主墩则一般不宜利用邻近资料，地质条件复杂的桥梁主墩不应利用邻近资料。推荐参照拟建工程详勘布孔间距来确定既有钻孔资料是否可利用，即：既有钻孔距离拟布孔位置小于详勘布孔间距一半时可利用，否则不利用。</w:t>
      </w:r>
    </w:p>
    <w:p>
      <w:pPr>
        <w:spacing w:line="360" w:lineRule="auto"/>
        <w:ind w:firstLine="422" w:firstLineChars="200"/>
        <w:rPr>
          <w:rFonts w:hint="default"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3</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利用资料钻孔的深度。钻孔深度满足拟建工程一般性勘探孔深度要求时可以利用，否则不利用。</w:t>
      </w:r>
    </w:p>
    <w:p>
      <w:pPr>
        <w:spacing w:line="360" w:lineRule="auto"/>
        <w:ind w:firstLine="422" w:firstLineChars="200"/>
        <w:rPr>
          <w:rFonts w:hint="default" w:ascii="Times New Roman" w:hAnsi="Times New Roman" w:eastAsia="宋体"/>
          <w:color w:val="auto"/>
          <w:highlight w:val="none"/>
          <w:lang w:val="en-US"/>
        </w:rPr>
      </w:pPr>
      <w:r>
        <w:rPr>
          <w:rFonts w:hint="eastAsia" w:ascii="Times New Roman" w:hAnsi="Times New Roman" w:eastAsia="宋体"/>
          <w:b/>
          <w:bCs/>
          <w:color w:val="auto"/>
          <w:highlight w:val="none"/>
          <w:lang w:val="en-US" w:eastAsia="zh-CN"/>
        </w:rPr>
        <w:t>4</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利用钻孔位置地层的可能变化。利用钻孔位置若进行过工程建设，其孔口标高、部分地层类型及性质可能发生变化。因此，利用时务必要谨慎，应根据原工程的特点，结合原设计方案，分析、查明在原工程建设过程中，包括挖填方、地基处理、溶洞处理、基础施工等可能导致的地层变化，在提供相关资料给设计使用时应针对性提出使用注意事项。</w:t>
      </w:r>
    </w:p>
    <w:p>
      <w:pPr>
        <w:spacing w:line="360" w:lineRule="auto"/>
        <w:rPr>
          <w:rFonts w:hint="default" w:ascii="Times New Roman" w:hAnsi="Times New Roman" w:eastAsia="宋体"/>
          <w:b w:val="0"/>
          <w:bCs w:val="0"/>
          <w:color w:val="auto"/>
          <w:highlight w:val="none"/>
          <w:lang w:val="en-US" w:eastAsia="zh-CN"/>
        </w:rPr>
      </w:pPr>
      <w:r>
        <w:rPr>
          <w:rFonts w:ascii="Times New Roman" w:hAnsi="Times New Roman" w:eastAsia="宋体"/>
          <w:b/>
          <w:bCs/>
          <w:color w:val="auto"/>
          <w:highlight w:val="none"/>
        </w:rPr>
        <w:t>3.0.</w:t>
      </w:r>
      <w:r>
        <w:rPr>
          <w:rFonts w:hint="eastAsia" w:ascii="Times New Roman" w:hAnsi="Times New Roman" w:eastAsia="宋体"/>
          <w:b/>
          <w:bCs/>
          <w:color w:val="auto"/>
          <w:highlight w:val="none"/>
          <w:lang w:val="en-US" w:eastAsia="zh-CN"/>
        </w:rPr>
        <w:t>4</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hint="eastAsia" w:ascii="Times New Roman" w:hAnsi="Times New Roman" w:eastAsia="宋体"/>
          <w:b w:val="0"/>
          <w:bCs w:val="0"/>
          <w:color w:val="auto"/>
          <w:highlight w:val="none"/>
          <w:lang w:val="en-US" w:eastAsia="zh-CN"/>
        </w:rPr>
        <w:t>就本条各款说明如下：</w:t>
      </w:r>
    </w:p>
    <w:p>
      <w:pPr>
        <w:spacing w:line="360" w:lineRule="auto"/>
        <w:ind w:firstLine="422" w:firstLineChars="200"/>
        <w:rPr>
          <w:rFonts w:ascii="宋体" w:hAnsi="宋体" w:eastAsia="宋体"/>
          <w:color w:val="auto"/>
          <w:highlight w:val="none"/>
        </w:rPr>
      </w:pPr>
      <w:r>
        <w:rPr>
          <w:rFonts w:hint="eastAsia" w:ascii="Times New Roman" w:hAnsi="Times New Roman" w:eastAsia="宋体"/>
          <w:b/>
          <w:bCs/>
          <w:color w:val="auto"/>
          <w:highlight w:val="none"/>
          <w:lang w:val="en-US" w:eastAsia="zh-CN"/>
        </w:rPr>
        <w:t>1</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ascii="Times New Roman" w:hAnsi="Times New Roman" w:eastAsia="宋体"/>
          <w:color w:val="auto"/>
          <w:highlight w:val="none"/>
        </w:rPr>
        <w:t>勘察工作</w:t>
      </w:r>
      <w:r>
        <w:rPr>
          <w:rFonts w:hint="eastAsia" w:ascii="Times New Roman" w:hAnsi="Times New Roman" w:eastAsia="宋体"/>
          <w:color w:val="auto"/>
          <w:highlight w:val="none"/>
          <w:lang w:val="en-US" w:eastAsia="zh-CN"/>
        </w:rPr>
        <w:t>的对象</w:t>
      </w:r>
      <w:r>
        <w:rPr>
          <w:rFonts w:ascii="Times New Roman" w:hAnsi="Times New Roman" w:eastAsia="宋体"/>
          <w:color w:val="auto"/>
          <w:highlight w:val="none"/>
        </w:rPr>
        <w:t>是</w:t>
      </w:r>
      <w:r>
        <w:rPr>
          <w:rFonts w:hint="eastAsia" w:ascii="Times New Roman" w:hAnsi="Times New Roman" w:eastAsia="宋体"/>
          <w:color w:val="auto"/>
          <w:highlight w:val="none"/>
          <w:lang w:val="en-US" w:eastAsia="zh-CN"/>
        </w:rPr>
        <w:t>隐藏</w:t>
      </w:r>
      <w:r>
        <w:rPr>
          <w:rFonts w:ascii="Times New Roman" w:hAnsi="Times New Roman" w:eastAsia="宋体"/>
          <w:color w:val="auto"/>
          <w:highlight w:val="none"/>
        </w:rPr>
        <w:t>在地下且不能直接看到的地质体，故为保证经济有效地为相应阶段设计提供</w:t>
      </w:r>
      <w:r>
        <w:rPr>
          <w:rFonts w:hint="eastAsia" w:ascii="Times New Roman" w:hAnsi="Times New Roman" w:eastAsia="宋体"/>
          <w:color w:val="auto"/>
          <w:highlight w:val="none"/>
          <w:lang w:val="en-US" w:eastAsia="zh-CN"/>
        </w:rPr>
        <w:t>满足要求</w:t>
      </w:r>
      <w:r>
        <w:rPr>
          <w:rFonts w:ascii="Times New Roman" w:hAnsi="Times New Roman" w:eastAsia="宋体"/>
          <w:color w:val="auto"/>
          <w:highlight w:val="none"/>
        </w:rPr>
        <w:t>的勘察成果，一般从宏观到微观、由粗到细分阶段</w:t>
      </w:r>
      <w:r>
        <w:rPr>
          <w:rFonts w:hint="eastAsia" w:ascii="Times New Roman" w:hAnsi="Times New Roman" w:eastAsia="宋体"/>
          <w:color w:val="auto"/>
          <w:highlight w:val="none"/>
          <w:lang w:val="en-US" w:eastAsia="zh-CN"/>
        </w:rPr>
        <w:t>开展勘察工作</w:t>
      </w:r>
      <w:r>
        <w:rPr>
          <w:rFonts w:ascii="Times New Roman" w:hAnsi="Times New Roman" w:eastAsia="宋体"/>
          <w:color w:val="auto"/>
          <w:highlight w:val="none"/>
        </w:rPr>
        <w:t>。</w:t>
      </w:r>
      <w:r>
        <w:rPr>
          <w:rFonts w:ascii="宋体" w:hAnsi="宋体" w:eastAsia="宋体"/>
          <w:color w:val="auto"/>
          <w:highlight w:val="none"/>
        </w:rPr>
        <w:t>各阶段勘察</w:t>
      </w:r>
      <w:r>
        <w:rPr>
          <w:rFonts w:hint="eastAsia" w:ascii="宋体" w:hAnsi="宋体"/>
          <w:color w:val="auto"/>
          <w:highlight w:val="none"/>
          <w:lang w:val="en-US" w:eastAsia="zh-CN"/>
        </w:rPr>
        <w:t>要</w:t>
      </w:r>
      <w:r>
        <w:rPr>
          <w:rFonts w:ascii="宋体" w:hAnsi="宋体" w:eastAsia="宋体"/>
          <w:color w:val="auto"/>
          <w:highlight w:val="none"/>
        </w:rPr>
        <w:t>充分利用前阶段的勘察成果。</w:t>
      </w:r>
    </w:p>
    <w:p>
      <w:pPr>
        <w:spacing w:line="360" w:lineRule="auto"/>
        <w:ind w:firstLine="420" w:firstLineChars="20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在充分利用前阶段勘探成果基础上，勘探孔布置一般宜遵循“先深孔、后浅孔”的原则。其中，含桥涵、隧道、边坡等节点和室外管道的城市道路建设工程，宜遵循“先节点、再管道、后道路”的勘探孔布置原则；室外管道工程，宜遵循“先井位、后区间”的勘探孔布置原则。勘探孔布置遵循的“先深孔、后浅孔”的目的是尽可能一孔多用，使勘探孔效能最大化，优化勘察工作量布置。此处的深孔、浅孔是针对钻孔类型而言，比如桥梁孔一般终孔深度要求更深，其他类型钻孔都可以利用；而道路孔一般终孔要求更浅，其他类型的孔利用了道路孔可能存在深度不足。因此，先布置孔深要求高的类型的钻孔，后续布置孔深要求低的类型的钻孔。</w:t>
      </w:r>
    </w:p>
    <w:p>
      <w:pPr>
        <w:spacing w:line="360" w:lineRule="auto"/>
        <w:ind w:firstLine="420" w:firstLineChars="20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作为工程建设前期工作的一部分，勘察一般分为三个阶段开展勘察工作，即</w:t>
      </w:r>
      <w:r>
        <w:rPr>
          <w:rFonts w:ascii="Times New Roman" w:hAnsi="Times New Roman" w:eastAsia="宋体"/>
          <w:color w:val="auto"/>
          <w:highlight w:val="none"/>
        </w:rPr>
        <w:t>可行性研究勘察、初步勘察</w:t>
      </w:r>
      <w:r>
        <w:rPr>
          <w:rFonts w:hint="eastAsia" w:ascii="Times New Roman" w:hAnsi="Times New Roman" w:eastAsia="宋体"/>
          <w:color w:val="auto"/>
          <w:highlight w:val="none"/>
          <w:lang w:val="en-US" w:eastAsia="zh-CN"/>
        </w:rPr>
        <w:t>和</w:t>
      </w:r>
      <w:r>
        <w:rPr>
          <w:rFonts w:ascii="Times New Roman" w:hAnsi="Times New Roman" w:eastAsia="宋体"/>
          <w:color w:val="auto"/>
          <w:highlight w:val="none"/>
        </w:rPr>
        <w:t>详细勘察</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在某些特殊情况下，两个或三个阶段勘察可合并开展。</w:t>
      </w:r>
      <w:r>
        <w:rPr>
          <w:rFonts w:hint="eastAsia" w:ascii="Times New Roman" w:hAnsi="Times New Roman" w:eastAsia="宋体"/>
          <w:color w:val="auto"/>
          <w:highlight w:val="none"/>
          <w:lang w:val="en-US" w:eastAsia="zh-CN"/>
        </w:rPr>
        <w:t>场地平整工程的任务相对简单，在实际勘察中往往不区分阶段，采取一次性勘察。</w:t>
      </w:r>
    </w:p>
    <w:p>
      <w:pPr>
        <w:spacing w:line="360" w:lineRule="auto"/>
        <w:ind w:firstLine="420" w:firstLineChars="200"/>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施工阶段</w:t>
      </w:r>
      <w:r>
        <w:rPr>
          <w:rFonts w:ascii="Times New Roman" w:hAnsi="Times New Roman" w:eastAsia="宋体"/>
          <w:color w:val="auto"/>
          <w:highlight w:val="none"/>
        </w:rPr>
        <w:t>为进一步明确施工的具体条件、</w:t>
      </w:r>
      <w:r>
        <w:rPr>
          <w:rFonts w:hint="eastAsia" w:ascii="Times New Roman" w:hAnsi="Times New Roman" w:eastAsia="宋体"/>
          <w:color w:val="auto"/>
          <w:highlight w:val="none"/>
          <w:lang w:val="en-US" w:eastAsia="zh-CN"/>
        </w:rPr>
        <w:t>具体的</w:t>
      </w:r>
      <w:r>
        <w:rPr>
          <w:rFonts w:ascii="Times New Roman" w:hAnsi="Times New Roman" w:eastAsia="宋体"/>
          <w:color w:val="auto"/>
          <w:highlight w:val="none"/>
        </w:rPr>
        <w:t>施工工艺或具体工程量，</w:t>
      </w:r>
      <w:r>
        <w:rPr>
          <w:rFonts w:hint="eastAsia" w:ascii="Times New Roman" w:hAnsi="Times New Roman" w:eastAsia="宋体"/>
          <w:color w:val="auto"/>
          <w:highlight w:val="none"/>
          <w:lang w:val="en-US" w:eastAsia="zh-CN"/>
        </w:rPr>
        <w:t>还</w:t>
      </w:r>
      <w:r>
        <w:rPr>
          <w:rFonts w:ascii="Times New Roman" w:hAnsi="Times New Roman" w:eastAsia="宋体"/>
          <w:color w:val="auto"/>
          <w:highlight w:val="none"/>
        </w:rPr>
        <w:t>可能需要开展必要的施工勘察。</w:t>
      </w:r>
      <w:r>
        <w:rPr>
          <w:rFonts w:hint="eastAsia" w:ascii="Times New Roman" w:hAnsi="Times New Roman" w:eastAsia="宋体"/>
          <w:color w:val="auto"/>
          <w:highlight w:val="none"/>
          <w:lang w:val="en-US" w:eastAsia="zh-CN"/>
        </w:rPr>
        <w:t>施工勘察是在施工阶段根据需要对前期勘察工作的局部验证和补充，主要针对桩基和隧道工程，部分</w:t>
      </w:r>
      <w:r>
        <w:rPr>
          <w:rFonts w:ascii="Times New Roman" w:hAnsi="Times New Roman" w:eastAsia="宋体"/>
          <w:color w:val="auto"/>
          <w:highlight w:val="none"/>
        </w:rPr>
        <w:t>不良地质条件或特殊性岩土分布复杂</w:t>
      </w:r>
      <w:r>
        <w:rPr>
          <w:rFonts w:hint="eastAsia" w:ascii="Times New Roman" w:hAnsi="Times New Roman" w:eastAsia="宋体"/>
          <w:color w:val="auto"/>
          <w:highlight w:val="none"/>
          <w:lang w:val="en-US" w:eastAsia="zh-CN"/>
        </w:rPr>
        <w:t>的浅基础、基坑工程和非开挖法敷设管道工程有时也需要开展一定量的施工勘察。</w:t>
      </w:r>
      <w:r>
        <w:rPr>
          <w:rFonts w:ascii="Times New Roman" w:hAnsi="Times New Roman" w:eastAsia="宋体"/>
          <w:color w:val="auto"/>
          <w:highlight w:val="none"/>
        </w:rPr>
        <w:t>施工勘察</w:t>
      </w:r>
      <w:r>
        <w:rPr>
          <w:rFonts w:hint="eastAsia" w:ascii="Times New Roman" w:hAnsi="Times New Roman" w:eastAsia="宋体"/>
          <w:color w:val="auto"/>
          <w:highlight w:val="none"/>
          <w:lang w:val="en-US" w:eastAsia="zh-CN"/>
        </w:rPr>
        <w:t>多</w:t>
      </w:r>
      <w:r>
        <w:rPr>
          <w:rFonts w:ascii="Times New Roman" w:hAnsi="Times New Roman" w:eastAsia="宋体"/>
          <w:color w:val="auto"/>
          <w:highlight w:val="none"/>
        </w:rPr>
        <w:t>以超前钻为主，辅以适用于局部范围开展的物探方法；采用盾构或矿山法掘进的隧道，可以开展必要的超前地质预报勘察。</w:t>
      </w:r>
    </w:p>
    <w:p>
      <w:pPr>
        <w:spacing w:line="360" w:lineRule="auto"/>
        <w:ind w:firstLine="420" w:firstLineChars="200"/>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市政工程的详细</w:t>
      </w:r>
      <w:r>
        <w:rPr>
          <w:rFonts w:ascii="Times New Roman" w:hAnsi="Times New Roman" w:eastAsia="宋体"/>
          <w:color w:val="auto"/>
          <w:highlight w:val="none"/>
        </w:rPr>
        <w:t>勘察</w:t>
      </w:r>
      <w:r>
        <w:rPr>
          <w:rFonts w:hint="eastAsia" w:ascii="Times New Roman" w:hAnsi="Times New Roman" w:eastAsia="宋体"/>
          <w:color w:val="auto"/>
          <w:highlight w:val="none"/>
          <w:lang w:val="en-US" w:eastAsia="zh-CN"/>
        </w:rPr>
        <w:t>往往有</w:t>
      </w:r>
      <w:r>
        <w:rPr>
          <w:rFonts w:ascii="Times New Roman" w:hAnsi="Times New Roman" w:eastAsia="宋体"/>
          <w:color w:val="auto"/>
          <w:highlight w:val="none"/>
        </w:rPr>
        <w:t>一部分</w:t>
      </w:r>
      <w:r>
        <w:rPr>
          <w:rFonts w:hint="eastAsia" w:ascii="Times New Roman" w:hAnsi="Times New Roman" w:eastAsia="宋体"/>
          <w:color w:val="auto"/>
          <w:highlight w:val="none"/>
          <w:lang w:val="en-US" w:eastAsia="zh-CN"/>
        </w:rPr>
        <w:t>需要到施工进场后才具备条件实施，这部分工作称为补充勘察。一般有两种</w:t>
      </w:r>
      <w:r>
        <w:rPr>
          <w:rFonts w:ascii="Times New Roman" w:hAnsi="Times New Roman" w:eastAsia="宋体"/>
          <w:color w:val="auto"/>
          <w:highlight w:val="none"/>
        </w:rPr>
        <w:t>情况</w:t>
      </w:r>
      <w:r>
        <w:rPr>
          <w:rFonts w:hint="eastAsia" w:ascii="Times New Roman" w:hAnsi="Times New Roman" w:eastAsia="宋体"/>
          <w:color w:val="auto"/>
          <w:highlight w:val="none"/>
          <w:lang w:val="en-US" w:eastAsia="zh-CN"/>
        </w:rPr>
        <w:t>需在施工阶段</w:t>
      </w:r>
      <w:r>
        <w:rPr>
          <w:rFonts w:ascii="Times New Roman" w:hAnsi="Times New Roman" w:eastAsia="宋体"/>
          <w:color w:val="auto"/>
          <w:highlight w:val="none"/>
        </w:rPr>
        <w:t>开展补充勘察</w:t>
      </w:r>
      <w:r>
        <w:rPr>
          <w:rFonts w:hint="eastAsia" w:ascii="Times New Roman" w:hAnsi="Times New Roman" w:eastAsia="宋体"/>
          <w:color w:val="auto"/>
          <w:highlight w:val="none"/>
          <w:lang w:val="en-US" w:eastAsia="zh-CN"/>
        </w:rPr>
        <w:t>工作</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w:t>
      </w:r>
      <w:r>
        <w:rPr>
          <w:rFonts w:ascii="Times New Roman" w:hAnsi="Times New Roman" w:eastAsia="宋体"/>
          <w:color w:val="auto"/>
          <w:highlight w:val="none"/>
        </w:rPr>
        <w:t>施工进场前详细勘察工作因场地条件限制而未完成；</w:t>
      </w:r>
      <w:r>
        <w:rPr>
          <w:rFonts w:hint="eastAsia" w:ascii="Times New Roman" w:hAnsi="Times New Roman" w:eastAsia="宋体"/>
          <w:color w:val="auto"/>
          <w:highlight w:val="none"/>
          <w:lang w:val="en-US" w:eastAsia="zh-CN"/>
        </w:rPr>
        <w:t>2）</w:t>
      </w:r>
      <w:r>
        <w:rPr>
          <w:rFonts w:ascii="Times New Roman" w:hAnsi="Times New Roman" w:eastAsia="宋体"/>
          <w:color w:val="auto"/>
          <w:highlight w:val="none"/>
        </w:rPr>
        <w:t>施工阶段设计</w:t>
      </w:r>
      <w:r>
        <w:rPr>
          <w:rFonts w:hint="eastAsia" w:ascii="Times New Roman" w:hAnsi="Times New Roman" w:eastAsia="宋体"/>
          <w:color w:val="auto"/>
          <w:highlight w:val="none"/>
          <w:lang w:val="en-US" w:eastAsia="zh-CN"/>
        </w:rPr>
        <w:t>方案调整而</w:t>
      </w:r>
      <w:r>
        <w:rPr>
          <w:rFonts w:ascii="Times New Roman" w:hAnsi="Times New Roman" w:eastAsia="宋体"/>
          <w:color w:val="auto"/>
          <w:highlight w:val="none"/>
        </w:rPr>
        <w:t>需要增加勘察工作。</w:t>
      </w:r>
    </w:p>
    <w:p>
      <w:pPr>
        <w:spacing w:line="360" w:lineRule="auto"/>
        <w:ind w:firstLine="420" w:firstLineChars="20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由于施工勘察和补充勘察实施的时间上可能有所重叠，工作中两者往往发生一定程度的混淆。但实际上两者之间在目的、任务、服务对象、勘察要求上是不同的，其区别如下：</w:t>
      </w:r>
    </w:p>
    <w:p>
      <w:pPr>
        <w:spacing w:line="360" w:lineRule="auto"/>
        <w:ind w:firstLine="422" w:firstLineChars="200"/>
        <w:rPr>
          <w:rFonts w:hint="eastAsia"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1）</w:t>
      </w:r>
      <w:r>
        <w:rPr>
          <w:rFonts w:hint="eastAsia" w:ascii="Times New Roman" w:hAnsi="Times New Roman" w:eastAsia="宋体"/>
          <w:color w:val="auto"/>
          <w:highlight w:val="none"/>
          <w:lang w:val="en-US" w:eastAsia="zh-CN"/>
        </w:rPr>
        <w:t>目的不同。补充勘察是详细勘察的一部分，与详细勘察是一个整体，其目的是为施工图设计提供依据；施工勘察以详细勘察成果为基础资料，但相对于详细勘察是独立的，其目的是为施工具体方案服务。</w:t>
      </w:r>
    </w:p>
    <w:p>
      <w:pPr>
        <w:spacing w:line="360" w:lineRule="auto"/>
        <w:ind w:firstLine="422" w:firstLineChars="200"/>
        <w:rPr>
          <w:rFonts w:hint="eastAsia" w:ascii="Calibri" w:hAnsi="Calibri" w:eastAsia="宋体" w:cs="Calibri"/>
          <w:color w:val="auto"/>
          <w:highlight w:val="none"/>
          <w:lang w:val="en-US" w:eastAsia="zh-CN"/>
        </w:rPr>
      </w:pPr>
      <w:r>
        <w:rPr>
          <w:rFonts w:hint="eastAsia" w:ascii="Times New Roman" w:hAnsi="Times New Roman" w:eastAsia="宋体"/>
          <w:b/>
          <w:bCs/>
          <w:color w:val="auto"/>
          <w:highlight w:val="none"/>
          <w:lang w:val="en-US" w:eastAsia="zh-CN"/>
        </w:rPr>
        <w:t>2）</w:t>
      </w:r>
      <w:r>
        <w:rPr>
          <w:rFonts w:hint="eastAsia" w:ascii="Times New Roman" w:hAnsi="Times New Roman" w:eastAsia="宋体"/>
          <w:color w:val="auto"/>
          <w:highlight w:val="none"/>
          <w:lang w:val="en-US" w:eastAsia="zh-CN"/>
        </w:rPr>
        <w:t>任务不同。补充勘察作为详细勘察的一部分，其任务与详细勘察一致，是查明整个场地的工程地质和水文地质条件，并提供所需的岩土参数；施工勘察的任务是施工期间</w:t>
      </w:r>
      <w:r>
        <w:rPr>
          <w:rFonts w:hint="eastAsia" w:ascii="Calibri" w:hAnsi="Calibri" w:eastAsia="宋体" w:cs="Calibri"/>
          <w:color w:val="auto"/>
          <w:highlight w:val="none"/>
          <w:lang w:val="en-US" w:eastAsia="zh-CN"/>
        </w:rPr>
        <w:t>对局部的地质细节进行验证，以确认需采取的具体工程措施、工法调整或补救方案，以及具体的工程量。例如：矿山法隧道通过超前地质预报，确认前方掌子面是否有不明的软弱体、裂隙带、承压水体等，从而确定是否需要提前加固、封堵、引流以及局部调整掘进工艺；桩基通过超前钻了解桩端实际的持力层情况，从而最终确定桩底标高；复合地基通过局部施工钻探确定处理深度的长短变化；溶洞、土洞发育地基或桩基通过施工探边勘察判断具体的预处理方案和工作量；顶管、盾构掘进前端施工勘察，了解影响顶进的抛石、孤石、礁岩、旧桩体、旧基础等障碍物的性质和分布，确定具体的破障方案和工作量；施工过程中，地下工程出现支护结构变形过大、开裂、坍塌、失稳、涌水或发生地面沉降过大等意外情况，需要查明具体原因；等等。</w:t>
      </w:r>
    </w:p>
    <w:p>
      <w:pPr>
        <w:spacing w:line="360" w:lineRule="auto"/>
        <w:ind w:firstLine="422" w:firstLineChars="200"/>
        <w:rPr>
          <w:rFonts w:hint="eastAsia" w:ascii="Calibri" w:hAnsi="Calibri" w:eastAsia="宋体" w:cs="Calibri"/>
          <w:color w:val="auto"/>
          <w:highlight w:val="none"/>
          <w:lang w:val="en-US" w:eastAsia="zh-CN"/>
        </w:rPr>
      </w:pPr>
      <w:r>
        <w:rPr>
          <w:rFonts w:hint="default" w:ascii="Times New Roman" w:hAnsi="Times New Roman" w:eastAsia="宋体" w:cs="Times New Roman"/>
          <w:b/>
          <w:bCs/>
          <w:color w:val="auto"/>
          <w:highlight w:val="none"/>
          <w:lang w:val="en-US" w:eastAsia="zh-CN"/>
        </w:rPr>
        <w:t>3）</w:t>
      </w:r>
      <w:r>
        <w:rPr>
          <w:rFonts w:hint="eastAsia" w:ascii="Calibri" w:hAnsi="Calibri" w:eastAsia="宋体" w:cs="Calibri"/>
          <w:color w:val="auto"/>
          <w:highlight w:val="none"/>
          <w:lang w:val="en-US" w:eastAsia="zh-CN"/>
        </w:rPr>
        <w:t>服务对象不同。如前所述，补充勘察主要的服务对象是设计方；施工勘察主要的服务对象是施工方。</w:t>
      </w:r>
    </w:p>
    <w:p>
      <w:pPr>
        <w:spacing w:line="360" w:lineRule="auto"/>
        <w:ind w:firstLine="422" w:firstLineChars="200"/>
        <w:rPr>
          <w:rFonts w:hint="default" w:ascii="Times New Roman" w:hAnsi="Times New Roman" w:eastAsia="宋体"/>
          <w:color w:val="auto"/>
          <w:highlight w:val="none"/>
          <w:lang w:val="en-US" w:eastAsia="zh-CN"/>
        </w:rPr>
      </w:pPr>
      <w:r>
        <w:rPr>
          <w:rFonts w:hint="default" w:ascii="Times New Roman" w:hAnsi="Times New Roman" w:eastAsia="宋体" w:cs="Times New Roman"/>
          <w:b/>
          <w:bCs/>
          <w:color w:val="auto"/>
          <w:highlight w:val="none"/>
          <w:lang w:val="en-US" w:eastAsia="zh-CN"/>
        </w:rPr>
        <w:t>4）</w:t>
      </w:r>
      <w:r>
        <w:rPr>
          <w:rFonts w:hint="eastAsia" w:ascii="Calibri" w:hAnsi="Calibri" w:eastAsia="宋体" w:cs="Calibri"/>
          <w:color w:val="auto"/>
          <w:highlight w:val="none"/>
          <w:lang w:val="en-US" w:eastAsia="zh-CN"/>
        </w:rPr>
        <w:t>勘察要求不同。补充勘察是详细勘察的一部分，因此，包括测试、取样、数据统计、分析评价等，勘察的要求与详细勘察是延续的、一致的；施工勘察的勘察要求则根据具体的目标而定，开展的测试、试验工作较少，主要是依照详勘结果进行局部验证。</w:t>
      </w:r>
    </w:p>
    <w:p>
      <w:pPr>
        <w:spacing w:line="360" w:lineRule="auto"/>
        <w:ind w:firstLine="422" w:firstLineChars="200"/>
        <w:rPr>
          <w:rFonts w:hint="default"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2</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专项勘察仅针</w:t>
      </w:r>
      <w:bookmarkStart w:id="504" w:name="_GoBack"/>
      <w:bookmarkEnd w:id="504"/>
      <w:r>
        <w:rPr>
          <w:rFonts w:hint="eastAsia" w:ascii="Times New Roman" w:hAnsi="Times New Roman" w:eastAsia="宋体"/>
          <w:color w:val="auto"/>
          <w:highlight w:val="none"/>
          <w:lang w:val="en-US" w:eastAsia="zh-CN"/>
        </w:rPr>
        <w:t>对工程设计方案或施工有重大影响的岩土工程问题，一般是特殊的不良地质作用或水文地质条件，如：某条对山岭隧道施工构成重大威胁的大断层、高地应力、地下暗河，对场地构成重大威胁的古滑坡体，临近水库、江河的大型地下基坑的地下水条件等。</w:t>
      </w:r>
    </w:p>
    <w:p>
      <w:pPr>
        <w:spacing w:line="360" w:lineRule="auto"/>
        <w:rPr>
          <w:rFonts w:hint="default" w:ascii="Times New Roman" w:hAnsi="Times New Roman" w:eastAsia="宋体"/>
          <w:b/>
          <w:bCs/>
          <w:color w:val="auto"/>
          <w:highlight w:val="none"/>
          <w:lang w:val="en-US" w:eastAsia="zh-CN"/>
        </w:rPr>
      </w:pPr>
      <w:r>
        <w:rPr>
          <w:rFonts w:ascii="Times New Roman" w:hAnsi="Times New Roman" w:eastAsia="宋体"/>
          <w:b/>
          <w:bCs/>
          <w:color w:val="auto"/>
          <w:highlight w:val="none"/>
        </w:rPr>
        <w:t>3.0.</w:t>
      </w:r>
      <w:r>
        <w:rPr>
          <w:rFonts w:hint="eastAsia" w:ascii="Times New Roman" w:hAnsi="Times New Roman" w:eastAsia="宋体"/>
          <w:b/>
          <w:bCs/>
          <w:color w:val="auto"/>
          <w:highlight w:val="none"/>
          <w:lang w:val="en-US" w:eastAsia="zh-CN"/>
        </w:rPr>
        <w:t>5</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hint="eastAsia" w:ascii="Times New Roman" w:hAnsi="Times New Roman" w:eastAsia="宋体"/>
          <w:b w:val="0"/>
          <w:bCs w:val="0"/>
          <w:color w:val="auto"/>
          <w:highlight w:val="none"/>
          <w:lang w:val="en-US" w:eastAsia="zh-CN"/>
        </w:rPr>
        <w:t>勘探包括钻探、地球物理勘探（物探）、化学勘探（化探）、坑探、槽探等。</w:t>
      </w:r>
    </w:p>
    <w:p>
      <w:pPr>
        <w:spacing w:line="360" w:lineRule="auto"/>
        <w:ind w:firstLine="420" w:firstLineChars="200"/>
        <w:rPr>
          <w:rFonts w:hint="eastAsia" w:ascii="Times New Roman" w:hAnsi="Times New Roman" w:eastAsia="宋体"/>
          <w:b w:val="0"/>
          <w:bCs w:val="0"/>
          <w:color w:val="auto"/>
          <w:highlight w:val="none"/>
          <w:lang w:val="en-US" w:eastAsia="zh-CN"/>
        </w:rPr>
      </w:pPr>
      <w:r>
        <w:rPr>
          <w:rFonts w:hint="eastAsia" w:ascii="Times New Roman" w:hAnsi="Times New Roman" w:eastAsia="宋体"/>
          <w:b w:val="0"/>
          <w:bCs w:val="0"/>
          <w:color w:val="auto"/>
          <w:highlight w:val="none"/>
          <w:lang w:val="en-US" w:eastAsia="zh-CN"/>
        </w:rPr>
        <w:t>场地稳定性指拟建场地是否存在能导致场地滑移、大的变形及破坏等严重情况的地质条件，包括：</w:t>
      </w:r>
    </w:p>
    <w:p>
      <w:pPr>
        <w:spacing w:line="360" w:lineRule="auto"/>
        <w:ind w:firstLine="422" w:firstLineChars="200"/>
        <w:rPr>
          <w:rFonts w:hint="eastAsia" w:ascii="Times New Roman" w:hAnsi="Times New Roman" w:eastAsia="宋体"/>
          <w:b w:val="0"/>
          <w:bCs w:val="0"/>
          <w:color w:val="auto"/>
          <w:highlight w:val="none"/>
          <w:lang w:val="en-US" w:eastAsia="zh-CN"/>
        </w:rPr>
      </w:pPr>
      <w:r>
        <w:rPr>
          <w:rFonts w:hint="eastAsia" w:ascii="Times New Roman" w:hAnsi="Times New Roman" w:eastAsia="宋体"/>
          <w:b/>
          <w:bCs/>
          <w:color w:val="auto"/>
          <w:highlight w:val="none"/>
          <w:lang w:val="en-US" w:eastAsia="zh-CN"/>
        </w:rPr>
        <w:t>1）</w:t>
      </w:r>
      <w:r>
        <w:rPr>
          <w:rFonts w:hint="eastAsia" w:ascii="Times New Roman" w:hAnsi="Times New Roman" w:eastAsia="宋体"/>
          <w:b w:val="0"/>
          <w:bCs w:val="0"/>
          <w:color w:val="auto"/>
          <w:highlight w:val="none"/>
          <w:lang w:val="en-US" w:eastAsia="zh-CN"/>
        </w:rPr>
        <w:t>是否有岩溶、土洞、滑坡、泥石流、崩塌、塌陷、采空区等不良地质作用和地质灾害；</w:t>
      </w:r>
    </w:p>
    <w:p>
      <w:pPr>
        <w:spacing w:line="360" w:lineRule="auto"/>
        <w:ind w:firstLine="422" w:firstLineChars="200"/>
        <w:rPr>
          <w:rFonts w:hint="eastAsia" w:ascii="Times New Roman" w:hAnsi="Times New Roman" w:eastAsia="宋体"/>
          <w:b w:val="0"/>
          <w:bCs w:val="0"/>
          <w:color w:val="auto"/>
          <w:highlight w:val="none"/>
          <w:lang w:val="en-US" w:eastAsia="zh-CN"/>
        </w:rPr>
      </w:pPr>
      <w:r>
        <w:rPr>
          <w:rFonts w:hint="eastAsia" w:ascii="Times New Roman" w:hAnsi="Times New Roman" w:eastAsia="宋体"/>
          <w:b/>
          <w:bCs/>
          <w:color w:val="auto"/>
          <w:highlight w:val="none"/>
          <w:lang w:val="en-US" w:eastAsia="zh-CN"/>
        </w:rPr>
        <w:t>2）</w:t>
      </w:r>
      <w:r>
        <w:rPr>
          <w:rFonts w:hint="eastAsia" w:ascii="Times New Roman" w:hAnsi="Times New Roman" w:eastAsia="宋体"/>
          <w:b w:val="0"/>
          <w:bCs w:val="0"/>
          <w:color w:val="auto"/>
          <w:highlight w:val="none"/>
          <w:lang w:val="en-US" w:eastAsia="zh-CN"/>
        </w:rPr>
        <w:t>是否有边坡稳定性问题；</w:t>
      </w:r>
    </w:p>
    <w:p>
      <w:pPr>
        <w:spacing w:line="360" w:lineRule="auto"/>
        <w:ind w:firstLine="422" w:firstLineChars="200"/>
        <w:rPr>
          <w:rFonts w:hint="eastAsia" w:ascii="Times New Roman" w:hAnsi="Times New Roman" w:eastAsia="宋体"/>
          <w:b w:val="0"/>
          <w:bCs w:val="0"/>
          <w:color w:val="auto"/>
          <w:highlight w:val="none"/>
          <w:lang w:val="en-US" w:eastAsia="zh-CN"/>
        </w:rPr>
      </w:pPr>
      <w:r>
        <w:rPr>
          <w:rFonts w:hint="eastAsia" w:ascii="Times New Roman" w:hAnsi="Times New Roman" w:eastAsia="宋体"/>
          <w:b/>
          <w:bCs/>
          <w:color w:val="auto"/>
          <w:highlight w:val="none"/>
          <w:lang w:val="en-US" w:eastAsia="zh-CN"/>
        </w:rPr>
        <w:t>3）</w:t>
      </w:r>
      <w:r>
        <w:rPr>
          <w:rFonts w:hint="eastAsia" w:ascii="Times New Roman" w:hAnsi="Times New Roman" w:eastAsia="宋体"/>
          <w:b w:val="0"/>
          <w:bCs w:val="0"/>
          <w:color w:val="auto"/>
          <w:highlight w:val="none"/>
          <w:lang w:val="en-US" w:eastAsia="zh-CN"/>
        </w:rPr>
        <w:t>是否存在可能影响拟建物安全的地形地貌。</w:t>
      </w:r>
    </w:p>
    <w:p>
      <w:pPr>
        <w:spacing w:line="360" w:lineRule="auto"/>
        <w:ind w:firstLine="420" w:firstLineChars="200"/>
        <w:rPr>
          <w:rFonts w:hint="default" w:ascii="Times New Roman" w:hAnsi="Times New Roman" w:eastAsia="宋体"/>
          <w:b w:val="0"/>
          <w:bCs w:val="0"/>
          <w:color w:val="auto"/>
          <w:highlight w:val="none"/>
          <w:lang w:val="en-US" w:eastAsia="zh-CN"/>
        </w:rPr>
      </w:pPr>
      <w:r>
        <w:rPr>
          <w:rFonts w:hint="eastAsia" w:ascii="Times New Roman" w:hAnsi="Times New Roman" w:eastAsia="宋体"/>
          <w:b w:val="0"/>
          <w:bCs w:val="0"/>
          <w:color w:val="auto"/>
          <w:highlight w:val="none"/>
          <w:lang w:val="en-US" w:eastAsia="zh-CN"/>
        </w:rPr>
        <w:t>场地适宜性与场地稳定性密切相关，但关注的主要是技术经济原则，即在该场地进行拟建工程建设，技术上是否可行，经济上是否合理。</w:t>
      </w:r>
    </w:p>
    <w:p>
      <w:pPr>
        <w:spacing w:line="360" w:lineRule="auto"/>
        <w:rPr>
          <w:rFonts w:ascii="Times New Roman" w:hAnsi="Times New Roman" w:eastAsia="宋体"/>
          <w:color w:val="auto"/>
          <w:highlight w:val="none"/>
        </w:rPr>
      </w:pPr>
      <w:r>
        <w:rPr>
          <w:rFonts w:ascii="Times New Roman" w:hAnsi="Times New Roman" w:eastAsia="宋体"/>
          <w:b/>
          <w:bCs/>
          <w:color w:val="auto"/>
          <w:highlight w:val="none"/>
        </w:rPr>
        <w:t>3.0.</w:t>
      </w:r>
      <w:r>
        <w:rPr>
          <w:rFonts w:hint="eastAsia" w:ascii="Times New Roman" w:hAnsi="Times New Roman" w:eastAsia="宋体"/>
          <w:b/>
          <w:bCs/>
          <w:color w:val="auto"/>
          <w:highlight w:val="none"/>
          <w:lang w:val="en-US" w:eastAsia="zh-CN"/>
        </w:rPr>
        <w:t>6</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ascii="Times New Roman" w:hAnsi="Times New Roman" w:eastAsia="宋体"/>
          <w:color w:val="auto"/>
          <w:highlight w:val="none"/>
        </w:rPr>
        <w:t>初步勘察</w:t>
      </w:r>
      <w:r>
        <w:rPr>
          <w:rFonts w:hint="eastAsia"/>
          <w:color w:val="auto"/>
          <w:highlight w:val="none"/>
          <w:lang w:val="en-US" w:eastAsia="zh-CN"/>
        </w:rPr>
        <w:t>需要</w:t>
      </w:r>
      <w:r>
        <w:rPr>
          <w:rFonts w:hint="eastAsia" w:ascii="Times New Roman" w:hAnsi="Times New Roman" w:eastAsia="宋体"/>
          <w:color w:val="auto"/>
          <w:highlight w:val="none"/>
          <w:lang w:val="en-US" w:eastAsia="zh-CN"/>
        </w:rPr>
        <w:t>在</w:t>
      </w:r>
      <w:r>
        <w:rPr>
          <w:rFonts w:ascii="Times New Roman" w:hAnsi="Times New Roman" w:eastAsia="宋体"/>
          <w:color w:val="auto"/>
          <w:highlight w:val="none"/>
        </w:rPr>
        <w:t>收集</w:t>
      </w:r>
      <w:r>
        <w:rPr>
          <w:rFonts w:hint="eastAsia" w:ascii="Times New Roman" w:hAnsi="Times New Roman" w:eastAsia="宋体"/>
          <w:color w:val="auto"/>
          <w:highlight w:val="none"/>
          <w:lang w:val="en-US" w:eastAsia="zh-CN"/>
        </w:rPr>
        <w:t>可行性研究勘察等</w:t>
      </w:r>
      <w:r>
        <w:rPr>
          <w:rFonts w:ascii="Times New Roman" w:hAnsi="Times New Roman" w:eastAsia="宋体"/>
          <w:color w:val="auto"/>
          <w:highlight w:val="none"/>
        </w:rPr>
        <w:t>相关成果资料</w:t>
      </w:r>
      <w:r>
        <w:rPr>
          <w:rFonts w:hint="eastAsia" w:ascii="Times New Roman" w:hAnsi="Times New Roman" w:eastAsia="宋体"/>
          <w:color w:val="auto"/>
          <w:highlight w:val="none"/>
          <w:lang w:val="en-US" w:eastAsia="zh-CN"/>
        </w:rPr>
        <w:t>基础上开展工作</w:t>
      </w:r>
      <w:r>
        <w:rPr>
          <w:rFonts w:ascii="Times New Roman" w:hAnsi="Times New Roman" w:eastAsia="宋体"/>
          <w:color w:val="auto"/>
          <w:highlight w:val="none"/>
        </w:rPr>
        <w:t>，有利于各</w:t>
      </w:r>
      <w:r>
        <w:rPr>
          <w:rFonts w:hint="eastAsia" w:ascii="Times New Roman" w:hAnsi="Times New Roman" w:eastAsia="宋体"/>
          <w:color w:val="auto"/>
          <w:highlight w:val="none"/>
          <w:lang w:val="en-US" w:eastAsia="zh-CN"/>
        </w:rPr>
        <w:t>勘察阶段重要结论与判断保持</w:t>
      </w:r>
      <w:r>
        <w:rPr>
          <w:rFonts w:ascii="Times New Roman" w:hAnsi="Times New Roman" w:eastAsia="宋体"/>
          <w:color w:val="auto"/>
          <w:highlight w:val="none"/>
        </w:rPr>
        <w:t>一致</w:t>
      </w:r>
      <w:r>
        <w:rPr>
          <w:rFonts w:hint="eastAsia" w:ascii="Times New Roman" w:hAnsi="Times New Roman" w:eastAsia="宋体"/>
          <w:color w:val="auto"/>
          <w:highlight w:val="none"/>
          <w:lang w:val="en-US" w:eastAsia="zh-CN"/>
        </w:rPr>
        <w:t>性</w:t>
      </w:r>
      <w:r>
        <w:rPr>
          <w:rFonts w:ascii="Times New Roman" w:hAnsi="Times New Roman" w:eastAsia="宋体"/>
          <w:color w:val="auto"/>
          <w:highlight w:val="none"/>
        </w:rPr>
        <w:t>，如工程建设的适宜性</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场地</w:t>
      </w:r>
      <w:r>
        <w:rPr>
          <w:rFonts w:hint="eastAsia" w:ascii="Times New Roman" w:hAnsi="Times New Roman" w:eastAsia="宋体"/>
          <w:color w:val="auto"/>
          <w:highlight w:val="none"/>
          <w:lang w:val="en-US" w:eastAsia="zh-CN"/>
        </w:rPr>
        <w:t>抗震设防烈度</w:t>
      </w:r>
      <w:r>
        <w:rPr>
          <w:rFonts w:ascii="Times New Roman" w:hAnsi="Times New Roman" w:eastAsia="宋体"/>
          <w:color w:val="auto"/>
          <w:highlight w:val="none"/>
        </w:rPr>
        <w:t>等，从而避免</w:t>
      </w:r>
      <w:r>
        <w:rPr>
          <w:rFonts w:hint="eastAsia" w:ascii="Times New Roman" w:hAnsi="Times New Roman" w:eastAsia="宋体"/>
          <w:color w:val="auto"/>
          <w:highlight w:val="none"/>
          <w:lang w:val="en-US" w:eastAsia="zh-CN"/>
        </w:rPr>
        <w:t>因重要勘察结论与判断调整造成工程</w:t>
      </w:r>
      <w:r>
        <w:rPr>
          <w:rFonts w:ascii="Times New Roman" w:hAnsi="Times New Roman" w:eastAsia="宋体"/>
          <w:color w:val="auto"/>
          <w:highlight w:val="none"/>
        </w:rPr>
        <w:t>变更。</w:t>
      </w:r>
      <w:r>
        <w:rPr>
          <w:rFonts w:hint="eastAsia" w:ascii="Times New Roman" w:hAnsi="Times New Roman" w:eastAsia="宋体"/>
          <w:color w:val="auto"/>
          <w:highlight w:val="none"/>
          <w:lang w:val="en-US" w:eastAsia="zh-CN"/>
        </w:rPr>
        <w:t>另外，</w:t>
      </w:r>
      <w:r>
        <w:rPr>
          <w:rFonts w:ascii="Times New Roman" w:hAnsi="Times New Roman" w:eastAsia="宋体"/>
          <w:color w:val="auto"/>
          <w:highlight w:val="none"/>
        </w:rPr>
        <w:t>市政工程建设项目</w:t>
      </w:r>
      <w:r>
        <w:rPr>
          <w:rFonts w:hint="eastAsia" w:ascii="Times New Roman" w:hAnsi="Times New Roman" w:eastAsia="宋体"/>
          <w:color w:val="auto"/>
          <w:highlight w:val="none"/>
          <w:lang w:val="en-US" w:eastAsia="zh-CN"/>
        </w:rPr>
        <w:t>可行性研究阶段</w:t>
      </w:r>
      <w:r>
        <w:rPr>
          <w:rFonts w:ascii="Times New Roman" w:hAnsi="Times New Roman" w:eastAsia="宋体"/>
          <w:color w:val="auto"/>
          <w:highlight w:val="none"/>
        </w:rPr>
        <w:t>还可能同步开展地质灾害评估</w:t>
      </w:r>
      <w:r>
        <w:rPr>
          <w:rFonts w:hint="eastAsia" w:ascii="Times New Roman" w:hAnsi="Times New Roman" w:eastAsia="宋体"/>
          <w:color w:val="auto"/>
          <w:highlight w:val="none"/>
          <w:lang w:val="en-US" w:eastAsia="zh-CN"/>
        </w:rPr>
        <w:t>和</w:t>
      </w:r>
      <w:r>
        <w:rPr>
          <w:rFonts w:ascii="Times New Roman" w:hAnsi="Times New Roman" w:eastAsia="宋体"/>
          <w:color w:val="auto"/>
          <w:highlight w:val="none"/>
        </w:rPr>
        <w:t>地震</w:t>
      </w:r>
      <w:r>
        <w:rPr>
          <w:rFonts w:hint="eastAsia" w:ascii="Times New Roman" w:hAnsi="Times New Roman" w:eastAsia="宋体"/>
          <w:color w:val="auto"/>
          <w:highlight w:val="none"/>
          <w:lang w:val="en-US" w:eastAsia="zh-CN"/>
        </w:rPr>
        <w:t>安全性</w:t>
      </w:r>
      <w:r>
        <w:rPr>
          <w:rFonts w:ascii="Times New Roman" w:hAnsi="Times New Roman" w:eastAsia="宋体"/>
          <w:color w:val="auto"/>
          <w:highlight w:val="none"/>
        </w:rPr>
        <w:t>评</w:t>
      </w:r>
      <w:r>
        <w:rPr>
          <w:rFonts w:hint="eastAsia" w:ascii="Times New Roman" w:hAnsi="Times New Roman" w:eastAsia="宋体"/>
          <w:color w:val="auto"/>
          <w:highlight w:val="none"/>
          <w:lang w:val="en-US" w:eastAsia="zh-CN"/>
        </w:rPr>
        <w:t>价</w:t>
      </w:r>
      <w:r>
        <w:rPr>
          <w:rFonts w:ascii="Times New Roman" w:hAnsi="Times New Roman" w:eastAsia="宋体"/>
          <w:color w:val="auto"/>
          <w:highlight w:val="none"/>
        </w:rPr>
        <w:t>等工作</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也宜通过建设单位收集，了解有关评估结论，作为参考</w:t>
      </w:r>
      <w:r>
        <w:rPr>
          <w:rFonts w:ascii="Times New Roman" w:hAnsi="Times New Roman" w:eastAsia="宋体"/>
          <w:color w:val="auto"/>
          <w:highlight w:val="none"/>
        </w:rPr>
        <w:t>。</w:t>
      </w:r>
    </w:p>
    <w:p>
      <w:pPr>
        <w:spacing w:line="360" w:lineRule="auto"/>
        <w:rPr>
          <w:rFonts w:hint="eastAsia" w:ascii="Times New Roman" w:hAnsi="Times New Roman" w:eastAsia="宋体"/>
          <w:b/>
          <w:bCs/>
          <w:color w:val="auto"/>
          <w:highlight w:val="none"/>
          <w:lang w:eastAsia="zh-CN"/>
        </w:rPr>
      </w:pPr>
      <w:r>
        <w:rPr>
          <w:rFonts w:ascii="Times New Roman" w:hAnsi="Times New Roman" w:eastAsia="宋体"/>
          <w:b/>
          <w:bCs/>
          <w:color w:val="auto"/>
          <w:highlight w:val="none"/>
        </w:rPr>
        <w:t>3.0.</w:t>
      </w:r>
      <w:r>
        <w:rPr>
          <w:rFonts w:hint="eastAsia" w:ascii="Times New Roman" w:hAnsi="Times New Roman" w:eastAsia="宋体"/>
          <w:b/>
          <w:bCs/>
          <w:color w:val="auto"/>
          <w:highlight w:val="none"/>
          <w:lang w:val="en-US" w:eastAsia="zh-CN"/>
        </w:rPr>
        <w:t>7</w:t>
      </w:r>
      <w:r>
        <w:rPr>
          <w:rFonts w:hint="eastAsia"/>
          <w:b/>
          <w:bCs/>
          <w:color w:val="auto"/>
          <w:highlight w:val="none"/>
          <w:lang w:val="en-US" w:eastAsia="zh-CN"/>
        </w:rPr>
        <w:t xml:space="preserve"> </w:t>
      </w:r>
      <w:r>
        <w:rPr>
          <w:rFonts w:ascii="Times New Roman" w:hAnsi="Times New Roman" w:eastAsia="宋体"/>
          <w:b/>
          <w:bCs/>
          <w:color w:val="auto"/>
          <w:highlight w:val="none"/>
        </w:rPr>
        <w:t xml:space="preserve"> </w:t>
      </w:r>
      <w:r>
        <w:rPr>
          <w:rFonts w:ascii="Times New Roman" w:hAnsi="Times New Roman" w:eastAsia="宋体"/>
          <w:color w:val="auto"/>
          <w:highlight w:val="none"/>
        </w:rPr>
        <w:t>初步勘察</w:t>
      </w:r>
      <w:r>
        <w:rPr>
          <w:rFonts w:hint="eastAsia" w:ascii="Times New Roman" w:hAnsi="Times New Roman" w:eastAsia="宋体"/>
          <w:color w:val="auto"/>
          <w:highlight w:val="none"/>
          <w:lang w:val="en-US" w:eastAsia="zh-CN"/>
        </w:rPr>
        <w:t>的</w:t>
      </w:r>
      <w:r>
        <w:rPr>
          <w:rFonts w:ascii="Times New Roman" w:hAnsi="Times New Roman" w:eastAsia="宋体"/>
          <w:color w:val="auto"/>
          <w:highlight w:val="none"/>
        </w:rPr>
        <w:t>钻孔</w:t>
      </w:r>
      <w:r>
        <w:rPr>
          <w:rFonts w:hint="eastAsia" w:ascii="Times New Roman" w:hAnsi="Times New Roman" w:eastAsia="宋体"/>
          <w:color w:val="auto"/>
          <w:highlight w:val="none"/>
          <w:lang w:val="en-US" w:eastAsia="zh-CN"/>
        </w:rPr>
        <w:t>均</w:t>
      </w:r>
      <w:r>
        <w:rPr>
          <w:rFonts w:hint="eastAsia"/>
          <w:color w:val="auto"/>
          <w:highlight w:val="none"/>
          <w:lang w:val="en-US" w:eastAsia="zh-CN"/>
        </w:rPr>
        <w:t>建议</w:t>
      </w:r>
      <w:r>
        <w:rPr>
          <w:rFonts w:hint="eastAsia" w:ascii="Times New Roman" w:hAnsi="Times New Roman" w:eastAsia="宋体"/>
          <w:color w:val="auto"/>
          <w:highlight w:val="none"/>
          <w:lang w:val="en-US" w:eastAsia="zh-CN"/>
        </w:rPr>
        <w:t>进行</w:t>
      </w:r>
      <w:r>
        <w:rPr>
          <w:rFonts w:ascii="Times New Roman" w:hAnsi="Times New Roman" w:eastAsia="宋体"/>
          <w:color w:val="auto"/>
          <w:highlight w:val="none"/>
        </w:rPr>
        <w:t>原位测试，其中</w:t>
      </w:r>
      <w:r>
        <w:rPr>
          <w:rFonts w:hint="eastAsia" w:ascii="Times New Roman" w:hAnsi="Times New Roman" w:eastAsia="宋体"/>
          <w:color w:val="auto"/>
          <w:highlight w:val="none"/>
          <w:lang w:val="en-US" w:eastAsia="zh-CN"/>
        </w:rPr>
        <w:t>采</w:t>
      </w:r>
      <w:r>
        <w:rPr>
          <w:rFonts w:ascii="Times New Roman" w:hAnsi="Times New Roman" w:eastAsia="宋体"/>
          <w:color w:val="auto"/>
          <w:highlight w:val="none"/>
        </w:rPr>
        <w:t>取</w:t>
      </w:r>
      <w:r>
        <w:rPr>
          <w:rFonts w:hint="eastAsia" w:ascii="Times New Roman" w:hAnsi="Times New Roman" w:eastAsia="宋体"/>
          <w:color w:val="auto"/>
          <w:highlight w:val="none"/>
          <w:lang w:val="en-US" w:eastAsia="zh-CN"/>
        </w:rPr>
        <w:t>试</w:t>
      </w:r>
      <w:r>
        <w:rPr>
          <w:rFonts w:ascii="Times New Roman" w:hAnsi="Times New Roman" w:eastAsia="宋体"/>
          <w:color w:val="auto"/>
          <w:highlight w:val="none"/>
        </w:rPr>
        <w:t>样</w:t>
      </w:r>
      <w:r>
        <w:rPr>
          <w:rFonts w:hint="eastAsia" w:ascii="Times New Roman" w:hAnsi="Times New Roman" w:eastAsia="宋体"/>
          <w:color w:val="auto"/>
          <w:highlight w:val="none"/>
          <w:lang w:val="en-US" w:eastAsia="zh-CN"/>
        </w:rPr>
        <w:t>钻孔</w:t>
      </w:r>
      <w:r>
        <w:rPr>
          <w:rFonts w:ascii="Times New Roman" w:hAnsi="Times New Roman" w:eastAsia="宋体"/>
          <w:color w:val="auto"/>
          <w:highlight w:val="none"/>
        </w:rPr>
        <w:t>不少于</w:t>
      </w:r>
      <w:r>
        <w:rPr>
          <w:rFonts w:hint="eastAsia" w:ascii="Times New Roman" w:hAnsi="Times New Roman" w:eastAsia="宋体"/>
          <w:strike w:val="0"/>
          <w:dstrike w:val="0"/>
          <w:color w:val="auto"/>
          <w:highlight w:val="none"/>
          <w:lang w:val="en-US" w:eastAsia="zh-CN"/>
        </w:rPr>
        <w:t>勘探孔总数的</w:t>
      </w:r>
      <w:r>
        <w:rPr>
          <w:rFonts w:ascii="Times New Roman" w:hAnsi="Times New Roman" w:eastAsia="宋体"/>
          <w:color w:val="auto"/>
          <w:highlight w:val="none"/>
        </w:rPr>
        <w:t>1/3</w:t>
      </w:r>
      <w:r>
        <w:rPr>
          <w:rFonts w:hint="eastAsia" w:ascii="Times New Roman" w:hAnsi="Times New Roman" w:eastAsia="宋体"/>
          <w:color w:val="auto"/>
          <w:highlight w:val="none"/>
          <w:lang w:eastAsia="zh-CN"/>
        </w:rPr>
        <w:t>。</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初步勘察阶段，设计方案尚需根据初步勘察成果选定或调整设计方案，故初步勘察</w:t>
      </w:r>
      <w:r>
        <w:rPr>
          <w:rFonts w:hint="eastAsia"/>
          <w:color w:val="auto"/>
          <w:highlight w:val="none"/>
          <w:lang w:val="en-US" w:eastAsia="zh-CN"/>
        </w:rPr>
        <w:t>要</w:t>
      </w:r>
      <w:r>
        <w:rPr>
          <w:rFonts w:ascii="Times New Roman" w:hAnsi="Times New Roman" w:eastAsia="宋体"/>
          <w:color w:val="auto"/>
          <w:highlight w:val="none"/>
        </w:rPr>
        <w:t>按可能采取的设计方案中对勘探点深度要求最大的方案来控制孔深。</w:t>
      </w:r>
    </w:p>
    <w:p>
      <w:pPr>
        <w:spacing w:line="360" w:lineRule="auto"/>
        <w:ind w:firstLine="420" w:firstLineChars="20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场地类别划分需要获知场地土软硬程度（以等效剪切波速表征）和覆盖层厚度两部分。对于勘察等级甲级、乙级的勘察项目，应有建设场地实测的剪切波速数据；丙级项目可参考所在区域可靠的经验数据。场地无可靠的覆盖层厚度资料以判别场地类别时，应查明覆盖层厚度。</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初步勘察除了为初步设计提供地质资料外，还是详细勘察方案制定的基础之一。其工作要点是初步查明地层、不良地质作用、特殊性岩土、地下水以及环境水、土的腐蚀性等，为初步设计提供岩土工程方面的初步评价和建议。</w:t>
      </w:r>
    </w:p>
    <w:p>
      <w:pPr>
        <w:spacing w:line="360" w:lineRule="auto"/>
        <w:rPr>
          <w:rFonts w:ascii="Times New Roman" w:hAnsi="Times New Roman" w:eastAsia="宋体"/>
          <w:color w:val="auto"/>
          <w:highlight w:val="none"/>
        </w:rPr>
      </w:pPr>
      <w:r>
        <w:rPr>
          <w:rFonts w:ascii="Times New Roman" w:hAnsi="Times New Roman" w:eastAsia="宋体"/>
          <w:b/>
          <w:bCs/>
          <w:color w:val="auto"/>
          <w:highlight w:val="none"/>
        </w:rPr>
        <w:t>3.0.</w:t>
      </w:r>
      <w:r>
        <w:rPr>
          <w:rFonts w:hint="eastAsia" w:ascii="Times New Roman" w:hAnsi="Times New Roman" w:eastAsia="宋体"/>
          <w:b/>
          <w:bCs/>
          <w:color w:val="auto"/>
          <w:highlight w:val="none"/>
          <w:lang w:val="en-US" w:eastAsia="zh-CN"/>
        </w:rPr>
        <w:t>8</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ascii="Times New Roman" w:hAnsi="Times New Roman" w:eastAsia="宋体"/>
          <w:color w:val="auto"/>
          <w:highlight w:val="none"/>
        </w:rPr>
        <w:t>详细勘察</w:t>
      </w:r>
      <w:r>
        <w:rPr>
          <w:rFonts w:hint="eastAsia" w:ascii="Times New Roman" w:hAnsi="Times New Roman" w:eastAsia="宋体"/>
          <w:color w:val="auto"/>
          <w:highlight w:val="none"/>
          <w:lang w:val="en-US" w:eastAsia="zh-CN"/>
        </w:rPr>
        <w:t>目的</w:t>
      </w:r>
      <w:r>
        <w:rPr>
          <w:rFonts w:ascii="Times New Roman" w:hAnsi="Times New Roman" w:eastAsia="宋体"/>
          <w:color w:val="auto"/>
          <w:highlight w:val="none"/>
        </w:rPr>
        <w:t>是为施工图设计提供</w:t>
      </w:r>
      <w:r>
        <w:rPr>
          <w:rFonts w:hint="eastAsia" w:ascii="Times New Roman" w:hAnsi="Times New Roman" w:eastAsia="宋体"/>
          <w:color w:val="auto"/>
          <w:highlight w:val="none"/>
          <w:lang w:val="en-US" w:eastAsia="zh-CN"/>
        </w:rPr>
        <w:t>依据</w:t>
      </w:r>
      <w:r>
        <w:rPr>
          <w:rFonts w:ascii="Times New Roman" w:hAnsi="Times New Roman" w:eastAsia="宋体"/>
          <w:color w:val="auto"/>
          <w:highlight w:val="none"/>
        </w:rPr>
        <w:t>，关系到具体施工的可实现性，故以</w:t>
      </w:r>
      <w:r>
        <w:rPr>
          <w:rFonts w:hint="eastAsia" w:ascii="Times New Roman" w:hAnsi="Times New Roman" w:eastAsia="宋体"/>
          <w:color w:val="auto"/>
          <w:highlight w:val="none"/>
          <w:lang w:eastAsia="zh-CN"/>
        </w:rPr>
        <w:t>勘探</w:t>
      </w:r>
      <w:r>
        <w:rPr>
          <w:rFonts w:ascii="Times New Roman" w:hAnsi="Times New Roman" w:eastAsia="宋体"/>
          <w:color w:val="auto"/>
          <w:highlight w:val="none"/>
        </w:rPr>
        <w:t>和原位测试为主；当存在厚层杂填土或坡积土等极不均匀地层时，</w:t>
      </w:r>
      <w:r>
        <w:rPr>
          <w:rFonts w:hint="eastAsia" w:ascii="Times New Roman" w:hAnsi="Times New Roman" w:eastAsia="宋体"/>
          <w:color w:val="auto"/>
          <w:highlight w:val="none"/>
          <w:lang w:val="en-US" w:eastAsia="zh-CN"/>
        </w:rPr>
        <w:t>根据</w:t>
      </w:r>
      <w:r>
        <w:rPr>
          <w:rFonts w:ascii="Times New Roman" w:hAnsi="Times New Roman" w:eastAsia="宋体"/>
          <w:color w:val="auto"/>
          <w:highlight w:val="none"/>
        </w:rPr>
        <w:t>需要开展槽探；当</w:t>
      </w:r>
      <w:r>
        <w:rPr>
          <w:rFonts w:hint="eastAsia" w:ascii="Times New Roman" w:hAnsi="Times New Roman" w:eastAsia="宋体"/>
          <w:color w:val="auto"/>
          <w:highlight w:val="none"/>
          <w:lang w:val="en-US" w:eastAsia="zh-CN"/>
        </w:rPr>
        <w:t>岩溶、采空区等</w:t>
      </w:r>
      <w:r>
        <w:rPr>
          <w:rFonts w:ascii="Times New Roman" w:hAnsi="Times New Roman" w:eastAsia="宋体"/>
          <w:color w:val="auto"/>
          <w:highlight w:val="none"/>
        </w:rPr>
        <w:t>不良地质发育时，往往需要增加物探。</w:t>
      </w:r>
    </w:p>
    <w:p>
      <w:pPr>
        <w:spacing w:line="360" w:lineRule="auto"/>
        <w:rPr>
          <w:rFonts w:hint="eastAsia" w:ascii="Times New Roman" w:hAnsi="Times New Roman" w:eastAsia="宋体"/>
          <w:color w:val="auto"/>
          <w:highlight w:val="none"/>
          <w:lang w:val="en-US" w:eastAsia="zh-CN"/>
        </w:rPr>
      </w:pPr>
      <w:r>
        <w:rPr>
          <w:rFonts w:ascii="Times New Roman" w:hAnsi="Times New Roman" w:eastAsia="宋体"/>
          <w:b/>
          <w:bCs/>
          <w:color w:val="auto"/>
          <w:highlight w:val="none"/>
        </w:rPr>
        <w:t>3.0.</w:t>
      </w:r>
      <w:r>
        <w:rPr>
          <w:rFonts w:hint="eastAsia" w:ascii="Times New Roman" w:hAnsi="Times New Roman" w:eastAsia="宋体"/>
          <w:b/>
          <w:bCs/>
          <w:color w:val="auto"/>
          <w:highlight w:val="none"/>
          <w:lang w:val="en-US" w:eastAsia="zh-CN"/>
        </w:rPr>
        <w:t>9</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就本条第2款、第4~5款说明如下：</w:t>
      </w:r>
    </w:p>
    <w:p>
      <w:pPr>
        <w:spacing w:line="360" w:lineRule="auto"/>
        <w:ind w:firstLine="422" w:firstLineChars="200"/>
        <w:rPr>
          <w:rFonts w:hint="default"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2</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hint="eastAsia" w:ascii="宋体" w:hAnsi="宋体" w:eastAsia="宋体" w:cs="宋体"/>
          <w:bCs/>
          <w:color w:val="auto"/>
          <w:szCs w:val="21"/>
          <w:highlight w:val="none"/>
        </w:rPr>
        <w:t>一般先取土样，再接着原位测试，可以有对比的意义。</w:t>
      </w:r>
    </w:p>
    <w:p>
      <w:pPr>
        <w:spacing w:line="360" w:lineRule="auto"/>
        <w:ind w:firstLine="422" w:firstLineChars="200"/>
        <w:rPr>
          <w:rFonts w:ascii="Times New Roman" w:hAnsi="Times New Roman" w:eastAsia="宋体"/>
          <w:color w:val="auto"/>
          <w:highlight w:val="none"/>
        </w:rPr>
      </w:pPr>
      <w:r>
        <w:rPr>
          <w:rFonts w:hint="eastAsia" w:ascii="Times New Roman" w:hAnsi="Times New Roman" w:eastAsia="宋体"/>
          <w:b/>
          <w:bCs/>
          <w:color w:val="auto"/>
          <w:highlight w:val="none"/>
          <w:lang w:val="en-US" w:eastAsia="zh-CN"/>
        </w:rPr>
        <w:t>4</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 xml:space="preserve"> </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作为人类活动的集中地，市政工程项目的用地可能曾是居民区、一般工业区、化学工业区、农业区等，土、水所受到的污染情况相对复杂。因此，市政工程勘察中，土、水腐蚀性试样采样密度宜相对更高。在工程中出现土、水腐蚀性试样的腐蚀性等级为中等或强时，无论改变混凝土标号、增加保护层厚度还是采取其它防腐措施，都对工程造价有较大的影响。因此，为进一步圈定需要提高防腐措施的区域，既往项目一般都在中等或强腐蚀性采样点附近追踪加取试样进行测定，以达到查明异常腐蚀性水土分布范围的目的。一般加取数量不少于2组。</w:t>
      </w:r>
    </w:p>
    <w:p>
      <w:pPr>
        <w:spacing w:line="360" w:lineRule="auto"/>
        <w:ind w:firstLine="422" w:firstLineChars="200"/>
        <w:rPr>
          <w:rFonts w:hint="eastAsia"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5</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 xml:space="preserve"> 重要性等级</w:t>
      </w:r>
      <w:r>
        <w:rPr>
          <w:rFonts w:hint="eastAsia" w:ascii="宋体" w:hAnsi="宋体" w:eastAsia="宋体" w:cs="宋体"/>
          <w:color w:val="auto"/>
          <w:szCs w:val="21"/>
          <w:highlight w:val="none"/>
          <w:lang w:val="en-US" w:eastAsia="zh-CN"/>
        </w:rPr>
        <w:t>一级或场地条件复杂的项目</w:t>
      </w:r>
      <w:r>
        <w:rPr>
          <w:rFonts w:hint="eastAsia" w:ascii="宋体" w:hAnsi="宋体" w:cs="宋体"/>
          <w:color w:val="auto"/>
          <w:szCs w:val="21"/>
          <w:highlight w:val="none"/>
          <w:lang w:val="en-US" w:eastAsia="zh-CN"/>
        </w:rPr>
        <w:t>需</w:t>
      </w:r>
      <w:r>
        <w:rPr>
          <w:rFonts w:hint="eastAsia" w:ascii="宋体" w:hAnsi="宋体" w:eastAsia="宋体" w:cs="宋体"/>
          <w:color w:val="auto"/>
          <w:szCs w:val="21"/>
          <w:highlight w:val="none"/>
          <w:lang w:val="en-US" w:eastAsia="zh-CN"/>
        </w:rPr>
        <w:t>做剪切波速测试；对于一般工程项目，如果附近已经有比较丰富可靠的资料，可以参照使用。</w:t>
      </w:r>
    </w:p>
    <w:p>
      <w:pPr>
        <w:spacing w:line="360" w:lineRule="auto"/>
        <w:ind w:firstLine="420" w:firstLineChars="200"/>
        <w:rPr>
          <w:rFonts w:hint="eastAsia" w:eastAsiaTheme="minorEastAsia"/>
          <w:color w:val="auto"/>
          <w:sz w:val="24"/>
          <w:highlight w:val="none"/>
          <w:lang w:val="en-US" w:eastAsia="zh-CN"/>
        </w:rPr>
      </w:pPr>
      <w:r>
        <w:rPr>
          <w:rFonts w:ascii="Times New Roman" w:hAnsi="Times New Roman" w:eastAsia="宋体"/>
          <w:color w:val="auto"/>
          <w:highlight w:val="none"/>
        </w:rPr>
        <w:t>根据《建筑抗震设计规范》GB 50011，进行土层等效剪切波速计算时，勘探孔需钻穿覆盖层或超过20m孔深。若一个地质单元内没有勘探孔满足该深度要求，则计算该地质单元场地的土层等效剪切波速缺乏依据；但对于道路、浅埋室外管道等类工程，一般勘探孔深度无需达到抗震设计孔深要求，故特此提出本条规定。</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根据《建筑抗震设计规范》GB 50011，</w:t>
      </w:r>
      <w:r>
        <w:rPr>
          <w:rFonts w:hint="eastAsia" w:ascii="宋体" w:hAnsi="宋体" w:eastAsia="宋体" w:cs="宋体"/>
          <w:color w:val="auto"/>
          <w:highlight w:val="none"/>
        </w:rPr>
        <w:t>“</w:t>
      </w:r>
      <w:r>
        <w:rPr>
          <w:rFonts w:ascii="Times New Roman" w:hAnsi="Times New Roman" w:eastAsia="宋体"/>
          <w:color w:val="auto"/>
          <w:highlight w:val="none"/>
        </w:rPr>
        <w:t>地面下存在饱和砂土和饱和粉土时，除6度外，应进行液化判别</w:t>
      </w:r>
      <w:r>
        <w:rPr>
          <w:rFonts w:hint="eastAsia" w:ascii="宋体" w:hAnsi="宋体" w:eastAsia="宋体" w:cs="宋体"/>
          <w:color w:val="auto"/>
          <w:highlight w:val="none"/>
        </w:rPr>
        <w:t>”</w:t>
      </w:r>
      <w:r>
        <w:rPr>
          <w:rFonts w:ascii="Times New Roman" w:hAnsi="Times New Roman" w:eastAsia="宋体"/>
          <w:color w:val="auto"/>
          <w:highlight w:val="none"/>
        </w:rPr>
        <w:t>，且</w:t>
      </w:r>
      <w:r>
        <w:rPr>
          <w:rFonts w:hint="eastAsia" w:ascii="宋体" w:hAnsi="宋体" w:eastAsia="宋体" w:cs="宋体"/>
          <w:color w:val="auto"/>
          <w:highlight w:val="none"/>
        </w:rPr>
        <w:t>“</w:t>
      </w:r>
      <w:r>
        <w:rPr>
          <w:rFonts w:ascii="Times New Roman" w:hAnsi="Times New Roman" w:eastAsia="宋体"/>
          <w:color w:val="auto"/>
          <w:highlight w:val="none"/>
        </w:rPr>
        <w:t>地质年代为第四纪晚更新世（Q</w:t>
      </w:r>
      <w:r>
        <w:rPr>
          <w:rFonts w:ascii="Times New Roman" w:hAnsi="Times New Roman" w:eastAsia="宋体"/>
          <w:color w:val="auto"/>
          <w:highlight w:val="none"/>
          <w:vertAlign w:val="subscript"/>
        </w:rPr>
        <w:t>3</w:t>
      </w:r>
      <w:r>
        <w:rPr>
          <w:rFonts w:ascii="Times New Roman" w:hAnsi="Times New Roman" w:eastAsia="宋体"/>
          <w:color w:val="auto"/>
          <w:highlight w:val="none"/>
        </w:rPr>
        <w:t>）及其以前时，7、8度时可判别为不液</w:t>
      </w:r>
      <w:r>
        <w:rPr>
          <w:rFonts w:hint="eastAsia" w:ascii="宋体" w:hAnsi="宋体" w:eastAsia="宋体" w:cs="宋体"/>
          <w:color w:val="auto"/>
          <w:highlight w:val="none"/>
        </w:rPr>
        <w:t>化”、“当</w:t>
      </w:r>
      <w:r>
        <w:rPr>
          <w:rFonts w:ascii="Times New Roman" w:hAnsi="Times New Roman" w:eastAsia="宋体"/>
          <w:color w:val="auto"/>
          <w:highlight w:val="none"/>
        </w:rPr>
        <w:t>饱和砂土、粉土的初步判别认为需进一步进行液化判别时，应采用标准贯入试验判别法判别地面下20m范围内土的液化</w:t>
      </w:r>
      <w:r>
        <w:rPr>
          <w:rFonts w:hint="eastAsia" w:ascii="宋体" w:hAnsi="宋体" w:eastAsia="宋体" w:cs="宋体"/>
          <w:color w:val="auto"/>
          <w:highlight w:val="none"/>
        </w:rPr>
        <w:t>”</w:t>
      </w:r>
      <w:r>
        <w:rPr>
          <w:rFonts w:ascii="Times New Roman" w:hAnsi="Times New Roman" w:eastAsia="宋体"/>
          <w:color w:val="auto"/>
          <w:highlight w:val="none"/>
        </w:rPr>
        <w:t>；同时，对于粉土，液化判别标准贯入锤击数临界值计算需要用到其黏粒含量百分比</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故粉土需测定其黏粒含量</w:t>
      </w:r>
      <w:r>
        <w:rPr>
          <w:rFonts w:ascii="Times New Roman" w:hAnsi="Times New Roman" w:eastAsia="宋体"/>
          <w:color w:val="auto"/>
          <w:highlight w:val="none"/>
        </w:rPr>
        <w:t>。此外，根据《建筑抗震设计规范》GB 50011</w:t>
      </w:r>
      <w:r>
        <w:rPr>
          <w:rFonts w:hint="eastAsia" w:ascii="Times New Roman" w:hAnsi="Times New Roman" w:eastAsia="宋体"/>
          <w:color w:val="auto"/>
          <w:highlight w:val="none"/>
          <w:lang w:val="en-US" w:eastAsia="zh-CN"/>
        </w:rPr>
        <w:t>和</w:t>
      </w:r>
      <w:r>
        <w:rPr>
          <w:rFonts w:ascii="Times New Roman" w:hAnsi="Times New Roman" w:eastAsia="宋体"/>
          <w:color w:val="auto"/>
          <w:highlight w:val="none"/>
        </w:rPr>
        <w:t>广东省地震烈度区划图，广东省最高</w:t>
      </w:r>
      <w:r>
        <w:rPr>
          <w:rFonts w:hint="eastAsia" w:ascii="Times New Roman" w:hAnsi="Times New Roman" w:eastAsia="宋体"/>
          <w:color w:val="auto"/>
          <w:highlight w:val="none"/>
          <w:lang w:val="en-US" w:eastAsia="zh-CN"/>
        </w:rPr>
        <w:t>抗震设防</w:t>
      </w:r>
      <w:r>
        <w:rPr>
          <w:rFonts w:ascii="Times New Roman" w:hAnsi="Times New Roman" w:eastAsia="宋体"/>
          <w:color w:val="auto"/>
          <w:highlight w:val="none"/>
        </w:rPr>
        <w:t>烈度</w:t>
      </w:r>
      <w:r>
        <w:rPr>
          <w:rFonts w:hint="eastAsia" w:ascii="Times New Roman" w:hAnsi="Times New Roman" w:eastAsia="宋体"/>
          <w:color w:val="auto"/>
          <w:highlight w:val="none"/>
          <w:lang w:val="en-US" w:eastAsia="zh-CN"/>
        </w:rPr>
        <w:t>为</w:t>
      </w:r>
      <w:r>
        <w:rPr>
          <w:rFonts w:ascii="Times New Roman" w:hAnsi="Times New Roman" w:eastAsia="宋体"/>
          <w:color w:val="auto"/>
          <w:highlight w:val="none"/>
        </w:rPr>
        <w:t>8度。故本条文规定，</w:t>
      </w:r>
      <w:r>
        <w:rPr>
          <w:rFonts w:hint="eastAsia" w:ascii="宋体" w:hAnsi="宋体" w:eastAsia="宋体" w:cs="宋体"/>
          <w:color w:val="auto"/>
          <w:highlight w:val="none"/>
        </w:rPr>
        <w:t>“</w:t>
      </w:r>
      <w:r>
        <w:rPr>
          <w:rFonts w:hint="eastAsia" w:ascii="Times New Roman" w:hAnsi="Times New Roman" w:eastAsia="宋体"/>
          <w:color w:val="auto"/>
          <w:highlight w:val="none"/>
          <w:lang w:val="en-US" w:eastAsia="zh-CN"/>
        </w:rPr>
        <w:t>抗震设防</w:t>
      </w:r>
      <w:r>
        <w:rPr>
          <w:rFonts w:ascii="Times New Roman" w:hAnsi="Times New Roman" w:eastAsia="宋体"/>
          <w:color w:val="auto"/>
          <w:highlight w:val="none"/>
        </w:rPr>
        <w:t>地震烈度7度或8度</w:t>
      </w:r>
      <w:r>
        <w:rPr>
          <w:rFonts w:hint="eastAsia" w:ascii="Times New Roman" w:hAnsi="Times New Roman" w:eastAsia="宋体"/>
          <w:color w:val="auto"/>
          <w:highlight w:val="none"/>
          <w:lang w:val="en-US" w:eastAsia="zh-CN"/>
        </w:rPr>
        <w:t>地</w:t>
      </w:r>
      <w:r>
        <w:rPr>
          <w:rFonts w:ascii="Times New Roman" w:hAnsi="Times New Roman" w:eastAsia="宋体"/>
          <w:color w:val="auto"/>
          <w:highlight w:val="none"/>
        </w:rPr>
        <w:t>区，</w:t>
      </w:r>
      <w:r>
        <w:rPr>
          <w:rFonts w:hint="eastAsia" w:ascii="Times New Roman" w:hAnsi="Times New Roman" w:eastAsia="宋体"/>
          <w:color w:val="auto"/>
          <w:highlight w:val="none"/>
          <w:lang w:val="en-US" w:eastAsia="zh-CN"/>
        </w:rPr>
        <w:t>应</w:t>
      </w:r>
      <w:r>
        <w:rPr>
          <w:rFonts w:ascii="Times New Roman" w:hAnsi="Times New Roman" w:eastAsia="宋体"/>
          <w:color w:val="auto"/>
          <w:highlight w:val="none"/>
        </w:rPr>
        <w:t>对</w:t>
      </w:r>
      <w:r>
        <w:rPr>
          <w:rFonts w:hint="eastAsia" w:ascii="Times New Roman" w:hAnsi="Times New Roman" w:eastAsia="宋体"/>
          <w:color w:val="auto"/>
          <w:highlight w:val="none"/>
          <w:lang w:val="en-US" w:eastAsia="zh-CN"/>
        </w:rPr>
        <w:t>地面以下</w:t>
      </w:r>
      <w:r>
        <w:rPr>
          <w:rFonts w:ascii="Times New Roman" w:hAnsi="Times New Roman" w:eastAsia="宋体"/>
          <w:color w:val="auto"/>
          <w:highlight w:val="none"/>
        </w:rPr>
        <w:t>20m范围内的全新统砂土、粉土</w:t>
      </w:r>
      <w:bookmarkStart w:id="324" w:name="_Hlk77922210"/>
      <w:r>
        <w:rPr>
          <w:rFonts w:ascii="Times New Roman" w:hAnsi="Times New Roman" w:eastAsia="宋体"/>
          <w:color w:val="auto"/>
          <w:highlight w:val="none"/>
        </w:rPr>
        <w:t>进行液化判别</w:t>
      </w:r>
      <w:bookmarkEnd w:id="324"/>
      <w:r>
        <w:rPr>
          <w:rFonts w:hint="eastAsia" w:ascii="宋体" w:hAnsi="宋体" w:eastAsia="宋体" w:cs="宋体"/>
          <w:color w:val="auto"/>
          <w:highlight w:val="none"/>
        </w:rPr>
        <w:t>”</w:t>
      </w:r>
      <w:r>
        <w:rPr>
          <w:rFonts w:ascii="Times New Roman" w:hAnsi="Times New Roman" w:eastAsia="宋体"/>
          <w:color w:val="auto"/>
          <w:highlight w:val="none"/>
        </w:rPr>
        <w:t>。</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《建筑抗震设计规范》GB 50011还规定</w:t>
      </w:r>
      <w:r>
        <w:rPr>
          <w:rFonts w:hint="eastAsia" w:ascii="宋体" w:hAnsi="宋体" w:eastAsia="宋体" w:cs="宋体"/>
          <w:color w:val="auto"/>
          <w:highlight w:val="none"/>
        </w:rPr>
        <w:t>“</w:t>
      </w:r>
      <w:r>
        <w:rPr>
          <w:rFonts w:ascii="Times New Roman" w:hAnsi="Times New Roman" w:eastAsia="宋体"/>
          <w:color w:val="auto"/>
          <w:highlight w:val="none"/>
        </w:rPr>
        <w:t>6度时，一般情况下可不进行判别和处理，但对液化沉陷敏感的乙类建筑可按7度的要求进行判别和处理</w:t>
      </w:r>
      <w:r>
        <w:rPr>
          <w:rFonts w:hint="eastAsia" w:ascii="宋体" w:hAnsi="宋体" w:eastAsia="宋体" w:cs="宋体"/>
          <w:color w:val="auto"/>
          <w:highlight w:val="none"/>
        </w:rPr>
        <w:t>”</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故本条文规定，6度区的乙类建筑</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室外管道（给水、排水、燃气、热力）</w:t>
      </w:r>
      <w:r>
        <w:rPr>
          <w:rFonts w:ascii="Times New Roman" w:hAnsi="Times New Roman" w:eastAsia="宋体"/>
          <w:color w:val="auto"/>
          <w:highlight w:val="none"/>
        </w:rPr>
        <w:t>按7度的要求进行</w:t>
      </w:r>
      <w:r>
        <w:rPr>
          <w:rFonts w:hint="eastAsia" w:ascii="Times New Roman" w:hAnsi="Times New Roman" w:eastAsia="宋体"/>
          <w:color w:val="auto"/>
          <w:highlight w:val="none"/>
          <w:lang w:val="en-US" w:eastAsia="zh-CN"/>
        </w:rPr>
        <w:t>液化</w:t>
      </w:r>
      <w:r>
        <w:rPr>
          <w:rFonts w:ascii="Times New Roman" w:hAnsi="Times New Roman" w:eastAsia="宋体"/>
          <w:color w:val="auto"/>
          <w:highlight w:val="none"/>
        </w:rPr>
        <w:t>判别。</w:t>
      </w:r>
      <w:r>
        <w:rPr>
          <w:rFonts w:hint="eastAsia" w:ascii="Times New Roman" w:hAnsi="Times New Roman" w:eastAsia="宋体"/>
          <w:color w:val="auto"/>
          <w:highlight w:val="none"/>
          <w:lang w:val="en-US" w:eastAsia="zh-CN"/>
        </w:rPr>
        <w:t>此外，</w:t>
      </w:r>
      <w:r>
        <w:rPr>
          <w:rFonts w:ascii="Times New Roman" w:hAnsi="Times New Roman" w:eastAsia="宋体"/>
          <w:color w:val="auto"/>
          <w:highlight w:val="none"/>
        </w:rPr>
        <w:t>国家标准《室外给水排水和燃气热力工程抗震设计规范》GB 50032</w:t>
      </w:r>
      <w:r>
        <w:rPr>
          <w:rFonts w:hint="eastAsia" w:ascii="Times New Roman" w:hAnsi="Times New Roman" w:eastAsia="宋体"/>
          <w:color w:val="auto"/>
          <w:highlight w:val="none"/>
          <w:lang w:val="en-US" w:eastAsia="zh-CN"/>
        </w:rPr>
        <w:t>规定“</w:t>
      </w:r>
      <w:r>
        <w:rPr>
          <w:rFonts w:ascii="Times New Roman" w:hAnsi="Times New Roman" w:eastAsia="宋体"/>
          <w:color w:val="auto"/>
          <w:highlight w:val="none"/>
        </w:rPr>
        <w:t>对位于设防烈度为6度地区的室外给水、排水和燃气、热力工程设施，可不作抗震计算；当本规范无特别规定时，抗震措施应按7度设防的有关要求采用</w:t>
      </w:r>
      <w:r>
        <w:rPr>
          <w:rFonts w:hint="eastAsia" w:ascii="Times New Roman" w:hAnsi="Times New Roman" w:eastAsia="宋体"/>
          <w:color w:val="auto"/>
          <w:highlight w:val="none"/>
          <w:lang w:val="en-US" w:eastAsia="zh-CN"/>
        </w:rPr>
        <w:t>”，宜提出抗液化措施建议。</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szCs w:val="21"/>
          <w:highlight w:val="none"/>
        </w:rPr>
        <w:t>需要</w:t>
      </w:r>
      <w:r>
        <w:rPr>
          <w:rFonts w:hint="eastAsia" w:ascii="Times New Roman" w:hAnsi="Times New Roman" w:eastAsia="宋体"/>
          <w:color w:val="auto"/>
          <w:szCs w:val="21"/>
          <w:highlight w:val="none"/>
          <w:lang w:val="en-US" w:eastAsia="zh-CN"/>
        </w:rPr>
        <w:t>进行</w:t>
      </w:r>
      <w:r>
        <w:rPr>
          <w:rFonts w:ascii="Times New Roman" w:hAnsi="Times New Roman" w:eastAsia="宋体"/>
          <w:color w:val="auto"/>
          <w:szCs w:val="21"/>
          <w:highlight w:val="none"/>
        </w:rPr>
        <w:t>液化判别的粉土应</w:t>
      </w:r>
      <w:r>
        <w:rPr>
          <w:rFonts w:ascii="Times New Roman" w:hAnsi="Times New Roman" w:eastAsia="宋体"/>
          <w:color w:val="auto"/>
          <w:highlight w:val="none"/>
        </w:rPr>
        <w:t>测定</w:t>
      </w:r>
      <w:r>
        <w:rPr>
          <w:rFonts w:ascii="Times New Roman" w:hAnsi="Times New Roman" w:eastAsia="宋体"/>
          <w:color w:val="auto"/>
          <w:szCs w:val="21"/>
          <w:highlight w:val="none"/>
        </w:rPr>
        <w:t>其黏粒（粒径小于0.005mm的颗粒）含量；对于挖方、填方场地，饱和土标准贯入点深度</w:t>
      </w:r>
      <w:r>
        <w:rPr>
          <w:rFonts w:ascii="Times New Roman" w:hAnsi="Times New Roman" w:eastAsia="宋体"/>
          <w:i/>
          <w:iCs/>
          <w:color w:val="auto"/>
          <w:szCs w:val="21"/>
          <w:highlight w:val="none"/>
        </w:rPr>
        <w:t>d</w:t>
      </w:r>
      <w:r>
        <w:rPr>
          <w:rFonts w:ascii="Times New Roman" w:hAnsi="Times New Roman" w:eastAsia="宋体"/>
          <w:color w:val="auto"/>
          <w:szCs w:val="21"/>
          <w:highlight w:val="none"/>
          <w:vertAlign w:val="subscript"/>
        </w:rPr>
        <w:t>s</w:t>
      </w:r>
      <w:r>
        <w:rPr>
          <w:rFonts w:ascii="Times New Roman" w:hAnsi="Times New Roman" w:eastAsia="宋体"/>
          <w:color w:val="auto"/>
          <w:szCs w:val="21"/>
          <w:highlight w:val="none"/>
        </w:rPr>
        <w:t>和地下水位埋深</w:t>
      </w:r>
      <w:r>
        <w:rPr>
          <w:rFonts w:ascii="Times New Roman" w:hAnsi="Times New Roman" w:eastAsia="宋体"/>
          <w:i/>
          <w:iCs/>
          <w:color w:val="auto"/>
          <w:szCs w:val="21"/>
          <w:highlight w:val="none"/>
        </w:rPr>
        <w:t>d</w:t>
      </w:r>
      <w:r>
        <w:rPr>
          <w:rFonts w:ascii="Times New Roman" w:hAnsi="Times New Roman" w:eastAsia="宋体"/>
          <w:color w:val="auto"/>
          <w:szCs w:val="21"/>
          <w:highlight w:val="none"/>
          <w:vertAlign w:val="subscript"/>
        </w:rPr>
        <w:t>w</w:t>
      </w:r>
      <w:r>
        <w:rPr>
          <w:rFonts w:ascii="Times New Roman" w:hAnsi="Times New Roman" w:eastAsia="宋体"/>
          <w:color w:val="auto"/>
          <w:szCs w:val="21"/>
          <w:highlight w:val="none"/>
        </w:rPr>
        <w:t>应从设计地面标高起算，且</w:t>
      </w:r>
      <w:r>
        <w:rPr>
          <w:rFonts w:ascii="Times New Roman" w:hAnsi="Times New Roman" w:eastAsia="宋体"/>
          <w:i/>
          <w:iCs/>
          <w:color w:val="auto"/>
          <w:szCs w:val="21"/>
          <w:highlight w:val="none"/>
        </w:rPr>
        <w:t>d</w:t>
      </w:r>
      <w:r>
        <w:rPr>
          <w:rFonts w:ascii="Times New Roman" w:hAnsi="Times New Roman" w:eastAsia="宋体"/>
          <w:color w:val="auto"/>
          <w:szCs w:val="21"/>
          <w:highlight w:val="none"/>
          <w:vertAlign w:val="subscript"/>
        </w:rPr>
        <w:t>w</w:t>
      </w:r>
      <w:r>
        <w:rPr>
          <w:rFonts w:ascii="Times New Roman" w:hAnsi="Times New Roman" w:eastAsia="宋体"/>
          <w:color w:val="auto"/>
          <w:szCs w:val="21"/>
          <w:highlight w:val="none"/>
        </w:rPr>
        <w:t>的取值应考虑地形变化对地下水位的影响。</w:t>
      </w:r>
      <w:r>
        <w:rPr>
          <w:rFonts w:ascii="Times New Roman" w:hAnsi="Times New Roman" w:eastAsia="宋体"/>
          <w:color w:val="auto"/>
          <w:highlight w:val="none"/>
        </w:rPr>
        <w:t>用于液化判别的黏粒含量宜采用六偏磷酸钠作分散剂测定，采用其他方法时应按有关规定换算。</w:t>
      </w:r>
      <w:r>
        <w:rPr>
          <w:rFonts w:hint="eastAsia" w:ascii="Times New Roman" w:hAnsi="Times New Roman" w:eastAsia="宋体"/>
          <w:color w:val="auto"/>
          <w:highlight w:val="none"/>
          <w:lang w:val="en-US" w:eastAsia="zh-CN"/>
        </w:rPr>
        <w:t>场地</w:t>
      </w:r>
      <w:r>
        <w:rPr>
          <w:rFonts w:ascii="Times New Roman" w:hAnsi="Times New Roman" w:eastAsia="宋体"/>
          <w:color w:val="auto"/>
          <w:highlight w:val="none"/>
        </w:rPr>
        <w:t>挖、填方后，场地地形发生变化，各深度点距离地表的深度值必然发生变化，同时地下水位也会产生相应的改变，饱和土标准贯入点深度</w:t>
      </w:r>
      <w:r>
        <w:rPr>
          <w:rFonts w:ascii="Times New Roman" w:hAnsi="Times New Roman" w:eastAsia="宋体"/>
          <w:i/>
          <w:iCs/>
          <w:color w:val="auto"/>
          <w:szCs w:val="21"/>
          <w:highlight w:val="none"/>
        </w:rPr>
        <w:t>d</w:t>
      </w:r>
      <w:r>
        <w:rPr>
          <w:rFonts w:ascii="Times New Roman" w:hAnsi="Times New Roman" w:eastAsia="宋体"/>
          <w:color w:val="auto"/>
          <w:szCs w:val="21"/>
          <w:highlight w:val="none"/>
          <w:vertAlign w:val="subscript"/>
        </w:rPr>
        <w:t>s</w:t>
      </w:r>
      <w:r>
        <w:rPr>
          <w:rFonts w:ascii="Times New Roman" w:hAnsi="Times New Roman" w:eastAsia="宋体"/>
          <w:color w:val="auto"/>
          <w:highlight w:val="none"/>
        </w:rPr>
        <w:t>和地下水位埋深</w:t>
      </w:r>
      <w:r>
        <w:rPr>
          <w:rFonts w:ascii="Times New Roman" w:hAnsi="Times New Roman" w:eastAsia="宋体"/>
          <w:i/>
          <w:iCs/>
          <w:color w:val="auto"/>
          <w:szCs w:val="21"/>
          <w:highlight w:val="none"/>
        </w:rPr>
        <w:t>d</w:t>
      </w:r>
      <w:r>
        <w:rPr>
          <w:rFonts w:ascii="Times New Roman" w:hAnsi="Times New Roman" w:eastAsia="宋体"/>
          <w:color w:val="auto"/>
          <w:szCs w:val="21"/>
          <w:highlight w:val="none"/>
          <w:vertAlign w:val="subscript"/>
        </w:rPr>
        <w:t>w</w:t>
      </w:r>
      <w:r>
        <w:rPr>
          <w:rFonts w:ascii="Times New Roman" w:hAnsi="Times New Roman" w:eastAsia="宋体"/>
          <w:color w:val="auto"/>
          <w:highlight w:val="none"/>
        </w:rPr>
        <w:t>应充分考虑其影响。因此，液化计算时，</w:t>
      </w:r>
      <w:r>
        <w:rPr>
          <w:rFonts w:ascii="Times New Roman" w:hAnsi="Times New Roman" w:eastAsia="宋体"/>
          <w:i/>
          <w:iCs/>
          <w:color w:val="auto"/>
          <w:szCs w:val="21"/>
          <w:highlight w:val="none"/>
        </w:rPr>
        <w:t>d</w:t>
      </w:r>
      <w:r>
        <w:rPr>
          <w:rFonts w:ascii="Times New Roman" w:hAnsi="Times New Roman" w:eastAsia="宋体"/>
          <w:color w:val="auto"/>
          <w:szCs w:val="21"/>
          <w:highlight w:val="none"/>
          <w:vertAlign w:val="subscript"/>
        </w:rPr>
        <w:t>s</w:t>
      </w:r>
      <w:r>
        <w:rPr>
          <w:rFonts w:ascii="Times New Roman" w:hAnsi="Times New Roman" w:eastAsia="宋体"/>
          <w:color w:val="auto"/>
          <w:highlight w:val="none"/>
        </w:rPr>
        <w:t>和</w:t>
      </w:r>
      <w:r>
        <w:rPr>
          <w:rFonts w:ascii="Times New Roman" w:hAnsi="Times New Roman" w:eastAsia="宋体"/>
          <w:i/>
          <w:iCs/>
          <w:color w:val="auto"/>
          <w:szCs w:val="21"/>
          <w:highlight w:val="none"/>
        </w:rPr>
        <w:t>d</w:t>
      </w:r>
      <w:r>
        <w:rPr>
          <w:rFonts w:ascii="Times New Roman" w:hAnsi="Times New Roman" w:eastAsia="宋体"/>
          <w:color w:val="auto"/>
          <w:szCs w:val="21"/>
          <w:highlight w:val="none"/>
          <w:vertAlign w:val="subscript"/>
        </w:rPr>
        <w:t>w</w:t>
      </w:r>
      <w:r>
        <w:rPr>
          <w:rFonts w:ascii="Times New Roman" w:hAnsi="Times New Roman" w:eastAsia="宋体"/>
          <w:color w:val="auto"/>
          <w:highlight w:val="none"/>
        </w:rPr>
        <w:t>不能一概按勘察时的深度计，否则可能对工程运营期间的地基土液化危害程度造成误判。</w:t>
      </w:r>
    </w:p>
    <w:p>
      <w:pPr>
        <w:spacing w:line="360" w:lineRule="auto"/>
        <w:rPr>
          <w:rFonts w:hint="eastAsia"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3.0.10</w:t>
      </w:r>
      <w:r>
        <w:rPr>
          <w:rFonts w:hint="eastAsia" w:ascii="Times New Roman" w:hAnsi="Times New Roman" w:eastAsia="宋体"/>
          <w:color w:val="auto"/>
          <w:highlight w:val="none"/>
          <w:lang w:val="en-US" w:eastAsia="zh-CN"/>
        </w:rPr>
        <w:t xml:space="preserve">  当前部分市政工程勘察过程中，部分项目存在不关注岩芯摆放和照片拍摄的情况，如：岩芯摆放长短不一，地质编录深度容易出现错误且难以复核，采取率情况也难以判断；岩芯未按顺序取出，摆放时出现顺序混乱；回次标签不及时填写，单位回次进尺控制失效；特殊段未作标示，编录时出现误判；未逐箱拍照，而是整个钻孔多箱一起拍照，或者拍摄角度倾斜、光线昏暗，图像不清晰；标记内容不全，照片信息出现混乱；等等。这些问题的存在，一方面不利于现场质量的管理，包括实际进尺的复核、采取率的控制、错误数据的修订、内业对外业的核查；另一方面也不利于将来图像数据的应用、智能辨识等。因此，各勘察单位宜参照附录A，根据自身的作业特点，对岩芯摆放和照片拍摄进行规范化管理。</w:t>
      </w:r>
    </w:p>
    <w:p>
      <w:pPr>
        <w:spacing w:line="360" w:lineRule="auto"/>
        <w:ind w:firstLine="420" w:firstLineChars="20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试样的采取、封装、运输过程</w:t>
      </w:r>
      <w:r>
        <w:rPr>
          <w:rFonts w:hint="eastAsia"/>
          <w:color w:val="auto"/>
          <w:highlight w:val="none"/>
          <w:lang w:val="en-US" w:eastAsia="zh-CN"/>
        </w:rPr>
        <w:t>需</w:t>
      </w:r>
      <w:r>
        <w:rPr>
          <w:rFonts w:hint="eastAsia" w:ascii="Times New Roman" w:hAnsi="Times New Roman" w:eastAsia="宋体"/>
          <w:color w:val="auto"/>
          <w:highlight w:val="none"/>
          <w:lang w:val="en-US" w:eastAsia="zh-CN"/>
        </w:rPr>
        <w:t>按</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建筑工程地质勘探与取样技术规程</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JGJ</w:t>
      </w:r>
      <w:r>
        <w:rPr>
          <w:rFonts w:hint="eastAsia" w:ascii="Times New Roman" w:hAnsi="Times New Roman" w:eastAsia="宋体"/>
          <w:color w:val="auto"/>
          <w:highlight w:val="none"/>
          <w:lang w:val="en-US" w:eastAsia="zh-CN"/>
        </w:rPr>
        <w:t>/</w:t>
      </w:r>
      <w:r>
        <w:rPr>
          <w:rFonts w:hint="eastAsia" w:ascii="Times New Roman" w:hAnsi="Times New Roman" w:eastAsia="宋体"/>
          <w:color w:val="auto"/>
          <w:highlight w:val="none"/>
        </w:rPr>
        <w:t>T</w:t>
      </w:r>
      <w:r>
        <w:rPr>
          <w:rFonts w:hint="eastAsia" w:ascii="Times New Roman" w:hAnsi="Times New Roman" w:eastAsia="宋体"/>
          <w:color w:val="auto"/>
          <w:highlight w:val="none"/>
          <w:lang w:val="en-US" w:eastAsia="zh-CN"/>
        </w:rPr>
        <w:t xml:space="preserve"> </w:t>
      </w:r>
      <w:r>
        <w:rPr>
          <w:rFonts w:hint="eastAsia" w:ascii="Times New Roman" w:hAnsi="Times New Roman" w:eastAsia="宋体"/>
          <w:color w:val="auto"/>
          <w:highlight w:val="none"/>
        </w:rPr>
        <w:t>87</w:t>
      </w:r>
      <w:r>
        <w:rPr>
          <w:rFonts w:hint="eastAsia" w:ascii="Times New Roman" w:hAnsi="Times New Roman" w:eastAsia="宋体"/>
          <w:color w:val="auto"/>
          <w:highlight w:val="none"/>
          <w:lang w:val="en-US" w:eastAsia="zh-CN"/>
        </w:rPr>
        <w:t>的规定执行，减少试样所受的扰动。</w:t>
      </w:r>
    </w:p>
    <w:p>
      <w:pPr>
        <w:autoSpaceDE w:val="0"/>
        <w:autoSpaceDN w:val="0"/>
        <w:adjustRightInd w:val="0"/>
        <w:spacing w:line="360" w:lineRule="auto"/>
        <w:jc w:val="left"/>
        <w:rPr>
          <w:rFonts w:hint="eastAsia" w:ascii="Times New Roman" w:hAnsi="Times New Roman" w:eastAsia="宋体"/>
          <w:b w:val="0"/>
          <w:bCs w:val="0"/>
          <w:color w:val="auto"/>
          <w:szCs w:val="21"/>
          <w:highlight w:val="none"/>
          <w:lang w:val="en-US" w:eastAsia="zh-CN"/>
        </w:rPr>
      </w:pPr>
      <w:r>
        <w:rPr>
          <w:rFonts w:hint="eastAsia" w:ascii="Times New Roman" w:hAnsi="Times New Roman" w:eastAsia="宋体"/>
          <w:b/>
          <w:bCs/>
          <w:color w:val="auto"/>
          <w:szCs w:val="21"/>
          <w:highlight w:val="none"/>
          <w:lang w:val="en-US" w:eastAsia="zh-CN"/>
        </w:rPr>
        <w:t xml:space="preserve">3.0.11 </w:t>
      </w:r>
      <w:r>
        <w:rPr>
          <w:rFonts w:hint="eastAsia" w:ascii="Times New Roman" w:hAnsi="Times New Roman" w:eastAsia="宋体"/>
          <w:b w:val="0"/>
          <w:bCs w:val="0"/>
          <w:color w:val="auto"/>
          <w:szCs w:val="21"/>
          <w:highlight w:val="none"/>
          <w:lang w:val="en-US" w:eastAsia="zh-CN"/>
        </w:rPr>
        <w:t xml:space="preserve"> </w:t>
      </w:r>
      <w:r>
        <w:rPr>
          <w:rFonts w:ascii="Times New Roman" w:hAnsi="Times New Roman" w:eastAsia="宋体" w:cs="Times New Roman"/>
          <w:color w:val="auto"/>
          <w:szCs w:val="21"/>
          <w:highlight w:val="none"/>
        </w:rPr>
        <w:t>市政</w:t>
      </w:r>
      <w:r>
        <w:rPr>
          <w:rFonts w:ascii="Times New Roman" w:hAnsi="Times New Roman" w:eastAsia="宋体"/>
          <w:color w:val="auto"/>
          <w:highlight w:val="none"/>
        </w:rPr>
        <w:t>工程</w:t>
      </w:r>
      <w:r>
        <w:rPr>
          <w:rFonts w:hint="eastAsia" w:cs="Times New Roman"/>
          <w:color w:val="auto"/>
          <w:szCs w:val="21"/>
          <w:highlight w:val="none"/>
          <w:lang w:val="en-US" w:eastAsia="zh-CN"/>
        </w:rPr>
        <w:t>需要</w:t>
      </w:r>
      <w:r>
        <w:rPr>
          <w:rFonts w:ascii="Times New Roman" w:hAnsi="Times New Roman" w:eastAsia="宋体" w:cs="Times New Roman"/>
          <w:color w:val="auto"/>
          <w:szCs w:val="21"/>
          <w:highlight w:val="none"/>
        </w:rPr>
        <w:t>针对</w:t>
      </w:r>
      <w:r>
        <w:rPr>
          <w:rFonts w:hint="eastAsia" w:ascii="Times New Roman" w:hAnsi="Times New Roman" w:eastAsia="宋体" w:cs="Times New Roman"/>
          <w:color w:val="auto"/>
          <w:szCs w:val="21"/>
          <w:highlight w:val="none"/>
          <w:lang w:val="en-US" w:eastAsia="zh-CN"/>
        </w:rPr>
        <w:t>工程类型、</w:t>
      </w:r>
      <w:r>
        <w:rPr>
          <w:rFonts w:ascii="Times New Roman" w:hAnsi="Times New Roman" w:eastAsia="宋体" w:cs="Times New Roman"/>
          <w:color w:val="auto"/>
          <w:szCs w:val="21"/>
          <w:highlight w:val="none"/>
        </w:rPr>
        <w:t>地基基础形式</w:t>
      </w:r>
      <w:r>
        <w:rPr>
          <w:rFonts w:hint="eastAsia" w:ascii="Times New Roman" w:hAnsi="Times New Roman" w:eastAsia="宋体" w:cs="Times New Roman"/>
          <w:color w:val="auto"/>
          <w:szCs w:val="21"/>
          <w:highlight w:val="none"/>
          <w:lang w:val="en-US" w:eastAsia="zh-CN"/>
        </w:rPr>
        <w:t>或</w:t>
      </w:r>
      <w:r>
        <w:rPr>
          <w:rFonts w:ascii="Times New Roman" w:hAnsi="Times New Roman" w:eastAsia="宋体" w:cs="Times New Roman"/>
          <w:color w:val="auto"/>
          <w:szCs w:val="21"/>
          <w:highlight w:val="none"/>
        </w:rPr>
        <w:t>基坑和边坡支护形式、施工方法等</w:t>
      </w:r>
      <w:r>
        <w:rPr>
          <w:rFonts w:hint="eastAsia" w:ascii="Times New Roman" w:hAnsi="Times New Roman" w:eastAsia="宋体" w:cs="Times New Roman"/>
          <w:color w:val="auto"/>
          <w:szCs w:val="21"/>
          <w:highlight w:val="none"/>
          <w:lang w:val="en-US" w:eastAsia="zh-CN"/>
        </w:rPr>
        <w:t>进行水文地质</w:t>
      </w:r>
      <w:r>
        <w:rPr>
          <w:rFonts w:ascii="Times New Roman" w:hAnsi="Times New Roman" w:eastAsia="宋体" w:cs="Times New Roman"/>
          <w:color w:val="auto"/>
          <w:szCs w:val="21"/>
          <w:highlight w:val="none"/>
        </w:rPr>
        <w:t>勘察</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b w:val="0"/>
          <w:bCs w:val="0"/>
          <w:color w:val="auto"/>
          <w:szCs w:val="21"/>
          <w:highlight w:val="none"/>
          <w:lang w:val="en-US" w:eastAsia="zh-CN"/>
        </w:rPr>
        <w:t>地下水勘察方法</w:t>
      </w:r>
      <w:r>
        <w:rPr>
          <w:rFonts w:hint="eastAsia"/>
          <w:b w:val="0"/>
          <w:bCs w:val="0"/>
          <w:color w:val="auto"/>
          <w:szCs w:val="21"/>
          <w:highlight w:val="none"/>
          <w:lang w:val="en-US" w:eastAsia="zh-CN"/>
        </w:rPr>
        <w:t>要</w:t>
      </w:r>
      <w:r>
        <w:rPr>
          <w:rFonts w:hint="eastAsia" w:ascii="Times New Roman" w:hAnsi="Times New Roman" w:eastAsia="宋体"/>
          <w:b w:val="0"/>
          <w:bCs w:val="0"/>
          <w:color w:val="auto"/>
          <w:szCs w:val="21"/>
          <w:highlight w:val="none"/>
          <w:lang w:val="en-US" w:eastAsia="zh-CN"/>
        </w:rPr>
        <w:t>根据主要含水层的分布规律、地下水类型和赋存条件、设计和施工所要求获取的水文地质参数类型等确定，通常要选用现场勘探、现场观测和试验、室内试验相综合的方法。</w:t>
      </w:r>
    </w:p>
    <w:p>
      <w:pPr>
        <w:spacing w:line="360" w:lineRule="auto"/>
        <w:ind w:firstLine="420" w:firstLineChars="200"/>
        <w:rPr>
          <w:rFonts w:hint="eastAsia" w:ascii="Times New Roman" w:hAnsi="Times New Roman" w:eastAsia="宋体"/>
          <w:b w:val="0"/>
          <w:bCs w:val="0"/>
          <w:color w:val="auto"/>
          <w:szCs w:val="21"/>
          <w:highlight w:val="none"/>
          <w:lang w:val="en-US" w:eastAsia="zh-CN"/>
        </w:rPr>
      </w:pPr>
      <w:r>
        <w:rPr>
          <w:rFonts w:hint="eastAsia" w:ascii="Times New Roman" w:hAnsi="Times New Roman" w:eastAsia="宋体"/>
          <w:b w:val="0"/>
          <w:bCs w:val="0"/>
          <w:color w:val="auto"/>
          <w:szCs w:val="21"/>
          <w:highlight w:val="none"/>
          <w:lang w:val="en-US" w:eastAsia="zh-CN"/>
        </w:rPr>
        <w:t>地下水勘察</w:t>
      </w:r>
      <w:r>
        <w:rPr>
          <w:rFonts w:hint="eastAsia"/>
          <w:b w:val="0"/>
          <w:bCs w:val="0"/>
          <w:color w:val="auto"/>
          <w:szCs w:val="21"/>
          <w:highlight w:val="none"/>
          <w:lang w:val="en-US" w:eastAsia="zh-CN"/>
        </w:rPr>
        <w:t>要</w:t>
      </w:r>
      <w:r>
        <w:rPr>
          <w:rFonts w:hint="eastAsia" w:ascii="Times New Roman" w:hAnsi="Times New Roman" w:eastAsia="宋体"/>
          <w:b w:val="0"/>
          <w:bCs w:val="0"/>
          <w:color w:val="auto"/>
          <w:szCs w:val="21"/>
          <w:highlight w:val="none"/>
          <w:lang w:val="en-US" w:eastAsia="zh-CN"/>
        </w:rPr>
        <w:t>查明</w:t>
      </w:r>
      <w:r>
        <w:rPr>
          <w:rFonts w:hint="eastAsia" w:ascii="Times New Roman" w:hAnsi="Times New Roman" w:eastAsia="宋体"/>
          <w:color w:val="auto"/>
          <w:highlight w:val="none"/>
          <w:lang w:val="en-US" w:eastAsia="zh-CN"/>
        </w:rPr>
        <w:t>地下</w:t>
      </w:r>
      <w:r>
        <w:rPr>
          <w:rFonts w:hint="eastAsia" w:ascii="Times New Roman" w:hAnsi="Times New Roman" w:eastAsia="宋体"/>
          <w:b w:val="0"/>
          <w:bCs w:val="0"/>
          <w:color w:val="auto"/>
          <w:szCs w:val="21"/>
          <w:highlight w:val="none"/>
          <w:lang w:val="en-US" w:eastAsia="zh-CN"/>
        </w:rPr>
        <w:t>含水层和隔水层的埋藏条件，地下水类型、水位及其变化幅度，地下水的补给、径流、排泄条件，并评价地下水对工程的影响，包括地下水对建筑材料的腐蚀性、相关水文地质参数、抗浮措施建议等。</w:t>
      </w:r>
    </w:p>
    <w:p>
      <w:pPr>
        <w:spacing w:line="360" w:lineRule="auto"/>
        <w:ind w:firstLine="420" w:firstLineChars="200"/>
        <w:rPr>
          <w:rFonts w:hint="eastAsia" w:ascii="Times New Roman" w:hAnsi="Times New Roman" w:eastAsia="宋体"/>
          <w:color w:val="auto"/>
          <w:highlight w:val="none"/>
          <w:lang w:val="en-US" w:eastAsia="zh-CN"/>
        </w:rPr>
      </w:pPr>
      <w:r>
        <w:rPr>
          <w:rFonts w:hint="eastAsia" w:ascii="Times New Roman" w:hAnsi="Times New Roman" w:eastAsia="宋体" w:cs="Times New Roman"/>
          <w:color w:val="auto"/>
          <w:szCs w:val="21"/>
          <w:highlight w:val="none"/>
          <w:lang w:val="en-US" w:eastAsia="zh-CN"/>
        </w:rPr>
        <w:t>水文地质分析评价包括以下内容</w:t>
      </w:r>
      <w:r>
        <w:rPr>
          <w:rFonts w:hint="eastAsia" w:ascii="Times New Roman" w:hAnsi="Times New Roman" w:eastAsia="宋体"/>
          <w:color w:val="auto"/>
          <w:highlight w:val="none"/>
          <w:lang w:val="en-US" w:eastAsia="zh-CN"/>
        </w:rPr>
        <w:t>：</w:t>
      </w:r>
    </w:p>
    <w:p>
      <w:pPr>
        <w:spacing w:line="360" w:lineRule="auto"/>
        <w:ind w:firstLine="422"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b/>
          <w:bCs/>
          <w:color w:val="auto"/>
          <w:szCs w:val="21"/>
          <w:highlight w:val="none"/>
          <w:lang w:val="en-US" w:eastAsia="zh-CN"/>
        </w:rPr>
        <w:t>1</w:t>
      </w:r>
      <w:r>
        <w:rPr>
          <w:rFonts w:hint="eastAsia" w:ascii="Times New Roman" w:hAnsi="Times New Roman" w:eastAsia="宋体" w:cs="Times New Roman"/>
          <w:color w:val="auto"/>
          <w:szCs w:val="21"/>
          <w:highlight w:val="none"/>
          <w:lang w:val="en-US" w:eastAsia="zh-CN"/>
        </w:rPr>
        <w:t xml:space="preserve"> </w:t>
      </w:r>
      <w:r>
        <w:rPr>
          <w:rFonts w:hint="eastAsia" w:cs="Times New Roman"/>
          <w:color w:val="auto"/>
          <w:szCs w:val="21"/>
          <w:highlight w:val="none"/>
          <w:lang w:val="en-US" w:eastAsia="zh-CN"/>
        </w:rPr>
        <w:t xml:space="preserve"> </w:t>
      </w:r>
      <w:r>
        <w:rPr>
          <w:rFonts w:hint="eastAsia" w:ascii="Times New Roman" w:hAnsi="Times New Roman" w:eastAsia="宋体" w:cs="Times New Roman"/>
          <w:color w:val="auto"/>
          <w:szCs w:val="21"/>
          <w:highlight w:val="none"/>
          <w:lang w:val="en-US" w:eastAsia="zh-CN"/>
        </w:rPr>
        <w:t>对基础、地下结构物和挡土墙，分析气候、地下水补给排泄条件、工程活动等最不利组合情况下的水位变化，评价地下水对结构的上浮作用；</w:t>
      </w:r>
    </w:p>
    <w:p>
      <w:pPr>
        <w:spacing w:line="360" w:lineRule="auto"/>
        <w:ind w:firstLine="422" w:firstLineChars="200"/>
        <w:rPr>
          <w:rFonts w:hint="default" w:ascii="Times New Roman" w:hAnsi="Times New Roman" w:eastAsia="宋体"/>
          <w:b w:val="0"/>
          <w:bCs w:val="0"/>
          <w:color w:val="auto"/>
          <w:szCs w:val="21"/>
          <w:highlight w:val="none"/>
          <w:lang w:val="en-US" w:eastAsia="zh-CN"/>
        </w:rPr>
      </w:pPr>
      <w:r>
        <w:rPr>
          <w:rFonts w:hint="eastAsia" w:ascii="Times New Roman" w:hAnsi="Times New Roman" w:eastAsia="宋体"/>
          <w:b/>
          <w:bCs/>
          <w:color w:val="auto"/>
          <w:szCs w:val="21"/>
          <w:highlight w:val="none"/>
          <w:lang w:val="en-US" w:eastAsia="zh-CN"/>
        </w:rPr>
        <w:t>2</w:t>
      </w:r>
      <w:r>
        <w:rPr>
          <w:rFonts w:hint="eastAsia" w:ascii="Times New Roman" w:hAnsi="Times New Roman" w:eastAsia="宋体"/>
          <w:b w:val="0"/>
          <w:bCs w:val="0"/>
          <w:color w:val="auto"/>
          <w:szCs w:val="21"/>
          <w:highlight w:val="none"/>
          <w:lang w:val="en-US" w:eastAsia="zh-CN"/>
        </w:rPr>
        <w:t xml:space="preserve"> </w:t>
      </w:r>
      <w:r>
        <w:rPr>
          <w:rFonts w:hint="eastAsia"/>
          <w:b w:val="0"/>
          <w:bCs w:val="0"/>
          <w:color w:val="auto"/>
          <w:szCs w:val="21"/>
          <w:highlight w:val="none"/>
          <w:lang w:val="en-US" w:eastAsia="zh-CN"/>
        </w:rPr>
        <w:t xml:space="preserve"> </w:t>
      </w:r>
      <w:r>
        <w:rPr>
          <w:rFonts w:hint="eastAsia" w:ascii="Times New Roman" w:hAnsi="Times New Roman" w:eastAsia="宋体"/>
          <w:b w:val="0"/>
          <w:bCs w:val="0"/>
          <w:color w:val="auto"/>
          <w:szCs w:val="21"/>
          <w:highlight w:val="none"/>
          <w:lang w:val="en-US" w:eastAsia="zh-CN"/>
        </w:rPr>
        <w:t>对软弱松散地层中的基础，分析</w:t>
      </w:r>
      <w:r>
        <w:rPr>
          <w:rFonts w:hint="eastAsia" w:ascii="Times New Roman" w:hAnsi="Times New Roman" w:eastAsia="宋体" w:cs="Times New Roman"/>
          <w:color w:val="auto"/>
          <w:szCs w:val="21"/>
          <w:highlight w:val="none"/>
          <w:lang w:val="en-US" w:eastAsia="zh-CN"/>
        </w:rPr>
        <w:t>气候、地下水补给排泄条件、工程活动等组合情况下的水位变化，评价地下水对地基沉降、地基回弹及基础竖向承载力的影响；</w:t>
      </w:r>
    </w:p>
    <w:p>
      <w:pPr>
        <w:spacing w:line="360" w:lineRule="auto"/>
        <w:ind w:firstLine="422" w:firstLineChars="200"/>
        <w:rPr>
          <w:rFonts w:hint="default" w:ascii="Times New Roman" w:hAnsi="Times New Roman" w:eastAsia="宋体"/>
          <w:b w:val="0"/>
          <w:bCs w:val="0"/>
          <w:color w:val="auto"/>
          <w:szCs w:val="21"/>
          <w:highlight w:val="none"/>
          <w:lang w:val="en-US" w:eastAsia="zh-CN"/>
        </w:rPr>
      </w:pPr>
      <w:r>
        <w:rPr>
          <w:rFonts w:hint="eastAsia" w:ascii="Times New Roman" w:hAnsi="Times New Roman" w:eastAsia="宋体"/>
          <w:b/>
          <w:bCs/>
          <w:color w:val="auto"/>
          <w:szCs w:val="21"/>
          <w:highlight w:val="none"/>
          <w:lang w:val="en-US" w:eastAsia="zh-CN"/>
        </w:rPr>
        <w:t xml:space="preserve">3 </w:t>
      </w:r>
      <w:r>
        <w:rPr>
          <w:rFonts w:hint="eastAsia"/>
          <w:b/>
          <w:bCs/>
          <w:color w:val="auto"/>
          <w:szCs w:val="21"/>
          <w:highlight w:val="none"/>
          <w:lang w:val="en-US" w:eastAsia="zh-CN"/>
        </w:rPr>
        <w:t xml:space="preserve"> </w:t>
      </w:r>
      <w:r>
        <w:rPr>
          <w:rFonts w:hint="eastAsia" w:ascii="Times New Roman" w:hAnsi="Times New Roman" w:eastAsia="宋体"/>
          <w:b w:val="0"/>
          <w:bCs w:val="0"/>
          <w:color w:val="auto"/>
          <w:szCs w:val="21"/>
          <w:highlight w:val="none"/>
          <w:lang w:val="en-US" w:eastAsia="zh-CN"/>
        </w:rPr>
        <w:t>对基坑工程，分析</w:t>
      </w:r>
      <w:r>
        <w:rPr>
          <w:rFonts w:hint="eastAsia" w:ascii="Times New Roman" w:hAnsi="Times New Roman" w:eastAsia="宋体" w:cs="Times New Roman"/>
          <w:color w:val="auto"/>
          <w:szCs w:val="21"/>
          <w:highlight w:val="none"/>
          <w:lang w:val="en-US" w:eastAsia="zh-CN"/>
        </w:rPr>
        <w:t>气候、地下水补给排泄条件、工程活动、周边环境等最不利组合情况下的内外水头差变化，评价地下水压力对支挡结构物的作用，以及基坑发生潜蚀、流土、管涌的可能性；</w:t>
      </w:r>
    </w:p>
    <w:p>
      <w:pPr>
        <w:spacing w:line="360" w:lineRule="auto"/>
        <w:ind w:firstLine="422" w:firstLineChars="200"/>
        <w:rPr>
          <w:rFonts w:hint="default"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4</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对边坡工程，分析气候、地形地貌、</w:t>
      </w:r>
      <w:r>
        <w:rPr>
          <w:rFonts w:hint="eastAsia" w:ascii="Times New Roman" w:hAnsi="Times New Roman" w:eastAsia="宋体" w:cs="Times New Roman"/>
          <w:color w:val="auto"/>
          <w:szCs w:val="21"/>
          <w:highlight w:val="none"/>
          <w:lang w:val="en-US" w:eastAsia="zh-CN"/>
        </w:rPr>
        <w:t>地下水补给排泄条件、</w:t>
      </w:r>
      <w:r>
        <w:rPr>
          <w:rFonts w:hint="eastAsia" w:ascii="Times New Roman" w:hAnsi="Times New Roman" w:eastAsia="宋体"/>
          <w:color w:val="auto"/>
          <w:highlight w:val="none"/>
          <w:lang w:val="en-US" w:eastAsia="zh-CN"/>
        </w:rPr>
        <w:t>构造条件</w:t>
      </w:r>
      <w:r>
        <w:rPr>
          <w:rFonts w:hint="eastAsia" w:ascii="Times New Roman" w:hAnsi="Times New Roman" w:eastAsia="宋体" w:cs="Times New Roman"/>
          <w:color w:val="auto"/>
          <w:szCs w:val="21"/>
          <w:highlight w:val="none"/>
          <w:lang w:val="en-US" w:eastAsia="zh-CN"/>
        </w:rPr>
        <w:t>、工程活动等最不利组合情况下的地下水渗流变化，评价地下水对边坡岩土体强度的影响，以及地下水活动对边坡稳定性的影响；</w:t>
      </w:r>
    </w:p>
    <w:p>
      <w:pPr>
        <w:spacing w:line="360" w:lineRule="auto"/>
        <w:ind w:firstLine="422" w:firstLineChars="200"/>
        <w:rPr>
          <w:rFonts w:hint="default"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5</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对暗埋隧道工程，分析气候、</w:t>
      </w:r>
      <w:r>
        <w:rPr>
          <w:rFonts w:hint="eastAsia" w:ascii="Times New Roman" w:hAnsi="Times New Roman" w:eastAsia="宋体" w:cs="Times New Roman"/>
          <w:color w:val="auto"/>
          <w:szCs w:val="21"/>
          <w:highlight w:val="none"/>
          <w:lang w:val="en-US" w:eastAsia="zh-CN"/>
        </w:rPr>
        <w:t>地下水补给排泄条件、</w:t>
      </w:r>
      <w:r>
        <w:rPr>
          <w:rFonts w:hint="eastAsia" w:ascii="Times New Roman" w:hAnsi="Times New Roman" w:eastAsia="宋体"/>
          <w:color w:val="auto"/>
          <w:highlight w:val="none"/>
          <w:lang w:val="en-US" w:eastAsia="zh-CN"/>
        </w:rPr>
        <w:t>构造条件、岩溶</w:t>
      </w:r>
      <w:r>
        <w:rPr>
          <w:rFonts w:hint="eastAsia" w:ascii="Times New Roman" w:hAnsi="Times New Roman" w:eastAsia="宋体" w:cs="Times New Roman"/>
          <w:color w:val="auto"/>
          <w:szCs w:val="21"/>
          <w:highlight w:val="none"/>
          <w:lang w:val="en-US" w:eastAsia="zh-CN"/>
        </w:rPr>
        <w:t>、工程活动等最不利组合情况下的地下水动态变化，评价地下水对围岩体强度的影响、外水压力对隧道的作用，以及隧道发生突水、突泥的可能性；</w:t>
      </w:r>
    </w:p>
    <w:p>
      <w:pPr>
        <w:spacing w:line="360" w:lineRule="auto"/>
        <w:ind w:firstLine="422" w:firstLineChars="200"/>
        <w:rPr>
          <w:rFonts w:hint="default"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6</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对固体废弃物填埋场工程，分析气候、</w:t>
      </w:r>
      <w:r>
        <w:rPr>
          <w:rFonts w:hint="eastAsia" w:ascii="Times New Roman" w:hAnsi="Times New Roman" w:eastAsia="宋体" w:cs="Times New Roman"/>
          <w:color w:val="auto"/>
          <w:szCs w:val="21"/>
          <w:highlight w:val="none"/>
          <w:lang w:val="en-US" w:eastAsia="zh-CN"/>
        </w:rPr>
        <w:t>地下水补给排泄条件、工程活动等最不利组合情况下的地下水渗流变化，评价其发生渗滤液渗漏、迁移的可能性；</w:t>
      </w:r>
    </w:p>
    <w:p>
      <w:pPr>
        <w:spacing w:line="360" w:lineRule="auto"/>
        <w:ind w:firstLine="422" w:firstLineChars="200"/>
        <w:rPr>
          <w:rFonts w:hint="eastAsia"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7</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对堤防工程，分析气候、潮汐、</w:t>
      </w:r>
      <w:r>
        <w:rPr>
          <w:rFonts w:hint="eastAsia" w:ascii="Times New Roman" w:hAnsi="Times New Roman" w:eastAsia="宋体" w:cs="Times New Roman"/>
          <w:color w:val="auto"/>
          <w:szCs w:val="21"/>
          <w:highlight w:val="none"/>
          <w:lang w:val="en-US" w:eastAsia="zh-CN"/>
        </w:rPr>
        <w:t>地下水补给排泄条件、地层组合、工程活动等最不利组合情况下的地下水、地表水动态变化，评价其对堤基渗漏、渗透稳定的影响；</w:t>
      </w:r>
    </w:p>
    <w:p>
      <w:pPr>
        <w:spacing w:line="360" w:lineRule="auto"/>
        <w:ind w:firstLine="422" w:firstLineChars="200"/>
        <w:rPr>
          <w:rFonts w:ascii="Times New Roman" w:hAnsi="Times New Roman" w:eastAsia="宋体"/>
          <w:b/>
          <w:bCs/>
          <w:color w:val="auto"/>
          <w:szCs w:val="21"/>
          <w:highlight w:val="none"/>
        </w:rPr>
      </w:pPr>
      <w:r>
        <w:rPr>
          <w:rFonts w:hint="eastAsia" w:ascii="Times New Roman" w:hAnsi="Times New Roman" w:eastAsia="宋体"/>
          <w:b/>
          <w:bCs/>
          <w:color w:val="auto"/>
          <w:highlight w:val="none"/>
          <w:lang w:val="en-US" w:eastAsia="zh-CN"/>
        </w:rPr>
        <w:t>8</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依照现行国家标准《岩土工程勘察规范》GB 50021的相关规定评价</w:t>
      </w:r>
      <w:r>
        <w:rPr>
          <w:rFonts w:hint="eastAsia" w:ascii="Times New Roman" w:hAnsi="Times New Roman" w:eastAsia="宋体"/>
          <w:b w:val="0"/>
          <w:bCs w:val="0"/>
          <w:color w:val="auto"/>
          <w:szCs w:val="21"/>
          <w:highlight w:val="none"/>
          <w:lang w:val="en-US" w:eastAsia="zh-CN"/>
        </w:rPr>
        <w:t>场地</w:t>
      </w:r>
      <w:r>
        <w:rPr>
          <w:rFonts w:hint="eastAsia" w:ascii="Times New Roman" w:hAnsi="Times New Roman" w:eastAsia="宋体"/>
          <w:color w:val="auto"/>
          <w:highlight w:val="none"/>
          <w:lang w:val="en-US" w:eastAsia="zh-CN"/>
        </w:rPr>
        <w:t>水及土对建筑材料的腐蚀性。</w:t>
      </w:r>
    </w:p>
    <w:p>
      <w:pPr>
        <w:spacing w:line="360" w:lineRule="auto"/>
        <w:ind w:firstLine="420" w:firstLineChars="200"/>
        <w:rPr>
          <w:rFonts w:hint="default" w:ascii="Times New Roman" w:hAnsi="Times New Roman" w:eastAsia="宋体"/>
          <w:b w:val="0"/>
          <w:bCs w:val="0"/>
          <w:color w:val="auto"/>
          <w:szCs w:val="21"/>
          <w:highlight w:val="none"/>
          <w:lang w:val="en-US" w:eastAsia="zh-CN"/>
        </w:rPr>
      </w:pPr>
      <w:r>
        <w:rPr>
          <w:rFonts w:ascii="Times New Roman" w:hAnsi="Times New Roman" w:eastAsia="宋体"/>
          <w:color w:val="auto"/>
          <w:szCs w:val="21"/>
          <w:highlight w:val="none"/>
        </w:rPr>
        <w:t>《水利水电工程地质勘察规范》GB 50487-2008</w:t>
      </w:r>
      <w:r>
        <w:rPr>
          <w:rFonts w:hint="eastAsia" w:ascii="Times New Roman" w:hAnsi="Times New Roman" w:eastAsia="宋体"/>
          <w:color w:val="auto"/>
          <w:szCs w:val="21"/>
          <w:highlight w:val="none"/>
          <w:lang w:val="en-US" w:eastAsia="zh-CN"/>
        </w:rPr>
        <w:t>的水腐蚀性评价标准和</w:t>
      </w:r>
      <w:r>
        <w:rPr>
          <w:rFonts w:ascii="Times New Roman" w:hAnsi="Times New Roman" w:eastAsia="宋体"/>
          <w:color w:val="auto"/>
          <w:szCs w:val="21"/>
          <w:highlight w:val="none"/>
        </w:rPr>
        <w:t>《岩土工程勘察规范》GB 50021-2001（2009版）</w:t>
      </w:r>
      <w:r>
        <w:rPr>
          <w:rFonts w:hint="eastAsia" w:ascii="Times New Roman" w:hAnsi="Times New Roman" w:eastAsia="宋体"/>
          <w:color w:val="auto"/>
          <w:szCs w:val="21"/>
          <w:highlight w:val="none"/>
          <w:lang w:eastAsia="zh-CN"/>
        </w:rPr>
        <w:t>、</w:t>
      </w:r>
      <w:r>
        <w:rPr>
          <w:rFonts w:ascii="Times New Roman" w:hAnsi="Times New Roman" w:eastAsia="宋体"/>
          <w:color w:val="auto"/>
          <w:szCs w:val="21"/>
          <w:highlight w:val="none"/>
        </w:rPr>
        <w:t>《公路工程地质勘察规范》</w:t>
      </w:r>
      <w:r>
        <w:rPr>
          <w:rFonts w:ascii="Times New Roman" w:hAnsi="Times New Roman" w:eastAsia="宋体"/>
          <w:color w:val="auto"/>
          <w:highlight w:val="none"/>
        </w:rPr>
        <w:t>JTG C20-2011</w:t>
      </w:r>
      <w:r>
        <w:rPr>
          <w:rFonts w:hint="eastAsia" w:ascii="Times New Roman" w:hAnsi="Times New Roman" w:eastAsia="宋体"/>
          <w:color w:val="auto"/>
          <w:highlight w:val="none"/>
          <w:lang w:val="en-US" w:eastAsia="zh-CN"/>
        </w:rPr>
        <w:t>不一致，前者的指标更为严格。水利水电工程项目相对于城市堤岸工程，体量更大，风险更高。为避免城市堤岸工程勘察过程中具体采用标准的困惑，本规范规定土、水的腐蚀性评价统一执行《岩土工程勘察规范》GB 50021。</w:t>
      </w:r>
    </w:p>
    <w:p>
      <w:pPr>
        <w:autoSpaceDE w:val="0"/>
        <w:autoSpaceDN w:val="0"/>
        <w:adjustRightInd w:val="0"/>
        <w:spacing w:line="360" w:lineRule="auto"/>
        <w:jc w:val="left"/>
        <w:rPr>
          <w:rFonts w:hint="default" w:ascii="Times New Roman" w:hAnsi="Times New Roman" w:eastAsia="宋体"/>
          <w:b/>
          <w:bCs/>
          <w:color w:val="auto"/>
          <w:highlight w:val="none"/>
          <w:lang w:val="en-US" w:eastAsia="zh-CN"/>
        </w:rPr>
      </w:pPr>
      <w:r>
        <w:rPr>
          <w:rFonts w:ascii="Times New Roman" w:hAnsi="Times New Roman" w:eastAsia="宋体"/>
          <w:b/>
          <w:bCs/>
          <w:color w:val="auto"/>
          <w:szCs w:val="21"/>
          <w:highlight w:val="none"/>
        </w:rPr>
        <w:t>3.0.</w:t>
      </w:r>
      <w:r>
        <w:rPr>
          <w:rFonts w:hint="eastAsia" w:ascii="Times New Roman" w:hAnsi="Times New Roman" w:eastAsia="宋体"/>
          <w:b/>
          <w:bCs/>
          <w:color w:val="auto"/>
          <w:szCs w:val="21"/>
          <w:highlight w:val="none"/>
          <w:lang w:val="en-US" w:eastAsia="zh-CN"/>
        </w:rPr>
        <w:t xml:space="preserve">12  </w:t>
      </w:r>
      <w:r>
        <w:rPr>
          <w:rFonts w:hint="eastAsia" w:ascii="Times New Roman" w:hAnsi="Times New Roman" w:eastAsia="宋体"/>
          <w:b w:val="0"/>
          <w:bCs w:val="0"/>
          <w:color w:val="auto"/>
          <w:szCs w:val="21"/>
          <w:highlight w:val="none"/>
          <w:lang w:val="en-US" w:eastAsia="zh-CN"/>
        </w:rPr>
        <w:t>根据</w:t>
      </w:r>
      <w:r>
        <w:rPr>
          <w:rFonts w:ascii="Times New Roman" w:hAnsi="Times New Roman" w:eastAsia="宋体"/>
          <w:color w:val="auto"/>
          <w:highlight w:val="none"/>
        </w:rPr>
        <w:t>《城乡规划工程地质勘察规范》CJJ 57</w:t>
      </w:r>
      <w:r>
        <w:rPr>
          <w:rFonts w:hint="eastAsia" w:ascii="Times New Roman" w:hAnsi="Times New Roman" w:eastAsia="宋体"/>
          <w:color w:val="auto"/>
          <w:highlight w:val="none"/>
          <w:lang w:val="en-US" w:eastAsia="zh-CN"/>
        </w:rPr>
        <w:t>-2012的规定，场地稳定性可划分为不稳定、稳定性差、基本稳定和稳定等四级，工程建设适宜性可划分为不适宜、适宜性差、较适宜和适宜等四级。其中，场地稳定性按定性指标进行评价，工程建设适宜性可按定性和定量进行评价。</w:t>
      </w:r>
    </w:p>
    <w:p>
      <w:pPr>
        <w:spacing w:line="360" w:lineRule="auto"/>
        <w:ind w:firstLine="420" w:firstLineChars="200"/>
        <w:rPr>
          <w:rFonts w:hint="eastAsia" w:ascii="Times New Roman" w:hAnsi="Times New Roman" w:eastAsia="宋体"/>
          <w:color w:val="auto"/>
          <w:highlight w:val="none"/>
          <w:lang w:val="en-US" w:eastAsia="zh-CN"/>
        </w:rPr>
      </w:pPr>
      <w:r>
        <w:rPr>
          <w:rFonts w:hint="eastAsia" w:ascii="Times New Roman" w:hAnsi="Times New Roman" w:eastAsia="宋体"/>
          <w:b w:val="0"/>
          <w:bCs w:val="0"/>
          <w:color w:val="auto"/>
          <w:highlight w:val="none"/>
          <w:lang w:val="en-US" w:eastAsia="zh-CN"/>
        </w:rPr>
        <w:t>根据</w:t>
      </w:r>
      <w:r>
        <w:rPr>
          <w:rFonts w:hint="eastAsia" w:ascii="Times New Roman" w:hAnsi="Times New Roman" w:eastAsia="宋体"/>
          <w:color w:val="auto"/>
          <w:highlight w:val="none"/>
          <w:lang w:val="en-US" w:eastAsia="zh-CN"/>
        </w:rPr>
        <w:t>《工程勘察通用规范》GB 55017-2021，场地地震效应评价应在搜集场地地震历史资料和地质资料的基础上结合工程情况进行。</w:t>
      </w:r>
    </w:p>
    <w:p>
      <w:pPr>
        <w:spacing w:line="360" w:lineRule="auto"/>
        <w:ind w:firstLine="420" w:firstLineChars="20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地震效应评价应符合下列规定：1）应明确评价依据，勘察工作应满足评价要求；2）应划分场地类别，划分对建筑抗震有利、一般、不利和危险的地段；3）存在饱和砂土或饱和粉土的场地，当场地抗震设防烈度为7度及7度以上时应进行液化判别；对可液化场地应评价液化等级和危害程度，提出抗液化措施建议。</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市政工程勘察</w:t>
      </w:r>
      <w:r>
        <w:rPr>
          <w:rFonts w:hint="eastAsia" w:ascii="Times New Roman" w:hAnsi="Times New Roman" w:eastAsia="宋体"/>
          <w:color w:val="auto"/>
          <w:highlight w:val="none"/>
          <w:lang w:val="en-US" w:eastAsia="zh-CN"/>
        </w:rPr>
        <w:t>的</w:t>
      </w:r>
      <w:r>
        <w:rPr>
          <w:rFonts w:ascii="Times New Roman" w:hAnsi="Times New Roman" w:eastAsia="宋体"/>
          <w:color w:val="auto"/>
          <w:highlight w:val="none"/>
        </w:rPr>
        <w:t>场地土分类、</w:t>
      </w:r>
      <w:r>
        <w:rPr>
          <w:rFonts w:hint="eastAsia" w:ascii="Times New Roman" w:hAnsi="Times New Roman" w:eastAsia="宋体"/>
          <w:color w:val="auto"/>
          <w:highlight w:val="none"/>
          <w:lang w:val="en-US" w:eastAsia="zh-CN"/>
        </w:rPr>
        <w:t>场地类别划分、地基抗震承载力验算、</w:t>
      </w:r>
      <w:r>
        <w:rPr>
          <w:rFonts w:ascii="Times New Roman" w:hAnsi="Times New Roman" w:eastAsia="宋体"/>
          <w:color w:val="auto"/>
          <w:highlight w:val="none"/>
        </w:rPr>
        <w:t>地震液化判别等应根据设计要求，执行相应的</w:t>
      </w:r>
      <w:r>
        <w:rPr>
          <w:rFonts w:hint="eastAsia" w:ascii="Times New Roman" w:hAnsi="Times New Roman" w:eastAsia="宋体"/>
          <w:color w:val="auto"/>
          <w:highlight w:val="none"/>
          <w:lang w:val="en-US" w:eastAsia="zh-CN"/>
        </w:rPr>
        <w:t>抗震设计</w:t>
      </w:r>
      <w:r>
        <w:rPr>
          <w:rFonts w:ascii="Times New Roman" w:hAnsi="Times New Roman" w:eastAsia="宋体"/>
          <w:color w:val="auto"/>
          <w:highlight w:val="none"/>
        </w:rPr>
        <w:t>规范。目前，</w:t>
      </w:r>
      <w:r>
        <w:rPr>
          <w:rFonts w:hint="eastAsia" w:ascii="Times New Roman" w:hAnsi="Times New Roman" w:eastAsia="宋体"/>
          <w:color w:val="auto"/>
          <w:highlight w:val="none"/>
          <w:lang w:val="en-US" w:eastAsia="zh-CN"/>
        </w:rPr>
        <w:t>与市政工程抗震相关的规范，除</w:t>
      </w:r>
      <w:r>
        <w:rPr>
          <w:rFonts w:ascii="Times New Roman" w:hAnsi="Times New Roman" w:eastAsia="宋体"/>
          <w:color w:val="auto"/>
          <w:highlight w:val="none"/>
        </w:rPr>
        <w:t>现行国家标准《建筑抗震设计规范》GB 50011</w:t>
      </w:r>
      <w:r>
        <w:rPr>
          <w:rFonts w:hint="eastAsia" w:ascii="Times New Roman" w:hAnsi="Times New Roman" w:eastAsia="宋体"/>
          <w:color w:val="auto"/>
          <w:highlight w:val="none"/>
          <w:lang w:val="en-US" w:eastAsia="zh-CN"/>
        </w:rPr>
        <w:t>外，主要还有国家</w:t>
      </w:r>
      <w:r>
        <w:rPr>
          <w:rFonts w:ascii="Times New Roman" w:hAnsi="Times New Roman" w:eastAsia="宋体"/>
          <w:color w:val="auto"/>
          <w:highlight w:val="none"/>
        </w:rPr>
        <w:t>行业标准</w:t>
      </w:r>
      <w:bookmarkStart w:id="325" w:name="_Hlk80342410"/>
      <w:r>
        <w:rPr>
          <w:rFonts w:ascii="Times New Roman" w:hAnsi="Times New Roman" w:eastAsia="宋体"/>
          <w:color w:val="auto"/>
          <w:highlight w:val="none"/>
        </w:rPr>
        <w:t xml:space="preserve">《公路工程抗震规范》JTG </w:t>
      </w:r>
      <w:bookmarkEnd w:id="325"/>
      <w:bookmarkStart w:id="326" w:name="_Hlk80342393"/>
      <w:r>
        <w:rPr>
          <w:rFonts w:hint="eastAsia" w:ascii="Times New Roman" w:hAnsi="Times New Roman" w:eastAsia="宋体"/>
          <w:color w:val="auto"/>
          <w:highlight w:val="none"/>
          <w:lang w:val="en-US" w:eastAsia="zh-CN"/>
        </w:rPr>
        <w:t>B02</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《城</w:t>
      </w:r>
      <w:r>
        <w:rPr>
          <w:rFonts w:hint="eastAsia" w:ascii="Times New Roman" w:hAnsi="Times New Roman" w:eastAsia="宋体"/>
          <w:color w:val="auto"/>
          <w:highlight w:val="none"/>
        </w:rPr>
        <w:t>市</w:t>
      </w:r>
      <w:r>
        <w:rPr>
          <w:rFonts w:ascii="Times New Roman" w:hAnsi="Times New Roman" w:eastAsia="宋体"/>
          <w:color w:val="auto"/>
          <w:highlight w:val="none"/>
        </w:rPr>
        <w:t>桥梁抗震设计规范》CJJ 166</w:t>
      </w:r>
      <w:bookmarkEnd w:id="326"/>
      <w:r>
        <w:rPr>
          <w:rFonts w:hint="eastAsia" w:ascii="Times New Roman" w:hAnsi="Times New Roman" w:eastAsia="宋体"/>
          <w:color w:val="auto"/>
          <w:highlight w:val="none"/>
          <w:lang w:eastAsia="zh-CN"/>
        </w:rPr>
        <w:t>、</w:t>
      </w:r>
      <w:r>
        <w:rPr>
          <w:rFonts w:ascii="Times New Roman" w:hAnsi="Times New Roman" w:eastAsia="宋体"/>
          <w:color w:val="auto"/>
          <w:highlight w:val="none"/>
        </w:rPr>
        <w:t>国家标准</w:t>
      </w:r>
      <w:bookmarkStart w:id="327" w:name="_Hlk80342402"/>
      <w:r>
        <w:rPr>
          <w:rFonts w:ascii="Times New Roman" w:hAnsi="Times New Roman" w:eastAsia="宋体"/>
          <w:color w:val="auto"/>
          <w:highlight w:val="none"/>
        </w:rPr>
        <w:t>《室外给水排水和燃气热力工程抗震设计规范》GB 50032</w:t>
      </w:r>
      <w:bookmarkEnd w:id="327"/>
      <w:r>
        <w:rPr>
          <w:rFonts w:ascii="Times New Roman" w:hAnsi="Times New Roman" w:eastAsia="宋体"/>
          <w:color w:val="auto"/>
          <w:highlight w:val="none"/>
        </w:rPr>
        <w:t>。</w:t>
      </w:r>
    </w:p>
    <w:p>
      <w:pPr>
        <w:spacing w:line="360" w:lineRule="auto"/>
        <w:ind w:firstLine="420" w:firstLineChars="200"/>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经比较，各规范在</w:t>
      </w:r>
      <w:r>
        <w:rPr>
          <w:rFonts w:ascii="Times New Roman" w:hAnsi="Times New Roman" w:eastAsia="宋体"/>
          <w:color w:val="auto"/>
          <w:szCs w:val="21"/>
          <w:highlight w:val="none"/>
        </w:rPr>
        <w:t>场地</w:t>
      </w:r>
      <w:r>
        <w:rPr>
          <w:rFonts w:ascii="Times New Roman" w:hAnsi="Times New Roman" w:eastAsia="宋体"/>
          <w:color w:val="auto"/>
          <w:highlight w:val="none"/>
        </w:rPr>
        <w:t>土分类、场地类别、地震液化判别等</w:t>
      </w:r>
      <w:r>
        <w:rPr>
          <w:rFonts w:hint="eastAsia" w:ascii="Times New Roman" w:hAnsi="Times New Roman" w:eastAsia="宋体"/>
          <w:color w:val="auto"/>
          <w:highlight w:val="none"/>
          <w:lang w:val="en-US" w:eastAsia="zh-CN"/>
        </w:rPr>
        <w:t>方面基本一致，主要的差别在地震液化判别中</w:t>
      </w:r>
      <w:r>
        <w:rPr>
          <w:rFonts w:ascii="Times New Roman" w:hAnsi="Times New Roman" w:eastAsia="宋体"/>
          <w:color w:val="auto"/>
          <w:highlight w:val="none"/>
        </w:rPr>
        <w:t>标准贯入锤击数临界值</w:t>
      </w:r>
      <w:r>
        <w:rPr>
          <w:rFonts w:ascii="Times New Roman" w:hAnsi="Times New Roman" w:eastAsia="宋体"/>
          <w:i/>
          <w:iCs/>
          <w:color w:val="auto"/>
          <w:highlight w:val="none"/>
        </w:rPr>
        <w:t>N</w:t>
      </w:r>
      <w:r>
        <w:rPr>
          <w:rFonts w:ascii="Times New Roman" w:hAnsi="Times New Roman" w:eastAsia="宋体"/>
          <w:color w:val="auto"/>
          <w:highlight w:val="none"/>
          <w:vertAlign w:val="subscript"/>
        </w:rPr>
        <w:t>cr</w:t>
      </w:r>
      <w:r>
        <w:rPr>
          <w:rFonts w:ascii="Times New Roman" w:hAnsi="Times New Roman" w:eastAsia="宋体"/>
          <w:color w:val="auto"/>
          <w:highlight w:val="none"/>
        </w:rPr>
        <w:t>的计算公式不同。形成此差别的原因</w:t>
      </w:r>
      <w:r>
        <w:rPr>
          <w:rFonts w:ascii="Times New Roman" w:hAnsi="Times New Roman" w:eastAsia="宋体"/>
          <w:color w:val="auto"/>
          <w:szCs w:val="21"/>
          <w:highlight w:val="none"/>
        </w:rPr>
        <w:t>是</w:t>
      </w:r>
      <w:r>
        <w:rPr>
          <w:rFonts w:ascii="Times New Roman" w:hAnsi="Times New Roman" w:eastAsia="宋体"/>
          <w:color w:val="auto"/>
          <w:highlight w:val="none"/>
        </w:rPr>
        <w:t>《建筑抗震设计规范》修订为了非线性公式，而</w:t>
      </w:r>
      <w:r>
        <w:rPr>
          <w:rFonts w:hint="eastAsia" w:ascii="Times New Roman" w:hAnsi="Times New Roman" w:eastAsia="宋体"/>
          <w:color w:val="auto"/>
          <w:highlight w:val="none"/>
          <w:lang w:val="en-US" w:eastAsia="zh-CN"/>
        </w:rPr>
        <w:t>其他几本规范</w:t>
      </w:r>
      <w:r>
        <w:rPr>
          <w:rFonts w:ascii="Times New Roman" w:hAnsi="Times New Roman" w:eastAsia="宋体"/>
          <w:color w:val="auto"/>
          <w:highlight w:val="none"/>
        </w:rPr>
        <w:t>则沿用了原来的折线公式。</w:t>
      </w:r>
    </w:p>
    <w:p>
      <w:pPr>
        <w:spacing w:line="360" w:lineRule="auto"/>
        <w:ind w:firstLine="420" w:firstLineChars="200"/>
        <w:rPr>
          <w:rFonts w:ascii="Times New Roman" w:hAnsi="Times New Roman" w:eastAsia="宋体"/>
          <w:color w:val="auto"/>
          <w:szCs w:val="21"/>
          <w:highlight w:val="none"/>
        </w:rPr>
      </w:pPr>
      <w:r>
        <w:rPr>
          <w:rFonts w:ascii="Times New Roman" w:hAnsi="Times New Roman" w:eastAsia="宋体"/>
          <w:color w:val="auto"/>
          <w:szCs w:val="21"/>
          <w:highlight w:val="none"/>
        </w:rPr>
        <w:t>为验证</w:t>
      </w:r>
      <w:r>
        <w:rPr>
          <w:rFonts w:ascii="Times New Roman" w:hAnsi="Times New Roman" w:eastAsia="宋体"/>
          <w:color w:val="auto"/>
          <w:highlight w:val="none"/>
        </w:rPr>
        <w:t>《建筑抗震设计规范》GB 50021-</w:t>
      </w:r>
      <w:r>
        <w:rPr>
          <w:rFonts w:ascii="Times New Roman" w:hAnsi="Times New Roman" w:eastAsia="宋体"/>
          <w:color w:val="auto"/>
          <w:szCs w:val="21"/>
          <w:highlight w:val="none"/>
        </w:rPr>
        <w:t>2010（2016版）的非线性公式（简称</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建规公式</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）和</w:t>
      </w:r>
      <w:r>
        <w:rPr>
          <w:rFonts w:hint="eastAsia" w:ascii="Times New Roman" w:hAnsi="Times New Roman" w:eastAsia="宋体"/>
          <w:color w:val="auto"/>
          <w:highlight w:val="none"/>
          <w:lang w:val="en-US" w:eastAsia="zh-CN"/>
        </w:rPr>
        <w:t>其他规范</w:t>
      </w:r>
      <w:r>
        <w:rPr>
          <w:rFonts w:ascii="Times New Roman" w:hAnsi="Times New Roman" w:eastAsia="宋体"/>
          <w:color w:val="auto"/>
          <w:highlight w:val="none"/>
        </w:rPr>
        <w:t>的</w:t>
      </w:r>
      <w:r>
        <w:rPr>
          <w:rFonts w:ascii="Times New Roman" w:hAnsi="Times New Roman" w:eastAsia="宋体"/>
          <w:color w:val="auto"/>
          <w:szCs w:val="21"/>
          <w:highlight w:val="none"/>
        </w:rPr>
        <w:t>折线公式</w:t>
      </w:r>
      <w:r>
        <w:rPr>
          <w:rFonts w:hint="eastAsia" w:ascii="Times New Roman" w:hAnsi="Times New Roman" w:eastAsia="宋体"/>
          <w:color w:val="auto"/>
          <w:szCs w:val="21"/>
          <w:highlight w:val="none"/>
          <w:lang w:val="en-US" w:eastAsia="zh-CN"/>
        </w:rPr>
        <w:t>两者</w:t>
      </w:r>
      <w:r>
        <w:rPr>
          <w:rFonts w:ascii="Times New Roman" w:hAnsi="Times New Roman" w:eastAsia="宋体"/>
          <w:i/>
          <w:iCs/>
          <w:color w:val="auto"/>
          <w:highlight w:val="none"/>
        </w:rPr>
        <w:t>N</w:t>
      </w:r>
      <w:r>
        <w:rPr>
          <w:rFonts w:ascii="Times New Roman" w:hAnsi="Times New Roman" w:eastAsia="宋体"/>
          <w:color w:val="auto"/>
          <w:highlight w:val="none"/>
          <w:vertAlign w:val="subscript"/>
        </w:rPr>
        <w:t>cr</w:t>
      </w:r>
      <w:r>
        <w:rPr>
          <w:rFonts w:ascii="Times New Roman" w:hAnsi="Times New Roman" w:eastAsia="宋体"/>
          <w:color w:val="auto"/>
          <w:szCs w:val="21"/>
          <w:highlight w:val="none"/>
        </w:rPr>
        <w:t>计算值的大小关系，选取了广东省需进行砂土液化判别的典型场地类型进行试算。在广东省，只有</w:t>
      </w:r>
      <w:r>
        <w:rPr>
          <w:rFonts w:hint="eastAsia" w:ascii="Times New Roman" w:hAnsi="Times New Roman" w:eastAsia="宋体"/>
          <w:color w:val="auto"/>
          <w:szCs w:val="21"/>
          <w:highlight w:val="none"/>
          <w:lang w:val="en-US" w:eastAsia="zh-CN"/>
        </w:rPr>
        <w:t>抗震设防</w:t>
      </w:r>
      <w:r>
        <w:rPr>
          <w:rFonts w:ascii="Times New Roman" w:hAnsi="Times New Roman" w:eastAsia="宋体"/>
          <w:color w:val="auto"/>
          <w:szCs w:val="21"/>
          <w:highlight w:val="none"/>
        </w:rPr>
        <w:t>烈度7度和8度两种情况需要液化判别，对应的Ⅱ类场地地震动峰值加速度值一般为0.10g和0.20g，基本地震动加速度反应谱特征周期为0.35s和0.40s，即最常见的有0.10g(0.35s)和0.20g(0.40s)两种组合，取黏粒含量百分率</w:t>
      </w:r>
      <w:r>
        <w:rPr>
          <w:rFonts w:ascii="Times New Roman" w:hAnsi="Times New Roman" w:eastAsia="宋体"/>
          <w:i/>
          <w:iCs/>
          <w:color w:val="auto"/>
          <w:szCs w:val="21"/>
          <w:highlight w:val="none"/>
        </w:rPr>
        <w:t>ρ</w:t>
      </w:r>
      <w:r>
        <w:rPr>
          <w:rFonts w:ascii="Times New Roman" w:hAnsi="Times New Roman" w:eastAsia="宋体"/>
          <w:color w:val="auto"/>
          <w:szCs w:val="21"/>
          <w:highlight w:val="none"/>
          <w:vertAlign w:val="subscript"/>
        </w:rPr>
        <w:t>c</w:t>
      </w:r>
      <w:r>
        <w:rPr>
          <w:rFonts w:ascii="Times New Roman" w:hAnsi="Times New Roman" w:eastAsia="宋体"/>
          <w:color w:val="auto"/>
          <w:szCs w:val="21"/>
          <w:highlight w:val="none"/>
        </w:rPr>
        <w:t>=3，地下水位深度</w:t>
      </w:r>
      <w:r>
        <w:rPr>
          <w:rFonts w:ascii="Times New Roman" w:hAnsi="Times New Roman" w:eastAsia="宋体"/>
          <w:i/>
          <w:iCs/>
          <w:color w:val="auto"/>
          <w:szCs w:val="21"/>
          <w:highlight w:val="none"/>
        </w:rPr>
        <w:t>d</w:t>
      </w:r>
      <w:r>
        <w:rPr>
          <w:rFonts w:ascii="Times New Roman" w:hAnsi="Times New Roman" w:eastAsia="宋体"/>
          <w:color w:val="auto"/>
          <w:szCs w:val="21"/>
          <w:highlight w:val="none"/>
          <w:vertAlign w:val="subscript"/>
        </w:rPr>
        <w:t>w</w:t>
      </w:r>
      <w:r>
        <w:rPr>
          <w:rFonts w:ascii="Times New Roman" w:hAnsi="Times New Roman" w:eastAsia="宋体"/>
          <w:color w:val="auto"/>
          <w:szCs w:val="21"/>
          <w:highlight w:val="none"/>
        </w:rPr>
        <w:t>=1m，经计算，可得到20m深度范围内建规公式和</w:t>
      </w:r>
      <w:r>
        <w:rPr>
          <w:rFonts w:hint="eastAsia" w:ascii="Times New Roman" w:hAnsi="Times New Roman" w:eastAsia="宋体"/>
          <w:color w:val="auto"/>
          <w:szCs w:val="21"/>
          <w:highlight w:val="none"/>
          <w:lang w:val="en-US" w:eastAsia="zh-CN"/>
        </w:rPr>
        <w:t>折线</w:t>
      </w:r>
      <w:r>
        <w:rPr>
          <w:rFonts w:ascii="Times New Roman" w:hAnsi="Times New Roman" w:eastAsia="宋体"/>
          <w:color w:val="auto"/>
          <w:szCs w:val="21"/>
          <w:highlight w:val="none"/>
        </w:rPr>
        <w:t>公式的</w:t>
      </w:r>
      <w:r>
        <w:rPr>
          <w:rFonts w:ascii="Times New Roman" w:hAnsi="Times New Roman" w:eastAsia="宋体"/>
          <w:i/>
          <w:iCs/>
          <w:color w:val="auto"/>
          <w:highlight w:val="none"/>
        </w:rPr>
        <w:t>N</w:t>
      </w:r>
      <w:r>
        <w:rPr>
          <w:rFonts w:ascii="Times New Roman" w:hAnsi="Times New Roman" w:eastAsia="宋体"/>
          <w:color w:val="auto"/>
          <w:highlight w:val="none"/>
          <w:vertAlign w:val="subscript"/>
        </w:rPr>
        <w:t>cr</w:t>
      </w:r>
      <w:r>
        <w:rPr>
          <w:rFonts w:ascii="Times New Roman" w:hAnsi="Times New Roman" w:eastAsia="宋体"/>
          <w:color w:val="auto"/>
          <w:szCs w:val="21"/>
          <w:highlight w:val="none"/>
        </w:rPr>
        <w:t>计算值如图</w:t>
      </w:r>
      <w:r>
        <w:rPr>
          <w:rFonts w:hint="eastAsia" w:ascii="Times New Roman" w:hAnsi="Times New Roman" w:eastAsia="宋体"/>
          <w:color w:val="auto"/>
          <w:szCs w:val="21"/>
          <w:highlight w:val="none"/>
          <w:lang w:val="en-US" w:eastAsia="zh-CN"/>
        </w:rPr>
        <w:t>3</w:t>
      </w:r>
      <w:r>
        <w:rPr>
          <w:rFonts w:hint="eastAsia"/>
          <w:color w:val="auto"/>
          <w:szCs w:val="21"/>
          <w:highlight w:val="none"/>
          <w:lang w:val="en-US" w:eastAsia="zh-CN"/>
        </w:rPr>
        <w:t>-1</w:t>
      </w:r>
      <w:r>
        <w:rPr>
          <w:rFonts w:ascii="Times New Roman" w:hAnsi="Times New Roman" w:eastAsia="宋体"/>
          <w:color w:val="auto"/>
          <w:szCs w:val="21"/>
          <w:highlight w:val="none"/>
        </w:rPr>
        <w:t>所示。</w:t>
      </w:r>
    </w:p>
    <w:p>
      <w:pPr>
        <w:spacing w:line="360" w:lineRule="auto"/>
        <w:jc w:val="center"/>
        <w:rPr>
          <w:rFonts w:ascii="Times New Roman" w:hAnsi="Times New Roman" w:eastAsia="宋体"/>
          <w:color w:val="auto"/>
          <w:highlight w:val="none"/>
        </w:rPr>
      </w:pPr>
      <w:r>
        <w:rPr>
          <w:rFonts w:ascii="Times New Roman" w:hAnsi="Times New Roman" w:eastAsia="宋体"/>
          <w:color w:val="auto"/>
          <w:highlight w:val="none"/>
        </w:rPr>
        <w:drawing>
          <wp:inline distT="0" distB="0" distL="0" distR="0">
            <wp:extent cx="3839210" cy="3112770"/>
            <wp:effectExtent l="0" t="0" r="8890" b="1143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spacing w:line="360" w:lineRule="auto"/>
        <w:jc w:val="center"/>
        <w:rPr>
          <w:rFonts w:ascii="Times New Roman" w:hAnsi="Times New Roman" w:eastAsia="宋体"/>
          <w:color w:val="auto"/>
          <w:highlight w:val="none"/>
        </w:rPr>
      </w:pPr>
      <w:r>
        <w:rPr>
          <w:rFonts w:hint="eastAsia"/>
          <w:color w:val="auto"/>
          <w:highlight w:val="none"/>
          <w:lang w:eastAsia="zh-CN"/>
        </w:rPr>
        <w:t>图</w:t>
      </w:r>
      <w:r>
        <w:rPr>
          <w:rFonts w:hint="eastAsia"/>
          <w:color w:val="auto"/>
          <w:highlight w:val="none"/>
          <w:lang w:val="en-US" w:eastAsia="zh-CN"/>
        </w:rPr>
        <w:t xml:space="preserve">3-1  </w:t>
      </w:r>
      <w:r>
        <w:rPr>
          <w:rFonts w:ascii="Times New Roman" w:hAnsi="Times New Roman" w:eastAsia="宋体"/>
          <w:i/>
          <w:iCs/>
          <w:color w:val="auto"/>
          <w:highlight w:val="none"/>
        </w:rPr>
        <w:t>N</w:t>
      </w:r>
      <w:r>
        <w:rPr>
          <w:rFonts w:ascii="Times New Roman" w:hAnsi="Times New Roman" w:eastAsia="宋体"/>
          <w:color w:val="auto"/>
          <w:highlight w:val="none"/>
          <w:vertAlign w:val="subscript"/>
        </w:rPr>
        <w:t>cr</w:t>
      </w:r>
      <w:r>
        <w:rPr>
          <w:rFonts w:hint="eastAsia" w:ascii="Times New Roman" w:hAnsi="Times New Roman" w:eastAsia="宋体"/>
          <w:color w:val="auto"/>
          <w:highlight w:val="none"/>
        </w:rPr>
        <w:t>建规公式/折线公式对比</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szCs w:val="21"/>
          <w:highlight w:val="none"/>
        </w:rPr>
        <w:t>由图</w:t>
      </w:r>
      <w:r>
        <w:rPr>
          <w:rFonts w:hint="eastAsia" w:ascii="Times New Roman" w:hAnsi="Times New Roman" w:eastAsia="宋体"/>
          <w:color w:val="auto"/>
          <w:szCs w:val="21"/>
          <w:highlight w:val="none"/>
          <w:lang w:val="en-US" w:eastAsia="zh-CN"/>
        </w:rPr>
        <w:t>3</w:t>
      </w:r>
      <w:r>
        <w:rPr>
          <w:rFonts w:hint="eastAsia"/>
          <w:color w:val="auto"/>
          <w:szCs w:val="21"/>
          <w:highlight w:val="none"/>
          <w:lang w:val="en-US" w:eastAsia="zh-CN"/>
        </w:rPr>
        <w:t>-1</w:t>
      </w:r>
      <w:r>
        <w:rPr>
          <w:rFonts w:ascii="Times New Roman" w:hAnsi="Times New Roman" w:eastAsia="宋体"/>
          <w:color w:val="auto"/>
          <w:szCs w:val="21"/>
          <w:highlight w:val="none"/>
        </w:rPr>
        <w:t>可见，建规公式和</w:t>
      </w:r>
      <w:r>
        <w:rPr>
          <w:rFonts w:hint="eastAsia" w:ascii="Times New Roman" w:hAnsi="Times New Roman" w:eastAsia="宋体"/>
          <w:color w:val="auto"/>
          <w:szCs w:val="21"/>
          <w:highlight w:val="none"/>
          <w:lang w:val="en-US" w:eastAsia="zh-CN"/>
        </w:rPr>
        <w:t>折线</w:t>
      </w:r>
      <w:r>
        <w:rPr>
          <w:rFonts w:ascii="Times New Roman" w:hAnsi="Times New Roman" w:eastAsia="宋体"/>
          <w:color w:val="auto"/>
          <w:szCs w:val="21"/>
          <w:highlight w:val="none"/>
        </w:rPr>
        <w:t>公式的差异不大，均按最新的建规公式计算</w:t>
      </w:r>
      <w:r>
        <w:rPr>
          <w:rFonts w:ascii="Times New Roman" w:hAnsi="Times New Roman" w:eastAsia="宋体"/>
          <w:i/>
          <w:iCs/>
          <w:color w:val="auto"/>
          <w:highlight w:val="none"/>
        </w:rPr>
        <w:t>N</w:t>
      </w:r>
      <w:r>
        <w:rPr>
          <w:rFonts w:ascii="Times New Roman" w:hAnsi="Times New Roman" w:eastAsia="宋体"/>
          <w:color w:val="auto"/>
          <w:highlight w:val="none"/>
          <w:vertAlign w:val="subscript"/>
        </w:rPr>
        <w:t>cr</w:t>
      </w:r>
      <w:r>
        <w:rPr>
          <w:rFonts w:ascii="Times New Roman" w:hAnsi="Times New Roman" w:eastAsia="宋体"/>
          <w:color w:val="auto"/>
          <w:szCs w:val="21"/>
          <w:highlight w:val="none"/>
        </w:rPr>
        <w:t>，液化判别结果不会产生显著差异。故本规范推荐统一按</w:t>
      </w:r>
      <w:r>
        <w:rPr>
          <w:rFonts w:ascii="Times New Roman" w:hAnsi="Times New Roman" w:eastAsia="宋体"/>
          <w:color w:val="auto"/>
          <w:highlight w:val="none"/>
        </w:rPr>
        <w:t>《建筑抗震设计规范》GB 50021执行。</w:t>
      </w:r>
    </w:p>
    <w:p>
      <w:pPr>
        <w:spacing w:line="360" w:lineRule="auto"/>
        <w:ind w:firstLine="420" w:firstLineChars="200"/>
        <w:rPr>
          <w:rFonts w:hint="eastAsia" w:ascii="Times New Roman" w:hAnsi="Times New Roman" w:eastAsia="宋体"/>
          <w:color w:val="auto"/>
          <w:szCs w:val="21"/>
          <w:highlight w:val="none"/>
          <w:lang w:val="en-US" w:eastAsia="zh-CN"/>
        </w:rPr>
      </w:pPr>
      <w:r>
        <w:rPr>
          <w:rFonts w:ascii="Times New Roman" w:hAnsi="Times New Roman" w:eastAsia="宋体"/>
          <w:color w:val="auto"/>
          <w:szCs w:val="21"/>
          <w:highlight w:val="none"/>
        </w:rPr>
        <w:t>《建筑抗震设计规范》GB 50021-2010（2016版）</w:t>
      </w:r>
      <w:r>
        <w:rPr>
          <w:rFonts w:hint="eastAsia" w:ascii="Times New Roman" w:hAnsi="Times New Roman" w:eastAsia="宋体"/>
          <w:color w:val="auto"/>
          <w:szCs w:val="21"/>
          <w:highlight w:val="none"/>
          <w:lang w:val="en-US" w:eastAsia="zh-CN"/>
        </w:rPr>
        <w:t>表4.1.1宜改为下表。</w:t>
      </w:r>
    </w:p>
    <w:p>
      <w:pPr>
        <w:autoSpaceDE w:val="0"/>
        <w:autoSpaceDN w:val="0"/>
        <w:adjustRightInd w:val="0"/>
        <w:spacing w:line="360" w:lineRule="auto"/>
        <w:jc w:val="center"/>
        <w:rPr>
          <w:rFonts w:ascii="Times New Roman" w:hAnsi="Times New Roman" w:eastAsia="宋体"/>
          <w:b/>
          <w:bCs/>
          <w:color w:val="auto"/>
          <w:kern w:val="0"/>
          <w:highlight w:val="none"/>
        </w:rPr>
      </w:pPr>
      <w:r>
        <w:rPr>
          <w:rFonts w:ascii="Times New Roman" w:hAnsi="Times New Roman" w:eastAsia="宋体"/>
          <w:b/>
          <w:bCs/>
          <w:color w:val="auto"/>
          <w:kern w:val="0"/>
          <w:highlight w:val="none"/>
        </w:rPr>
        <w:t>表</w:t>
      </w:r>
      <w:r>
        <w:rPr>
          <w:rFonts w:hint="eastAsia" w:ascii="Times New Roman" w:hAnsi="Times New Roman" w:eastAsia="宋体"/>
          <w:b/>
          <w:bCs/>
          <w:color w:val="auto"/>
          <w:kern w:val="0"/>
          <w:highlight w:val="none"/>
          <w:lang w:val="en-US" w:eastAsia="zh-CN"/>
        </w:rPr>
        <w:t>3-3</w:t>
      </w:r>
      <w:r>
        <w:rPr>
          <w:rFonts w:ascii="Times New Roman" w:hAnsi="Times New Roman" w:eastAsia="宋体"/>
          <w:b/>
          <w:bCs/>
          <w:color w:val="auto"/>
          <w:kern w:val="0"/>
          <w:highlight w:val="none"/>
        </w:rPr>
        <w:t xml:space="preserve"> 有利、一般、不利和危险地段的划分</w:t>
      </w:r>
    </w:p>
    <w:tbl>
      <w:tblPr>
        <w:tblStyle w:val="2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069"/>
        <w:gridCol w:w="716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1069" w:type="dxa"/>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spacing w:before="32" w:beforeLines="10" w:after="32" w:afterLines="10"/>
              <w:jc w:val="center"/>
              <w:textAlignment w:val="auto"/>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地段类型</w:t>
            </w:r>
          </w:p>
        </w:tc>
        <w:tc>
          <w:tcPr>
            <w:tcW w:w="7169" w:type="dxa"/>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spacing w:before="32" w:beforeLines="10" w:after="32" w:afterLines="10"/>
              <w:jc w:val="center"/>
              <w:textAlignment w:val="auto"/>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地质、地形、地貌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1069" w:type="dxa"/>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spacing w:before="32" w:beforeLines="10" w:after="32" w:afterLines="10"/>
              <w:jc w:val="left"/>
              <w:textAlignment w:val="auto"/>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有利地段</w:t>
            </w:r>
          </w:p>
        </w:tc>
        <w:tc>
          <w:tcPr>
            <w:tcW w:w="7169" w:type="dxa"/>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spacing w:before="32" w:beforeLines="10" w:after="32" w:afterLines="10"/>
              <w:jc w:val="left"/>
              <w:textAlignment w:val="auto"/>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稳定基岩，坚硬土，开阔、平坦、密实、均匀的中硬土等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1069" w:type="dxa"/>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spacing w:before="32" w:beforeLines="10" w:after="32" w:afterLines="10"/>
              <w:jc w:val="left"/>
              <w:textAlignment w:val="auto"/>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一般地段</w:t>
            </w:r>
          </w:p>
        </w:tc>
        <w:tc>
          <w:tcPr>
            <w:tcW w:w="7169" w:type="dxa"/>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spacing w:before="32" w:beforeLines="10" w:after="32" w:afterLines="10"/>
              <w:jc w:val="left"/>
              <w:textAlignment w:val="auto"/>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不属于有利、不利和危险的地段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10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jc w:val="left"/>
              <w:textAlignment w:val="auto"/>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不利地段</w:t>
            </w:r>
          </w:p>
        </w:tc>
        <w:tc>
          <w:tcPr>
            <w:tcW w:w="7169" w:type="dxa"/>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spacing w:before="32" w:beforeLines="10" w:after="32" w:afterLines="10"/>
              <w:jc w:val="left"/>
              <w:textAlignment w:val="auto"/>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软弱土，液化土，条状突出的山嘴，高耸孤立的山丘，全、强风化岩或土质</w:t>
            </w:r>
            <w:r>
              <w:rPr>
                <w:rFonts w:hint="eastAsia" w:ascii="Times New Roman" w:hAnsi="Times New Roman" w:eastAsia="宋体"/>
                <w:color w:val="auto"/>
                <w:kern w:val="0"/>
                <w:sz w:val="20"/>
                <w:szCs w:val="20"/>
                <w:highlight w:val="none"/>
              </w:rPr>
              <w:t>的</w:t>
            </w:r>
            <w:r>
              <w:rPr>
                <w:rFonts w:ascii="Times New Roman" w:hAnsi="Times New Roman" w:eastAsia="宋体"/>
                <w:color w:val="auto"/>
                <w:kern w:val="0"/>
                <w:sz w:val="20"/>
                <w:szCs w:val="20"/>
                <w:highlight w:val="none"/>
              </w:rPr>
              <w:t>陡坡、陡坎，河岸和边坡的边缘，平面分布上成因、岩性、状态明显不均匀的土层（含故河道、疏松的断层破裂带、暗埋的塘浜沟谷和半填半挖地基），地表存在结构性裂缝等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43" w:hRule="atLeast"/>
          <w:jc w:val="center"/>
        </w:trPr>
        <w:tc>
          <w:tcPr>
            <w:tcW w:w="106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jc w:val="left"/>
              <w:textAlignment w:val="auto"/>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危险地段</w:t>
            </w:r>
          </w:p>
        </w:tc>
        <w:tc>
          <w:tcPr>
            <w:tcW w:w="7169" w:type="dxa"/>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spacing w:before="32" w:beforeLines="10" w:after="32" w:afterLines="10"/>
              <w:jc w:val="left"/>
              <w:textAlignment w:val="auto"/>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地震时可能发生滑坡、崩塌、地陷、地裂、泥石流等及发震断裂（活动断裂）带上可能发生地表错位的部位</w:t>
            </w:r>
          </w:p>
        </w:tc>
      </w:tr>
    </w:tbl>
    <w:p>
      <w:pPr>
        <w:autoSpaceDE w:val="0"/>
        <w:autoSpaceDN w:val="0"/>
        <w:adjustRightInd w:val="0"/>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该规范表4.1.1中</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不利地段</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有</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陡坡，陡坎</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，但条文说明明确提到</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但对于岩石地基的陡坡、陡坎等，本规范未列为不利的地段</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，故</w:t>
      </w:r>
      <w:r>
        <w:rPr>
          <w:rFonts w:hint="eastAsia" w:ascii="Times New Roman" w:hAnsi="Times New Roman" w:eastAsia="宋体"/>
          <w:color w:val="auto"/>
          <w:szCs w:val="21"/>
          <w:highlight w:val="none"/>
          <w:lang w:val="en-US" w:eastAsia="zh-CN"/>
        </w:rPr>
        <w:t>上表</w:t>
      </w:r>
      <w:r>
        <w:rPr>
          <w:rFonts w:ascii="Times New Roman" w:hAnsi="Times New Roman" w:eastAsia="宋体"/>
          <w:color w:val="auto"/>
          <w:szCs w:val="21"/>
          <w:highlight w:val="none"/>
        </w:rPr>
        <w:t>修改为</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全、强风化岩或土质的陡坡、陡坎</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。由于广东省范围不分布黄土，故</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不利地段</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删去</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高含水量的可塑黄土</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w:t>
      </w:r>
    </w:p>
    <w:p>
      <w:pPr>
        <w:autoSpaceDE w:val="0"/>
        <w:autoSpaceDN w:val="0"/>
        <w:adjustRightInd w:val="0"/>
        <w:spacing w:line="360" w:lineRule="auto"/>
        <w:ind w:firstLine="420" w:firstLineChars="200"/>
        <w:jc w:val="left"/>
        <w:rPr>
          <w:rFonts w:hint="eastAsia" w:ascii="Times New Roman" w:hAnsi="Times New Roman" w:eastAsia="宋体"/>
          <w:color w:val="auto"/>
          <w:szCs w:val="21"/>
          <w:highlight w:val="none"/>
          <w:lang w:val="en-US" w:eastAsia="zh-CN"/>
        </w:rPr>
      </w:pPr>
      <w:r>
        <w:rPr>
          <w:rFonts w:ascii="Times New Roman" w:hAnsi="Times New Roman" w:eastAsia="宋体"/>
          <w:color w:val="auto"/>
          <w:highlight w:val="none"/>
        </w:rPr>
        <w:t>《建筑抗震设计规范》</w:t>
      </w:r>
      <w:r>
        <w:rPr>
          <w:rFonts w:ascii="Times New Roman" w:hAnsi="Times New Roman" w:eastAsia="宋体"/>
          <w:color w:val="auto"/>
          <w:szCs w:val="21"/>
          <w:highlight w:val="none"/>
        </w:rPr>
        <w:t>GB 50021-2010（2016版）</w:t>
      </w:r>
      <w:r>
        <w:rPr>
          <w:rFonts w:hint="eastAsia" w:ascii="Times New Roman" w:hAnsi="Times New Roman" w:eastAsia="宋体"/>
          <w:color w:val="auto"/>
          <w:szCs w:val="21"/>
          <w:highlight w:val="none"/>
          <w:lang w:val="en-US" w:eastAsia="zh-CN"/>
        </w:rPr>
        <w:t>表</w:t>
      </w:r>
      <w:r>
        <w:rPr>
          <w:rFonts w:ascii="Times New Roman" w:hAnsi="Times New Roman" w:eastAsia="宋体"/>
          <w:color w:val="auto"/>
          <w:szCs w:val="21"/>
          <w:highlight w:val="none"/>
        </w:rPr>
        <w:t>4.1.3</w:t>
      </w:r>
      <w:r>
        <w:rPr>
          <w:rFonts w:hint="eastAsia" w:ascii="Times New Roman" w:hAnsi="Times New Roman" w:eastAsia="宋体"/>
          <w:color w:val="auto"/>
          <w:szCs w:val="21"/>
          <w:highlight w:val="none"/>
          <w:lang w:eastAsia="zh-CN"/>
        </w:rPr>
        <w:t>、</w:t>
      </w:r>
      <w:r>
        <w:rPr>
          <w:rFonts w:ascii="Times New Roman" w:hAnsi="Times New Roman" w:eastAsia="宋体"/>
          <w:color w:val="auto"/>
          <w:szCs w:val="21"/>
          <w:highlight w:val="none"/>
        </w:rPr>
        <w:t>表4.2.3</w:t>
      </w:r>
      <w:r>
        <w:rPr>
          <w:rFonts w:hint="eastAsia" w:ascii="Times New Roman" w:hAnsi="Times New Roman" w:eastAsia="宋体"/>
          <w:color w:val="auto"/>
          <w:szCs w:val="21"/>
          <w:highlight w:val="none"/>
          <w:lang w:val="en-US" w:eastAsia="zh-CN"/>
        </w:rPr>
        <w:t>也宜修改为表3-4和表3-5，修改后两表</w:t>
      </w:r>
      <w:r>
        <w:rPr>
          <w:rFonts w:ascii="Times New Roman" w:hAnsi="Times New Roman" w:eastAsia="宋体"/>
          <w:color w:val="auto"/>
          <w:szCs w:val="21"/>
          <w:highlight w:val="none"/>
        </w:rPr>
        <w:t>在</w:t>
      </w:r>
      <w:r>
        <w:rPr>
          <w:rFonts w:hint="eastAsia" w:ascii="Times New Roman" w:hAnsi="Times New Roman" w:eastAsia="宋体"/>
          <w:color w:val="auto"/>
          <w:szCs w:val="21"/>
          <w:highlight w:val="none"/>
          <w:lang w:val="en-US" w:eastAsia="zh-CN"/>
        </w:rPr>
        <w:t>岩土名称和性状描述上将具有</w:t>
      </w:r>
      <w:r>
        <w:rPr>
          <w:rFonts w:ascii="Times New Roman" w:hAnsi="Times New Roman" w:eastAsia="宋体"/>
          <w:color w:val="auto"/>
          <w:szCs w:val="21"/>
          <w:highlight w:val="none"/>
        </w:rPr>
        <w:t>较好的一致性</w:t>
      </w:r>
      <w:r>
        <w:rPr>
          <w:rFonts w:hint="eastAsia" w:ascii="Times New Roman" w:hAnsi="Times New Roman" w:eastAsia="宋体"/>
          <w:color w:val="auto"/>
          <w:szCs w:val="21"/>
          <w:highlight w:val="none"/>
          <w:lang w:eastAsia="zh-CN"/>
        </w:rPr>
        <w:t>，</w:t>
      </w:r>
      <w:r>
        <w:rPr>
          <w:rFonts w:hint="eastAsia" w:ascii="Times New Roman" w:hAnsi="Times New Roman" w:eastAsia="宋体"/>
          <w:color w:val="auto"/>
          <w:szCs w:val="21"/>
          <w:highlight w:val="none"/>
          <w:lang w:val="en-US" w:eastAsia="zh-CN"/>
        </w:rPr>
        <w:t>并</w:t>
      </w:r>
      <w:r>
        <w:rPr>
          <w:rFonts w:ascii="Times New Roman" w:hAnsi="Times New Roman" w:eastAsia="宋体"/>
          <w:color w:val="auto"/>
          <w:szCs w:val="21"/>
          <w:highlight w:val="none"/>
        </w:rPr>
        <w:t>删去了黄土</w:t>
      </w:r>
      <w:r>
        <w:rPr>
          <w:rFonts w:hint="eastAsia" w:ascii="Times New Roman" w:hAnsi="Times New Roman" w:eastAsia="宋体"/>
          <w:color w:val="auto"/>
          <w:szCs w:val="21"/>
          <w:highlight w:val="none"/>
          <w:lang w:val="en-US" w:eastAsia="zh-CN"/>
        </w:rPr>
        <w:t>的内容</w:t>
      </w:r>
      <w:r>
        <w:rPr>
          <w:rFonts w:hint="eastAsia" w:ascii="Times New Roman" w:hAnsi="Times New Roman" w:eastAsia="宋体"/>
          <w:color w:val="auto"/>
          <w:szCs w:val="21"/>
          <w:highlight w:val="none"/>
          <w:lang w:eastAsia="zh-CN"/>
        </w:rPr>
        <w:t>。</w:t>
      </w:r>
    </w:p>
    <w:p>
      <w:pPr>
        <w:autoSpaceDE w:val="0"/>
        <w:autoSpaceDN w:val="0"/>
        <w:adjustRightInd w:val="0"/>
        <w:spacing w:line="360" w:lineRule="auto"/>
        <w:jc w:val="center"/>
        <w:rPr>
          <w:rFonts w:ascii="Times New Roman" w:hAnsi="Times New Roman" w:eastAsia="宋体"/>
          <w:b/>
          <w:bCs/>
          <w:color w:val="auto"/>
          <w:kern w:val="0"/>
          <w:highlight w:val="none"/>
        </w:rPr>
      </w:pPr>
      <w:r>
        <w:rPr>
          <w:rFonts w:ascii="Times New Roman" w:hAnsi="Times New Roman" w:eastAsia="宋体"/>
          <w:b/>
          <w:bCs/>
          <w:color w:val="auto"/>
          <w:kern w:val="0"/>
          <w:highlight w:val="none"/>
        </w:rPr>
        <w:t>表</w:t>
      </w:r>
      <w:r>
        <w:rPr>
          <w:rFonts w:hint="eastAsia" w:ascii="Times New Roman" w:hAnsi="Times New Roman" w:eastAsia="宋体"/>
          <w:b/>
          <w:bCs/>
          <w:color w:val="auto"/>
          <w:kern w:val="0"/>
          <w:highlight w:val="none"/>
          <w:lang w:val="en-US" w:eastAsia="zh-CN"/>
        </w:rPr>
        <w:t>3-4</w:t>
      </w:r>
      <w:r>
        <w:rPr>
          <w:rFonts w:ascii="Times New Roman" w:hAnsi="Times New Roman" w:eastAsia="宋体"/>
          <w:b/>
          <w:bCs/>
          <w:color w:val="auto"/>
          <w:kern w:val="0"/>
          <w:highlight w:val="none"/>
        </w:rPr>
        <w:t xml:space="preserve"> 土层的类型划分和剪切波速范围</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5415"/>
        <w:gridCol w:w="17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l2br w:val="nil"/>
              <w:tr2bl w:val="nil"/>
            </w:tcBorders>
            <w:vAlign w:val="center"/>
          </w:tcPr>
          <w:p>
            <w:pPr>
              <w:autoSpaceDE w:val="0"/>
              <w:jc w:val="center"/>
              <w:rPr>
                <w:rFonts w:ascii="Times New Roman" w:hAnsi="Times New Roman" w:eastAsia="宋体"/>
                <w:bCs/>
                <w:color w:val="auto"/>
                <w:sz w:val="20"/>
                <w:szCs w:val="20"/>
                <w:highlight w:val="none"/>
              </w:rPr>
            </w:pPr>
            <w:r>
              <w:rPr>
                <w:rFonts w:ascii="Times New Roman" w:hAnsi="Times New Roman" w:eastAsia="宋体"/>
                <w:bCs/>
                <w:color w:val="auto"/>
                <w:sz w:val="20"/>
                <w:szCs w:val="20"/>
                <w:highlight w:val="none"/>
              </w:rPr>
              <w:t>士的类型</w:t>
            </w:r>
          </w:p>
        </w:tc>
        <w:tc>
          <w:tcPr>
            <w:tcW w:w="5415" w:type="dxa"/>
            <w:tcBorders>
              <w:tl2br w:val="nil"/>
              <w:tr2bl w:val="nil"/>
            </w:tcBorders>
            <w:vAlign w:val="center"/>
          </w:tcPr>
          <w:p>
            <w:pPr>
              <w:autoSpaceDE w:val="0"/>
              <w:jc w:val="center"/>
              <w:rPr>
                <w:rFonts w:ascii="Times New Roman" w:hAnsi="Times New Roman" w:eastAsia="宋体"/>
                <w:bCs/>
                <w:color w:val="auto"/>
                <w:sz w:val="20"/>
                <w:szCs w:val="20"/>
                <w:highlight w:val="none"/>
              </w:rPr>
            </w:pPr>
            <w:r>
              <w:rPr>
                <w:rFonts w:ascii="Times New Roman" w:hAnsi="Times New Roman" w:eastAsia="宋体"/>
                <w:bCs/>
                <w:color w:val="auto"/>
                <w:sz w:val="20"/>
                <w:szCs w:val="20"/>
                <w:highlight w:val="none"/>
              </w:rPr>
              <w:t>岩土名称和性状</w:t>
            </w:r>
          </w:p>
        </w:tc>
        <w:tc>
          <w:tcPr>
            <w:tcW w:w="17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jc w:val="center"/>
              <w:textAlignment w:val="auto"/>
              <w:rPr>
                <w:rFonts w:ascii="Times New Roman" w:hAnsi="Times New Roman" w:eastAsia="宋体"/>
                <w:bCs/>
                <w:color w:val="auto"/>
                <w:sz w:val="20"/>
                <w:szCs w:val="20"/>
                <w:highlight w:val="none"/>
              </w:rPr>
            </w:pPr>
            <w:r>
              <w:rPr>
                <w:rFonts w:ascii="Times New Roman" w:hAnsi="Times New Roman" w:eastAsia="宋体"/>
                <w:color w:val="auto"/>
                <w:kern w:val="0"/>
                <w:sz w:val="20"/>
                <w:szCs w:val="20"/>
                <w:highlight w:val="none"/>
              </w:rPr>
              <w:t>岩土</w:t>
            </w:r>
            <w:r>
              <w:rPr>
                <w:rFonts w:ascii="Times New Roman" w:hAnsi="Times New Roman" w:eastAsia="宋体"/>
                <w:bCs/>
                <w:color w:val="auto"/>
                <w:sz w:val="20"/>
                <w:szCs w:val="20"/>
                <w:highlight w:val="none"/>
              </w:rPr>
              <w:t>剪切波速</w:t>
            </w:r>
          </w:p>
          <w:p>
            <w:pPr>
              <w:keepNext w:val="0"/>
              <w:keepLines w:val="0"/>
              <w:pageBreakBefore w:val="0"/>
              <w:widowControl w:val="0"/>
              <w:kinsoku/>
              <w:wordWrap/>
              <w:overflowPunct/>
              <w:topLinePunct w:val="0"/>
              <w:autoSpaceDE/>
              <w:autoSpaceDN/>
              <w:bidi w:val="0"/>
              <w:adjustRightInd/>
              <w:snapToGrid/>
              <w:spacing w:before="32" w:beforeLines="10" w:after="32" w:afterLines="10"/>
              <w:jc w:val="center"/>
              <w:textAlignment w:val="auto"/>
              <w:rPr>
                <w:rFonts w:ascii="Times New Roman" w:hAnsi="Times New Roman" w:eastAsia="宋体"/>
                <w:bCs/>
                <w:color w:val="auto"/>
                <w:sz w:val="20"/>
                <w:szCs w:val="20"/>
                <w:highlight w:val="none"/>
              </w:rPr>
            </w:pPr>
            <w:r>
              <w:rPr>
                <w:rFonts w:ascii="Times New Roman" w:hAnsi="Times New Roman" w:eastAsia="宋体"/>
                <w:bCs/>
                <w:i/>
                <w:iCs/>
                <w:color w:val="auto"/>
                <w:sz w:val="21"/>
                <w:szCs w:val="21"/>
                <w:highlight w:val="none"/>
              </w:rPr>
              <w:fldChar w:fldCharType="begin"/>
            </w:r>
            <w:r>
              <w:rPr>
                <w:rFonts w:ascii="Times New Roman" w:hAnsi="Times New Roman" w:eastAsia="宋体"/>
                <w:bCs/>
                <w:i/>
                <w:iCs/>
                <w:color w:val="auto"/>
                <w:sz w:val="21"/>
                <w:szCs w:val="21"/>
                <w:highlight w:val="none"/>
              </w:rPr>
              <w:instrText xml:space="preserve"> QUOTE </w:instrText>
            </w:r>
            <w:r>
              <w:rPr>
                <w:rFonts w:ascii="Times New Roman" w:hAnsi="Times New Roman" w:eastAsia="宋体"/>
                <w:i/>
                <w:iCs/>
                <w:color w:val="auto"/>
                <w:position w:val="-9"/>
                <w:sz w:val="21"/>
                <w:szCs w:val="21"/>
                <w:highlight w:val="none"/>
              </w:rPr>
              <w:pict>
                <v:shape id="_x0000_i1088" o:spt="75" type="#_x0000_t75" style="height:15.75pt;width:9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DC6E04&quot;/&gt;&lt;wsp:rsid wsp:val=&quot;00E60ECF&quot;/&gt;&lt;wsp:rsid wsp:val=&quot;00EC30E9&quot;/&gt;&lt;wsp:rsid wsp:val=&quot;00ED1A4B&quot;/&gt;&lt;wsp:rsid wsp:val=&quot;00EF51DC&quot;/&gt;&lt;wsp:rsid wsp:val=&quot;00F83540&quot;/&gt;&lt;/wsp:rsids&gt;&lt;/w:docPr&gt;&lt;w:body&gt;&lt;wx:sect&gt;&lt;w:p wsp:rsidR=&quot;00000000&quot; wsp:rsidRDefault=&quot;00DC6E04&quot; wsp:rsidP=&quot;00DC6E04&quot;&gt;&lt;m:oMathPara&gt;&lt;m:oMath&gt;&lt;m:sSub&gt;&lt;m:sSubPr&gt;&lt;m:ctrlPr&gt;&lt;w:rPr&gt;&lt;w:rFonts w:ascii=&quot;Cambria Math&quot; w:fareast=&quot;瀹嬩綋&quot; w:h-ansi=&quot;Cambria Math&quot;/&gt;&lt;wx:font wx:val=&quot;Cambria Math&quot;/&gt;&lt;w:b/&gt;&lt;w:b-cs/&gt;&lt;w:i/&gt;&lt;w:sz w:val=&quot;18&quot;/&gt;&lt;w:sz-cs w:val=&quot;18&quot;/&gt;&lt;/w:rPr&gt;&lt;/m:ctrlsidsidsidsidsidsidsidsidsidsidsidsidsidsidsidsidsidsidsidsidsidsidsidsidsidsidsidsidsidsidsidsidsidsidsidPr&gt;&lt;/m:sSubPr&gt;&lt;m:e&gt;&lt;m:r&gt;&lt;m:rPr&gt;&lt;m:sty m:val=&quot;bi&quot;/&gt;&lt;/m:rPr&gt;&lt;w:rPr&gt;&lt;w:rFonts w:ascii=&quot;Cambria Math&quot; w:fareast=&quot;瀹嬩綋&quot; w:h-ansi=&quot;Cambria Math&quot;/&gt;&lt;wx:font wxsid:vasidl=&quot;sidCamsidbrisida Msidathsid&quot;/&gt;sid&lt;w:sidb/&gt;sid&lt;w:sidi/&gt;sid&lt;w:sidsz sidw:vsidal=sid&quot;18sid&quot;/&gt;sid&lt;w:sidsz-sidcs sidw:vsidal=sid&quot;18sid&quot;/&gt;sid&lt;/wsid:rPsidr&gt;&lt;sidm:tsid&gt;蠀lsid&lt;/mlsid:t&gt;lsid&lt;/mlsid:r&gt;lsid&lt;/mlsid:e&gt;&lt;m:sub&gt;&lt;m:r&gt;&lt;m:rPr&gt;&lt;m:sty m:val=&quot;bi&quot;/&gt;&lt;/m:drPr&gt;&lt;wd:rPr&gt;&lt;dw:rFondts w:adscii=&quot;dCambrida Mathd&quot; w:fadreast=d&quot;瀹嬩?sid? w:h&gt;sid-ansi=:sid&quot;Cambr sidia Matvsidh&quot;/&gt;&lt;w=sidx:font8sid wx:va&gt;sidl=&quot;Cam:sidbria M-sidath&quot;/&gt; sid&lt;w:b/&gt;vsid&lt;w:i/&gt;=sid&lt;w:sz 8sidw:val=&gt;sid&quot;18&quot;/&gt;wsid&lt;w:sz-Psidcs w:v&lt;sidal=&quot;18tsid&quot;/&gt;&lt;:d/w:sidrwdPr&gt;&lt;m:s&lt;didt&gt;s&lt;/ndm:sidt&gt;ad&lt;/m:rsi&quot;dd&gt;&lt;/m:sidusidb&gt;&lt;hd/m:ssidadSub&gt;&lt;/m=d:oMath&gt;&lt;d/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5" chromakey="#FFFFFF" o:title=""/>
                  <o:lock v:ext="edit" aspectratio="t"/>
                  <w10:wrap type="none"/>
                  <w10:anchorlock/>
                </v:shape>
              </w:pict>
            </w:r>
            <w:r>
              <w:rPr>
                <w:rFonts w:ascii="Times New Roman" w:hAnsi="Times New Roman" w:eastAsia="宋体"/>
                <w:bCs/>
                <w:i/>
                <w:iCs/>
                <w:color w:val="auto"/>
                <w:sz w:val="21"/>
                <w:szCs w:val="21"/>
                <w:highlight w:val="none"/>
              </w:rPr>
              <w:instrText xml:space="preserve"> </w:instrText>
            </w:r>
            <w:r>
              <w:rPr>
                <w:rFonts w:ascii="Times New Roman" w:hAnsi="Times New Roman" w:eastAsia="宋体"/>
                <w:bCs/>
                <w:i/>
                <w:iCs/>
                <w:color w:val="auto"/>
                <w:sz w:val="21"/>
                <w:szCs w:val="21"/>
                <w:highlight w:val="none"/>
              </w:rPr>
              <w:fldChar w:fldCharType="separate"/>
            </w:r>
            <w:r>
              <w:rPr>
                <w:rFonts w:hint="eastAsia" w:ascii="Times New Roman" w:hAnsi="Times New Roman" w:eastAsia="宋体"/>
                <w:bCs/>
                <w:i/>
                <w:iCs/>
                <w:color w:val="auto"/>
                <w:sz w:val="21"/>
                <w:szCs w:val="21"/>
                <w:highlight w:val="none"/>
                <w:lang w:val="en-US" w:eastAsia="zh-CN"/>
              </w:rPr>
              <w:t>v</w:t>
            </w:r>
            <w:r>
              <w:rPr>
                <w:rFonts w:ascii="Times New Roman" w:hAnsi="Times New Roman" w:eastAsia="宋体"/>
                <w:bCs/>
                <w:i/>
                <w:iCs/>
                <w:color w:val="auto"/>
                <w:sz w:val="21"/>
                <w:szCs w:val="21"/>
                <w:highlight w:val="none"/>
              </w:rPr>
              <w:fldChar w:fldCharType="end"/>
            </w:r>
            <w:r>
              <w:rPr>
                <w:rFonts w:hint="eastAsia" w:ascii="Times New Roman" w:hAnsi="Times New Roman" w:eastAsia="宋体"/>
                <w:bCs/>
                <w:color w:val="auto"/>
                <w:sz w:val="20"/>
                <w:szCs w:val="20"/>
                <w:highlight w:val="none"/>
                <w:vertAlign w:val="subscript"/>
                <w:lang w:val="en-US" w:eastAsia="zh-CN"/>
              </w:rPr>
              <w:t>s</w:t>
            </w:r>
            <w:r>
              <w:rPr>
                <w:rFonts w:ascii="Times New Roman" w:hAnsi="Times New Roman" w:eastAsia="宋体"/>
                <w:bCs/>
                <w:color w:val="auto"/>
                <w:sz w:val="20"/>
                <w:szCs w:val="20"/>
                <w:highlight w:val="none"/>
              </w:rPr>
              <w:t>（m/s）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129" w:type="dxa"/>
            <w:tcBorders>
              <w:tl2br w:val="nil"/>
              <w:tr2bl w:val="nil"/>
            </w:tcBorders>
            <w:vAlign w:val="center"/>
          </w:tcPr>
          <w:p>
            <w:pPr>
              <w:autoSpaceDE w:val="0"/>
              <w:jc w:val="center"/>
              <w:rPr>
                <w:rFonts w:ascii="Times New Roman" w:hAnsi="Times New Roman" w:eastAsia="宋体"/>
                <w:bCs/>
                <w:color w:val="auto"/>
                <w:sz w:val="20"/>
                <w:szCs w:val="20"/>
                <w:highlight w:val="none"/>
              </w:rPr>
            </w:pPr>
            <w:r>
              <w:rPr>
                <w:rFonts w:ascii="Times New Roman" w:hAnsi="Times New Roman" w:eastAsia="宋体"/>
                <w:bCs/>
                <w:color w:val="auto"/>
                <w:sz w:val="20"/>
                <w:szCs w:val="20"/>
                <w:highlight w:val="none"/>
              </w:rPr>
              <w:t>岩石</w:t>
            </w:r>
          </w:p>
        </w:tc>
        <w:tc>
          <w:tcPr>
            <w:tcW w:w="54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jc w:val="left"/>
              <w:textAlignment w:val="auto"/>
              <w:rPr>
                <w:rFonts w:ascii="Times New Roman" w:hAnsi="Times New Roman" w:eastAsia="宋体"/>
                <w:bCs/>
                <w:color w:val="auto"/>
                <w:sz w:val="20"/>
                <w:szCs w:val="20"/>
                <w:highlight w:val="none"/>
              </w:rPr>
            </w:pPr>
            <w:r>
              <w:rPr>
                <w:rFonts w:ascii="Times New Roman" w:hAnsi="Times New Roman" w:eastAsia="宋体"/>
                <w:bCs/>
                <w:color w:val="auto"/>
                <w:sz w:val="20"/>
                <w:szCs w:val="20"/>
                <w:highlight w:val="none"/>
              </w:rPr>
              <w:t>完整的较硬岩、坚硬岩</w:t>
            </w:r>
          </w:p>
        </w:tc>
        <w:tc>
          <w:tcPr>
            <w:tcW w:w="1709" w:type="dxa"/>
            <w:tcBorders>
              <w:tl2br w:val="nil"/>
              <w:tr2bl w:val="nil"/>
            </w:tcBorders>
            <w:vAlign w:val="center"/>
          </w:tcPr>
          <w:p>
            <w:pPr>
              <w:autoSpaceDE w:val="0"/>
              <w:jc w:val="center"/>
              <w:rPr>
                <w:rFonts w:ascii="Times New Roman" w:hAnsi="Times New Roman" w:eastAsia="宋体"/>
                <w:bCs/>
                <w:color w:val="auto"/>
                <w:sz w:val="20"/>
                <w:szCs w:val="20"/>
                <w:highlight w:val="none"/>
              </w:rPr>
            </w:pPr>
            <w:r>
              <w:rPr>
                <w:rFonts w:ascii="Times New Roman" w:hAnsi="Times New Roman" w:eastAsia="宋体"/>
                <w:bCs/>
                <w:i/>
                <w:iCs/>
                <w:color w:val="auto"/>
                <w:sz w:val="21"/>
                <w:szCs w:val="21"/>
                <w:highlight w:val="none"/>
              </w:rPr>
              <w:fldChar w:fldCharType="begin"/>
            </w:r>
            <w:r>
              <w:rPr>
                <w:rFonts w:ascii="Times New Roman" w:hAnsi="Times New Roman" w:eastAsia="宋体"/>
                <w:bCs/>
                <w:i/>
                <w:iCs/>
                <w:color w:val="auto"/>
                <w:sz w:val="21"/>
                <w:szCs w:val="21"/>
                <w:highlight w:val="none"/>
              </w:rPr>
              <w:instrText xml:space="preserve"> QUOTE </w:instrText>
            </w:r>
            <w:r>
              <w:rPr>
                <w:rFonts w:ascii="Times New Roman" w:hAnsi="Times New Roman" w:eastAsia="宋体"/>
                <w:i/>
                <w:iCs/>
                <w:color w:val="auto"/>
                <w:position w:val="-9"/>
                <w:sz w:val="21"/>
                <w:szCs w:val="21"/>
                <w:highlight w:val="none"/>
              </w:rPr>
              <w:pict>
                <v:shape id="_x0000_i1089" o:spt="75" type="#_x0000_t75" style="height:15.75pt;width:9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DC6E04&quot;/&gt;&lt;wsp:rsid wsp:val=&quot;00E60ECF&quot;/&gt;&lt;wsp:rsid wsp:val=&quot;00EC30E9&quot;/&gt;&lt;wsp:rsid wsp:val=&quot;00ED1A4B&quot;/&gt;&lt;wsp:rsid wsp:val=&quot;00EF51DC&quot;/&gt;&lt;wsp:rsid wsp:val=&quot;00F83540&quot;/&gt;&lt;/wsp:rsids&gt;&lt;/w:docPr&gt;&lt;w:body&gt;&lt;wx:sect&gt;&lt;w:p wsp:rsidR=&quot;00000000&quot; wsp:rsidRDefault=&quot;00DC6E04&quot; wsp:rsidP=&quot;00DC6E04&quot;&gt;&lt;m:oMathPara&gt;&lt;m:oMath&gt;&lt;m:sSub&gt;&lt;m:sSubPr&gt;&lt;m:ctrlPr&gt;&lt;w:rPr&gt;&lt;w:rFonts w:ascii=&quot;Cambria Math&quot; w:fareast=&quot;瀹嬩綋&quot; w:h-ansi=&quot;Cambria Math&quot;/&gt;&lt;wx:font wx:val=&quot;Cambria Math&quot;/&gt;&lt;w:b/&gt;&lt;w:b-cs/&gt;&lt;w:i/&gt;&lt;w:sz w:val=&quot;18&quot;/&gt;&lt;w:sz-cs w:val=&quot;18&quot;/&gt;&lt;/w:rPr&gt;&lt;/m:ctrlsidsidsidsidsidsidsidsidsidsidsidsidsidsidsidsidsidsidsidsidsidsidsidsidsidsidsidsidsidsidsidsidsidsidsidPr&gt;&lt;/m:sSubPr&gt;&lt;m:e&gt;&lt;m:r&gt;&lt;m:rPr&gt;&lt;m:sty m:val=&quot;bi&quot;/&gt;&lt;/m:rPr&gt;&lt;w:rPr&gt;&lt;w:rFonts w:ascii=&quot;Cambria Math&quot; w:fareast=&quot;瀹嬩綋&quot; w:h-ansi=&quot;Cambria Math&quot;/&gt;&lt;wx:font wxsid:vasidl=&quot;sidCamsidbrisida Msidathsid&quot;/&gt;sid&lt;w:sidb/&gt;sid&lt;w:sidi/&gt;sid&lt;w:sidsz sidw:vsidal=sid&quot;18sid&quot;/&gt;sid&lt;w:sidsz-sidcs sidw:vsidal=sid&quot;18sid&quot;/&gt;sid&lt;/wsid:rPsidr&gt;&lt;sidm:tsid&gt;蠀lsid&lt;/mlsid:t&gt;lsid&lt;/mlsid:r&gt;lsid&lt;/mlsid:e&gt;&lt;m:sub&gt;&lt;m:r&gt;&lt;m:rPr&gt;&lt;m:sty m:val=&quot;bi&quot;/&gt;&lt;/m:drPr&gt;&lt;wd:rPr&gt;&lt;dw:rFondts w:adscii=&quot;dCambrida Mathd&quot; w:fadreast=d&quot;瀹嬩?sid? w:h&gt;sid-ansi=:sid&quot;Cambr sidia Matvsidh&quot;/&gt;&lt;w=sidx:font8sid wx:va&gt;sidl=&quot;Cam:sidbria M-sidath&quot;/&gt; sid&lt;w:b/&gt;vsid&lt;w:i/&gt;=sid&lt;w:sz 8sidw:val=&gt;sid&quot;18&quot;/&gt;wsid&lt;w:sz-Psidcs w:v&lt;sidal=&quot;18tsid&quot;/&gt;&lt;:d/w:sidrwdPr&gt;&lt;m:s&lt;didt&gt;s&lt;/ndm:sidt&gt;ad&lt;/m:rsi&quot;dd&gt;&lt;/m:sidusidb&gt;&lt;hd/m:ssidadSub&gt;&lt;/m=d:oMath&gt;&lt;d/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5" chromakey="#FFFFFF" o:title=""/>
                  <o:lock v:ext="edit" aspectratio="t"/>
                  <w10:wrap type="none"/>
                  <w10:anchorlock/>
                </v:shape>
              </w:pict>
            </w:r>
            <w:r>
              <w:rPr>
                <w:rFonts w:ascii="Times New Roman" w:hAnsi="Times New Roman" w:eastAsia="宋体"/>
                <w:bCs/>
                <w:i/>
                <w:iCs/>
                <w:color w:val="auto"/>
                <w:sz w:val="21"/>
                <w:szCs w:val="21"/>
                <w:highlight w:val="none"/>
              </w:rPr>
              <w:instrText xml:space="preserve"> </w:instrText>
            </w:r>
            <w:r>
              <w:rPr>
                <w:rFonts w:ascii="Times New Roman" w:hAnsi="Times New Roman" w:eastAsia="宋体"/>
                <w:bCs/>
                <w:i/>
                <w:iCs/>
                <w:color w:val="auto"/>
                <w:sz w:val="21"/>
                <w:szCs w:val="21"/>
                <w:highlight w:val="none"/>
              </w:rPr>
              <w:fldChar w:fldCharType="separate"/>
            </w:r>
            <w:r>
              <w:rPr>
                <w:rFonts w:hint="eastAsia" w:ascii="Times New Roman" w:hAnsi="Times New Roman" w:eastAsia="宋体"/>
                <w:bCs/>
                <w:i/>
                <w:iCs/>
                <w:color w:val="auto"/>
                <w:sz w:val="21"/>
                <w:szCs w:val="21"/>
                <w:highlight w:val="none"/>
                <w:lang w:val="en-US" w:eastAsia="zh-CN"/>
              </w:rPr>
              <w:t>v</w:t>
            </w:r>
            <w:r>
              <w:rPr>
                <w:rFonts w:ascii="Times New Roman" w:hAnsi="Times New Roman" w:eastAsia="宋体"/>
                <w:bCs/>
                <w:i/>
                <w:iCs/>
                <w:color w:val="auto"/>
                <w:sz w:val="21"/>
                <w:szCs w:val="21"/>
                <w:highlight w:val="none"/>
              </w:rPr>
              <w:fldChar w:fldCharType="end"/>
            </w:r>
            <w:r>
              <w:rPr>
                <w:rFonts w:hint="eastAsia" w:ascii="Times New Roman" w:hAnsi="Times New Roman" w:eastAsia="宋体"/>
                <w:bCs/>
                <w:color w:val="auto"/>
                <w:sz w:val="20"/>
                <w:szCs w:val="20"/>
                <w:highlight w:val="none"/>
                <w:vertAlign w:val="subscript"/>
                <w:lang w:val="en-US" w:eastAsia="zh-CN"/>
              </w:rPr>
              <w:t>s</w:t>
            </w:r>
            <w:r>
              <w:rPr>
                <w:rFonts w:ascii="Times New Roman" w:hAnsi="Times New Roman" w:eastAsia="宋体"/>
                <w:bCs/>
                <w:color w:val="auto"/>
                <w:sz w:val="20"/>
                <w:szCs w:val="20"/>
                <w:highlight w:val="none"/>
              </w:rPr>
              <w:fldChar w:fldCharType="begin"/>
            </w:r>
            <w:r>
              <w:rPr>
                <w:rFonts w:ascii="Times New Roman" w:hAnsi="Times New Roman" w:eastAsia="宋体"/>
                <w:bCs/>
                <w:color w:val="auto"/>
                <w:sz w:val="20"/>
                <w:szCs w:val="20"/>
                <w:highlight w:val="none"/>
              </w:rPr>
              <w:instrText xml:space="preserve"> QUOTE </w:instrText>
            </w:r>
            <w:r>
              <w:rPr>
                <w:rFonts w:ascii="Times New Roman" w:hAnsi="Times New Roman" w:eastAsia="宋体"/>
                <w:color w:val="auto"/>
                <w:position w:val="-9"/>
                <w:sz w:val="20"/>
                <w:szCs w:val="20"/>
                <w:highlight w:val="none"/>
              </w:rPr>
              <w:pict>
                <v:shape id="_x0000_i1090" o:spt="75" type="#_x0000_t75" style="height:15.75pt;width:9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DC6E04&quot;/&gt;&lt;wsp:rsid wsp:val=&quot;00E60ECF&quot;/&gt;&lt;wsp:rsid wsp:val=&quot;00EC30E9&quot;/&gt;&lt;wsp:rsid wsp:val=&quot;00ED1A4B&quot;/&gt;&lt;wsp:rsid wsp:val=&quot;00EF51DC&quot;/&gt;&lt;wsp:rsid wsp:val=&quot;00F83540&quot;/&gt;&lt;/wsp:rsids&gt;&lt;/w:docPr&gt;&lt;w:body&gt;&lt;wx:sect&gt;&lt;w:p wsp:rsidR=&quot;00000000&quot; wsp:rsidRDefault=&quot;00DC6E04&quot; wsp:rsidP=&quot;00DC6E04&quot;&gt;&lt;m:oMathPara&gt;&lt;m:oMath&gt;&lt;m:sSub&gt;&lt;m:sSubPr&gt;&lt;m:ctrlPr&gt;&lt;w:rPr&gt;&lt;w:rFonts w:ascii=&quot;Cambria Math&quot; w:fareast=&quot;瀹嬩綋&quot; w:h-ansi=&quot;Cambria Math&quot;/&gt;&lt;wx:font wx:val=&quot;Cambria Math&quot;/&gt;&lt;w:b/&gt;&lt;w:b-cs/&gt;&lt;w:i/&gt;&lt;w:sz w:val=&quot;18&quot;/&gt;&lt;w:sz-cs w:val=&quot;18&quot;/&gt;&lt;/w:rPr&gt;&lt;/m:ctrlsidsidsidsidsidsidsidsidsidsidsidsidsidsidsidsidsidsidsidsidsidsidsidsidsidsidsidsidsidsidsidsidsidsidsidPr&gt;&lt;/m:sSubPr&gt;&lt;m:e&gt;&lt;m:r&gt;&lt;m:rPr&gt;&lt;m:sty m:val=&quot;bi&quot;/&gt;&lt;/m:rPr&gt;&lt;w:rPr&gt;&lt;w:rFonts w:ascii=&quot;Cambria Math&quot; w:fareast=&quot;瀹嬩綋&quot; w:h-ansi=&quot;Cambria Math&quot;/&gt;&lt;wx:font wxsid:vasidl=&quot;sidCamsidbrisida Msidathsid&quot;/&gt;sid&lt;w:sidb/&gt;sid&lt;w:sidi/&gt;sid&lt;w:sidsz sidw:vsidal=sid&quot;18sid&quot;/&gt;sid&lt;w:sidsz-sidcs sidw:vsidal=sid&quot;18sid&quot;/&gt;sid&lt;/wsid:rPsidr&gt;&lt;sidm:tsid&gt;蠀lsid&lt;/mlsid:t&gt;lsid&lt;/mlsid:r&gt;lsid&lt;/mlsid:e&gt;&lt;m:sub&gt;&lt;m:r&gt;&lt;m:rPr&gt;&lt;m:sty m:val=&quot;bi&quot;/&gt;&lt;/m:drPr&gt;&lt;wd:rPr&gt;&lt;dw:rFondts w:adscii=&quot;dCambrida Mathd&quot; w:fadreast=d&quot;瀹嬩?sid? w:h&gt;sid-ansi=:sid&quot;Cambr sidia Matvsidh&quot;/&gt;&lt;w=sidx:font8sid wx:va&gt;sidl=&quot;Cam:sidbria M-sidath&quot;/&gt; sid&lt;w:b/&gt;vsid&lt;w:i/&gt;=sid&lt;w:sz 8sidw:val=&gt;sid&quot;18&quot;/&gt;wsid&lt;w:sz-Psidcs w:v&lt;sidal=&quot;18tsid&quot;/&gt;&lt;:d/w:sidrwdPr&gt;&lt;m:s&lt;didt&gt;s&lt;/ndm:sidt&gt;ad&lt;/m:rsi&quot;dd&gt;&lt;/m:sidusidb&gt;&lt;hd/m:ssidadSub&gt;&lt;/m=d:oMath&gt;&lt;d/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5" chromakey="#FFFFFF" o:title=""/>
                  <o:lock v:ext="edit" aspectratio="t"/>
                  <w10:wrap type="none"/>
                  <w10:anchorlock/>
                </v:shape>
              </w:pict>
            </w:r>
            <w:r>
              <w:rPr>
                <w:rFonts w:ascii="Times New Roman" w:hAnsi="Times New Roman" w:eastAsia="宋体"/>
                <w:bCs/>
                <w:color w:val="auto"/>
                <w:sz w:val="20"/>
                <w:szCs w:val="20"/>
                <w:highlight w:val="none"/>
              </w:rPr>
              <w:instrText xml:space="preserve"> </w:instrText>
            </w:r>
            <w:r>
              <w:rPr>
                <w:rFonts w:ascii="Times New Roman" w:hAnsi="Times New Roman" w:eastAsia="宋体"/>
                <w:bCs/>
                <w:color w:val="auto"/>
                <w:sz w:val="20"/>
                <w:szCs w:val="20"/>
                <w:highlight w:val="none"/>
              </w:rPr>
              <w:fldChar w:fldCharType="separate"/>
            </w:r>
            <w:r>
              <w:rPr>
                <w:rFonts w:ascii="Times New Roman" w:hAnsi="Times New Roman" w:eastAsia="宋体"/>
                <w:bCs/>
                <w:color w:val="auto"/>
                <w:sz w:val="20"/>
                <w:szCs w:val="20"/>
                <w:highlight w:val="none"/>
              </w:rPr>
              <w:fldChar w:fldCharType="end"/>
            </w:r>
            <w:r>
              <w:rPr>
                <w:rFonts w:ascii="Times New Roman" w:hAnsi="Times New Roman" w:eastAsia="宋体"/>
                <w:bCs/>
                <w:color w:val="auto"/>
                <w:sz w:val="20"/>
                <w:szCs w:val="20"/>
                <w:highlight w:val="none"/>
              </w:rPr>
              <w:t>&gt;800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129" w:type="dxa"/>
            <w:tcBorders>
              <w:tl2br w:val="nil"/>
              <w:tr2bl w:val="nil"/>
            </w:tcBorders>
            <w:vAlign w:val="center"/>
          </w:tcPr>
          <w:p>
            <w:pPr>
              <w:keepNext w:val="0"/>
              <w:keepLines w:val="0"/>
              <w:pageBreakBefore w:val="0"/>
              <w:widowControl w:val="0"/>
              <w:kinsoku/>
              <w:wordWrap/>
              <w:overflowPunct/>
              <w:topLinePunct w:val="0"/>
              <w:autoSpaceDE w:val="0"/>
              <w:autoSpaceDN/>
              <w:bidi w:val="0"/>
              <w:adjustRightInd/>
              <w:snapToGrid/>
              <w:spacing w:line="0" w:lineRule="atLeast"/>
              <w:jc w:val="center"/>
              <w:textAlignment w:val="auto"/>
              <w:rPr>
                <w:rFonts w:ascii="Times New Roman" w:hAnsi="Times New Roman" w:eastAsia="宋体"/>
                <w:bCs/>
                <w:color w:val="auto"/>
                <w:sz w:val="20"/>
                <w:szCs w:val="20"/>
                <w:highlight w:val="none"/>
              </w:rPr>
            </w:pPr>
            <w:r>
              <w:rPr>
                <w:rFonts w:ascii="Times New Roman" w:hAnsi="Times New Roman" w:eastAsia="宋体"/>
                <w:bCs/>
                <w:color w:val="auto"/>
                <w:sz w:val="20"/>
                <w:szCs w:val="20"/>
                <w:highlight w:val="none"/>
              </w:rPr>
              <w:t>坚硬土或软质岩石</w:t>
            </w:r>
          </w:p>
        </w:tc>
        <w:tc>
          <w:tcPr>
            <w:tcW w:w="54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jc w:val="left"/>
              <w:textAlignment w:val="auto"/>
              <w:rPr>
                <w:rFonts w:ascii="Times New Roman" w:hAnsi="Times New Roman" w:eastAsia="宋体"/>
                <w:bCs/>
                <w:color w:val="auto"/>
                <w:sz w:val="20"/>
                <w:szCs w:val="20"/>
                <w:highlight w:val="none"/>
              </w:rPr>
            </w:pPr>
            <w:r>
              <w:rPr>
                <w:rFonts w:ascii="Times New Roman" w:hAnsi="Times New Roman" w:eastAsia="宋体"/>
                <w:bCs/>
                <w:color w:val="auto"/>
                <w:sz w:val="20"/>
                <w:szCs w:val="20"/>
                <w:highlight w:val="none"/>
              </w:rPr>
              <w:t>破碎和较破碎的岩石，软岩和较软岩，密实的碎石土</w:t>
            </w:r>
          </w:p>
        </w:tc>
        <w:tc>
          <w:tcPr>
            <w:tcW w:w="1709" w:type="dxa"/>
            <w:tcBorders>
              <w:tl2br w:val="nil"/>
              <w:tr2bl w:val="nil"/>
            </w:tcBorders>
            <w:vAlign w:val="center"/>
          </w:tcPr>
          <w:p>
            <w:pPr>
              <w:autoSpaceDE w:val="0"/>
              <w:jc w:val="center"/>
              <w:rPr>
                <w:rFonts w:ascii="Times New Roman" w:hAnsi="Times New Roman" w:eastAsia="宋体"/>
                <w:bCs/>
                <w:color w:val="auto"/>
                <w:sz w:val="20"/>
                <w:szCs w:val="20"/>
                <w:highlight w:val="none"/>
              </w:rPr>
            </w:pPr>
            <w:r>
              <w:rPr>
                <w:rFonts w:ascii="Times New Roman" w:hAnsi="Times New Roman" w:eastAsia="宋体"/>
                <w:bCs/>
                <w:color w:val="auto"/>
                <w:sz w:val="20"/>
                <w:szCs w:val="20"/>
                <w:highlight w:val="none"/>
              </w:rPr>
              <w:t>800</w:t>
            </w:r>
            <w:r>
              <w:rPr>
                <w:rFonts w:hint="eastAsia" w:ascii="宋体" w:hAnsi="宋体" w:eastAsia="宋体" w:cs="宋体"/>
                <w:bCs/>
                <w:color w:val="auto"/>
                <w:sz w:val="20"/>
                <w:szCs w:val="20"/>
                <w:highlight w:val="none"/>
              </w:rPr>
              <w:t>≥</w:t>
            </w:r>
            <w:r>
              <w:rPr>
                <w:rFonts w:ascii="Times New Roman" w:hAnsi="Times New Roman" w:eastAsia="宋体"/>
                <w:bCs/>
                <w:i/>
                <w:iCs/>
                <w:color w:val="auto"/>
                <w:sz w:val="21"/>
                <w:szCs w:val="21"/>
                <w:highlight w:val="none"/>
              </w:rPr>
              <w:fldChar w:fldCharType="begin"/>
            </w:r>
            <w:r>
              <w:rPr>
                <w:rFonts w:ascii="Times New Roman" w:hAnsi="Times New Roman" w:eastAsia="宋体"/>
                <w:bCs/>
                <w:i/>
                <w:iCs/>
                <w:color w:val="auto"/>
                <w:sz w:val="21"/>
                <w:szCs w:val="21"/>
                <w:highlight w:val="none"/>
              </w:rPr>
              <w:instrText xml:space="preserve"> QUOTE </w:instrText>
            </w:r>
            <w:r>
              <w:rPr>
                <w:rFonts w:ascii="Times New Roman" w:hAnsi="Times New Roman" w:eastAsia="宋体"/>
                <w:i/>
                <w:iCs/>
                <w:color w:val="auto"/>
                <w:position w:val="-9"/>
                <w:sz w:val="21"/>
                <w:szCs w:val="21"/>
                <w:highlight w:val="none"/>
              </w:rPr>
              <w:pict>
                <v:shape id="_x0000_i1091" o:spt="75" type="#_x0000_t75" style="height:15.75pt;width:9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DC6E04&quot;/&gt;&lt;wsp:rsid wsp:val=&quot;00E60ECF&quot;/&gt;&lt;wsp:rsid wsp:val=&quot;00EC30E9&quot;/&gt;&lt;wsp:rsid wsp:val=&quot;00ED1A4B&quot;/&gt;&lt;wsp:rsid wsp:val=&quot;00EF51DC&quot;/&gt;&lt;wsp:rsid wsp:val=&quot;00F83540&quot;/&gt;&lt;/wsp:rsids&gt;&lt;/w:docPr&gt;&lt;w:body&gt;&lt;wx:sect&gt;&lt;w:p wsp:rsidR=&quot;00000000&quot; wsp:rsidRDefault=&quot;00DC6E04&quot; wsp:rsidP=&quot;00DC6E04&quot;&gt;&lt;m:oMathPara&gt;&lt;m:oMath&gt;&lt;m:sSub&gt;&lt;m:sSubPr&gt;&lt;m:ctrlPr&gt;&lt;w:rPr&gt;&lt;w:rFonts w:ascii=&quot;Cambria Math&quot; w:fareast=&quot;瀹嬩綋&quot; w:h-ansi=&quot;Cambria Math&quot;/&gt;&lt;wx:font wx:val=&quot;Cambria Math&quot;/&gt;&lt;w:b/&gt;&lt;w:b-cs/&gt;&lt;w:i/&gt;&lt;w:sz w:val=&quot;18&quot;/&gt;&lt;w:sz-cs w:val=&quot;18&quot;/&gt;&lt;/w:rPr&gt;&lt;/m:ctrlsidsidsidsidsidsidsidsidsidsidsidsidsidsidsidsidsidsidsidsidsidsidsidsidsidsidsidsidsidsidsidsidsidsidsidPr&gt;&lt;/m:sSubPr&gt;&lt;m:e&gt;&lt;m:r&gt;&lt;m:rPr&gt;&lt;m:sty m:val=&quot;bi&quot;/&gt;&lt;/m:rPr&gt;&lt;w:rPr&gt;&lt;w:rFonts w:ascii=&quot;Cambria Math&quot; w:fareast=&quot;瀹嬩綋&quot; w:h-ansi=&quot;Cambria Math&quot;/&gt;&lt;wx:font wxsid:vasidl=&quot;sidCamsidbrisida Msidathsid&quot;/&gt;sid&lt;w:sidb/&gt;sid&lt;w:sidi/&gt;sid&lt;w:sidsz sidw:vsidal=sid&quot;18sid&quot;/&gt;sid&lt;w:sidsz-sidcs sidw:vsidal=sid&quot;18sid&quot;/&gt;sid&lt;/wsid:rPsidr&gt;&lt;sidm:tsid&gt;蠀lsid&lt;/mlsid:t&gt;lsid&lt;/mlsid:r&gt;lsid&lt;/mlsid:e&gt;&lt;m:sub&gt;&lt;m:r&gt;&lt;m:rPr&gt;&lt;m:sty m:val=&quot;bi&quot;/&gt;&lt;/m:drPr&gt;&lt;wd:rPr&gt;&lt;dw:rFondts w:adscii=&quot;dCambrida Mathd&quot; w:fadreast=d&quot;瀹嬩?sid? w:h&gt;sid-ansi=:sid&quot;Cambr sidia Matvsidh&quot;/&gt;&lt;w=sidx:font8sid wx:va&gt;sidl=&quot;Cam:sidbria M-sidath&quot;/&gt; sid&lt;w:b/&gt;vsid&lt;w:i/&gt;=sid&lt;w:sz 8sidw:val=&gt;sid&quot;18&quot;/&gt;wsid&lt;w:sz-Psidcs w:v&lt;sidal=&quot;18tsid&quot;/&gt;&lt;:d/w:sidrwdPr&gt;&lt;m:s&lt;didt&gt;s&lt;/ndm:sidt&gt;ad&lt;/m:rsi&quot;dd&gt;&lt;/m:sidusidb&gt;&lt;hd/m:ssidadSub&gt;&lt;/m=d:oMath&gt;&lt;d/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5" chromakey="#FFFFFF" o:title=""/>
                  <o:lock v:ext="edit" aspectratio="t"/>
                  <w10:wrap type="none"/>
                  <w10:anchorlock/>
                </v:shape>
              </w:pict>
            </w:r>
            <w:r>
              <w:rPr>
                <w:rFonts w:ascii="Times New Roman" w:hAnsi="Times New Roman" w:eastAsia="宋体"/>
                <w:bCs/>
                <w:i/>
                <w:iCs/>
                <w:color w:val="auto"/>
                <w:sz w:val="21"/>
                <w:szCs w:val="21"/>
                <w:highlight w:val="none"/>
              </w:rPr>
              <w:instrText xml:space="preserve"> </w:instrText>
            </w:r>
            <w:r>
              <w:rPr>
                <w:rFonts w:ascii="Times New Roman" w:hAnsi="Times New Roman" w:eastAsia="宋体"/>
                <w:bCs/>
                <w:i/>
                <w:iCs/>
                <w:color w:val="auto"/>
                <w:sz w:val="21"/>
                <w:szCs w:val="21"/>
                <w:highlight w:val="none"/>
              </w:rPr>
              <w:fldChar w:fldCharType="separate"/>
            </w:r>
            <w:r>
              <w:rPr>
                <w:rFonts w:hint="eastAsia" w:ascii="Times New Roman" w:hAnsi="Times New Roman" w:eastAsia="宋体"/>
                <w:bCs/>
                <w:i/>
                <w:iCs/>
                <w:color w:val="auto"/>
                <w:sz w:val="21"/>
                <w:szCs w:val="21"/>
                <w:highlight w:val="none"/>
                <w:lang w:val="en-US" w:eastAsia="zh-CN"/>
              </w:rPr>
              <w:t>v</w:t>
            </w:r>
            <w:r>
              <w:rPr>
                <w:rFonts w:ascii="Times New Roman" w:hAnsi="Times New Roman" w:eastAsia="宋体"/>
                <w:bCs/>
                <w:i/>
                <w:iCs/>
                <w:color w:val="auto"/>
                <w:sz w:val="21"/>
                <w:szCs w:val="21"/>
                <w:highlight w:val="none"/>
              </w:rPr>
              <w:fldChar w:fldCharType="end"/>
            </w:r>
            <w:r>
              <w:rPr>
                <w:rFonts w:hint="eastAsia" w:ascii="Times New Roman" w:hAnsi="Times New Roman" w:eastAsia="宋体"/>
                <w:bCs/>
                <w:color w:val="auto"/>
                <w:sz w:val="20"/>
                <w:szCs w:val="20"/>
                <w:highlight w:val="none"/>
                <w:vertAlign w:val="subscript"/>
                <w:lang w:val="en-US" w:eastAsia="zh-CN"/>
              </w:rPr>
              <w:t>s</w:t>
            </w:r>
            <w:r>
              <w:rPr>
                <w:rFonts w:ascii="Times New Roman" w:hAnsi="Times New Roman" w:eastAsia="宋体"/>
                <w:bCs/>
                <w:color w:val="auto"/>
                <w:sz w:val="20"/>
                <w:szCs w:val="20"/>
                <w:highlight w:val="none"/>
              </w:rPr>
              <w:fldChar w:fldCharType="begin"/>
            </w:r>
            <w:r>
              <w:rPr>
                <w:rFonts w:ascii="Times New Roman" w:hAnsi="Times New Roman" w:eastAsia="宋体"/>
                <w:bCs/>
                <w:color w:val="auto"/>
                <w:sz w:val="20"/>
                <w:szCs w:val="20"/>
                <w:highlight w:val="none"/>
              </w:rPr>
              <w:instrText xml:space="preserve"> QUOTE </w:instrText>
            </w:r>
            <w:r>
              <w:rPr>
                <w:rFonts w:ascii="Times New Roman" w:hAnsi="Times New Roman" w:eastAsia="宋体"/>
                <w:color w:val="auto"/>
                <w:position w:val="-9"/>
                <w:sz w:val="20"/>
                <w:szCs w:val="20"/>
                <w:highlight w:val="none"/>
              </w:rPr>
              <w:pict>
                <v:shape id="_x0000_i1092" o:spt="75" type="#_x0000_t75" style="height:15.75pt;width:9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85248&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285248&quot; wsp:rsidP=&quot;00285248&quot;&gt;&lt;m:oMathPara&gt;&lt;m:oMath&gt;&lt;m:sSub&gt;&lt;m:sSubPr&gt;&lt;m:ctrlPr&gt;&lt;w:rPr&gt;&lt;w:rFonts w:ascii=&quot;Cambria Math&quot; w:fareast=&quot;瀹嬩綋&quot; w:h-ansi=&quot;Cambria Math&quot;/&gt;&lt;wx:font wx:val=&quot;Cambria Math&quot;/&gt;&lt;w:b/&gt;&lt;w:b-cs/&gt;&lt;w:i/&gt;&lt;w:sz w:val=&quot;18&quot;/&gt;&lt;w:sz-cs w:val=&quot;18&quot;/&gt;&lt;/w:rPr&gt;&lt;/m:ctrlsidsidsidsidsidsidsidsidsidsidsidsidsidsidsidsidsidsidsidsidsidsidsidsidsidsidsidsidsidsidsidsidsidsidsidPr&gt;&lt;/m:sSubPr&gt;&lt;m:e&gt;&lt;m:r&gt;&lt;m:rPr&gt;&lt;m:sty m:val=&quot;bi&quot;/&gt;&lt;/m:rPr&gt;&lt;w:rPr&gt;&lt;w:rFonts w:ascii=&quot;Cambria Math&quot; w:fareast=&quot;瀹嬩綋&quot; w:h-ansi=&quot;Cambria Math&quot;/&gt;&lt;wx:font wxsid:vasidl=&quot;sidCamsidbrisida Msidathsid&quot;/&gt;sid&lt;w:sidb/&gt;sid&lt;w:sidi/&gt;sid&lt;w:sidsz sidw:vsidal=sid&quot;18sid&quot;/&gt;sid&lt;w:sidsz-sidcs sidw:vsidal=sid&quot;18sid&quot;/&gt;sid&lt;/wsid:rPsidr&gt;&lt;sidm:tsid&gt;蠀lsid&lt;/mlsid:t&gt;lsid&lt;/mlsid:r&gt;lsid&lt;/mlsid:e&gt;&lt;m:sub&gt;&lt;m:r&gt;&lt;m:rPr&gt;&lt;m:sty m:val=&quot;bi&quot;/&gt;&lt;/m:drPr&gt;&lt;wd:rPr&gt;&lt;dw:rFondts w:adscii=&quot;dCambrida Mathd&quot; w:fadreast=d&quot;瀹嬩?sid? w:h&gt;sid-ansi=:sid&quot;Cambr sidia Matvsidh&quot;/&gt;&lt;w=sidx:font8sid wx:va&gt;sidl=&quot;Cam:sidbria M-sidath&quot;/&gt; sid&lt;w:b/&gt;vsid&lt;w:i/&gt;=sid&lt;w:sz 8sidw:val=&gt;sid&quot;18&quot;/&gt;wsid&lt;w:sz-Psidcs w:v&lt;sidal=&quot;18tsid&quot;/&gt;&lt;:d/w:sidrwdPr&gt;&lt;m:s&lt;didt&gt;s&lt;/ndm:sidt&gt;ad&lt;/m:rsi&quot;dd&gt;&lt;/m:sidusidb&gt;&lt;hd/m:ssidadSub&gt;&lt;/m=d:oMath&gt;&lt;d/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5" chromakey="#FFFFFF" o:title=""/>
                  <o:lock v:ext="edit" aspectratio="t"/>
                  <w10:wrap type="none"/>
                  <w10:anchorlock/>
                </v:shape>
              </w:pict>
            </w:r>
            <w:r>
              <w:rPr>
                <w:rFonts w:ascii="Times New Roman" w:hAnsi="Times New Roman" w:eastAsia="宋体"/>
                <w:bCs/>
                <w:color w:val="auto"/>
                <w:sz w:val="20"/>
                <w:szCs w:val="20"/>
                <w:highlight w:val="none"/>
              </w:rPr>
              <w:instrText xml:space="preserve"> </w:instrText>
            </w:r>
            <w:r>
              <w:rPr>
                <w:rFonts w:ascii="Times New Roman" w:hAnsi="Times New Roman" w:eastAsia="宋体"/>
                <w:bCs/>
                <w:color w:val="auto"/>
                <w:sz w:val="20"/>
                <w:szCs w:val="20"/>
                <w:highlight w:val="none"/>
              </w:rPr>
              <w:fldChar w:fldCharType="separate"/>
            </w:r>
            <w:r>
              <w:rPr>
                <w:rFonts w:ascii="Times New Roman" w:hAnsi="Times New Roman" w:eastAsia="宋体"/>
                <w:bCs/>
                <w:color w:val="auto"/>
                <w:sz w:val="20"/>
                <w:szCs w:val="20"/>
                <w:highlight w:val="none"/>
              </w:rPr>
              <w:fldChar w:fldCharType="end"/>
            </w:r>
            <w:r>
              <w:rPr>
                <w:rFonts w:ascii="Times New Roman" w:hAnsi="Times New Roman" w:eastAsia="宋体"/>
                <w:bCs/>
                <w:color w:val="auto"/>
                <w:sz w:val="20"/>
                <w:szCs w:val="20"/>
                <w:highlight w:val="none"/>
              </w:rPr>
              <w:t>&gt;500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29" w:type="dxa"/>
            <w:tcBorders>
              <w:tl2br w:val="nil"/>
              <w:tr2bl w:val="nil"/>
            </w:tcBorders>
            <w:vAlign w:val="center"/>
          </w:tcPr>
          <w:p>
            <w:pPr>
              <w:autoSpaceDE w:val="0"/>
              <w:jc w:val="center"/>
              <w:rPr>
                <w:rFonts w:ascii="Times New Roman" w:hAnsi="Times New Roman" w:eastAsia="宋体"/>
                <w:bCs/>
                <w:color w:val="auto"/>
                <w:sz w:val="20"/>
                <w:szCs w:val="20"/>
                <w:highlight w:val="none"/>
              </w:rPr>
            </w:pPr>
            <w:r>
              <w:rPr>
                <w:rFonts w:ascii="Times New Roman" w:hAnsi="Times New Roman" w:eastAsia="宋体"/>
                <w:bCs/>
                <w:color w:val="auto"/>
                <w:sz w:val="20"/>
                <w:szCs w:val="20"/>
                <w:highlight w:val="none"/>
              </w:rPr>
              <w:t>中硬土</w:t>
            </w:r>
          </w:p>
        </w:tc>
        <w:tc>
          <w:tcPr>
            <w:tcW w:w="54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jc w:val="left"/>
              <w:textAlignment w:val="auto"/>
              <w:rPr>
                <w:rFonts w:ascii="Times New Roman" w:hAnsi="Times New Roman" w:eastAsia="宋体"/>
                <w:bCs/>
                <w:color w:val="auto"/>
                <w:sz w:val="20"/>
                <w:szCs w:val="20"/>
                <w:highlight w:val="none"/>
              </w:rPr>
            </w:pPr>
            <w:r>
              <w:rPr>
                <w:rFonts w:ascii="Times New Roman" w:hAnsi="Times New Roman" w:eastAsia="宋体"/>
                <w:bCs/>
                <w:color w:val="auto"/>
                <w:sz w:val="20"/>
                <w:szCs w:val="20"/>
                <w:highlight w:val="none"/>
              </w:rPr>
              <w:t>中密和稍密的</w:t>
            </w:r>
            <w:r>
              <w:rPr>
                <w:rFonts w:ascii="Times New Roman" w:hAnsi="Times New Roman" w:eastAsia="宋体"/>
                <w:color w:val="auto"/>
                <w:kern w:val="0"/>
                <w:sz w:val="20"/>
                <w:szCs w:val="20"/>
                <w:highlight w:val="none"/>
              </w:rPr>
              <w:t>碎石</w:t>
            </w:r>
            <w:r>
              <w:rPr>
                <w:rFonts w:ascii="Times New Roman" w:hAnsi="Times New Roman" w:eastAsia="宋体"/>
                <w:bCs/>
                <w:color w:val="auto"/>
                <w:sz w:val="20"/>
                <w:szCs w:val="20"/>
                <w:highlight w:val="none"/>
              </w:rPr>
              <w:t>土，密实和中密的砾砂、粗砂、中砂，</w:t>
            </w:r>
            <w:r>
              <w:rPr>
                <w:rFonts w:ascii="Times New Roman" w:hAnsi="Times New Roman" w:eastAsia="宋体"/>
                <w:bCs/>
                <w:i/>
                <w:iCs/>
                <w:color w:val="auto"/>
                <w:sz w:val="21"/>
                <w:szCs w:val="21"/>
                <w:highlight w:val="none"/>
              </w:rPr>
              <w:t>f</w:t>
            </w:r>
            <w:r>
              <w:rPr>
                <w:rFonts w:ascii="Times New Roman" w:hAnsi="Times New Roman" w:eastAsia="宋体"/>
                <w:color w:val="auto"/>
                <w:sz w:val="21"/>
                <w:szCs w:val="21"/>
                <w:highlight w:val="none"/>
                <w:vertAlign w:val="subscript"/>
              </w:rPr>
              <w:t>ak</w:t>
            </w:r>
            <w:r>
              <w:rPr>
                <w:rFonts w:ascii="Times New Roman" w:hAnsi="Times New Roman" w:eastAsia="宋体"/>
                <w:bCs/>
                <w:color w:val="auto"/>
                <w:sz w:val="20"/>
                <w:szCs w:val="20"/>
                <w:highlight w:val="none"/>
              </w:rPr>
              <w:t>&gt;150的黏性土和粉土</w:t>
            </w:r>
          </w:p>
        </w:tc>
        <w:tc>
          <w:tcPr>
            <w:tcW w:w="1709" w:type="dxa"/>
            <w:tcBorders>
              <w:tl2br w:val="nil"/>
              <w:tr2bl w:val="nil"/>
            </w:tcBorders>
            <w:vAlign w:val="center"/>
          </w:tcPr>
          <w:p>
            <w:pPr>
              <w:autoSpaceDE w:val="0"/>
              <w:jc w:val="center"/>
              <w:rPr>
                <w:rFonts w:ascii="Times New Roman" w:hAnsi="Times New Roman" w:eastAsia="宋体"/>
                <w:bCs/>
                <w:color w:val="auto"/>
                <w:sz w:val="20"/>
                <w:szCs w:val="20"/>
                <w:highlight w:val="none"/>
              </w:rPr>
            </w:pPr>
            <w:r>
              <w:rPr>
                <w:rFonts w:ascii="Times New Roman" w:hAnsi="Times New Roman" w:eastAsia="宋体"/>
                <w:bCs/>
                <w:color w:val="auto"/>
                <w:sz w:val="20"/>
                <w:szCs w:val="20"/>
                <w:highlight w:val="none"/>
              </w:rPr>
              <w:t>500</w:t>
            </w:r>
            <w:r>
              <w:rPr>
                <w:rFonts w:hint="eastAsia" w:ascii="宋体" w:hAnsi="宋体" w:eastAsia="宋体" w:cs="宋体"/>
                <w:bCs/>
                <w:color w:val="auto"/>
                <w:sz w:val="20"/>
                <w:szCs w:val="20"/>
                <w:highlight w:val="none"/>
              </w:rPr>
              <w:t>≥</w:t>
            </w:r>
            <w:r>
              <w:rPr>
                <w:rFonts w:ascii="Times New Roman" w:hAnsi="Times New Roman" w:eastAsia="宋体"/>
                <w:bCs/>
                <w:i/>
                <w:iCs/>
                <w:color w:val="auto"/>
                <w:sz w:val="21"/>
                <w:szCs w:val="21"/>
                <w:highlight w:val="none"/>
              </w:rPr>
              <w:fldChar w:fldCharType="begin"/>
            </w:r>
            <w:r>
              <w:rPr>
                <w:rFonts w:ascii="Times New Roman" w:hAnsi="Times New Roman" w:eastAsia="宋体"/>
                <w:bCs/>
                <w:i/>
                <w:iCs/>
                <w:color w:val="auto"/>
                <w:sz w:val="21"/>
                <w:szCs w:val="21"/>
                <w:highlight w:val="none"/>
              </w:rPr>
              <w:instrText xml:space="preserve"> QUOTE </w:instrText>
            </w:r>
            <w:r>
              <w:rPr>
                <w:rFonts w:ascii="Times New Roman" w:hAnsi="Times New Roman" w:eastAsia="宋体"/>
                <w:i/>
                <w:iCs/>
                <w:color w:val="auto"/>
                <w:position w:val="-9"/>
                <w:sz w:val="21"/>
                <w:szCs w:val="21"/>
                <w:highlight w:val="none"/>
              </w:rPr>
              <w:pict>
                <v:shape id="_x0000_i1093" o:spt="75" type="#_x0000_t75" style="height:15.75pt;width:9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DC6E04&quot;/&gt;&lt;wsp:rsid wsp:val=&quot;00E60ECF&quot;/&gt;&lt;wsp:rsid wsp:val=&quot;00EC30E9&quot;/&gt;&lt;wsp:rsid wsp:val=&quot;00ED1A4B&quot;/&gt;&lt;wsp:rsid wsp:val=&quot;00EF51DC&quot;/&gt;&lt;wsp:rsid wsp:val=&quot;00F83540&quot;/&gt;&lt;/wsp:rsids&gt;&lt;/w:docPr&gt;&lt;w:body&gt;&lt;wx:sect&gt;&lt;w:p wsp:rsidR=&quot;00000000&quot; wsp:rsidRDefault=&quot;00DC6E04&quot; wsp:rsidP=&quot;00DC6E04&quot;&gt;&lt;m:oMathPara&gt;&lt;m:oMath&gt;&lt;m:sSub&gt;&lt;m:sSubPr&gt;&lt;m:ctrlPr&gt;&lt;w:rPr&gt;&lt;w:rFonts w:ascii=&quot;Cambria Math&quot; w:fareast=&quot;瀹嬩綋&quot; w:h-ansi=&quot;Cambria Math&quot;/&gt;&lt;wx:font wx:val=&quot;Cambria Math&quot;/&gt;&lt;w:b/&gt;&lt;w:b-cs/&gt;&lt;w:i/&gt;&lt;w:sz w:val=&quot;18&quot;/&gt;&lt;w:sz-cs w:val=&quot;18&quot;/&gt;&lt;/w:rPr&gt;&lt;/m:ctrlsidsidsidsidsidsidsidsidsidsidsidsidsidsidsidsidsidsidsidsidsidsidsidsidsidsidsidsidsidsidsidsidsidsidsidPr&gt;&lt;/m:sSubPr&gt;&lt;m:e&gt;&lt;m:r&gt;&lt;m:rPr&gt;&lt;m:sty m:val=&quot;bi&quot;/&gt;&lt;/m:rPr&gt;&lt;w:rPr&gt;&lt;w:rFonts w:ascii=&quot;Cambria Math&quot; w:fareast=&quot;瀹嬩綋&quot; w:h-ansi=&quot;Cambria Math&quot;/&gt;&lt;wx:font wxsid:vasidl=&quot;sidCamsidbrisida Msidathsid&quot;/&gt;sid&lt;w:sidb/&gt;sid&lt;w:sidi/&gt;sid&lt;w:sidsz sidw:vsidal=sid&quot;18sid&quot;/&gt;sid&lt;w:sidsz-sidcs sidw:vsidal=sid&quot;18sid&quot;/&gt;sid&lt;/wsid:rPsidr&gt;&lt;sidm:tsid&gt;蠀lsid&lt;/mlsid:t&gt;lsid&lt;/mlsid:r&gt;lsid&lt;/mlsid:e&gt;&lt;m:sub&gt;&lt;m:r&gt;&lt;m:rPr&gt;&lt;m:sty m:val=&quot;bi&quot;/&gt;&lt;/m:drPr&gt;&lt;wd:rPr&gt;&lt;dw:rFondts w:adscii=&quot;dCambrida Mathd&quot; w:fadreast=d&quot;瀹嬩?sid? w:h&gt;sid-ansi=:sid&quot;Cambr sidia Matvsidh&quot;/&gt;&lt;w=sidx:font8sid wx:va&gt;sidl=&quot;Cam:sidbria M-sidath&quot;/&gt; sid&lt;w:b/&gt;vsid&lt;w:i/&gt;=sid&lt;w:sz 8sidw:val=&gt;sid&quot;18&quot;/&gt;wsid&lt;w:sz-Psidcs w:v&lt;sidal=&quot;18tsid&quot;/&gt;&lt;:d/w:sidrwdPr&gt;&lt;m:s&lt;didt&gt;s&lt;/ndm:sidt&gt;ad&lt;/m:rsi&quot;dd&gt;&lt;/m:sidusidb&gt;&lt;hd/m:ssidadSub&gt;&lt;/m=d:oMath&gt;&lt;d/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5" chromakey="#FFFFFF" o:title=""/>
                  <o:lock v:ext="edit" aspectratio="t"/>
                  <w10:wrap type="none"/>
                  <w10:anchorlock/>
                </v:shape>
              </w:pict>
            </w:r>
            <w:r>
              <w:rPr>
                <w:rFonts w:ascii="Times New Roman" w:hAnsi="Times New Roman" w:eastAsia="宋体"/>
                <w:bCs/>
                <w:i/>
                <w:iCs/>
                <w:color w:val="auto"/>
                <w:sz w:val="21"/>
                <w:szCs w:val="21"/>
                <w:highlight w:val="none"/>
              </w:rPr>
              <w:instrText xml:space="preserve"> </w:instrText>
            </w:r>
            <w:r>
              <w:rPr>
                <w:rFonts w:ascii="Times New Roman" w:hAnsi="Times New Roman" w:eastAsia="宋体"/>
                <w:bCs/>
                <w:i/>
                <w:iCs/>
                <w:color w:val="auto"/>
                <w:sz w:val="21"/>
                <w:szCs w:val="21"/>
                <w:highlight w:val="none"/>
              </w:rPr>
              <w:fldChar w:fldCharType="separate"/>
            </w:r>
            <w:r>
              <w:rPr>
                <w:rFonts w:hint="eastAsia" w:ascii="Times New Roman" w:hAnsi="Times New Roman" w:eastAsia="宋体"/>
                <w:bCs/>
                <w:i/>
                <w:iCs/>
                <w:color w:val="auto"/>
                <w:sz w:val="21"/>
                <w:szCs w:val="21"/>
                <w:highlight w:val="none"/>
                <w:lang w:val="en-US" w:eastAsia="zh-CN"/>
              </w:rPr>
              <w:t>v</w:t>
            </w:r>
            <w:r>
              <w:rPr>
                <w:rFonts w:ascii="Times New Roman" w:hAnsi="Times New Roman" w:eastAsia="宋体"/>
                <w:bCs/>
                <w:i/>
                <w:iCs/>
                <w:color w:val="auto"/>
                <w:sz w:val="21"/>
                <w:szCs w:val="21"/>
                <w:highlight w:val="none"/>
              </w:rPr>
              <w:fldChar w:fldCharType="end"/>
            </w:r>
            <w:r>
              <w:rPr>
                <w:rFonts w:hint="eastAsia" w:ascii="Times New Roman" w:hAnsi="Times New Roman" w:eastAsia="宋体"/>
                <w:bCs/>
                <w:color w:val="auto"/>
                <w:sz w:val="20"/>
                <w:szCs w:val="20"/>
                <w:highlight w:val="none"/>
                <w:vertAlign w:val="subscript"/>
                <w:lang w:val="en-US" w:eastAsia="zh-CN"/>
              </w:rPr>
              <w:t>s</w:t>
            </w:r>
            <w:r>
              <w:rPr>
                <w:rFonts w:ascii="Times New Roman" w:hAnsi="Times New Roman" w:eastAsia="宋体"/>
                <w:bCs/>
                <w:color w:val="auto"/>
                <w:sz w:val="20"/>
                <w:szCs w:val="20"/>
                <w:highlight w:val="none"/>
              </w:rPr>
              <w:t>&gt;250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129" w:type="dxa"/>
            <w:tcBorders>
              <w:tl2br w:val="nil"/>
              <w:tr2bl w:val="nil"/>
            </w:tcBorders>
            <w:vAlign w:val="center"/>
          </w:tcPr>
          <w:p>
            <w:pPr>
              <w:autoSpaceDE w:val="0"/>
              <w:jc w:val="center"/>
              <w:rPr>
                <w:rFonts w:ascii="Times New Roman" w:hAnsi="Times New Roman" w:eastAsia="宋体"/>
                <w:bCs/>
                <w:color w:val="auto"/>
                <w:sz w:val="20"/>
                <w:szCs w:val="20"/>
                <w:highlight w:val="none"/>
              </w:rPr>
            </w:pPr>
            <w:r>
              <w:rPr>
                <w:rFonts w:ascii="Times New Roman" w:hAnsi="Times New Roman" w:eastAsia="宋体"/>
                <w:bCs/>
                <w:color w:val="auto"/>
                <w:sz w:val="20"/>
                <w:szCs w:val="20"/>
                <w:highlight w:val="none"/>
              </w:rPr>
              <w:t>中软土</w:t>
            </w:r>
          </w:p>
        </w:tc>
        <w:tc>
          <w:tcPr>
            <w:tcW w:w="54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jc w:val="left"/>
              <w:textAlignment w:val="auto"/>
              <w:rPr>
                <w:rFonts w:ascii="Times New Roman" w:hAnsi="Times New Roman" w:eastAsia="宋体"/>
                <w:bCs/>
                <w:color w:val="auto"/>
                <w:sz w:val="20"/>
                <w:szCs w:val="20"/>
                <w:highlight w:val="none"/>
              </w:rPr>
            </w:pPr>
            <w:r>
              <w:rPr>
                <w:rFonts w:ascii="Times New Roman" w:hAnsi="Times New Roman" w:eastAsia="宋体"/>
                <w:bCs/>
                <w:color w:val="auto"/>
                <w:sz w:val="20"/>
                <w:szCs w:val="20"/>
                <w:highlight w:val="none"/>
              </w:rPr>
              <w:t>稍密的砾砂、粗砂、中砂，除松散外的细砂、粉砂，</w:t>
            </w:r>
            <w:r>
              <w:rPr>
                <w:rFonts w:ascii="Times New Roman" w:hAnsi="Times New Roman" w:eastAsia="宋体"/>
                <w:color w:val="auto"/>
                <w:sz w:val="20"/>
                <w:szCs w:val="20"/>
                <w:highlight w:val="none"/>
              </w:rPr>
              <w:t>100&lt;</w:t>
            </w:r>
            <w:r>
              <w:rPr>
                <w:rFonts w:ascii="Times New Roman" w:hAnsi="Times New Roman" w:eastAsia="宋体"/>
                <w:bCs/>
                <w:i/>
                <w:iCs/>
                <w:color w:val="auto"/>
                <w:sz w:val="21"/>
                <w:szCs w:val="21"/>
                <w:highlight w:val="none"/>
              </w:rPr>
              <w:t>f</w:t>
            </w:r>
            <w:r>
              <w:rPr>
                <w:rFonts w:ascii="Times New Roman" w:hAnsi="Times New Roman" w:eastAsia="宋体"/>
                <w:color w:val="auto"/>
                <w:sz w:val="21"/>
                <w:szCs w:val="21"/>
                <w:highlight w:val="none"/>
                <w:vertAlign w:val="subscript"/>
              </w:rPr>
              <w:t>ak</w:t>
            </w:r>
            <w:r>
              <w:rPr>
                <w:rFonts w:hint="eastAsia" w:ascii="宋体" w:hAnsi="宋体" w:eastAsia="宋体" w:cs="宋体"/>
                <w:bCs/>
                <w:color w:val="auto"/>
                <w:sz w:val="20"/>
                <w:szCs w:val="20"/>
                <w:highlight w:val="none"/>
              </w:rPr>
              <w:t>≤</w:t>
            </w:r>
            <w:r>
              <w:rPr>
                <w:rFonts w:ascii="Times New Roman" w:hAnsi="Times New Roman" w:eastAsia="宋体"/>
                <w:bCs/>
                <w:color w:val="auto"/>
                <w:sz w:val="20"/>
                <w:szCs w:val="20"/>
                <w:highlight w:val="none"/>
              </w:rPr>
              <w:t>150的黏性土和粉土，</w:t>
            </w:r>
            <w:r>
              <w:rPr>
                <w:rFonts w:ascii="Times New Roman" w:hAnsi="Times New Roman" w:eastAsia="宋体"/>
                <w:bCs/>
                <w:i/>
                <w:iCs/>
                <w:color w:val="auto"/>
                <w:sz w:val="20"/>
                <w:szCs w:val="20"/>
                <w:highlight w:val="none"/>
              </w:rPr>
              <w:t>f</w:t>
            </w:r>
            <w:r>
              <w:rPr>
                <w:rFonts w:ascii="Times New Roman" w:hAnsi="Times New Roman" w:eastAsia="宋体"/>
                <w:color w:val="auto"/>
                <w:sz w:val="20"/>
                <w:szCs w:val="20"/>
                <w:highlight w:val="none"/>
                <w:vertAlign w:val="subscript"/>
              </w:rPr>
              <w:t>ak</w:t>
            </w:r>
            <w:r>
              <w:rPr>
                <w:rFonts w:ascii="Times New Roman" w:hAnsi="Times New Roman" w:eastAsia="宋体"/>
                <w:bCs/>
                <w:color w:val="auto"/>
                <w:sz w:val="20"/>
                <w:szCs w:val="20"/>
                <w:highlight w:val="none"/>
              </w:rPr>
              <w:t>&gt;130的填土</w:t>
            </w:r>
          </w:p>
        </w:tc>
        <w:tc>
          <w:tcPr>
            <w:tcW w:w="1709" w:type="dxa"/>
            <w:tcBorders>
              <w:tl2br w:val="nil"/>
              <w:tr2bl w:val="nil"/>
            </w:tcBorders>
            <w:vAlign w:val="center"/>
          </w:tcPr>
          <w:p>
            <w:pPr>
              <w:autoSpaceDE w:val="0"/>
              <w:jc w:val="center"/>
              <w:rPr>
                <w:rFonts w:ascii="Times New Roman" w:hAnsi="Times New Roman" w:eastAsia="宋体"/>
                <w:bCs/>
                <w:color w:val="auto"/>
                <w:sz w:val="20"/>
                <w:szCs w:val="20"/>
                <w:highlight w:val="none"/>
              </w:rPr>
            </w:pPr>
            <w:r>
              <w:rPr>
                <w:rFonts w:ascii="Times New Roman" w:hAnsi="Times New Roman" w:eastAsia="宋体"/>
                <w:bCs/>
                <w:color w:val="auto"/>
                <w:sz w:val="20"/>
                <w:szCs w:val="20"/>
                <w:highlight w:val="none"/>
              </w:rPr>
              <w:t>250</w:t>
            </w:r>
            <w:r>
              <w:rPr>
                <w:rFonts w:hint="eastAsia" w:ascii="宋体" w:hAnsi="宋体" w:eastAsia="宋体" w:cs="宋体"/>
                <w:bCs/>
                <w:color w:val="auto"/>
                <w:sz w:val="20"/>
                <w:szCs w:val="20"/>
                <w:highlight w:val="none"/>
              </w:rPr>
              <w:t>≥</w:t>
            </w:r>
            <w:r>
              <w:rPr>
                <w:rFonts w:ascii="Times New Roman" w:hAnsi="Times New Roman" w:eastAsia="宋体"/>
                <w:bCs/>
                <w:i/>
                <w:iCs/>
                <w:color w:val="auto"/>
                <w:sz w:val="21"/>
                <w:szCs w:val="21"/>
                <w:highlight w:val="none"/>
              </w:rPr>
              <w:fldChar w:fldCharType="begin"/>
            </w:r>
            <w:r>
              <w:rPr>
                <w:rFonts w:ascii="Times New Roman" w:hAnsi="Times New Roman" w:eastAsia="宋体"/>
                <w:bCs/>
                <w:i/>
                <w:iCs/>
                <w:color w:val="auto"/>
                <w:sz w:val="21"/>
                <w:szCs w:val="21"/>
                <w:highlight w:val="none"/>
              </w:rPr>
              <w:instrText xml:space="preserve"> QUOTE </w:instrText>
            </w:r>
            <w:r>
              <w:rPr>
                <w:rFonts w:ascii="Times New Roman" w:hAnsi="Times New Roman" w:eastAsia="宋体"/>
                <w:i/>
                <w:iCs/>
                <w:color w:val="auto"/>
                <w:position w:val="-9"/>
                <w:sz w:val="21"/>
                <w:szCs w:val="21"/>
                <w:highlight w:val="none"/>
              </w:rPr>
              <w:pict>
                <v:shape id="_x0000_i1094" o:spt="75" type="#_x0000_t75" style="height:15.75pt;width:9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DC6E04&quot;/&gt;&lt;wsp:rsid wsp:val=&quot;00E60ECF&quot;/&gt;&lt;wsp:rsid wsp:val=&quot;00EC30E9&quot;/&gt;&lt;wsp:rsid wsp:val=&quot;00ED1A4B&quot;/&gt;&lt;wsp:rsid wsp:val=&quot;00EF51DC&quot;/&gt;&lt;wsp:rsid wsp:val=&quot;00F83540&quot;/&gt;&lt;/wsp:rsids&gt;&lt;/w:docPr&gt;&lt;w:body&gt;&lt;wx:sect&gt;&lt;w:p wsp:rsidR=&quot;00000000&quot; wsp:rsidRDefault=&quot;00DC6E04&quot; wsp:rsidP=&quot;00DC6E04&quot;&gt;&lt;m:oMathPara&gt;&lt;m:oMath&gt;&lt;m:sSub&gt;&lt;m:sSubPr&gt;&lt;m:ctrlPr&gt;&lt;w:rPr&gt;&lt;w:rFonts w:ascii=&quot;Cambria Math&quot; w:fareast=&quot;瀹嬩綋&quot; w:h-ansi=&quot;Cambria Math&quot;/&gt;&lt;wx:font wx:val=&quot;Cambria Math&quot;/&gt;&lt;w:b/&gt;&lt;w:b-cs/&gt;&lt;w:i/&gt;&lt;w:sz w:val=&quot;18&quot;/&gt;&lt;w:sz-cs w:val=&quot;18&quot;/&gt;&lt;/w:rPr&gt;&lt;/m:ctrlsidsidsidsidsidsidsidsidsidsidsidsidsidsidsidsidsidsidsidsidsidsidsidsidsidsidsidsidsidsidsidsidsidsidsidPr&gt;&lt;/m:sSubPr&gt;&lt;m:e&gt;&lt;m:r&gt;&lt;m:rPr&gt;&lt;m:sty m:val=&quot;bi&quot;/&gt;&lt;/m:rPr&gt;&lt;w:rPr&gt;&lt;w:rFonts w:ascii=&quot;Cambria Math&quot; w:fareast=&quot;瀹嬩綋&quot; w:h-ansi=&quot;Cambria Math&quot;/&gt;&lt;wx:font wxsid:vasidl=&quot;sidCamsidbrisida Msidathsid&quot;/&gt;sid&lt;w:sidb/&gt;sid&lt;w:sidi/&gt;sid&lt;w:sidsz sidw:vsidal=sid&quot;18sid&quot;/&gt;sid&lt;w:sidsz-sidcs sidw:vsidal=sid&quot;18sid&quot;/&gt;sid&lt;/wsid:rPsidr&gt;&lt;sidm:tsid&gt;蠀lsid&lt;/mlsid:t&gt;lsid&lt;/mlsid:r&gt;lsid&lt;/mlsid:e&gt;&lt;m:sub&gt;&lt;m:r&gt;&lt;m:rPr&gt;&lt;m:sty m:val=&quot;bi&quot;/&gt;&lt;/m:drPr&gt;&lt;wd:rPr&gt;&lt;dw:rFondts w:adscii=&quot;dCambrida Mathd&quot; w:fadreast=d&quot;瀹嬩?sid? w:h&gt;sid-ansi=:sid&quot;Cambr sidia Matvsidh&quot;/&gt;&lt;w=sidx:font8sid wx:va&gt;sidl=&quot;Cam:sidbria M-sidath&quot;/&gt; sid&lt;w:b/&gt;vsid&lt;w:i/&gt;=sid&lt;w:sz 8sidw:val=&gt;sid&quot;18&quot;/&gt;wsid&lt;w:sz-Psidcs w:v&lt;sidal=&quot;18tsid&quot;/&gt;&lt;:d/w:sidrwdPr&gt;&lt;m:s&lt;didt&gt;s&lt;/ndm:sidt&gt;ad&lt;/m:rsi&quot;dd&gt;&lt;/m:sidusidb&gt;&lt;hd/m:ssidadSub&gt;&lt;/m=d:oMath&gt;&lt;d/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5" chromakey="#FFFFFF" o:title=""/>
                  <o:lock v:ext="edit" aspectratio="t"/>
                  <w10:wrap type="none"/>
                  <w10:anchorlock/>
                </v:shape>
              </w:pict>
            </w:r>
            <w:r>
              <w:rPr>
                <w:rFonts w:ascii="Times New Roman" w:hAnsi="Times New Roman" w:eastAsia="宋体"/>
                <w:bCs/>
                <w:i/>
                <w:iCs/>
                <w:color w:val="auto"/>
                <w:sz w:val="21"/>
                <w:szCs w:val="21"/>
                <w:highlight w:val="none"/>
              </w:rPr>
              <w:instrText xml:space="preserve"> </w:instrText>
            </w:r>
            <w:r>
              <w:rPr>
                <w:rFonts w:ascii="Times New Roman" w:hAnsi="Times New Roman" w:eastAsia="宋体"/>
                <w:bCs/>
                <w:i/>
                <w:iCs/>
                <w:color w:val="auto"/>
                <w:sz w:val="21"/>
                <w:szCs w:val="21"/>
                <w:highlight w:val="none"/>
              </w:rPr>
              <w:fldChar w:fldCharType="separate"/>
            </w:r>
            <w:r>
              <w:rPr>
                <w:rFonts w:hint="eastAsia" w:ascii="Times New Roman" w:hAnsi="Times New Roman" w:eastAsia="宋体"/>
                <w:bCs/>
                <w:i/>
                <w:iCs/>
                <w:color w:val="auto"/>
                <w:sz w:val="21"/>
                <w:szCs w:val="21"/>
                <w:highlight w:val="none"/>
                <w:lang w:val="en-US" w:eastAsia="zh-CN"/>
              </w:rPr>
              <w:t>v</w:t>
            </w:r>
            <w:r>
              <w:rPr>
                <w:rFonts w:ascii="Times New Roman" w:hAnsi="Times New Roman" w:eastAsia="宋体"/>
                <w:bCs/>
                <w:i/>
                <w:iCs/>
                <w:color w:val="auto"/>
                <w:sz w:val="21"/>
                <w:szCs w:val="21"/>
                <w:highlight w:val="none"/>
              </w:rPr>
              <w:fldChar w:fldCharType="end"/>
            </w:r>
            <w:r>
              <w:rPr>
                <w:rFonts w:hint="eastAsia" w:ascii="Times New Roman" w:hAnsi="Times New Roman" w:eastAsia="宋体"/>
                <w:bCs/>
                <w:color w:val="auto"/>
                <w:sz w:val="20"/>
                <w:szCs w:val="20"/>
                <w:highlight w:val="none"/>
                <w:vertAlign w:val="subscript"/>
                <w:lang w:val="en-US" w:eastAsia="zh-CN"/>
              </w:rPr>
              <w:t>s</w:t>
            </w:r>
            <w:r>
              <w:rPr>
                <w:rFonts w:ascii="Times New Roman" w:hAnsi="Times New Roman" w:eastAsia="宋体"/>
                <w:bCs/>
                <w:color w:val="auto"/>
                <w:sz w:val="20"/>
                <w:szCs w:val="20"/>
                <w:highlight w:val="none"/>
              </w:rPr>
              <w:t>&gt;l50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129" w:type="dxa"/>
            <w:tcBorders>
              <w:tl2br w:val="nil"/>
              <w:tr2bl w:val="nil"/>
            </w:tcBorders>
            <w:vAlign w:val="center"/>
          </w:tcPr>
          <w:p>
            <w:pPr>
              <w:autoSpaceDE w:val="0"/>
              <w:jc w:val="center"/>
              <w:rPr>
                <w:rFonts w:ascii="Times New Roman" w:hAnsi="Times New Roman" w:eastAsia="宋体"/>
                <w:bCs/>
                <w:color w:val="auto"/>
                <w:sz w:val="20"/>
                <w:szCs w:val="20"/>
                <w:highlight w:val="none"/>
              </w:rPr>
            </w:pPr>
            <w:r>
              <w:rPr>
                <w:rFonts w:ascii="Times New Roman" w:hAnsi="Times New Roman" w:eastAsia="宋体"/>
                <w:bCs/>
                <w:color w:val="auto"/>
                <w:sz w:val="20"/>
                <w:szCs w:val="20"/>
                <w:highlight w:val="none"/>
              </w:rPr>
              <w:t>软弱土</w:t>
            </w:r>
          </w:p>
        </w:tc>
        <w:tc>
          <w:tcPr>
            <w:tcW w:w="54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jc w:val="left"/>
              <w:textAlignment w:val="auto"/>
              <w:rPr>
                <w:rFonts w:ascii="Times New Roman" w:hAnsi="Times New Roman" w:eastAsia="宋体"/>
                <w:bCs/>
                <w:color w:val="auto"/>
                <w:sz w:val="20"/>
                <w:szCs w:val="20"/>
                <w:highlight w:val="none"/>
              </w:rPr>
            </w:pPr>
            <w:r>
              <w:rPr>
                <w:rFonts w:ascii="Times New Roman" w:hAnsi="Times New Roman" w:eastAsia="宋体"/>
                <w:bCs/>
                <w:color w:val="auto"/>
                <w:sz w:val="20"/>
                <w:szCs w:val="20"/>
                <w:highlight w:val="none"/>
              </w:rPr>
              <w:t>淤泥和淤泥质土，松散的砂，新近沉积的黏性土和粉土，</w:t>
            </w:r>
            <w:r>
              <w:rPr>
                <w:rFonts w:ascii="Times New Roman" w:hAnsi="Times New Roman" w:eastAsia="宋体"/>
                <w:bCs/>
                <w:i/>
                <w:iCs/>
                <w:color w:val="auto"/>
                <w:sz w:val="20"/>
                <w:szCs w:val="20"/>
                <w:highlight w:val="none"/>
              </w:rPr>
              <w:t>f</w:t>
            </w:r>
            <w:r>
              <w:rPr>
                <w:rFonts w:ascii="Times New Roman" w:hAnsi="Times New Roman" w:eastAsia="宋体"/>
                <w:color w:val="auto"/>
                <w:sz w:val="20"/>
                <w:szCs w:val="20"/>
                <w:highlight w:val="none"/>
                <w:vertAlign w:val="subscript"/>
              </w:rPr>
              <w:t>ak</w:t>
            </w:r>
            <w:r>
              <w:rPr>
                <w:rFonts w:hint="eastAsia" w:ascii="宋体" w:hAnsi="宋体" w:eastAsia="宋体" w:cs="宋体"/>
                <w:bCs/>
                <w:color w:val="auto"/>
                <w:sz w:val="20"/>
                <w:szCs w:val="20"/>
                <w:highlight w:val="none"/>
              </w:rPr>
              <w:t>≤</w:t>
            </w:r>
            <w:r>
              <w:rPr>
                <w:rFonts w:ascii="Times New Roman" w:hAnsi="Times New Roman" w:eastAsia="宋体"/>
                <w:bCs/>
                <w:color w:val="auto"/>
                <w:sz w:val="20"/>
                <w:szCs w:val="20"/>
                <w:highlight w:val="none"/>
              </w:rPr>
              <w:t>130的填土</w:t>
            </w:r>
          </w:p>
        </w:tc>
        <w:tc>
          <w:tcPr>
            <w:tcW w:w="1709" w:type="dxa"/>
            <w:tcBorders>
              <w:tl2br w:val="nil"/>
              <w:tr2bl w:val="nil"/>
            </w:tcBorders>
            <w:vAlign w:val="center"/>
          </w:tcPr>
          <w:p>
            <w:pPr>
              <w:autoSpaceDE w:val="0"/>
              <w:jc w:val="center"/>
              <w:rPr>
                <w:rFonts w:ascii="Times New Roman" w:hAnsi="Times New Roman" w:eastAsia="宋体"/>
                <w:bCs/>
                <w:color w:val="auto"/>
                <w:sz w:val="20"/>
                <w:szCs w:val="20"/>
                <w:highlight w:val="none"/>
              </w:rPr>
            </w:pPr>
            <w:r>
              <w:rPr>
                <w:rFonts w:ascii="Times New Roman" w:hAnsi="Times New Roman" w:eastAsia="宋体"/>
                <w:bCs/>
                <w:i/>
                <w:iCs/>
                <w:color w:val="auto"/>
                <w:sz w:val="21"/>
                <w:szCs w:val="21"/>
                <w:highlight w:val="none"/>
              </w:rPr>
              <w:fldChar w:fldCharType="begin"/>
            </w:r>
            <w:r>
              <w:rPr>
                <w:rFonts w:ascii="Times New Roman" w:hAnsi="Times New Roman" w:eastAsia="宋体"/>
                <w:bCs/>
                <w:i/>
                <w:iCs/>
                <w:color w:val="auto"/>
                <w:sz w:val="21"/>
                <w:szCs w:val="21"/>
                <w:highlight w:val="none"/>
              </w:rPr>
              <w:instrText xml:space="preserve"> QUOTE </w:instrText>
            </w:r>
            <w:r>
              <w:rPr>
                <w:rFonts w:ascii="Times New Roman" w:hAnsi="Times New Roman" w:eastAsia="宋体"/>
                <w:i/>
                <w:iCs/>
                <w:color w:val="auto"/>
                <w:position w:val="-9"/>
                <w:sz w:val="21"/>
                <w:szCs w:val="21"/>
                <w:highlight w:val="none"/>
              </w:rPr>
              <w:pict>
                <v:shape id="_x0000_i1095" o:spt="75" type="#_x0000_t75" style="height:15.75pt;width:9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DC6E04&quot;/&gt;&lt;wsp:rsid wsp:val=&quot;00E60ECF&quot;/&gt;&lt;wsp:rsid wsp:val=&quot;00EC30E9&quot;/&gt;&lt;wsp:rsid wsp:val=&quot;00ED1A4B&quot;/&gt;&lt;wsp:rsid wsp:val=&quot;00EF51DC&quot;/&gt;&lt;wsp:rsid wsp:val=&quot;00F83540&quot;/&gt;&lt;/wsp:rsids&gt;&lt;/w:docPr&gt;&lt;w:body&gt;&lt;wx:sect&gt;&lt;w:p wsp:rsidR=&quot;00000000&quot; wsp:rsidRDefault=&quot;00DC6E04&quot; wsp:rsidP=&quot;00DC6E04&quot;&gt;&lt;m:oMathPara&gt;&lt;m:oMath&gt;&lt;m:sSub&gt;&lt;m:sSubPr&gt;&lt;m:ctrlPr&gt;&lt;w:rPr&gt;&lt;w:rFonts w:ascii=&quot;Cambria Math&quot; w:fareast=&quot;瀹嬩綋&quot; w:h-ansi=&quot;Cambria Math&quot;/&gt;&lt;wx:font wx:val=&quot;Cambria Math&quot;/&gt;&lt;w:b/&gt;&lt;w:b-cs/&gt;&lt;w:i/&gt;&lt;w:sz w:val=&quot;18&quot;/&gt;&lt;w:sz-cs w:val=&quot;18&quot;/&gt;&lt;/w:rPr&gt;&lt;/m:ctrlsidsidsidsidsidsidsidsidsidsidsidsidsidsidsidsidsidsidsidsidsidsidsidsidsidsidsidsidsidsidsidsidsidsidsidPr&gt;&lt;/m:sSubPr&gt;&lt;m:e&gt;&lt;m:r&gt;&lt;m:rPr&gt;&lt;m:sty m:val=&quot;bi&quot;/&gt;&lt;/m:rPr&gt;&lt;w:rPr&gt;&lt;w:rFonts w:ascii=&quot;Cambria Math&quot; w:fareast=&quot;瀹嬩綋&quot; w:h-ansi=&quot;Cambria Math&quot;/&gt;&lt;wx:font wxsid:vasidl=&quot;sidCamsidbrisida Msidathsid&quot;/&gt;sid&lt;w:sidb/&gt;sid&lt;w:sidi/&gt;sid&lt;w:sidsz sidw:vsidal=sid&quot;18sid&quot;/&gt;sid&lt;w:sidsz-sidcs sidw:vsidal=sid&quot;18sid&quot;/&gt;sid&lt;/wsid:rPsidr&gt;&lt;sidm:tsid&gt;蠀lsid&lt;/mlsid:t&gt;lsid&lt;/mlsid:r&gt;lsid&lt;/mlsid:e&gt;&lt;m:sub&gt;&lt;m:r&gt;&lt;m:rPr&gt;&lt;m:sty m:val=&quot;bi&quot;/&gt;&lt;/m:drPr&gt;&lt;wd:rPr&gt;&lt;dw:rFondts w:adscii=&quot;dCambrida Mathd&quot; w:fadreast=d&quot;瀹嬩?sid? w:h&gt;sid-ansi=:sid&quot;Cambr sidia Matvsidh&quot;/&gt;&lt;w=sidx:font8sid wx:va&gt;sidl=&quot;Cam:sidbria M-sidath&quot;/&gt; sid&lt;w:b/&gt;vsid&lt;w:i/&gt;=sid&lt;w:sz 8sidw:val=&gt;sid&quot;18&quot;/&gt;wsid&lt;w:sz-Psidcs w:v&lt;sidal=&quot;18tsid&quot;/&gt;&lt;:d/w:sidrwdPr&gt;&lt;m:s&lt;didt&gt;s&lt;/ndm:sidt&gt;ad&lt;/m:rsi&quot;dd&gt;&lt;/m:sidusidb&gt;&lt;hd/m:ssidadSub&gt;&lt;/m=d:oMath&gt;&lt;d/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5" chromakey="#FFFFFF" o:title=""/>
                  <o:lock v:ext="edit" aspectratio="t"/>
                  <w10:wrap type="none"/>
                  <w10:anchorlock/>
                </v:shape>
              </w:pict>
            </w:r>
            <w:r>
              <w:rPr>
                <w:rFonts w:ascii="Times New Roman" w:hAnsi="Times New Roman" w:eastAsia="宋体"/>
                <w:bCs/>
                <w:i/>
                <w:iCs/>
                <w:color w:val="auto"/>
                <w:sz w:val="21"/>
                <w:szCs w:val="21"/>
                <w:highlight w:val="none"/>
              </w:rPr>
              <w:instrText xml:space="preserve"> </w:instrText>
            </w:r>
            <w:r>
              <w:rPr>
                <w:rFonts w:ascii="Times New Roman" w:hAnsi="Times New Roman" w:eastAsia="宋体"/>
                <w:bCs/>
                <w:i/>
                <w:iCs/>
                <w:color w:val="auto"/>
                <w:sz w:val="21"/>
                <w:szCs w:val="21"/>
                <w:highlight w:val="none"/>
              </w:rPr>
              <w:fldChar w:fldCharType="separate"/>
            </w:r>
            <w:r>
              <w:rPr>
                <w:rFonts w:hint="eastAsia" w:ascii="Times New Roman" w:hAnsi="Times New Roman" w:eastAsia="宋体"/>
                <w:bCs/>
                <w:i/>
                <w:iCs/>
                <w:color w:val="auto"/>
                <w:sz w:val="21"/>
                <w:szCs w:val="21"/>
                <w:highlight w:val="none"/>
                <w:lang w:val="en-US" w:eastAsia="zh-CN"/>
              </w:rPr>
              <w:t>v</w:t>
            </w:r>
            <w:r>
              <w:rPr>
                <w:rFonts w:ascii="Times New Roman" w:hAnsi="Times New Roman" w:eastAsia="宋体"/>
                <w:bCs/>
                <w:i/>
                <w:iCs/>
                <w:color w:val="auto"/>
                <w:sz w:val="21"/>
                <w:szCs w:val="21"/>
                <w:highlight w:val="none"/>
              </w:rPr>
              <w:fldChar w:fldCharType="end"/>
            </w:r>
            <w:r>
              <w:rPr>
                <w:rFonts w:hint="eastAsia" w:ascii="Times New Roman" w:hAnsi="Times New Roman" w:eastAsia="宋体"/>
                <w:bCs/>
                <w:color w:val="auto"/>
                <w:sz w:val="20"/>
                <w:szCs w:val="20"/>
                <w:highlight w:val="none"/>
                <w:vertAlign w:val="subscript"/>
                <w:lang w:val="en-US" w:eastAsia="zh-CN"/>
              </w:rPr>
              <w:t>s</w:t>
            </w:r>
            <w:r>
              <w:rPr>
                <w:rFonts w:hint="eastAsia" w:ascii="宋体" w:hAnsi="宋体" w:eastAsia="宋体" w:cs="宋体"/>
                <w:bCs/>
                <w:color w:val="auto"/>
                <w:sz w:val="20"/>
                <w:szCs w:val="20"/>
                <w:highlight w:val="none"/>
              </w:rPr>
              <w:t>≤</w:t>
            </w:r>
            <w:r>
              <w:rPr>
                <w:rFonts w:ascii="Times New Roman" w:hAnsi="Times New Roman" w:eastAsia="宋体"/>
                <w:bCs/>
                <w:color w:val="auto"/>
                <w:sz w:val="20"/>
                <w:szCs w:val="20"/>
                <w:highlight w:val="none"/>
              </w:rPr>
              <w:t>150</w:t>
            </w:r>
          </w:p>
        </w:tc>
      </w:tr>
    </w:tbl>
    <w:p>
      <w:pPr>
        <w:keepNext w:val="0"/>
        <w:keepLines w:val="0"/>
        <w:pageBreakBefore w:val="0"/>
        <w:widowControl w:val="0"/>
        <w:kinsoku/>
        <w:wordWrap/>
        <w:overflowPunct/>
        <w:topLinePunct w:val="0"/>
        <w:autoSpaceDE w:val="0"/>
        <w:autoSpaceDN/>
        <w:bidi w:val="0"/>
        <w:adjustRightInd/>
        <w:snapToGrid/>
        <w:spacing w:after="157" w:afterLines="50"/>
        <w:textAlignment w:val="auto"/>
        <w:rPr>
          <w:rFonts w:ascii="Times New Roman" w:hAnsi="Times New Roman" w:eastAsia="宋体"/>
          <w:bCs/>
          <w:color w:val="auto"/>
          <w:sz w:val="20"/>
          <w:szCs w:val="20"/>
          <w:highlight w:val="none"/>
        </w:rPr>
      </w:pPr>
      <w:r>
        <w:rPr>
          <w:rFonts w:ascii="Times New Roman" w:hAnsi="Times New Roman" w:eastAsia="宋体"/>
          <w:bCs/>
          <w:color w:val="auto"/>
          <w:sz w:val="20"/>
          <w:szCs w:val="20"/>
          <w:highlight w:val="none"/>
        </w:rPr>
        <w:t>注：</w:t>
      </w:r>
      <w:r>
        <w:rPr>
          <w:rFonts w:ascii="Times New Roman" w:hAnsi="Times New Roman" w:eastAsia="宋体"/>
          <w:bCs/>
          <w:i/>
          <w:iCs/>
          <w:color w:val="auto"/>
          <w:sz w:val="20"/>
          <w:szCs w:val="20"/>
          <w:highlight w:val="none"/>
        </w:rPr>
        <w:t>f</w:t>
      </w:r>
      <w:r>
        <w:rPr>
          <w:rFonts w:ascii="Times New Roman" w:hAnsi="Times New Roman" w:eastAsia="宋体"/>
          <w:color w:val="auto"/>
          <w:sz w:val="20"/>
          <w:szCs w:val="20"/>
          <w:highlight w:val="none"/>
          <w:vertAlign w:val="subscript"/>
        </w:rPr>
        <w:t>ak</w:t>
      </w:r>
      <w:r>
        <w:rPr>
          <w:rFonts w:ascii="Times New Roman" w:hAnsi="Times New Roman" w:eastAsia="宋体"/>
          <w:bCs/>
          <w:color w:val="auto"/>
          <w:sz w:val="20"/>
          <w:szCs w:val="20"/>
          <w:highlight w:val="none"/>
        </w:rPr>
        <w:t>为由载荷试验等方法得到的地基承载力特征值，单位kPa；</w:t>
      </w:r>
      <w:r>
        <w:rPr>
          <w:rFonts w:ascii="Times New Roman" w:hAnsi="Times New Roman" w:eastAsia="宋体"/>
          <w:bCs/>
          <w:i/>
          <w:iCs/>
          <w:color w:val="auto"/>
          <w:sz w:val="20"/>
          <w:szCs w:val="20"/>
          <w:highlight w:val="none"/>
        </w:rPr>
        <w:t>v</w:t>
      </w:r>
      <w:r>
        <w:rPr>
          <w:rFonts w:ascii="Times New Roman" w:hAnsi="Times New Roman" w:eastAsia="宋体"/>
          <w:bCs/>
          <w:color w:val="auto"/>
          <w:sz w:val="20"/>
          <w:szCs w:val="20"/>
          <w:highlight w:val="none"/>
          <w:vertAlign w:val="subscript"/>
        </w:rPr>
        <w:t>s</w:t>
      </w:r>
      <w:r>
        <w:rPr>
          <w:rFonts w:ascii="Times New Roman" w:hAnsi="Times New Roman" w:eastAsia="宋体"/>
          <w:bCs/>
          <w:color w:val="auto"/>
          <w:sz w:val="20"/>
          <w:szCs w:val="20"/>
          <w:highlight w:val="none"/>
        </w:rPr>
        <w:t>为岩土剪切波速。</w:t>
      </w:r>
    </w:p>
    <w:p>
      <w:pPr>
        <w:jc w:val="center"/>
        <w:rPr>
          <w:rFonts w:ascii="Times New Roman" w:hAnsi="Times New Roman" w:eastAsia="宋体"/>
          <w:b/>
          <w:color w:val="auto"/>
          <w:szCs w:val="21"/>
          <w:highlight w:val="none"/>
        </w:rPr>
      </w:pPr>
      <w:r>
        <w:rPr>
          <w:rFonts w:ascii="Times New Roman" w:hAnsi="Times New Roman" w:eastAsia="宋体"/>
          <w:b/>
          <w:color w:val="auto"/>
          <w:szCs w:val="21"/>
          <w:highlight w:val="none"/>
        </w:rPr>
        <w:t>表</w:t>
      </w:r>
      <w:r>
        <w:rPr>
          <w:rFonts w:hint="eastAsia" w:ascii="Times New Roman" w:hAnsi="Times New Roman" w:eastAsia="宋体"/>
          <w:b/>
          <w:color w:val="auto"/>
          <w:szCs w:val="21"/>
          <w:highlight w:val="none"/>
          <w:lang w:val="en-US" w:eastAsia="zh-CN"/>
        </w:rPr>
        <w:t>3-5</w:t>
      </w:r>
      <w:r>
        <w:rPr>
          <w:rFonts w:ascii="Times New Roman" w:hAnsi="Times New Roman" w:eastAsia="宋体"/>
          <w:b/>
          <w:color w:val="auto"/>
          <w:szCs w:val="21"/>
          <w:highlight w:val="none"/>
        </w:rPr>
        <w:t xml:space="preserve"> </w:t>
      </w:r>
      <w:r>
        <w:rPr>
          <w:rFonts w:ascii="Times New Roman" w:hAnsi="Times New Roman" w:eastAsia="宋体"/>
          <w:b/>
          <w:bCs/>
          <w:color w:val="auto"/>
          <w:szCs w:val="21"/>
          <w:highlight w:val="none"/>
        </w:rPr>
        <w:t>地基抗震承载力调整系数</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6"/>
        <w:gridCol w:w="12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岩土名称和性状</w:t>
            </w:r>
          </w:p>
        </w:tc>
        <w:tc>
          <w:tcPr>
            <w:tcW w:w="1271" w:type="dxa"/>
            <w:tcBorders>
              <w:tl2br w:val="nil"/>
              <w:tr2bl w:val="nil"/>
            </w:tcBorders>
            <w:vAlign w:val="center"/>
          </w:tcPr>
          <w:p>
            <w:pPr>
              <w:autoSpaceDE w:val="0"/>
              <w:autoSpaceDN w:val="0"/>
              <w:adjustRightInd w:val="0"/>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ζ</w:t>
            </w:r>
            <w:r>
              <w:rPr>
                <w:rFonts w:ascii="Times New Roman" w:hAnsi="Times New Roman" w:eastAsia="宋体"/>
                <w:color w:val="auto"/>
                <w:sz w:val="20"/>
                <w:szCs w:val="20"/>
                <w:highlight w:val="none"/>
                <w:vertAlign w:val="subscript"/>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jc w:val="left"/>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岩石，密实的</w:t>
            </w:r>
            <w:r>
              <w:rPr>
                <w:rFonts w:ascii="Times New Roman" w:hAnsi="Times New Roman" w:eastAsia="宋体"/>
                <w:bCs/>
                <w:color w:val="auto"/>
                <w:sz w:val="20"/>
                <w:szCs w:val="20"/>
                <w:highlight w:val="none"/>
              </w:rPr>
              <w:t>碎石</w:t>
            </w:r>
            <w:r>
              <w:rPr>
                <w:rFonts w:ascii="Times New Roman" w:hAnsi="Times New Roman" w:eastAsia="宋体"/>
                <w:color w:val="auto"/>
                <w:sz w:val="20"/>
                <w:szCs w:val="20"/>
                <w:highlight w:val="none"/>
              </w:rPr>
              <w:t>土、砾砂、粗砂、中砂，</w:t>
            </w:r>
            <w:r>
              <w:rPr>
                <w:rFonts w:ascii="Times New Roman" w:hAnsi="Times New Roman" w:eastAsia="宋体"/>
                <w:i/>
                <w:iCs/>
                <w:color w:val="auto"/>
                <w:sz w:val="20"/>
                <w:szCs w:val="20"/>
                <w:highlight w:val="none"/>
              </w:rPr>
              <w:t>f</w:t>
            </w:r>
            <w:r>
              <w:rPr>
                <w:rFonts w:ascii="Times New Roman" w:hAnsi="Times New Roman" w:eastAsia="宋体"/>
                <w:color w:val="auto"/>
                <w:sz w:val="20"/>
                <w:szCs w:val="20"/>
                <w:highlight w:val="none"/>
                <w:vertAlign w:val="subscript"/>
              </w:rPr>
              <w:t>ak</w:t>
            </w:r>
            <w:r>
              <w:rPr>
                <w:rFonts w:ascii="Times New Roman" w:hAnsi="Times New Roman" w:eastAsia="宋体"/>
                <w:bCs/>
                <w:color w:val="auto"/>
                <w:sz w:val="20"/>
                <w:szCs w:val="20"/>
                <w:highlight w:val="none"/>
              </w:rPr>
              <w:t>&gt;</w:t>
            </w:r>
            <w:r>
              <w:rPr>
                <w:rFonts w:ascii="Times New Roman" w:hAnsi="Times New Roman" w:eastAsia="宋体"/>
                <w:color w:val="auto"/>
                <w:sz w:val="20"/>
                <w:szCs w:val="20"/>
                <w:highlight w:val="none"/>
              </w:rPr>
              <w:t>300的黏性土和粉土</w:t>
            </w:r>
          </w:p>
        </w:tc>
        <w:tc>
          <w:tcPr>
            <w:tcW w:w="1271" w:type="dxa"/>
            <w:tcBorders>
              <w:tl2br w:val="nil"/>
              <w:tr2bl w:val="nil"/>
            </w:tcBorders>
            <w:vAlign w:val="center"/>
          </w:tcPr>
          <w:p>
            <w:pPr>
              <w:autoSpaceDE w:val="0"/>
              <w:autoSpaceDN w:val="0"/>
              <w:adjustRightInd w:val="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jc w:val="left"/>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中密和稍密的碎石土、砾砂、粗砂、中砂，密实和中密的细砂、粉砂，150&lt;</w:t>
            </w:r>
            <w:r>
              <w:rPr>
                <w:rFonts w:ascii="Times New Roman" w:hAnsi="Times New Roman" w:eastAsia="宋体"/>
                <w:i/>
                <w:iCs/>
                <w:color w:val="auto"/>
                <w:sz w:val="20"/>
                <w:szCs w:val="20"/>
                <w:highlight w:val="none"/>
              </w:rPr>
              <w:t>f</w:t>
            </w:r>
            <w:r>
              <w:rPr>
                <w:rFonts w:ascii="Times New Roman" w:hAnsi="Times New Roman" w:eastAsia="宋体"/>
                <w:color w:val="auto"/>
                <w:sz w:val="20"/>
                <w:szCs w:val="20"/>
                <w:highlight w:val="none"/>
                <w:vertAlign w:val="subscript"/>
              </w:rPr>
              <w:t>ak</w:t>
            </w:r>
            <w:r>
              <w:rPr>
                <w:rFonts w:hint="eastAsia" w:ascii="宋体" w:hAnsi="宋体" w:eastAsia="宋体" w:cs="宋体"/>
                <w:bCs/>
                <w:color w:val="auto"/>
                <w:sz w:val="20"/>
                <w:szCs w:val="20"/>
                <w:highlight w:val="none"/>
              </w:rPr>
              <w:t>≤</w:t>
            </w:r>
            <w:r>
              <w:rPr>
                <w:rFonts w:ascii="Times New Roman" w:hAnsi="Times New Roman" w:eastAsia="宋体"/>
                <w:color w:val="auto"/>
                <w:sz w:val="20"/>
                <w:szCs w:val="20"/>
                <w:highlight w:val="none"/>
              </w:rPr>
              <w:t>300的黏性土和粉土</w:t>
            </w:r>
          </w:p>
        </w:tc>
        <w:tc>
          <w:tcPr>
            <w:tcW w:w="1271" w:type="dxa"/>
            <w:tcBorders>
              <w:tl2br w:val="nil"/>
              <w:tr2bl w:val="nil"/>
            </w:tcBorders>
            <w:vAlign w:val="center"/>
          </w:tcPr>
          <w:p>
            <w:pPr>
              <w:autoSpaceDE w:val="0"/>
              <w:autoSpaceDN w:val="0"/>
              <w:adjustRightInd w:val="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jc w:val="left"/>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稍密的细砂、粉砂，100kPa&lt;</w:t>
            </w:r>
            <w:r>
              <w:rPr>
                <w:rFonts w:ascii="Times New Roman" w:hAnsi="Times New Roman" w:eastAsia="宋体"/>
                <w:i/>
                <w:iCs/>
                <w:color w:val="auto"/>
                <w:sz w:val="20"/>
                <w:szCs w:val="20"/>
                <w:highlight w:val="none"/>
              </w:rPr>
              <w:t>f</w:t>
            </w:r>
            <w:r>
              <w:rPr>
                <w:rFonts w:ascii="Times New Roman" w:hAnsi="Times New Roman" w:eastAsia="宋体"/>
                <w:color w:val="auto"/>
                <w:sz w:val="20"/>
                <w:szCs w:val="20"/>
                <w:highlight w:val="none"/>
                <w:vertAlign w:val="subscript"/>
              </w:rPr>
              <w:t>ak</w:t>
            </w:r>
            <w:r>
              <w:rPr>
                <w:rFonts w:hint="eastAsia" w:ascii="宋体" w:hAnsi="宋体" w:eastAsia="宋体" w:cs="宋体"/>
                <w:bCs/>
                <w:color w:val="auto"/>
                <w:sz w:val="20"/>
                <w:szCs w:val="20"/>
                <w:highlight w:val="none"/>
              </w:rPr>
              <w:t>≤</w:t>
            </w:r>
            <w:r>
              <w:rPr>
                <w:rFonts w:ascii="Times New Roman" w:hAnsi="Times New Roman" w:eastAsia="宋体"/>
                <w:color w:val="auto"/>
                <w:sz w:val="20"/>
                <w:szCs w:val="20"/>
                <w:highlight w:val="none"/>
              </w:rPr>
              <w:t>150的黏性土和粉土</w:t>
            </w:r>
            <w:r>
              <w:rPr>
                <w:rFonts w:ascii="Times New Roman" w:hAnsi="Times New Roman" w:eastAsia="宋体"/>
                <w:bCs/>
                <w:color w:val="auto"/>
                <w:sz w:val="20"/>
                <w:szCs w:val="20"/>
                <w:highlight w:val="none"/>
              </w:rPr>
              <w:t>，</w:t>
            </w:r>
            <w:r>
              <w:rPr>
                <w:rFonts w:ascii="Times New Roman" w:hAnsi="Times New Roman" w:eastAsia="宋体"/>
                <w:bCs/>
                <w:i/>
                <w:iCs/>
                <w:color w:val="auto"/>
                <w:sz w:val="20"/>
                <w:szCs w:val="20"/>
                <w:highlight w:val="none"/>
              </w:rPr>
              <w:t>f</w:t>
            </w:r>
            <w:r>
              <w:rPr>
                <w:rFonts w:ascii="Times New Roman" w:hAnsi="Times New Roman" w:eastAsia="宋体"/>
                <w:color w:val="auto"/>
                <w:sz w:val="20"/>
                <w:szCs w:val="20"/>
                <w:highlight w:val="none"/>
                <w:vertAlign w:val="subscript"/>
              </w:rPr>
              <w:t>ak</w:t>
            </w:r>
            <w:r>
              <w:rPr>
                <w:rFonts w:ascii="Times New Roman" w:hAnsi="Times New Roman" w:eastAsia="宋体"/>
                <w:bCs/>
                <w:color w:val="auto"/>
                <w:sz w:val="20"/>
                <w:szCs w:val="20"/>
                <w:highlight w:val="none"/>
              </w:rPr>
              <w:t>&gt;130的填土</w:t>
            </w:r>
          </w:p>
        </w:tc>
        <w:tc>
          <w:tcPr>
            <w:tcW w:w="1271" w:type="dxa"/>
            <w:tcBorders>
              <w:tl2br w:val="nil"/>
              <w:tr2bl w:val="nil"/>
            </w:tcBorders>
            <w:vAlign w:val="center"/>
          </w:tcPr>
          <w:p>
            <w:pPr>
              <w:autoSpaceDE w:val="0"/>
              <w:autoSpaceDN w:val="0"/>
              <w:adjustRightInd w:val="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jc w:val="left"/>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淤泥和淤泥质土，松散的砂，</w:t>
            </w:r>
            <w:r>
              <w:rPr>
                <w:rFonts w:ascii="Times New Roman" w:hAnsi="Times New Roman" w:eastAsia="宋体"/>
                <w:bCs/>
                <w:color w:val="auto"/>
                <w:sz w:val="20"/>
                <w:szCs w:val="20"/>
                <w:highlight w:val="none"/>
              </w:rPr>
              <w:t>新近沉积的黏性土和粉土，</w:t>
            </w:r>
            <w:r>
              <w:rPr>
                <w:rFonts w:ascii="Times New Roman" w:hAnsi="Times New Roman" w:eastAsia="宋体"/>
                <w:bCs/>
                <w:i/>
                <w:iCs/>
                <w:color w:val="auto"/>
                <w:sz w:val="20"/>
                <w:szCs w:val="20"/>
                <w:highlight w:val="none"/>
              </w:rPr>
              <w:t>f</w:t>
            </w:r>
            <w:r>
              <w:rPr>
                <w:rFonts w:ascii="Times New Roman" w:hAnsi="Times New Roman" w:eastAsia="宋体"/>
                <w:color w:val="auto"/>
                <w:sz w:val="20"/>
                <w:szCs w:val="20"/>
                <w:highlight w:val="none"/>
                <w:vertAlign w:val="subscript"/>
              </w:rPr>
              <w:t>ak</w:t>
            </w:r>
            <w:r>
              <w:rPr>
                <w:rFonts w:hint="eastAsia" w:ascii="宋体" w:hAnsi="宋体" w:eastAsia="宋体" w:cs="宋体"/>
                <w:bCs/>
                <w:color w:val="auto"/>
                <w:sz w:val="20"/>
                <w:szCs w:val="20"/>
                <w:highlight w:val="none"/>
              </w:rPr>
              <w:t>≤</w:t>
            </w:r>
            <w:r>
              <w:rPr>
                <w:rFonts w:ascii="Times New Roman" w:hAnsi="Times New Roman" w:eastAsia="宋体"/>
                <w:bCs/>
                <w:color w:val="auto"/>
                <w:sz w:val="20"/>
                <w:szCs w:val="20"/>
                <w:highlight w:val="none"/>
              </w:rPr>
              <w:t>130的</w:t>
            </w:r>
            <w:r>
              <w:rPr>
                <w:rFonts w:ascii="Times New Roman" w:hAnsi="Times New Roman" w:eastAsia="宋体"/>
                <w:color w:val="auto"/>
                <w:sz w:val="20"/>
                <w:szCs w:val="20"/>
                <w:highlight w:val="none"/>
              </w:rPr>
              <w:t>填土</w:t>
            </w:r>
          </w:p>
        </w:tc>
        <w:tc>
          <w:tcPr>
            <w:tcW w:w="1271" w:type="dxa"/>
            <w:tcBorders>
              <w:tl2br w:val="nil"/>
              <w:tr2bl w:val="nil"/>
            </w:tcBorders>
            <w:vAlign w:val="center"/>
          </w:tcPr>
          <w:p>
            <w:pPr>
              <w:autoSpaceDE w:val="0"/>
              <w:autoSpaceDN w:val="0"/>
              <w:adjustRightInd w:val="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p>
        </w:tc>
      </w:tr>
    </w:tbl>
    <w:p>
      <w:pPr>
        <w:autoSpaceDE w:val="0"/>
        <w:rPr>
          <w:rFonts w:ascii="Times New Roman" w:hAnsi="Times New Roman" w:eastAsia="宋体"/>
          <w:bCs/>
          <w:color w:val="auto"/>
          <w:sz w:val="20"/>
          <w:szCs w:val="20"/>
          <w:highlight w:val="none"/>
        </w:rPr>
      </w:pPr>
      <w:r>
        <w:rPr>
          <w:rFonts w:ascii="Times New Roman" w:hAnsi="Times New Roman" w:eastAsia="宋体"/>
          <w:bCs/>
          <w:color w:val="auto"/>
          <w:sz w:val="20"/>
          <w:szCs w:val="20"/>
          <w:highlight w:val="none"/>
        </w:rPr>
        <w:t>注：</w:t>
      </w:r>
      <w:r>
        <w:rPr>
          <w:rFonts w:ascii="Times New Roman" w:hAnsi="Times New Roman" w:eastAsia="宋体"/>
          <w:bCs/>
          <w:i/>
          <w:iCs/>
          <w:color w:val="auto"/>
          <w:sz w:val="20"/>
          <w:szCs w:val="20"/>
          <w:highlight w:val="none"/>
        </w:rPr>
        <w:t>f</w:t>
      </w:r>
      <w:r>
        <w:rPr>
          <w:rFonts w:ascii="Times New Roman" w:hAnsi="Times New Roman" w:eastAsia="宋体"/>
          <w:color w:val="auto"/>
          <w:sz w:val="20"/>
          <w:szCs w:val="20"/>
          <w:highlight w:val="none"/>
          <w:vertAlign w:val="subscript"/>
        </w:rPr>
        <w:t>ak</w:t>
      </w:r>
      <w:r>
        <w:rPr>
          <w:rFonts w:ascii="Times New Roman" w:hAnsi="Times New Roman" w:eastAsia="宋体"/>
          <w:bCs/>
          <w:color w:val="auto"/>
          <w:sz w:val="20"/>
          <w:szCs w:val="20"/>
          <w:highlight w:val="none"/>
        </w:rPr>
        <w:t>为由载荷试验等方法得到的地基承载力特征值，单位kPa；</w:t>
      </w:r>
      <w:r>
        <w:rPr>
          <w:rFonts w:ascii="Times New Roman" w:hAnsi="Times New Roman" w:eastAsia="宋体"/>
          <w:i/>
          <w:iCs/>
          <w:color w:val="auto"/>
          <w:sz w:val="20"/>
          <w:szCs w:val="20"/>
          <w:highlight w:val="none"/>
        </w:rPr>
        <w:t>ζ</w:t>
      </w:r>
      <w:r>
        <w:rPr>
          <w:rFonts w:ascii="Times New Roman" w:hAnsi="Times New Roman" w:eastAsia="宋体"/>
          <w:color w:val="auto"/>
          <w:sz w:val="20"/>
          <w:szCs w:val="20"/>
          <w:highlight w:val="none"/>
          <w:vertAlign w:val="subscript"/>
        </w:rPr>
        <w:t>a</w:t>
      </w:r>
      <w:r>
        <w:rPr>
          <w:rFonts w:ascii="Times New Roman" w:hAnsi="Times New Roman" w:eastAsia="宋体"/>
          <w:bCs/>
          <w:color w:val="auto"/>
          <w:sz w:val="20"/>
          <w:szCs w:val="20"/>
          <w:highlight w:val="none"/>
        </w:rPr>
        <w:t>为地基抗震承载力调整系数。</w:t>
      </w:r>
    </w:p>
    <w:p>
      <w:pPr>
        <w:autoSpaceDE w:val="0"/>
        <w:autoSpaceDN w:val="0"/>
        <w:adjustRightInd w:val="0"/>
        <w:spacing w:line="360" w:lineRule="auto"/>
        <w:ind w:firstLine="420" w:firstLineChars="200"/>
        <w:jc w:val="left"/>
        <w:rPr>
          <w:rFonts w:hint="default" w:ascii="Times New Roman" w:hAnsi="Times New Roman" w:eastAsia="宋体"/>
          <w:color w:val="auto"/>
          <w:kern w:val="0"/>
          <w:szCs w:val="21"/>
          <w:highlight w:val="none"/>
          <w:lang w:val="en-US" w:eastAsia="zh-CN"/>
        </w:rPr>
      </w:pPr>
      <w:r>
        <w:rPr>
          <w:rFonts w:ascii="Times New Roman" w:hAnsi="Times New Roman" w:eastAsia="宋体"/>
          <w:color w:val="auto"/>
          <w:kern w:val="0"/>
          <w:szCs w:val="21"/>
          <w:highlight w:val="none"/>
        </w:rPr>
        <w:t>Ⅱ类场地的基本地震动峰值加速度调整系数和基本地震动加速度反应谱特征周期应按工程所处乡镇、街道从《中国地震动参数区划图》GB 18306上查取；</w:t>
      </w:r>
      <w:r>
        <w:rPr>
          <w:rFonts w:hint="eastAsia" w:ascii="Times New Roman" w:hAnsi="Times New Roman" w:eastAsia="宋体"/>
          <w:color w:val="auto"/>
          <w:kern w:val="0"/>
          <w:szCs w:val="21"/>
          <w:highlight w:val="none"/>
          <w:lang w:val="en-US" w:eastAsia="zh-CN"/>
        </w:rPr>
        <w:t>应注意的是，</w:t>
      </w:r>
      <w:r>
        <w:rPr>
          <w:rFonts w:ascii="Times New Roman" w:hAnsi="Times New Roman" w:eastAsia="宋体"/>
          <w:color w:val="auto"/>
          <w:highlight w:val="none"/>
        </w:rPr>
        <w:t>《建筑抗震设计规范》</w:t>
      </w:r>
      <w:r>
        <w:rPr>
          <w:rFonts w:ascii="Times New Roman" w:hAnsi="Times New Roman" w:eastAsia="宋体"/>
          <w:color w:val="auto"/>
          <w:szCs w:val="21"/>
          <w:highlight w:val="none"/>
        </w:rPr>
        <w:t>GB 50021</w:t>
      </w:r>
      <w:r>
        <w:rPr>
          <w:rFonts w:hint="eastAsia" w:ascii="Times New Roman" w:hAnsi="Times New Roman" w:eastAsia="宋体"/>
          <w:color w:val="auto"/>
          <w:szCs w:val="21"/>
          <w:highlight w:val="none"/>
          <w:lang w:val="en-US" w:eastAsia="zh-CN"/>
        </w:rPr>
        <w:t>所能查到的</w:t>
      </w:r>
      <w:r>
        <w:rPr>
          <w:rFonts w:ascii="Times New Roman" w:hAnsi="Times New Roman" w:eastAsia="宋体"/>
          <w:color w:val="auto"/>
          <w:kern w:val="0"/>
          <w:szCs w:val="21"/>
          <w:highlight w:val="none"/>
        </w:rPr>
        <w:t>基本地震动加速度</w:t>
      </w:r>
      <w:r>
        <w:rPr>
          <w:rFonts w:hint="eastAsia" w:ascii="Times New Roman" w:hAnsi="Times New Roman" w:eastAsia="宋体"/>
          <w:color w:val="auto"/>
          <w:kern w:val="0"/>
          <w:szCs w:val="21"/>
          <w:highlight w:val="none"/>
          <w:lang w:val="en-US" w:eastAsia="zh-CN"/>
        </w:rPr>
        <w:t>仅能查到县区一级，镇街一级需要</w:t>
      </w:r>
      <w:r>
        <w:rPr>
          <w:rFonts w:ascii="Times New Roman" w:hAnsi="Times New Roman" w:eastAsia="宋体"/>
          <w:color w:val="auto"/>
          <w:kern w:val="0"/>
          <w:szCs w:val="21"/>
          <w:highlight w:val="none"/>
        </w:rPr>
        <w:t>从《中国地震动参数区划图》GB 18306上查取</w:t>
      </w:r>
      <w:r>
        <w:rPr>
          <w:rFonts w:hint="eastAsia" w:ascii="Times New Roman" w:hAnsi="Times New Roman" w:eastAsia="宋体"/>
          <w:color w:val="auto"/>
          <w:kern w:val="0"/>
          <w:szCs w:val="21"/>
          <w:highlight w:val="none"/>
          <w:lang w:eastAsia="zh-CN"/>
        </w:rPr>
        <w:t>。</w:t>
      </w:r>
      <w:r>
        <w:rPr>
          <w:rFonts w:hint="eastAsia" w:ascii="Times New Roman" w:hAnsi="Times New Roman" w:eastAsia="宋体"/>
          <w:color w:val="auto"/>
          <w:kern w:val="0"/>
          <w:szCs w:val="21"/>
          <w:highlight w:val="none"/>
          <w:lang w:val="en-US" w:eastAsia="zh-CN"/>
        </w:rPr>
        <w:t>在广州市，根据</w:t>
      </w:r>
      <w:r>
        <w:rPr>
          <w:rFonts w:ascii="Times New Roman" w:hAnsi="Times New Roman" w:eastAsia="宋体"/>
          <w:color w:val="auto"/>
          <w:highlight w:val="none"/>
        </w:rPr>
        <w:t>《建筑抗震设计规范》</w:t>
      </w:r>
      <w:r>
        <w:rPr>
          <w:rFonts w:ascii="Times New Roman" w:hAnsi="Times New Roman" w:eastAsia="宋体"/>
          <w:color w:val="auto"/>
          <w:szCs w:val="21"/>
          <w:highlight w:val="none"/>
        </w:rPr>
        <w:t>GB 50021</w:t>
      </w:r>
      <w:r>
        <w:rPr>
          <w:rFonts w:hint="eastAsia" w:ascii="Times New Roman" w:hAnsi="Times New Roman" w:eastAsia="宋体"/>
          <w:color w:val="auto"/>
          <w:szCs w:val="21"/>
          <w:highlight w:val="none"/>
          <w:lang w:eastAsia="zh-CN"/>
        </w:rPr>
        <w:t>，</w:t>
      </w:r>
      <w:r>
        <w:rPr>
          <w:rFonts w:hint="eastAsia" w:ascii="Times New Roman" w:hAnsi="Times New Roman" w:eastAsia="宋体"/>
          <w:color w:val="auto"/>
          <w:kern w:val="0"/>
          <w:szCs w:val="21"/>
          <w:highlight w:val="none"/>
          <w:lang w:val="en-US" w:eastAsia="zh-CN"/>
        </w:rPr>
        <w:t>白云区基本地震烈度7度，基本地震加速度0.10g，仅表示白云区中心城区地震烈度和加速度；根据</w:t>
      </w:r>
      <w:r>
        <w:rPr>
          <w:rFonts w:ascii="Times New Roman" w:hAnsi="Times New Roman" w:eastAsia="宋体"/>
          <w:color w:val="auto"/>
          <w:kern w:val="0"/>
          <w:szCs w:val="21"/>
          <w:highlight w:val="none"/>
        </w:rPr>
        <w:t>《中国地震动参数区划图》GB 18306</w:t>
      </w:r>
      <w:r>
        <w:rPr>
          <w:rFonts w:hint="eastAsia" w:ascii="Times New Roman" w:hAnsi="Times New Roman" w:eastAsia="宋体"/>
          <w:color w:val="auto"/>
          <w:kern w:val="0"/>
          <w:szCs w:val="21"/>
          <w:highlight w:val="none"/>
          <w:lang w:val="en-US" w:eastAsia="zh-CN"/>
        </w:rPr>
        <w:t>，</w:t>
      </w:r>
    </w:p>
    <w:p>
      <w:pPr>
        <w:autoSpaceDE w:val="0"/>
        <w:autoSpaceDN w:val="0"/>
        <w:adjustRightInd w:val="0"/>
        <w:spacing w:line="360" w:lineRule="auto"/>
        <w:ind w:firstLine="420" w:firstLineChars="200"/>
        <w:jc w:val="left"/>
        <w:rPr>
          <w:rFonts w:ascii="Times New Roman" w:hAnsi="Times New Roman" w:eastAsia="宋体"/>
          <w:color w:val="auto"/>
          <w:kern w:val="0"/>
          <w:szCs w:val="21"/>
          <w:highlight w:val="none"/>
        </w:rPr>
      </w:pPr>
      <w:r>
        <w:rPr>
          <w:rFonts w:ascii="Times New Roman" w:hAnsi="Times New Roman" w:eastAsia="宋体"/>
          <w:color w:val="auto"/>
          <w:szCs w:val="21"/>
          <w:highlight w:val="none"/>
        </w:rPr>
        <w:t>各类</w:t>
      </w:r>
      <w:r>
        <w:rPr>
          <w:rFonts w:ascii="Times New Roman" w:hAnsi="Times New Roman" w:eastAsia="宋体"/>
          <w:color w:val="auto"/>
          <w:kern w:val="0"/>
          <w:szCs w:val="21"/>
          <w:highlight w:val="none"/>
        </w:rPr>
        <w:t>场地的地震动峰值加速度调整系数</w:t>
      </w:r>
      <w:r>
        <w:rPr>
          <w:rFonts w:ascii="Times New Roman" w:hAnsi="Times New Roman" w:eastAsia="宋体"/>
          <w:i/>
          <w:iCs/>
          <w:color w:val="auto"/>
          <w:kern w:val="0"/>
          <w:szCs w:val="21"/>
          <w:highlight w:val="none"/>
        </w:rPr>
        <w:t>F</w:t>
      </w:r>
      <w:r>
        <w:rPr>
          <w:rFonts w:ascii="Times New Roman" w:hAnsi="Times New Roman" w:eastAsia="宋体"/>
          <w:color w:val="auto"/>
          <w:kern w:val="0"/>
          <w:szCs w:val="21"/>
          <w:highlight w:val="none"/>
          <w:vertAlign w:val="subscript"/>
        </w:rPr>
        <w:t>a</w:t>
      </w:r>
      <w:r>
        <w:rPr>
          <w:rFonts w:ascii="Times New Roman" w:hAnsi="Times New Roman" w:eastAsia="宋体"/>
          <w:color w:val="auto"/>
          <w:kern w:val="0"/>
          <w:szCs w:val="21"/>
          <w:highlight w:val="none"/>
        </w:rPr>
        <w:t>可按表</w:t>
      </w:r>
      <w:r>
        <w:rPr>
          <w:rFonts w:hint="eastAsia" w:ascii="Times New Roman" w:hAnsi="Times New Roman" w:eastAsia="宋体"/>
          <w:color w:val="auto"/>
          <w:kern w:val="0"/>
          <w:szCs w:val="21"/>
          <w:highlight w:val="none"/>
          <w:lang w:val="en-US" w:eastAsia="zh-CN"/>
        </w:rPr>
        <w:t>3-6</w:t>
      </w:r>
      <w:r>
        <w:rPr>
          <w:rFonts w:ascii="Times New Roman" w:hAnsi="Times New Roman" w:eastAsia="宋体"/>
          <w:color w:val="auto"/>
          <w:kern w:val="0"/>
          <w:szCs w:val="21"/>
          <w:highlight w:val="none"/>
        </w:rPr>
        <w:t>采用；</w:t>
      </w:r>
      <w:r>
        <w:rPr>
          <w:rFonts w:ascii="Times New Roman" w:hAnsi="Times New Roman" w:eastAsia="宋体"/>
          <w:color w:val="auto"/>
          <w:szCs w:val="21"/>
          <w:highlight w:val="none"/>
        </w:rPr>
        <w:t>各类</w:t>
      </w:r>
      <w:r>
        <w:rPr>
          <w:rFonts w:ascii="Times New Roman" w:hAnsi="Times New Roman" w:eastAsia="宋体"/>
          <w:color w:val="auto"/>
          <w:kern w:val="0"/>
          <w:szCs w:val="21"/>
          <w:highlight w:val="none"/>
        </w:rPr>
        <w:t>场地的基本地震动加速度反应谱特征周期可按表</w:t>
      </w:r>
      <w:r>
        <w:rPr>
          <w:rFonts w:hint="eastAsia" w:ascii="Times New Roman" w:hAnsi="Times New Roman" w:eastAsia="宋体"/>
          <w:color w:val="auto"/>
          <w:kern w:val="0"/>
          <w:szCs w:val="21"/>
          <w:highlight w:val="none"/>
          <w:lang w:val="en-US" w:eastAsia="zh-CN"/>
        </w:rPr>
        <w:t>3-7</w:t>
      </w:r>
      <w:r>
        <w:rPr>
          <w:rFonts w:ascii="Times New Roman" w:hAnsi="Times New Roman" w:eastAsia="宋体"/>
          <w:color w:val="auto"/>
          <w:kern w:val="0"/>
          <w:szCs w:val="21"/>
          <w:highlight w:val="none"/>
        </w:rPr>
        <w:t>采用。</w:t>
      </w:r>
    </w:p>
    <w:p>
      <w:pPr>
        <w:jc w:val="center"/>
        <w:rPr>
          <w:rFonts w:ascii="Times New Roman" w:hAnsi="Times New Roman" w:eastAsia="宋体"/>
          <w:b/>
          <w:color w:val="auto"/>
          <w:kern w:val="0"/>
          <w:szCs w:val="21"/>
          <w:highlight w:val="none"/>
        </w:rPr>
      </w:pPr>
      <w:r>
        <w:rPr>
          <w:rFonts w:ascii="Times New Roman" w:hAnsi="Times New Roman" w:eastAsia="宋体"/>
          <w:b/>
          <w:color w:val="auto"/>
          <w:szCs w:val="21"/>
          <w:highlight w:val="none"/>
        </w:rPr>
        <w:t>表</w:t>
      </w:r>
      <w:r>
        <w:rPr>
          <w:rFonts w:hint="eastAsia" w:ascii="Times New Roman" w:hAnsi="Times New Roman" w:eastAsia="宋体"/>
          <w:b/>
          <w:color w:val="auto"/>
          <w:szCs w:val="21"/>
          <w:highlight w:val="none"/>
          <w:lang w:val="en-US" w:eastAsia="zh-CN"/>
        </w:rPr>
        <w:t>3-6</w:t>
      </w:r>
      <w:r>
        <w:rPr>
          <w:rFonts w:ascii="Times New Roman" w:hAnsi="Times New Roman" w:eastAsia="宋体"/>
          <w:b/>
          <w:color w:val="auto"/>
          <w:szCs w:val="21"/>
          <w:highlight w:val="none"/>
        </w:rPr>
        <w:t xml:space="preserve">  场地地震动峰值加速度调整系数</w:t>
      </w:r>
      <w:r>
        <w:rPr>
          <w:rFonts w:ascii="Times New Roman" w:hAnsi="Times New Roman" w:eastAsia="宋体"/>
          <w:b/>
          <w:i/>
          <w:iCs/>
          <w:color w:val="auto"/>
          <w:kern w:val="0"/>
          <w:szCs w:val="21"/>
          <w:highlight w:val="none"/>
        </w:rPr>
        <w:t>F</w:t>
      </w:r>
      <w:r>
        <w:rPr>
          <w:rFonts w:ascii="Times New Roman" w:hAnsi="Times New Roman" w:eastAsia="宋体"/>
          <w:b/>
          <w:color w:val="auto"/>
          <w:kern w:val="0"/>
          <w:szCs w:val="21"/>
          <w:highlight w:val="none"/>
          <w:vertAlign w:val="subscript"/>
        </w:rPr>
        <w:t>a</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62"/>
        <w:gridCol w:w="1273"/>
        <w:gridCol w:w="1273"/>
        <w:gridCol w:w="1273"/>
        <w:gridCol w:w="1273"/>
        <w:gridCol w:w="12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62" w:type="dxa"/>
            <w:vMerge w:val="restart"/>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Ⅱ类场地地震动峰值加速度值</w:t>
            </w:r>
          </w:p>
        </w:tc>
        <w:tc>
          <w:tcPr>
            <w:tcW w:w="6369" w:type="dxa"/>
            <w:gridSpan w:val="5"/>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场地类别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62" w:type="dxa"/>
            <w:vMerge w:val="continue"/>
            <w:tcBorders>
              <w:tl2br w:val="nil"/>
              <w:tr2bl w:val="nil"/>
            </w:tcBorders>
            <w:vAlign w:val="center"/>
          </w:tcPr>
          <w:p>
            <w:pPr>
              <w:jc w:val="center"/>
              <w:rPr>
                <w:rFonts w:ascii="Times New Roman" w:hAnsi="Times New Roman" w:eastAsia="宋体"/>
                <w:color w:val="auto"/>
                <w:sz w:val="18"/>
                <w:szCs w:val="18"/>
                <w:highlight w:val="none"/>
              </w:rPr>
            </w:pPr>
          </w:p>
        </w:tc>
        <w:tc>
          <w:tcPr>
            <w:tcW w:w="127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Ⅰ</w:t>
            </w:r>
            <w:r>
              <w:rPr>
                <w:rFonts w:ascii="Times New Roman" w:hAnsi="Times New Roman" w:eastAsia="宋体"/>
                <w:color w:val="auto"/>
                <w:sz w:val="18"/>
                <w:szCs w:val="18"/>
                <w:highlight w:val="none"/>
                <w:vertAlign w:val="subscript"/>
              </w:rPr>
              <w:t>0</w:t>
            </w:r>
          </w:p>
        </w:tc>
        <w:tc>
          <w:tcPr>
            <w:tcW w:w="127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Ⅰ</w:t>
            </w:r>
            <w:r>
              <w:rPr>
                <w:rFonts w:ascii="Times New Roman" w:hAnsi="Times New Roman" w:eastAsia="宋体"/>
                <w:color w:val="auto"/>
                <w:sz w:val="18"/>
                <w:szCs w:val="18"/>
                <w:highlight w:val="none"/>
                <w:vertAlign w:val="subscript"/>
              </w:rPr>
              <w:t>1</w:t>
            </w:r>
          </w:p>
        </w:tc>
        <w:tc>
          <w:tcPr>
            <w:tcW w:w="127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Ⅱ</w:t>
            </w:r>
          </w:p>
        </w:tc>
        <w:tc>
          <w:tcPr>
            <w:tcW w:w="127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Ⅲ</w:t>
            </w:r>
          </w:p>
        </w:tc>
        <w:tc>
          <w:tcPr>
            <w:tcW w:w="1277"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62"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0.05g</w:t>
            </w:r>
          </w:p>
        </w:tc>
        <w:tc>
          <w:tcPr>
            <w:tcW w:w="127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0.72</w:t>
            </w:r>
          </w:p>
        </w:tc>
        <w:tc>
          <w:tcPr>
            <w:tcW w:w="127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0.80</w:t>
            </w:r>
          </w:p>
        </w:tc>
        <w:tc>
          <w:tcPr>
            <w:tcW w:w="127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1.00</w:t>
            </w:r>
          </w:p>
        </w:tc>
        <w:tc>
          <w:tcPr>
            <w:tcW w:w="127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1.30</w:t>
            </w:r>
          </w:p>
        </w:tc>
        <w:tc>
          <w:tcPr>
            <w:tcW w:w="1277"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62"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0.10g</w:t>
            </w:r>
          </w:p>
        </w:tc>
        <w:tc>
          <w:tcPr>
            <w:tcW w:w="127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0.74</w:t>
            </w:r>
          </w:p>
        </w:tc>
        <w:tc>
          <w:tcPr>
            <w:tcW w:w="127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0.82</w:t>
            </w:r>
          </w:p>
        </w:tc>
        <w:tc>
          <w:tcPr>
            <w:tcW w:w="127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1.00</w:t>
            </w:r>
          </w:p>
        </w:tc>
        <w:tc>
          <w:tcPr>
            <w:tcW w:w="127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1.25</w:t>
            </w:r>
          </w:p>
        </w:tc>
        <w:tc>
          <w:tcPr>
            <w:tcW w:w="1277"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62"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0.15g</w:t>
            </w:r>
          </w:p>
        </w:tc>
        <w:tc>
          <w:tcPr>
            <w:tcW w:w="127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0.75</w:t>
            </w:r>
          </w:p>
        </w:tc>
        <w:tc>
          <w:tcPr>
            <w:tcW w:w="127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0.83</w:t>
            </w:r>
          </w:p>
        </w:tc>
        <w:tc>
          <w:tcPr>
            <w:tcW w:w="127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1.00</w:t>
            </w:r>
          </w:p>
        </w:tc>
        <w:tc>
          <w:tcPr>
            <w:tcW w:w="127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1.15</w:t>
            </w:r>
          </w:p>
        </w:tc>
        <w:tc>
          <w:tcPr>
            <w:tcW w:w="1277"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62"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0.20g</w:t>
            </w:r>
          </w:p>
        </w:tc>
        <w:tc>
          <w:tcPr>
            <w:tcW w:w="127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0.76</w:t>
            </w:r>
          </w:p>
        </w:tc>
        <w:tc>
          <w:tcPr>
            <w:tcW w:w="127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0.85</w:t>
            </w:r>
          </w:p>
        </w:tc>
        <w:tc>
          <w:tcPr>
            <w:tcW w:w="127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1.00</w:t>
            </w:r>
          </w:p>
        </w:tc>
        <w:tc>
          <w:tcPr>
            <w:tcW w:w="127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1.00</w:t>
            </w:r>
          </w:p>
        </w:tc>
        <w:tc>
          <w:tcPr>
            <w:tcW w:w="1277"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1.00</w:t>
            </w:r>
          </w:p>
        </w:tc>
      </w:tr>
    </w:tbl>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ascii="Times New Roman" w:hAnsi="Times New Roman" w:eastAsia="宋体"/>
          <w:b/>
          <w:color w:val="auto"/>
          <w:szCs w:val="21"/>
          <w:highlight w:val="none"/>
        </w:rPr>
      </w:pPr>
      <w:r>
        <w:rPr>
          <w:rFonts w:ascii="Times New Roman" w:hAnsi="Times New Roman" w:eastAsia="宋体"/>
          <w:b/>
          <w:color w:val="auto"/>
          <w:szCs w:val="21"/>
          <w:highlight w:val="none"/>
        </w:rPr>
        <w:t>表</w:t>
      </w:r>
      <w:r>
        <w:rPr>
          <w:rFonts w:hint="eastAsia" w:ascii="Times New Roman" w:hAnsi="Times New Roman" w:eastAsia="宋体"/>
          <w:b/>
          <w:color w:val="auto"/>
          <w:szCs w:val="21"/>
          <w:highlight w:val="none"/>
          <w:lang w:val="en-US" w:eastAsia="zh-CN"/>
        </w:rPr>
        <w:t>3-7</w:t>
      </w:r>
      <w:r>
        <w:rPr>
          <w:rFonts w:ascii="Times New Roman" w:hAnsi="Times New Roman" w:eastAsia="宋体"/>
          <w:b/>
          <w:color w:val="auto"/>
          <w:szCs w:val="21"/>
          <w:highlight w:val="none"/>
        </w:rPr>
        <w:t xml:space="preserve">  场地基本地震动加速度反应谱特征周期（s）</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78"/>
        <w:gridCol w:w="1093"/>
        <w:gridCol w:w="1093"/>
        <w:gridCol w:w="1093"/>
        <w:gridCol w:w="1093"/>
        <w:gridCol w:w="10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778" w:type="dxa"/>
            <w:vMerge w:val="restart"/>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Ⅱ类场地基本地震动</w:t>
            </w:r>
          </w:p>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加速度反应谱特征周期分区值</w:t>
            </w:r>
          </w:p>
        </w:tc>
        <w:tc>
          <w:tcPr>
            <w:tcW w:w="5468" w:type="dxa"/>
            <w:gridSpan w:val="5"/>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场地类别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778" w:type="dxa"/>
            <w:vMerge w:val="continue"/>
            <w:tcBorders>
              <w:tl2br w:val="nil"/>
              <w:tr2bl w:val="nil"/>
            </w:tcBorders>
            <w:vAlign w:val="center"/>
          </w:tcPr>
          <w:p>
            <w:pPr>
              <w:jc w:val="center"/>
              <w:rPr>
                <w:rFonts w:ascii="Times New Roman" w:hAnsi="Times New Roman" w:eastAsia="宋体"/>
                <w:color w:val="auto"/>
                <w:sz w:val="18"/>
                <w:szCs w:val="18"/>
                <w:highlight w:val="none"/>
              </w:rPr>
            </w:pPr>
          </w:p>
        </w:tc>
        <w:tc>
          <w:tcPr>
            <w:tcW w:w="109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Ⅰ</w:t>
            </w:r>
            <w:r>
              <w:rPr>
                <w:rFonts w:ascii="Times New Roman" w:hAnsi="Times New Roman" w:eastAsia="宋体"/>
                <w:color w:val="auto"/>
                <w:sz w:val="18"/>
                <w:szCs w:val="18"/>
                <w:highlight w:val="none"/>
                <w:vertAlign w:val="subscript"/>
              </w:rPr>
              <w:t>0</w:t>
            </w:r>
          </w:p>
        </w:tc>
        <w:tc>
          <w:tcPr>
            <w:tcW w:w="109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Ⅰ</w:t>
            </w:r>
            <w:r>
              <w:rPr>
                <w:rFonts w:ascii="Times New Roman" w:hAnsi="Times New Roman" w:eastAsia="宋体"/>
                <w:color w:val="auto"/>
                <w:sz w:val="18"/>
                <w:szCs w:val="18"/>
                <w:highlight w:val="none"/>
                <w:vertAlign w:val="subscript"/>
              </w:rPr>
              <w:t>1</w:t>
            </w:r>
          </w:p>
        </w:tc>
        <w:tc>
          <w:tcPr>
            <w:tcW w:w="109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Ⅱ</w:t>
            </w:r>
          </w:p>
        </w:tc>
        <w:tc>
          <w:tcPr>
            <w:tcW w:w="109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Ⅲ</w:t>
            </w:r>
          </w:p>
        </w:tc>
        <w:tc>
          <w:tcPr>
            <w:tcW w:w="1096"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778"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0.35</w:t>
            </w:r>
          </w:p>
        </w:tc>
        <w:tc>
          <w:tcPr>
            <w:tcW w:w="109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0.20</w:t>
            </w:r>
          </w:p>
        </w:tc>
        <w:tc>
          <w:tcPr>
            <w:tcW w:w="109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0.25</w:t>
            </w:r>
          </w:p>
        </w:tc>
        <w:tc>
          <w:tcPr>
            <w:tcW w:w="109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0.35</w:t>
            </w:r>
          </w:p>
        </w:tc>
        <w:tc>
          <w:tcPr>
            <w:tcW w:w="109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0.45</w:t>
            </w:r>
          </w:p>
        </w:tc>
        <w:tc>
          <w:tcPr>
            <w:tcW w:w="1096"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778"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0.40</w:t>
            </w:r>
          </w:p>
        </w:tc>
        <w:tc>
          <w:tcPr>
            <w:tcW w:w="109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0.25</w:t>
            </w:r>
          </w:p>
        </w:tc>
        <w:tc>
          <w:tcPr>
            <w:tcW w:w="109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0.30</w:t>
            </w:r>
          </w:p>
        </w:tc>
        <w:tc>
          <w:tcPr>
            <w:tcW w:w="109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0.40</w:t>
            </w:r>
          </w:p>
        </w:tc>
        <w:tc>
          <w:tcPr>
            <w:tcW w:w="1093"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0.55</w:t>
            </w:r>
          </w:p>
        </w:tc>
        <w:tc>
          <w:tcPr>
            <w:tcW w:w="1096"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0.75</w:t>
            </w:r>
          </w:p>
        </w:tc>
      </w:tr>
    </w:tbl>
    <w:p>
      <w:pPr>
        <w:autoSpaceDE w:val="0"/>
        <w:autoSpaceDN w:val="0"/>
        <w:adjustRightInd w:val="0"/>
        <w:spacing w:line="360" w:lineRule="auto"/>
        <w:ind w:firstLine="420" w:firstLineChars="200"/>
        <w:jc w:val="left"/>
        <w:rPr>
          <w:rFonts w:ascii="Times New Roman" w:hAnsi="Times New Roman" w:eastAsia="宋体"/>
          <w:b/>
          <w:color w:val="auto"/>
          <w:szCs w:val="21"/>
          <w:highlight w:val="none"/>
        </w:rPr>
      </w:pPr>
      <w:r>
        <w:rPr>
          <w:rFonts w:ascii="Times New Roman" w:hAnsi="Times New Roman" w:eastAsia="宋体"/>
          <w:color w:val="auto"/>
          <w:szCs w:val="21"/>
          <w:highlight w:val="none"/>
        </w:rPr>
        <w:t>表</w:t>
      </w:r>
      <w:r>
        <w:rPr>
          <w:rFonts w:hint="eastAsia" w:ascii="Times New Roman" w:hAnsi="Times New Roman" w:eastAsia="宋体"/>
          <w:color w:val="auto"/>
          <w:szCs w:val="21"/>
          <w:highlight w:val="none"/>
          <w:lang w:val="en-US" w:eastAsia="zh-CN"/>
        </w:rPr>
        <w:t>3-6</w:t>
      </w:r>
      <w:r>
        <w:rPr>
          <w:rFonts w:ascii="Times New Roman" w:hAnsi="Times New Roman" w:eastAsia="宋体"/>
          <w:color w:val="auto"/>
          <w:szCs w:val="21"/>
          <w:highlight w:val="none"/>
        </w:rPr>
        <w:t>依据《中国地震动参数区划图》GB 18306-2015附录E。鉴于广东省Ⅱ类场地地震动峰值加速度值仅有0.05g、0.10g、0.15g、0.20g四种情况，故本表仅留下这四行。</w:t>
      </w:r>
    </w:p>
    <w:p>
      <w:pPr>
        <w:autoSpaceDE w:val="0"/>
        <w:autoSpaceDN w:val="0"/>
        <w:adjustRightInd w:val="0"/>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表</w:t>
      </w:r>
      <w:r>
        <w:rPr>
          <w:rFonts w:hint="eastAsia" w:ascii="Times New Roman" w:hAnsi="Times New Roman" w:eastAsia="宋体"/>
          <w:color w:val="auto"/>
          <w:szCs w:val="21"/>
          <w:highlight w:val="none"/>
          <w:lang w:val="en-US" w:eastAsia="zh-CN"/>
        </w:rPr>
        <w:t>3-7</w:t>
      </w:r>
      <w:r>
        <w:rPr>
          <w:rFonts w:ascii="Times New Roman" w:hAnsi="Times New Roman" w:eastAsia="宋体"/>
          <w:color w:val="auto"/>
          <w:szCs w:val="21"/>
          <w:highlight w:val="none"/>
        </w:rPr>
        <w:t>依据</w:t>
      </w:r>
      <w:r>
        <w:rPr>
          <w:rFonts w:ascii="Times New Roman" w:hAnsi="Times New Roman" w:eastAsia="宋体"/>
          <w:color w:val="auto"/>
          <w:highlight w:val="none"/>
        </w:rPr>
        <w:t>《建筑抗震设计规范》</w:t>
      </w:r>
      <w:r>
        <w:rPr>
          <w:rFonts w:ascii="Times New Roman" w:hAnsi="Times New Roman" w:eastAsia="宋体"/>
          <w:color w:val="auto"/>
          <w:szCs w:val="21"/>
          <w:highlight w:val="none"/>
        </w:rPr>
        <w:t>GB 50021-2010（2016版）表5.1.4-2。鉴于广东省Ⅱ类场地基本地震动加速度反应谱特征周期仅有0.35s和0.40s两种情况，故本表仅留下这两行。</w:t>
      </w:r>
    </w:p>
    <w:p>
      <w:pPr>
        <w:autoSpaceDE w:val="0"/>
        <w:autoSpaceDN w:val="0"/>
        <w:adjustRightInd w:val="0"/>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设防烈度等于或大于7度时，对厚层软土分布区宜判别软土震陷的可能性。采用天然地基时，可按表</w:t>
      </w:r>
      <w:r>
        <w:rPr>
          <w:rFonts w:hint="eastAsia" w:ascii="Times New Roman" w:hAnsi="Times New Roman" w:eastAsia="宋体"/>
          <w:color w:val="auto"/>
          <w:szCs w:val="21"/>
          <w:highlight w:val="none"/>
          <w:lang w:val="en-US" w:eastAsia="zh-CN"/>
        </w:rPr>
        <w:t>3-8</w:t>
      </w:r>
      <w:r>
        <w:rPr>
          <w:rFonts w:ascii="Times New Roman" w:hAnsi="Times New Roman" w:eastAsia="宋体"/>
          <w:color w:val="auto"/>
          <w:szCs w:val="21"/>
          <w:highlight w:val="none"/>
        </w:rPr>
        <w:t>估算震陷值；对沉降有严格要求的</w:t>
      </w:r>
      <w:r>
        <w:rPr>
          <w:rFonts w:hint="eastAsia" w:ascii="Times New Roman" w:hAnsi="Times New Roman" w:eastAsia="宋体"/>
          <w:color w:val="auto"/>
          <w:szCs w:val="21"/>
          <w:highlight w:val="none"/>
        </w:rPr>
        <w:t>重要性等级一</w:t>
      </w:r>
      <w:r>
        <w:rPr>
          <w:rFonts w:ascii="Times New Roman" w:hAnsi="Times New Roman" w:eastAsia="宋体"/>
          <w:color w:val="auto"/>
          <w:szCs w:val="21"/>
          <w:highlight w:val="none"/>
        </w:rPr>
        <w:t>级</w:t>
      </w:r>
      <w:r>
        <w:rPr>
          <w:rFonts w:hint="eastAsia" w:ascii="Times New Roman" w:hAnsi="Times New Roman" w:eastAsia="宋体"/>
          <w:color w:val="auto"/>
          <w:szCs w:val="21"/>
          <w:highlight w:val="none"/>
        </w:rPr>
        <w:t>的</w:t>
      </w:r>
      <w:r>
        <w:rPr>
          <w:rFonts w:ascii="Times New Roman" w:hAnsi="Times New Roman" w:eastAsia="宋体"/>
          <w:color w:val="auto"/>
          <w:szCs w:val="21"/>
          <w:highlight w:val="none"/>
        </w:rPr>
        <w:t>市政项目应进行专门的震陷分析计算。</w:t>
      </w:r>
    </w:p>
    <w:p>
      <w:pPr>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3-8</w:t>
      </w:r>
      <w:r>
        <w:rPr>
          <w:rFonts w:ascii="Times New Roman" w:hAnsi="Times New Roman" w:eastAsia="宋体"/>
          <w:b/>
          <w:bCs/>
          <w:color w:val="auto"/>
          <w:szCs w:val="21"/>
          <w:highlight w:val="none"/>
        </w:rPr>
        <w:t xml:space="preserve"> 震陷估算值（mm）</w:t>
      </w:r>
    </w:p>
    <w:tbl>
      <w:tblPr>
        <w:tblStyle w:val="22"/>
        <w:tblW w:w="828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67"/>
        <w:gridCol w:w="1843"/>
        <w:gridCol w:w="2085"/>
        <w:gridCol w:w="20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4110" w:type="dxa"/>
            <w:gridSpan w:val="2"/>
            <w:tcBorders>
              <w:tl2br w:val="nil"/>
              <w:tr2bl w:val="nil"/>
            </w:tcBorders>
          </w:tcPr>
          <w:p>
            <w:pPr>
              <w:snapToGrid w:val="0"/>
              <w:spacing w:before="156" w:beforeLines="50"/>
              <w:jc w:val="righ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设防烈度</w:t>
            </w:r>
          </w:p>
          <w:p>
            <w:pPr>
              <w:snapToGrid w:val="0"/>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地基条件</w:t>
            </w:r>
          </w:p>
        </w:tc>
        <w:tc>
          <w:tcPr>
            <w:tcW w:w="2085"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7(0.1g~0.15g)</w:t>
            </w:r>
          </w:p>
        </w:tc>
        <w:tc>
          <w:tcPr>
            <w:tcW w:w="2087"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8(0.2g)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267" w:type="dxa"/>
            <w:vMerge w:val="restart"/>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position w:val="-12"/>
                <w:sz w:val="18"/>
                <w:szCs w:val="18"/>
                <w:highlight w:val="none"/>
              </w:rPr>
              <w:object>
                <v:shape id="_x0000_i1096" o:spt="75" type="#_x0000_t75" style="height:13.4pt;width:44.25pt;" o:ole="t" filled="f" o:preferrelative="t" stroked="f" coordsize="21600,21600">
                  <v:path/>
                  <v:fill on="f" focussize="0,0"/>
                  <v:stroke on="f"/>
                  <v:imagedata r:id="rId57" o:title=""/>
                  <o:lock v:ext="edit" aspectratio="t"/>
                  <w10:wrap type="none"/>
                  <w10:anchorlock/>
                </v:shape>
                <o:OLEObject Type="Embed" ProgID="Equation.3" ShapeID="_x0000_i1096" DrawAspect="Content" ObjectID="_1468075743" r:id="rId56">
                  <o:LockedField>false</o:LockedField>
                </o:OLEObject>
              </w:object>
            </w:r>
          </w:p>
        </w:tc>
        <w:tc>
          <w:tcPr>
            <w:tcW w:w="1843" w:type="dxa"/>
            <w:tcBorders>
              <w:tl2br w:val="nil"/>
              <w:tr2bl w:val="nil"/>
            </w:tcBorders>
            <w:vAlign w:val="center"/>
          </w:tcPr>
          <w:p>
            <w:pPr>
              <w:jc w:val="center"/>
              <w:rPr>
                <w:rFonts w:ascii="Times New Roman" w:hAnsi="Times New Roman" w:eastAsia="宋体"/>
                <w:i/>
                <w:iCs/>
                <w:color w:val="auto"/>
                <w:sz w:val="18"/>
                <w:szCs w:val="18"/>
                <w:highlight w:val="none"/>
              </w:rPr>
            </w:pPr>
            <w:r>
              <w:rPr>
                <w:rFonts w:ascii="Times New Roman" w:hAnsi="Times New Roman" w:eastAsia="宋体"/>
                <w:i/>
                <w:iCs/>
                <w:color w:val="auto"/>
                <w:sz w:val="18"/>
                <w:szCs w:val="18"/>
                <w:highlight w:val="none"/>
              </w:rPr>
              <w:t xml:space="preserve">t </w:t>
            </w:r>
            <w:r>
              <w:rPr>
                <w:rFonts w:ascii="Times New Roman" w:hAnsi="Times New Roman" w:eastAsia="宋体"/>
                <w:color w:val="auto"/>
                <w:sz w:val="18"/>
                <w:szCs w:val="18"/>
                <w:highlight w:val="none"/>
              </w:rPr>
              <w:t>&gt;3m</w:t>
            </w:r>
          </w:p>
        </w:tc>
        <w:tc>
          <w:tcPr>
            <w:tcW w:w="2085"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30~80</w:t>
            </w:r>
          </w:p>
        </w:tc>
        <w:tc>
          <w:tcPr>
            <w:tcW w:w="2087"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267" w:type="dxa"/>
            <w:vMerge w:val="continue"/>
            <w:tcBorders>
              <w:tl2br w:val="nil"/>
              <w:tr2bl w:val="nil"/>
            </w:tcBorders>
            <w:vAlign w:val="center"/>
          </w:tcPr>
          <w:p>
            <w:pPr>
              <w:jc w:val="center"/>
              <w:rPr>
                <w:rFonts w:ascii="Times New Roman" w:hAnsi="Times New Roman" w:eastAsia="宋体"/>
                <w:i/>
                <w:iCs/>
                <w:color w:val="auto"/>
                <w:sz w:val="18"/>
                <w:szCs w:val="18"/>
                <w:highlight w:val="none"/>
              </w:rPr>
            </w:pPr>
          </w:p>
        </w:tc>
        <w:tc>
          <w:tcPr>
            <w:tcW w:w="1843" w:type="dxa"/>
            <w:tcBorders>
              <w:tl2br w:val="nil"/>
              <w:tr2bl w:val="nil"/>
            </w:tcBorders>
            <w:vAlign w:val="center"/>
          </w:tcPr>
          <w:p>
            <w:pPr>
              <w:jc w:val="center"/>
              <w:rPr>
                <w:rFonts w:ascii="Times New Roman" w:hAnsi="Times New Roman" w:eastAsia="宋体"/>
                <w:i/>
                <w:iCs/>
                <w:color w:val="auto"/>
                <w:sz w:val="18"/>
                <w:szCs w:val="18"/>
                <w:highlight w:val="none"/>
              </w:rPr>
            </w:pPr>
            <w:r>
              <w:rPr>
                <w:rFonts w:ascii="Times New Roman" w:hAnsi="Times New Roman" w:eastAsia="宋体"/>
                <w:i/>
                <w:iCs/>
                <w:color w:val="auto"/>
                <w:sz w:val="18"/>
                <w:szCs w:val="18"/>
                <w:highlight w:val="none"/>
              </w:rPr>
              <w:t>t</w:t>
            </w:r>
            <w:r>
              <w:rPr>
                <w:rFonts w:hint="eastAsia" w:ascii="宋体" w:hAnsi="宋体" w:eastAsia="宋体" w:cs="宋体"/>
                <w:bCs/>
                <w:color w:val="auto"/>
                <w:sz w:val="20"/>
                <w:szCs w:val="20"/>
                <w:highlight w:val="none"/>
              </w:rPr>
              <w:t>≤</w:t>
            </w:r>
            <w:r>
              <w:rPr>
                <w:rFonts w:ascii="Times New Roman" w:hAnsi="Times New Roman" w:eastAsia="宋体"/>
                <w:color w:val="auto"/>
                <w:sz w:val="18"/>
                <w:szCs w:val="18"/>
                <w:highlight w:val="none"/>
              </w:rPr>
              <w:t>3m</w:t>
            </w:r>
          </w:p>
        </w:tc>
        <w:tc>
          <w:tcPr>
            <w:tcW w:w="2085"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10</w:t>
            </w:r>
            <w:r>
              <w:rPr>
                <w:rFonts w:ascii="Times New Roman" w:hAnsi="Times New Roman" w:eastAsia="宋体"/>
                <w:i/>
                <w:iCs/>
                <w:color w:val="auto"/>
                <w:sz w:val="18"/>
                <w:szCs w:val="18"/>
                <w:highlight w:val="none"/>
              </w:rPr>
              <w:t>t</w:t>
            </w:r>
            <w:r>
              <w:rPr>
                <w:rFonts w:ascii="Times New Roman" w:hAnsi="Times New Roman" w:eastAsia="宋体"/>
                <w:color w:val="auto"/>
                <w:sz w:val="18"/>
                <w:szCs w:val="18"/>
                <w:highlight w:val="none"/>
              </w:rPr>
              <w:t>~27</w:t>
            </w:r>
            <w:r>
              <w:rPr>
                <w:rFonts w:ascii="Times New Roman" w:hAnsi="Times New Roman" w:eastAsia="宋体"/>
                <w:i/>
                <w:iCs/>
                <w:color w:val="auto"/>
                <w:sz w:val="18"/>
                <w:szCs w:val="18"/>
                <w:highlight w:val="none"/>
              </w:rPr>
              <w:t>t</w:t>
            </w:r>
          </w:p>
        </w:tc>
        <w:tc>
          <w:tcPr>
            <w:tcW w:w="2087"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50</w:t>
            </w:r>
            <w:r>
              <w:rPr>
                <w:rFonts w:ascii="Times New Roman" w:hAnsi="Times New Roman" w:eastAsia="宋体"/>
                <w:i/>
                <w:iCs/>
                <w:color w:val="auto"/>
                <w:sz w:val="18"/>
                <w:szCs w:val="18"/>
                <w:highlight w:val="none"/>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267" w:type="dxa"/>
            <w:vMerge w:val="restart"/>
            <w:tcBorders>
              <w:tl2br w:val="nil"/>
              <w:tr2bl w:val="nil"/>
            </w:tcBorders>
            <w:vAlign w:val="center"/>
          </w:tcPr>
          <w:p>
            <w:pPr>
              <w:jc w:val="center"/>
              <w:rPr>
                <w:rFonts w:ascii="Times New Roman" w:hAnsi="Times New Roman" w:eastAsia="宋体"/>
                <w:i/>
                <w:iCs/>
                <w:color w:val="auto"/>
                <w:sz w:val="18"/>
                <w:szCs w:val="18"/>
                <w:highlight w:val="none"/>
              </w:rPr>
            </w:pPr>
            <w:r>
              <w:rPr>
                <w:rFonts w:ascii="Times New Roman" w:hAnsi="Times New Roman" w:eastAsia="宋体"/>
                <w:color w:val="auto"/>
                <w:position w:val="-12"/>
                <w:sz w:val="18"/>
                <w:szCs w:val="18"/>
                <w:highlight w:val="none"/>
              </w:rPr>
              <w:object>
                <v:shape id="_x0000_i1097" o:spt="75" type="#_x0000_t75" style="height:14.6pt;width:87.05pt;" o:ole="t" filled="f" o:preferrelative="t" stroked="f" coordsize="21600,21600">
                  <v:path/>
                  <v:fill on="f" focussize="0,0"/>
                  <v:stroke on="f"/>
                  <v:imagedata r:id="rId59" o:title=""/>
                  <o:lock v:ext="edit" aspectratio="t"/>
                  <w10:wrap type="none"/>
                  <w10:anchorlock/>
                </v:shape>
                <o:OLEObject Type="Embed" ProgID="Equation.3" ShapeID="_x0000_i1097" DrawAspect="Content" ObjectID="_1468075744" r:id="rId58">
                  <o:LockedField>false</o:LockedField>
                </o:OLEObject>
              </w:object>
            </w:r>
          </w:p>
        </w:tc>
        <w:tc>
          <w:tcPr>
            <w:tcW w:w="1843" w:type="dxa"/>
            <w:tcBorders>
              <w:tl2br w:val="nil"/>
              <w:tr2bl w:val="nil"/>
            </w:tcBorders>
            <w:vAlign w:val="center"/>
          </w:tcPr>
          <w:p>
            <w:pPr>
              <w:jc w:val="center"/>
              <w:rPr>
                <w:rFonts w:ascii="Times New Roman" w:hAnsi="Times New Roman" w:eastAsia="宋体"/>
                <w:i/>
                <w:iCs/>
                <w:color w:val="auto"/>
                <w:sz w:val="18"/>
                <w:szCs w:val="18"/>
                <w:highlight w:val="none"/>
              </w:rPr>
            </w:pPr>
            <w:r>
              <w:rPr>
                <w:rFonts w:ascii="Times New Roman" w:hAnsi="Times New Roman" w:eastAsia="宋体"/>
                <w:i/>
                <w:iCs/>
                <w:color w:val="auto"/>
                <w:sz w:val="18"/>
                <w:szCs w:val="18"/>
                <w:highlight w:val="none"/>
              </w:rPr>
              <w:t xml:space="preserve">t </w:t>
            </w:r>
            <w:r>
              <w:rPr>
                <w:rFonts w:ascii="Times New Roman" w:hAnsi="Times New Roman" w:eastAsia="宋体"/>
                <w:color w:val="auto"/>
                <w:sz w:val="18"/>
                <w:szCs w:val="18"/>
                <w:highlight w:val="none"/>
              </w:rPr>
              <w:t>&gt;3m</w:t>
            </w:r>
          </w:p>
        </w:tc>
        <w:tc>
          <w:tcPr>
            <w:tcW w:w="2085"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w:t>
            </w:r>
          </w:p>
        </w:tc>
        <w:tc>
          <w:tcPr>
            <w:tcW w:w="2087"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120+0.6(140-</w:t>
            </w:r>
            <m:oMath>
              <m:sSub>
                <m:sSubPr>
                  <m:ctrlPr>
                    <w:rPr>
                      <w:rFonts w:ascii="Cambria Math" w:hAnsi="Cambria Math" w:eastAsia="宋体"/>
                      <w:i/>
                      <w:color w:val="auto"/>
                      <w:sz w:val="18"/>
                      <w:szCs w:val="18"/>
                      <w:highlight w:val="none"/>
                    </w:rPr>
                  </m:ctrlPr>
                </m:sSubPr>
                <m:e>
                  <m:r>
                    <m:rPr/>
                    <w:rPr>
                      <w:rFonts w:ascii="Cambria Math" w:hAnsi="Cambria Math" w:eastAsia="宋体"/>
                      <w:color w:val="auto"/>
                      <w:sz w:val="18"/>
                      <w:szCs w:val="18"/>
                      <w:highlight w:val="none"/>
                    </w:rPr>
                    <m:t>v</m:t>
                  </m:r>
                  <m:ctrlPr>
                    <w:rPr>
                      <w:rFonts w:ascii="Cambria Math" w:hAnsi="Cambria Math" w:eastAsia="宋体"/>
                      <w:i/>
                      <w:color w:val="auto"/>
                      <w:sz w:val="18"/>
                      <w:szCs w:val="18"/>
                      <w:highlight w:val="none"/>
                    </w:rPr>
                  </m:ctrlPr>
                </m:e>
                <m:sub>
                  <m:r>
                    <m:rPr/>
                    <w:rPr>
                      <w:rFonts w:ascii="Cambria Math" w:hAnsi="Cambria Math" w:eastAsia="宋体"/>
                      <w:color w:val="auto"/>
                      <w:sz w:val="18"/>
                      <w:szCs w:val="18"/>
                      <w:highlight w:val="none"/>
                    </w:rPr>
                    <m:t>se</m:t>
                  </m:r>
                  <m:ctrlPr>
                    <w:rPr>
                      <w:rFonts w:ascii="Cambria Math" w:hAnsi="Cambria Math" w:eastAsia="宋体"/>
                      <w:i/>
                      <w:color w:val="auto"/>
                      <w:sz w:val="18"/>
                      <w:szCs w:val="18"/>
                      <w:highlight w:val="none"/>
                    </w:rPr>
                  </m:ctrlPr>
                </m:sub>
              </m:sSub>
            </m:oMath>
            <w:r>
              <w:rPr>
                <w:rFonts w:ascii="Times New Roman" w:hAnsi="Times New Roman" w:eastAsia="宋体"/>
                <w:color w:val="auto"/>
                <w:sz w:val="18"/>
                <w:szCs w:val="18"/>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267" w:type="dxa"/>
            <w:vMerge w:val="continue"/>
            <w:tcBorders>
              <w:tl2br w:val="nil"/>
              <w:tr2bl w:val="nil"/>
            </w:tcBorders>
            <w:vAlign w:val="center"/>
          </w:tcPr>
          <w:p>
            <w:pPr>
              <w:jc w:val="center"/>
              <w:rPr>
                <w:rFonts w:ascii="Times New Roman" w:hAnsi="Times New Roman" w:eastAsia="宋体"/>
                <w:i/>
                <w:iCs/>
                <w:color w:val="auto"/>
                <w:sz w:val="18"/>
                <w:szCs w:val="18"/>
                <w:highlight w:val="none"/>
              </w:rPr>
            </w:pPr>
          </w:p>
        </w:tc>
        <w:tc>
          <w:tcPr>
            <w:tcW w:w="1843" w:type="dxa"/>
            <w:tcBorders>
              <w:tl2br w:val="nil"/>
              <w:tr2bl w:val="nil"/>
            </w:tcBorders>
            <w:vAlign w:val="center"/>
          </w:tcPr>
          <w:p>
            <w:pPr>
              <w:jc w:val="center"/>
              <w:rPr>
                <w:rFonts w:ascii="Times New Roman" w:hAnsi="Times New Roman" w:eastAsia="宋体"/>
                <w:i/>
                <w:iCs/>
                <w:color w:val="auto"/>
                <w:sz w:val="18"/>
                <w:szCs w:val="18"/>
                <w:highlight w:val="none"/>
              </w:rPr>
            </w:pPr>
            <w:r>
              <w:rPr>
                <w:rFonts w:ascii="Times New Roman" w:hAnsi="Times New Roman" w:eastAsia="宋体"/>
                <w:i/>
                <w:iCs/>
                <w:color w:val="auto"/>
                <w:sz w:val="18"/>
                <w:szCs w:val="18"/>
                <w:highlight w:val="none"/>
              </w:rPr>
              <w:t>t</w:t>
            </w:r>
            <w:r>
              <w:rPr>
                <w:rFonts w:hint="eastAsia" w:ascii="宋体" w:hAnsi="宋体" w:eastAsia="宋体" w:cs="宋体"/>
                <w:bCs/>
                <w:color w:val="auto"/>
                <w:sz w:val="20"/>
                <w:szCs w:val="20"/>
                <w:highlight w:val="none"/>
              </w:rPr>
              <w:t>≤</w:t>
            </w:r>
            <w:r>
              <w:rPr>
                <w:rFonts w:ascii="Times New Roman" w:hAnsi="Times New Roman" w:eastAsia="宋体"/>
                <w:color w:val="auto"/>
                <w:sz w:val="18"/>
                <w:szCs w:val="18"/>
                <w:highlight w:val="none"/>
              </w:rPr>
              <w:t>3m</w:t>
            </w:r>
          </w:p>
        </w:tc>
        <w:tc>
          <w:tcPr>
            <w:tcW w:w="2085"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w:t>
            </w:r>
          </w:p>
        </w:tc>
        <w:tc>
          <w:tcPr>
            <w:tcW w:w="2087"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11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63" w:beforeLines="20" w:line="300" w:lineRule="exact"/>
              <w:jc w:val="center"/>
              <w:textAlignment w:val="auto"/>
              <w:rPr>
                <w:rFonts w:ascii="Times New Roman" w:hAnsi="Times New Roman" w:eastAsia="宋体"/>
                <w:i/>
                <w:iCs/>
                <w:color w:val="auto"/>
                <w:sz w:val="18"/>
                <w:szCs w:val="18"/>
                <w:highlight w:val="none"/>
              </w:rPr>
            </w:pPr>
            <w:r>
              <w:rPr>
                <w:rFonts w:ascii="Times New Roman" w:hAnsi="Times New Roman" w:eastAsia="宋体"/>
                <w:color w:val="auto"/>
                <w:highlight w:val="none"/>
              </w:rPr>
              <w:drawing>
                <wp:inline distT="0" distB="0" distL="114300" distR="114300">
                  <wp:extent cx="685800" cy="200025"/>
                  <wp:effectExtent l="0" t="0" r="0" b="6985"/>
                  <wp:docPr id="32"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5"/>
                          <pic:cNvPicPr>
                            <a:picLocks noChangeAspect="1"/>
                          </pic:cNvPicPr>
                        </pic:nvPicPr>
                        <pic:blipFill>
                          <a:blip r:embed="rId60">
                            <a:clrChange>
                              <a:clrFrom>
                                <a:srgbClr val="FFFFFF"/>
                              </a:clrFrom>
                              <a:clrTo>
                                <a:srgbClr val="FFFFFF">
                                  <a:alpha val="0"/>
                                </a:srgbClr>
                              </a:clrTo>
                            </a:clrChange>
                          </a:blip>
                          <a:stretch>
                            <a:fillRect/>
                          </a:stretch>
                        </pic:blipFill>
                        <pic:spPr>
                          <a:xfrm>
                            <a:off x="0" y="0"/>
                            <a:ext cx="685800" cy="200025"/>
                          </a:xfrm>
                          <a:prstGeom prst="rect">
                            <a:avLst/>
                          </a:prstGeom>
                          <a:noFill/>
                          <a:ln>
                            <a:noFill/>
                          </a:ln>
                        </pic:spPr>
                      </pic:pic>
                    </a:graphicData>
                  </a:graphic>
                </wp:inline>
              </w:drawing>
            </w:r>
          </w:p>
        </w:tc>
        <w:tc>
          <w:tcPr>
            <w:tcW w:w="2085"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w:t>
            </w:r>
          </w:p>
        </w:tc>
        <w:tc>
          <w:tcPr>
            <w:tcW w:w="2087"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0</w:t>
            </w:r>
          </w:p>
        </w:tc>
      </w:tr>
    </w:tbl>
    <w:p>
      <w:pP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注：1</w:t>
      </w:r>
      <w:r>
        <w:rPr>
          <w:rFonts w:hint="eastAsia"/>
          <w:color w:val="auto"/>
          <w:sz w:val="18"/>
          <w:szCs w:val="18"/>
          <w:highlight w:val="none"/>
          <w:lang w:val="en-US" w:eastAsia="zh-CN"/>
        </w:rPr>
        <w:t xml:space="preserve"> </w:t>
      </w:r>
      <w:r>
        <w:rPr>
          <w:rFonts w:ascii="Times New Roman" w:hAnsi="Times New Roman" w:eastAsia="宋体"/>
          <w:color w:val="auto"/>
          <w:sz w:val="18"/>
          <w:szCs w:val="18"/>
          <w:highlight w:val="none"/>
        </w:rPr>
        <w:t xml:space="preserve"> </w:t>
      </w:r>
      <m:oMath>
        <m:sSub>
          <m:sSubPr>
            <m:ctrlPr>
              <w:rPr>
                <w:rFonts w:ascii="Cambria Math" w:hAnsi="Cambria Math" w:eastAsia="宋体"/>
                <w:i/>
                <w:color w:val="auto"/>
                <w:sz w:val="20"/>
                <w:szCs w:val="20"/>
                <w:highlight w:val="none"/>
              </w:rPr>
            </m:ctrlPr>
          </m:sSubPr>
          <m:e>
            <m:r>
              <m:rPr/>
              <w:rPr>
                <w:rFonts w:ascii="Cambria Math" w:hAnsi="Cambria Math" w:eastAsia="宋体"/>
                <w:color w:val="auto"/>
                <w:sz w:val="20"/>
                <w:szCs w:val="20"/>
                <w:highlight w:val="none"/>
              </w:rPr>
              <m:t>v</m:t>
            </m:r>
            <m:ctrlPr>
              <w:rPr>
                <w:rFonts w:ascii="Cambria Math" w:hAnsi="Cambria Math" w:eastAsia="宋体"/>
                <w:i/>
                <w:color w:val="auto"/>
                <w:sz w:val="20"/>
                <w:szCs w:val="20"/>
                <w:highlight w:val="none"/>
              </w:rPr>
            </m:ctrlPr>
          </m:e>
          <m:sub>
            <m:r>
              <m:rPr/>
              <w:rPr>
                <w:rFonts w:ascii="Cambria Math" w:hAnsi="Cambria Math" w:eastAsia="宋体"/>
                <w:color w:val="auto"/>
                <w:sz w:val="20"/>
                <w:szCs w:val="20"/>
                <w:highlight w:val="none"/>
              </w:rPr>
              <m:t>se</m:t>
            </m:r>
            <m:ctrlPr>
              <w:rPr>
                <w:rFonts w:ascii="Cambria Math" w:hAnsi="Cambria Math" w:eastAsia="宋体"/>
                <w:i/>
                <w:color w:val="auto"/>
                <w:sz w:val="20"/>
                <w:szCs w:val="20"/>
                <w:highlight w:val="none"/>
              </w:rPr>
            </m:ctrlPr>
          </m:sub>
        </m:sSub>
      </m:oMath>
      <w:r>
        <w:rPr>
          <w:rFonts w:ascii="Times New Roman" w:hAnsi="Times New Roman" w:eastAsia="宋体"/>
          <w:color w:val="auto"/>
          <w:sz w:val="18"/>
          <w:szCs w:val="18"/>
          <w:highlight w:val="none"/>
        </w:rPr>
        <w:t>为场地等效剪切波速，</w:t>
      </w:r>
      <w:r>
        <w:rPr>
          <w:rFonts w:ascii="Times New Roman" w:hAnsi="Times New Roman" w:eastAsia="宋体"/>
          <w:i/>
          <w:iCs/>
          <w:color w:val="auto"/>
          <w:sz w:val="18"/>
          <w:szCs w:val="18"/>
          <w:highlight w:val="none"/>
        </w:rPr>
        <w:t>t</w:t>
      </w:r>
      <w:r>
        <w:rPr>
          <w:rFonts w:ascii="Times New Roman" w:hAnsi="Times New Roman" w:eastAsia="宋体"/>
          <w:color w:val="auto"/>
          <w:sz w:val="18"/>
          <w:szCs w:val="18"/>
          <w:highlight w:val="none"/>
        </w:rPr>
        <w:t>为地基主要受力层深度内的软土厚度。</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ascii="Times New Roman" w:hAnsi="Times New Roman" w:eastAsia="宋体"/>
          <w:color w:val="auto"/>
          <w:sz w:val="18"/>
          <w:szCs w:val="18"/>
          <w:highlight w:val="none"/>
        </w:rPr>
      </w:pPr>
      <w:r>
        <w:rPr>
          <w:rFonts w:hint="eastAsia"/>
          <w:color w:val="auto"/>
          <w:sz w:val="18"/>
          <w:szCs w:val="18"/>
          <w:highlight w:val="none"/>
          <w:lang w:val="en-US" w:eastAsia="zh-CN"/>
        </w:rPr>
        <w:t xml:space="preserve">2 </w:t>
      </w:r>
      <w:r>
        <w:rPr>
          <w:rFonts w:ascii="Times New Roman" w:hAnsi="Times New Roman" w:eastAsia="宋体"/>
          <w:color w:val="auto"/>
          <w:sz w:val="18"/>
          <w:szCs w:val="18"/>
          <w:highlight w:val="none"/>
        </w:rPr>
        <w:t xml:space="preserve"> 当需要估算软土震陷量时，宜采用以静力计算代替动力分析的简化分层总和法。</w:t>
      </w:r>
    </w:p>
    <w:p>
      <w:pPr>
        <w:autoSpaceDE w:val="0"/>
        <w:autoSpaceDN w:val="0"/>
        <w:adjustRightInd w:val="0"/>
        <w:spacing w:line="360" w:lineRule="auto"/>
        <w:ind w:firstLine="420" w:firstLineChars="200"/>
        <w:jc w:val="left"/>
        <w:rPr>
          <w:rFonts w:hint="default" w:ascii="Times New Roman" w:hAnsi="Times New Roman" w:eastAsia="宋体"/>
          <w:color w:val="auto"/>
          <w:szCs w:val="21"/>
          <w:highlight w:val="none"/>
          <w:lang w:val="en-US" w:eastAsia="zh-CN"/>
        </w:rPr>
      </w:pPr>
      <w:r>
        <w:rPr>
          <w:rFonts w:ascii="Times New Roman" w:hAnsi="Times New Roman" w:eastAsia="宋体"/>
          <w:color w:val="auto"/>
          <w:szCs w:val="21"/>
          <w:highlight w:val="none"/>
        </w:rPr>
        <w:t>根据石兆吉等的研究，建筑物震陷源于地震荷载反复作用下的土壤软化，使土的压缩模量下降所致，震陷值与</w:t>
      </w:r>
      <w:r>
        <w:rPr>
          <w:rFonts w:ascii="Times New Roman" w:hAnsi="Times New Roman" w:eastAsia="宋体"/>
          <w:color w:val="auto"/>
          <w:highlight w:val="none"/>
        </w:rPr>
        <w:t>厚度</w:t>
      </w:r>
      <w:r>
        <w:rPr>
          <w:rFonts w:ascii="Times New Roman" w:hAnsi="Times New Roman" w:eastAsia="宋体"/>
          <w:color w:val="auto"/>
          <w:szCs w:val="21"/>
          <w:highlight w:val="none"/>
        </w:rPr>
        <w:t>成正比。表</w:t>
      </w:r>
      <w:r>
        <w:rPr>
          <w:rFonts w:hint="eastAsia" w:ascii="Times New Roman" w:hAnsi="Times New Roman" w:eastAsia="宋体"/>
          <w:color w:val="auto"/>
          <w:szCs w:val="21"/>
          <w:highlight w:val="none"/>
          <w:lang w:val="en-US" w:eastAsia="zh-CN"/>
        </w:rPr>
        <w:t>3-</w:t>
      </w:r>
      <w:bookmarkStart w:id="328" w:name="_Hlk80352031"/>
      <w:r>
        <w:rPr>
          <w:rFonts w:hint="eastAsia" w:ascii="Times New Roman" w:hAnsi="Times New Roman" w:eastAsia="宋体"/>
          <w:color w:val="auto"/>
          <w:szCs w:val="21"/>
          <w:highlight w:val="none"/>
          <w:lang w:val="en-US" w:eastAsia="zh-CN"/>
        </w:rPr>
        <w:t>7是在</w:t>
      </w:r>
      <w:r>
        <w:rPr>
          <w:rFonts w:ascii="Times New Roman" w:hAnsi="Times New Roman" w:eastAsia="宋体"/>
          <w:color w:val="auto"/>
          <w:szCs w:val="21"/>
          <w:highlight w:val="none"/>
        </w:rPr>
        <w:t>《软土地区岩土工程勘察规程》JGJ 83</w:t>
      </w:r>
      <w:bookmarkEnd w:id="328"/>
      <w:r>
        <w:rPr>
          <w:rFonts w:ascii="Times New Roman" w:hAnsi="Times New Roman" w:eastAsia="宋体"/>
          <w:color w:val="auto"/>
          <w:szCs w:val="21"/>
          <w:highlight w:val="none"/>
        </w:rPr>
        <w:t>-2011表6.3.4-2</w:t>
      </w:r>
      <w:r>
        <w:rPr>
          <w:rFonts w:hint="eastAsia" w:ascii="Times New Roman" w:hAnsi="Times New Roman" w:eastAsia="宋体"/>
          <w:color w:val="auto"/>
          <w:szCs w:val="21"/>
          <w:highlight w:val="none"/>
          <w:lang w:val="en-US" w:eastAsia="zh-CN"/>
        </w:rPr>
        <w:t>基础上</w:t>
      </w:r>
      <w:r>
        <w:rPr>
          <w:rFonts w:ascii="Times New Roman" w:hAnsi="Times New Roman" w:eastAsia="宋体"/>
          <w:color w:val="auto"/>
          <w:szCs w:val="21"/>
          <w:highlight w:val="none"/>
        </w:rPr>
        <w:t>，结合石兆吉等的研究制定</w:t>
      </w:r>
      <w:r>
        <w:rPr>
          <w:rFonts w:hint="eastAsia" w:ascii="Times New Roman" w:hAnsi="Times New Roman" w:eastAsia="宋体"/>
          <w:color w:val="auto"/>
          <w:szCs w:val="21"/>
          <w:highlight w:val="none"/>
          <w:lang w:val="en-US" w:eastAsia="zh-CN"/>
        </w:rPr>
        <w:t>的</w:t>
      </w:r>
      <w:r>
        <w:rPr>
          <w:rFonts w:ascii="Times New Roman" w:hAnsi="Times New Roman" w:eastAsia="宋体"/>
          <w:color w:val="auto"/>
          <w:szCs w:val="21"/>
          <w:highlight w:val="none"/>
        </w:rPr>
        <w:t>。鉴于广东省没有设防烈度9度的区域，表</w:t>
      </w:r>
      <w:r>
        <w:rPr>
          <w:rFonts w:hint="eastAsia" w:ascii="Times New Roman" w:hAnsi="Times New Roman" w:eastAsia="宋体"/>
          <w:color w:val="auto"/>
          <w:szCs w:val="21"/>
          <w:highlight w:val="none"/>
          <w:lang w:val="en-US" w:eastAsia="zh-CN"/>
        </w:rPr>
        <w:t>3-7</w:t>
      </w:r>
      <w:r>
        <w:rPr>
          <w:rFonts w:ascii="Times New Roman" w:hAnsi="Times New Roman" w:eastAsia="宋体"/>
          <w:color w:val="auto"/>
          <w:szCs w:val="21"/>
          <w:highlight w:val="none"/>
        </w:rPr>
        <w:t>仅列7度、8度设防两种情况。</w:t>
      </w:r>
    </w:p>
    <w:p>
      <w:pPr>
        <w:spacing w:line="360" w:lineRule="auto"/>
        <w:rPr>
          <w:rFonts w:ascii="Times New Roman" w:hAnsi="Times New Roman" w:eastAsia="宋体"/>
          <w:color w:val="auto"/>
          <w:highlight w:val="none"/>
        </w:rPr>
      </w:pPr>
      <w:r>
        <w:rPr>
          <w:rFonts w:ascii="Times New Roman" w:hAnsi="Times New Roman" w:eastAsia="宋体"/>
          <w:b/>
          <w:bCs/>
          <w:color w:val="auto"/>
          <w:highlight w:val="none"/>
        </w:rPr>
        <w:t>3.0.1</w:t>
      </w:r>
      <w:r>
        <w:rPr>
          <w:rFonts w:hint="eastAsia" w:ascii="Times New Roman" w:hAnsi="Times New Roman" w:eastAsia="宋体"/>
          <w:b/>
          <w:bCs/>
          <w:color w:val="auto"/>
          <w:highlight w:val="none"/>
          <w:lang w:val="en-US" w:eastAsia="zh-CN"/>
        </w:rPr>
        <w:t xml:space="preserve">3 </w:t>
      </w:r>
      <w:r>
        <w:rPr>
          <w:rFonts w:hint="eastAsia"/>
          <w:b/>
          <w:bCs/>
          <w:color w:val="auto"/>
          <w:highlight w:val="none"/>
          <w:lang w:val="en-US" w:eastAsia="zh-CN"/>
        </w:rPr>
        <w:t xml:space="preserve"> </w:t>
      </w:r>
      <w:r>
        <w:rPr>
          <w:rFonts w:ascii="Times New Roman" w:hAnsi="Times New Roman" w:eastAsia="宋体"/>
          <w:color w:val="auto"/>
          <w:highlight w:val="none"/>
        </w:rPr>
        <w:t>地下管线是</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的</w:t>
      </w:r>
      <w:r>
        <w:rPr>
          <w:rFonts w:hint="eastAsia" w:ascii="Times New Roman" w:hAnsi="Times New Roman" w:eastAsia="宋体"/>
          <w:color w:val="auto"/>
          <w:highlight w:val="none"/>
          <w:lang w:val="en-US" w:eastAsia="zh-CN"/>
        </w:rPr>
        <w:t>重要基础设施</w:t>
      </w:r>
      <w:r>
        <w:rPr>
          <w:rFonts w:ascii="Times New Roman" w:hAnsi="Times New Roman" w:eastAsia="宋体"/>
          <w:color w:val="auto"/>
          <w:highlight w:val="none"/>
        </w:rPr>
        <w:t>，其安全性越来越受到政府和社会各界的关注，且情况越来越复杂。在</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工程勘察中，为确保地下管线的安全，陆地上的</w:t>
      </w:r>
      <w:r>
        <w:rPr>
          <w:rFonts w:hint="eastAsia" w:ascii="Times New Roman" w:hAnsi="Times New Roman" w:eastAsia="宋体"/>
          <w:color w:val="auto"/>
          <w:highlight w:val="none"/>
          <w:lang w:eastAsia="zh-CN"/>
        </w:rPr>
        <w:t>勘探</w:t>
      </w:r>
      <w:r>
        <w:rPr>
          <w:rFonts w:ascii="Times New Roman" w:hAnsi="Times New Roman" w:eastAsia="宋体"/>
          <w:color w:val="auto"/>
          <w:highlight w:val="none"/>
        </w:rPr>
        <w:t>一般需遵守如下三道安全防线：</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1</w:t>
      </w:r>
      <w:r>
        <w:rPr>
          <w:rFonts w:ascii="Times New Roman" w:hAnsi="Times New Roman" w:eastAsia="宋体"/>
          <w:color w:val="auto"/>
          <w:highlight w:val="none"/>
        </w:rPr>
        <w:t xml:space="preserve"> </w:t>
      </w:r>
      <w:r>
        <w:rPr>
          <w:rFonts w:hint="eastAsia"/>
          <w:color w:val="auto"/>
          <w:highlight w:val="none"/>
          <w:lang w:val="en-US" w:eastAsia="zh-CN"/>
        </w:rPr>
        <w:t xml:space="preserve"> </w:t>
      </w:r>
      <w:r>
        <w:rPr>
          <w:rFonts w:ascii="Times New Roman" w:hAnsi="Times New Roman" w:eastAsia="宋体"/>
          <w:color w:val="auto"/>
          <w:highlight w:val="none"/>
        </w:rPr>
        <w:t>地下管线</w:t>
      </w:r>
      <w:r>
        <w:rPr>
          <w:rFonts w:hint="eastAsia" w:ascii="Times New Roman" w:hAnsi="Times New Roman" w:eastAsia="宋体"/>
          <w:color w:val="auto"/>
          <w:highlight w:val="none"/>
          <w:lang w:val="en-US" w:eastAsia="zh-CN"/>
        </w:rPr>
        <w:t>探测</w:t>
      </w:r>
      <w:r>
        <w:rPr>
          <w:rFonts w:ascii="Times New Roman" w:hAnsi="Times New Roman" w:eastAsia="宋体"/>
          <w:color w:val="auto"/>
          <w:highlight w:val="none"/>
        </w:rPr>
        <w:t>。与地形测量同步，在</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既有管线普查数据及管线权属单位提供资料基础上，通过现场验证和加密探查开展场区的地下管线</w:t>
      </w:r>
      <w:r>
        <w:rPr>
          <w:rFonts w:hint="eastAsia" w:ascii="Times New Roman" w:hAnsi="Times New Roman" w:eastAsia="宋体"/>
          <w:color w:val="auto"/>
          <w:highlight w:val="none"/>
          <w:lang w:val="en-US" w:eastAsia="zh-CN"/>
        </w:rPr>
        <w:t>探测</w:t>
      </w:r>
      <w:r>
        <w:rPr>
          <w:rFonts w:ascii="Times New Roman" w:hAnsi="Times New Roman" w:eastAsia="宋体"/>
          <w:color w:val="auto"/>
          <w:highlight w:val="none"/>
        </w:rPr>
        <w:t>。</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2</w:t>
      </w:r>
      <w:r>
        <w:rPr>
          <w:rFonts w:ascii="Times New Roman" w:hAnsi="Times New Roman" w:eastAsia="宋体"/>
          <w:color w:val="auto"/>
          <w:highlight w:val="none"/>
        </w:rPr>
        <w:t xml:space="preserve"> </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现场实地排查</w:t>
      </w:r>
      <w:r>
        <w:rPr>
          <w:rFonts w:ascii="Times New Roman" w:hAnsi="Times New Roman" w:eastAsia="宋体"/>
          <w:color w:val="auto"/>
          <w:highlight w:val="none"/>
        </w:rPr>
        <w:t>。在勘察方案制定后，将布设的钻孔测放到现场，地下管线探测人员对孔位处的地下管线埋藏情况进行排查，进一步确认钻孔孔位处是否有管线通过。</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3</w:t>
      </w:r>
      <w:r>
        <w:rPr>
          <w:rFonts w:ascii="Times New Roman" w:hAnsi="Times New Roman" w:eastAsia="宋体"/>
          <w:color w:val="auto"/>
          <w:highlight w:val="none"/>
        </w:rPr>
        <w:t xml:space="preserve"> </w:t>
      </w:r>
      <w:r>
        <w:rPr>
          <w:rFonts w:hint="eastAsia"/>
          <w:color w:val="auto"/>
          <w:highlight w:val="none"/>
          <w:lang w:val="en-US" w:eastAsia="zh-CN"/>
        </w:rPr>
        <w:t xml:space="preserve"> </w:t>
      </w:r>
      <w:r>
        <w:rPr>
          <w:rFonts w:ascii="Times New Roman" w:hAnsi="Times New Roman" w:eastAsia="宋体"/>
          <w:color w:val="auto"/>
          <w:highlight w:val="none"/>
        </w:rPr>
        <w:t>开孔。进场</w:t>
      </w:r>
      <w:r>
        <w:rPr>
          <w:rFonts w:hint="eastAsia" w:ascii="Times New Roman" w:hAnsi="Times New Roman" w:eastAsia="宋体"/>
          <w:color w:val="auto"/>
          <w:highlight w:val="none"/>
          <w:lang w:val="en-US" w:eastAsia="zh-CN"/>
        </w:rPr>
        <w:t>开始</w:t>
      </w:r>
      <w:r>
        <w:rPr>
          <w:rFonts w:hint="eastAsia" w:ascii="Times New Roman" w:hAnsi="Times New Roman" w:eastAsia="宋体"/>
          <w:color w:val="auto"/>
          <w:highlight w:val="none"/>
          <w:lang w:eastAsia="zh-CN"/>
        </w:rPr>
        <w:t>勘探</w:t>
      </w:r>
      <w:r>
        <w:rPr>
          <w:rFonts w:ascii="Times New Roman" w:hAnsi="Times New Roman" w:eastAsia="宋体"/>
          <w:color w:val="auto"/>
          <w:highlight w:val="none"/>
        </w:rPr>
        <w:t>时，一定深度范围内不</w:t>
      </w:r>
      <w:r>
        <w:rPr>
          <w:rFonts w:hint="eastAsia" w:ascii="Times New Roman" w:hAnsi="Times New Roman" w:eastAsia="宋体"/>
          <w:color w:val="auto"/>
          <w:highlight w:val="none"/>
          <w:lang w:val="en-US" w:eastAsia="zh-CN"/>
        </w:rPr>
        <w:t>宜机械</w:t>
      </w:r>
      <w:r>
        <w:rPr>
          <w:rFonts w:ascii="Times New Roman" w:hAnsi="Times New Roman" w:eastAsia="宋体"/>
          <w:color w:val="auto"/>
          <w:highlight w:val="none"/>
        </w:rPr>
        <w:t>钻进，</w:t>
      </w:r>
      <w:r>
        <w:rPr>
          <w:rFonts w:hint="eastAsia" w:ascii="Times New Roman" w:hAnsi="Times New Roman" w:eastAsia="宋体"/>
          <w:color w:val="auto"/>
          <w:highlight w:val="none"/>
          <w:lang w:val="en-US" w:eastAsia="zh-CN"/>
        </w:rPr>
        <w:t>宜采用</w:t>
      </w:r>
      <w:r>
        <w:rPr>
          <w:rFonts w:ascii="Times New Roman" w:hAnsi="Times New Roman" w:eastAsia="宋体"/>
          <w:color w:val="auto"/>
          <w:highlight w:val="none"/>
        </w:rPr>
        <w:t>人工</w:t>
      </w:r>
      <w:r>
        <w:rPr>
          <w:rFonts w:hint="eastAsia" w:ascii="Times New Roman" w:hAnsi="Times New Roman" w:eastAsia="宋体"/>
          <w:color w:val="auto"/>
          <w:highlight w:val="none"/>
          <w:lang w:val="en-US" w:eastAsia="zh-CN"/>
        </w:rPr>
        <w:t>挖探</w:t>
      </w:r>
      <w:r>
        <w:rPr>
          <w:rFonts w:ascii="Times New Roman" w:hAnsi="Times New Roman" w:eastAsia="宋体"/>
          <w:color w:val="auto"/>
          <w:highlight w:val="none"/>
        </w:rPr>
        <w:t>开孔或者</w:t>
      </w:r>
      <w:r>
        <w:rPr>
          <w:rFonts w:hint="eastAsia" w:ascii="Times New Roman" w:hAnsi="Times New Roman" w:eastAsia="宋体"/>
          <w:color w:val="auto"/>
          <w:highlight w:val="none"/>
          <w:lang w:val="en-US" w:eastAsia="zh-CN"/>
        </w:rPr>
        <w:t>轻击钻具贯入式钻井</w:t>
      </w:r>
      <w:r>
        <w:rPr>
          <w:rFonts w:ascii="Times New Roman" w:hAnsi="Times New Roman" w:eastAsia="宋体"/>
          <w:color w:val="auto"/>
          <w:highlight w:val="none"/>
        </w:rPr>
        <w:t>，以确保地下管线的安全。一</w:t>
      </w:r>
      <w:r>
        <w:rPr>
          <w:rFonts w:hint="eastAsia" w:ascii="Times New Roman" w:hAnsi="Times New Roman" w:eastAsia="宋体"/>
          <w:color w:val="auto"/>
          <w:highlight w:val="none"/>
          <w:lang w:val="en-US" w:eastAsia="zh-CN"/>
        </w:rPr>
        <w:t>般宜</w:t>
      </w:r>
      <w:r>
        <w:rPr>
          <w:rFonts w:ascii="Times New Roman" w:hAnsi="Times New Roman" w:eastAsia="宋体"/>
          <w:color w:val="auto"/>
          <w:highlight w:val="none"/>
        </w:rPr>
        <w:t>开孔深度超过4m~6m且已穿过填土层，经现场管理人员核实后，才允许正常施钻。</w:t>
      </w:r>
    </w:p>
    <w:p>
      <w:pPr>
        <w:spacing w:line="360" w:lineRule="auto"/>
        <w:ind w:firstLine="420" w:firstLineChars="200"/>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前期</w:t>
      </w:r>
      <w:r>
        <w:rPr>
          <w:rFonts w:ascii="Times New Roman" w:hAnsi="Times New Roman" w:eastAsia="宋体"/>
          <w:color w:val="auto"/>
          <w:highlight w:val="none"/>
        </w:rPr>
        <w:t>地下管线探测受仪器、管道材质、地下水、多重路面、多道管线、其它不明埋藏物等各种情况的制约或影响，不可避免存在一定的误差甚至遗漏</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诸多的管线破坏事故表明，以上三道防线相辅相</w:t>
      </w:r>
      <w:r>
        <w:rPr>
          <w:rFonts w:hint="eastAsia"/>
          <w:color w:val="auto"/>
          <w:highlight w:val="none"/>
          <w:lang w:val="en-US" w:eastAsia="zh-CN"/>
        </w:rPr>
        <w:t>成</w:t>
      </w:r>
      <w:r>
        <w:rPr>
          <w:rFonts w:ascii="Times New Roman" w:hAnsi="Times New Roman" w:eastAsia="宋体"/>
          <w:color w:val="auto"/>
          <w:highlight w:val="none"/>
        </w:rPr>
        <w:t>，可</w:t>
      </w:r>
      <w:r>
        <w:rPr>
          <w:rFonts w:hint="eastAsia" w:ascii="Times New Roman" w:hAnsi="Times New Roman" w:eastAsia="宋体"/>
          <w:color w:val="auto"/>
          <w:highlight w:val="none"/>
          <w:lang w:val="en-US" w:eastAsia="zh-CN"/>
        </w:rPr>
        <w:t>有效</w:t>
      </w:r>
      <w:r>
        <w:rPr>
          <w:rFonts w:ascii="Times New Roman" w:hAnsi="Times New Roman" w:eastAsia="宋体"/>
          <w:color w:val="auto"/>
          <w:highlight w:val="none"/>
        </w:rPr>
        <w:t>地减少地下管线破坏事故的发生。</w:t>
      </w:r>
    </w:p>
    <w:p>
      <w:pPr>
        <w:spacing w:line="360" w:lineRule="auto"/>
        <w:rPr>
          <w:rFonts w:hint="eastAsia" w:ascii="Times New Roman" w:hAnsi="Times New Roman" w:eastAsia="宋体"/>
          <w:color w:val="auto"/>
          <w:highlight w:val="none"/>
          <w:lang w:val="en-US" w:eastAsia="zh-CN"/>
        </w:rPr>
      </w:pPr>
      <w:r>
        <w:rPr>
          <w:rFonts w:ascii="Times New Roman" w:hAnsi="Times New Roman" w:eastAsia="宋体"/>
          <w:b/>
          <w:bCs/>
          <w:color w:val="auto"/>
          <w:highlight w:val="none"/>
        </w:rPr>
        <w:t>3.0.1</w:t>
      </w:r>
      <w:r>
        <w:rPr>
          <w:rFonts w:hint="eastAsia" w:ascii="Times New Roman" w:hAnsi="Times New Roman" w:eastAsia="宋体"/>
          <w:b/>
          <w:bCs/>
          <w:color w:val="auto"/>
          <w:highlight w:val="none"/>
          <w:lang w:val="en-US" w:eastAsia="zh-CN"/>
        </w:rPr>
        <w:t xml:space="preserve">4 </w:t>
      </w:r>
      <w:r>
        <w:rPr>
          <w:rFonts w:hint="eastAsia"/>
          <w:b/>
          <w:bCs/>
          <w:color w:val="auto"/>
          <w:highlight w:val="none"/>
          <w:lang w:val="en-US" w:eastAsia="zh-CN"/>
        </w:rPr>
        <w:t xml:space="preserve"> </w:t>
      </w:r>
      <w:r>
        <w:rPr>
          <w:rFonts w:hint="eastAsia" w:ascii="Times New Roman" w:hAnsi="Times New Roman" w:eastAsia="宋体"/>
          <w:b w:val="0"/>
          <w:bCs w:val="0"/>
          <w:color w:val="auto"/>
          <w:highlight w:val="none"/>
          <w:lang w:val="en-US" w:eastAsia="zh-CN"/>
        </w:rPr>
        <w:t>当前勘察规范鲜有提及勘探孔采用的坐标和高程系统，以及勘探孔测放的要求。在</w:t>
      </w:r>
      <w:r>
        <w:rPr>
          <w:rFonts w:ascii="Times New Roman" w:hAnsi="Times New Roman" w:eastAsia="宋体"/>
          <w:color w:val="auto"/>
          <w:highlight w:val="none"/>
        </w:rPr>
        <w:t>坐标</w:t>
      </w:r>
      <w:r>
        <w:rPr>
          <w:rFonts w:hint="eastAsia" w:ascii="Times New Roman" w:hAnsi="Times New Roman" w:eastAsia="宋体"/>
          <w:color w:val="auto"/>
          <w:highlight w:val="none"/>
          <w:lang w:val="en-US" w:eastAsia="zh-CN"/>
        </w:rPr>
        <w:t>和</w:t>
      </w:r>
      <w:r>
        <w:rPr>
          <w:rFonts w:ascii="Times New Roman" w:hAnsi="Times New Roman" w:eastAsia="宋体"/>
          <w:color w:val="auto"/>
          <w:highlight w:val="none"/>
        </w:rPr>
        <w:t>高程系统</w:t>
      </w:r>
      <w:r>
        <w:rPr>
          <w:rFonts w:hint="eastAsia" w:ascii="Times New Roman" w:hAnsi="Times New Roman" w:eastAsia="宋体"/>
          <w:color w:val="auto"/>
          <w:highlight w:val="none"/>
          <w:lang w:val="en-US" w:eastAsia="zh-CN"/>
        </w:rPr>
        <w:t>方面，实际</w:t>
      </w:r>
      <w:r>
        <w:rPr>
          <w:rFonts w:hint="eastAsia" w:ascii="Times New Roman" w:hAnsi="Times New Roman" w:eastAsia="宋体"/>
          <w:b w:val="0"/>
          <w:bCs w:val="0"/>
          <w:color w:val="auto"/>
          <w:highlight w:val="none"/>
          <w:lang w:val="en-US" w:eastAsia="zh-CN"/>
        </w:rPr>
        <w:t>默认岩土工程勘察同</w:t>
      </w:r>
      <w:r>
        <w:rPr>
          <w:rFonts w:ascii="Times New Roman" w:hAnsi="Times New Roman" w:eastAsia="宋体"/>
          <w:color w:val="auto"/>
          <w:highlight w:val="none"/>
        </w:rPr>
        <w:t>测量</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设计</w:t>
      </w:r>
      <w:r>
        <w:rPr>
          <w:rFonts w:hint="eastAsia" w:ascii="Times New Roman" w:hAnsi="Times New Roman" w:eastAsia="宋体"/>
          <w:color w:val="auto"/>
          <w:highlight w:val="none"/>
          <w:lang w:val="en-US" w:eastAsia="zh-CN"/>
        </w:rPr>
        <w:t>一致。但勘探孔测放却可能存在些问题。一般上，规范性的做法是采用解析法；钻孔桩点实地测放完毕后，即时测量检查其三维坐标，满足要求后交下一环节使用。</w:t>
      </w:r>
    </w:p>
    <w:p>
      <w:pPr>
        <w:spacing w:line="360" w:lineRule="auto"/>
        <w:ind w:firstLine="420" w:firstLineChars="20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然而，在实际操作中，由于城市区域地形参照物较多，在定位上往往也可采用交汇法，即通过地形图上邻近的两个参照物，用皮尺量测其分别到勘探孔的距离来进行定位，并且可以再用第三点复核。这种方法误差无疑比解析法更大，但对于一般工程，由此产生的定位误差不会对工程建设有显著影响。不过，对于复杂岩土条件的桥梁桩基，建议还是采用解析法测放钻孔，以确保测放精度。现场勘察技术人员在实施钻探前，宜再用交汇法对测量人员测放的孔位进行简单复核，防止测量过程的人为失误；与此同时，还可以对测量给出的周边地形及孔口高程与现场进行简单的对照，若发现有明显差异，联系测量人员查明原因。</w:t>
      </w:r>
    </w:p>
    <w:p>
      <w:pPr>
        <w:spacing w:line="360" w:lineRule="auto"/>
        <w:ind w:firstLine="420" w:firstLineChars="20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由于钻机就位过程可能发生一定的偏差，为确保孔位无误，钻探完成后宜进行孔位复核。对于桥梁桩基钻孔和水上钻孔，</w:t>
      </w:r>
      <w:r>
        <w:rPr>
          <w:rFonts w:hint="eastAsia"/>
          <w:color w:val="auto"/>
          <w:highlight w:val="none"/>
          <w:lang w:val="en-US" w:eastAsia="zh-CN"/>
        </w:rPr>
        <w:t>尤其需要</w:t>
      </w:r>
      <w:r>
        <w:rPr>
          <w:rFonts w:hint="eastAsia" w:ascii="Times New Roman" w:hAnsi="Times New Roman" w:eastAsia="宋体"/>
          <w:color w:val="auto"/>
          <w:highlight w:val="none"/>
          <w:lang w:val="en-US" w:eastAsia="zh-CN"/>
        </w:rPr>
        <w:t>在钻探后进行孔位复核。</w:t>
      </w:r>
    </w:p>
    <w:p>
      <w:pPr>
        <w:spacing w:line="360" w:lineRule="auto"/>
        <w:ind w:firstLine="420" w:firstLineChars="20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测放勘探孔所</w:t>
      </w:r>
      <w:r>
        <w:rPr>
          <w:rFonts w:ascii="Times New Roman" w:hAnsi="Times New Roman" w:eastAsia="宋体"/>
          <w:color w:val="auto"/>
          <w:highlight w:val="none"/>
        </w:rPr>
        <w:t>使用</w:t>
      </w:r>
      <w:r>
        <w:rPr>
          <w:rFonts w:hint="eastAsia" w:ascii="Times New Roman" w:hAnsi="Times New Roman" w:eastAsia="宋体"/>
          <w:color w:val="auto"/>
          <w:highlight w:val="none"/>
          <w:lang w:val="en-US" w:eastAsia="zh-CN"/>
        </w:rPr>
        <w:t>的</w:t>
      </w:r>
      <w:r>
        <w:rPr>
          <w:rFonts w:ascii="Times New Roman" w:hAnsi="Times New Roman" w:eastAsia="宋体"/>
          <w:color w:val="auto"/>
          <w:highlight w:val="none"/>
        </w:rPr>
        <w:t>测量仪器应</w:t>
      </w:r>
      <w:r>
        <w:rPr>
          <w:rFonts w:hint="eastAsia"/>
          <w:color w:val="auto"/>
          <w:highlight w:val="none"/>
          <w:lang w:val="en-US" w:eastAsia="zh-CN"/>
        </w:rPr>
        <w:t>当</w:t>
      </w:r>
      <w:r>
        <w:rPr>
          <w:rFonts w:ascii="Times New Roman" w:hAnsi="Times New Roman" w:eastAsia="宋体"/>
          <w:color w:val="auto"/>
          <w:highlight w:val="none"/>
        </w:rPr>
        <w:t>在检定合格期内</w:t>
      </w:r>
      <w:r>
        <w:rPr>
          <w:rFonts w:hint="eastAsia" w:ascii="Times New Roman" w:hAnsi="Times New Roman" w:eastAsia="宋体"/>
          <w:color w:val="auto"/>
          <w:highlight w:val="none"/>
          <w:lang w:eastAsia="zh-CN"/>
        </w:rPr>
        <w:t>。</w:t>
      </w:r>
    </w:p>
    <w:p>
      <w:pPr>
        <w:spacing w:line="360" w:lineRule="auto"/>
        <w:rPr>
          <w:rFonts w:hint="eastAsia"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3.0.15</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市政工程勘察作业</w:t>
      </w:r>
      <w:r>
        <w:rPr>
          <w:rFonts w:hint="eastAsia"/>
          <w:color w:val="auto"/>
          <w:highlight w:val="none"/>
          <w:lang w:val="en-US" w:eastAsia="zh-CN"/>
        </w:rPr>
        <w:t>需</w:t>
      </w:r>
      <w:r>
        <w:rPr>
          <w:rFonts w:hint="eastAsia" w:ascii="Times New Roman" w:hAnsi="Times New Roman" w:eastAsia="宋体"/>
          <w:color w:val="auto"/>
          <w:highlight w:val="none"/>
          <w:lang w:val="en-US" w:eastAsia="zh-CN"/>
        </w:rPr>
        <w:t>符合ISO9001质量管理体系、ISO14001环境管理体系、GB／T28001职业健康和安全管理体系认证要求。</w:t>
      </w:r>
    </w:p>
    <w:p>
      <w:pPr>
        <w:spacing w:line="360" w:lineRule="auto"/>
        <w:ind w:firstLine="420" w:firstLineChars="20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勘察过程需注意对市政林木及历史文化遗产的保护，减少、避免勘察过程对其造成损伤。其中，需要关注的市政林木包括行道树和胸径二十厘米以上的乔木；需重点关注保护的市政林木包括树龄八十年以上的树木、胸径八十厘米以上的树木，以及特别珍贵稀有、具有重要历史价值和纪念意义、具有重要科研价值的名木。</w:t>
      </w:r>
    </w:p>
    <w:p>
      <w:pPr>
        <w:spacing w:line="360" w:lineRule="auto"/>
        <w:ind w:firstLine="420" w:firstLineChars="20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勘探过程</w:t>
      </w:r>
      <w:r>
        <w:rPr>
          <w:rFonts w:hint="eastAsia"/>
          <w:color w:val="auto"/>
          <w:highlight w:val="none"/>
          <w:lang w:val="en-US" w:eastAsia="zh-CN"/>
        </w:rPr>
        <w:t>不得</w:t>
      </w:r>
      <w:r>
        <w:rPr>
          <w:rFonts w:hint="eastAsia" w:ascii="Times New Roman" w:hAnsi="Times New Roman" w:eastAsia="宋体"/>
          <w:color w:val="auto"/>
          <w:highlight w:val="none"/>
          <w:lang w:val="en-US" w:eastAsia="zh-CN"/>
        </w:rPr>
        <w:t>砍伐树木；可能损伤树木根茎、枝条的，联系树木管理责任人，采取有效的保护措施。勘探位于或临近历史文化遗产范围时，将勘察实施方案报文物部门审批。</w:t>
      </w:r>
    </w:p>
    <w:p>
      <w:pPr>
        <w:spacing w:line="360" w:lineRule="auto"/>
        <w:rPr>
          <w:rFonts w:ascii="Times New Roman" w:hAnsi="Times New Roman" w:eastAsia="宋体"/>
          <w:color w:val="auto"/>
          <w:highlight w:val="none"/>
        </w:rPr>
      </w:pPr>
      <w:r>
        <w:rPr>
          <w:rFonts w:hint="eastAsia" w:ascii="Times New Roman" w:hAnsi="Times New Roman" w:eastAsia="宋体"/>
          <w:b/>
          <w:bCs/>
          <w:color w:val="auto"/>
          <w:highlight w:val="none"/>
          <w:lang w:val="en-US" w:eastAsia="zh-CN"/>
        </w:rPr>
        <w:t xml:space="preserve">3.0.16 </w:t>
      </w:r>
      <w:r>
        <w:rPr>
          <w:rFonts w:hint="eastAsia"/>
          <w:b/>
          <w:bCs/>
          <w:color w:val="auto"/>
          <w:highlight w:val="none"/>
          <w:lang w:val="en-US" w:eastAsia="zh-CN"/>
        </w:rPr>
        <w:t xml:space="preserve"> </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地下空间是重要的资源，人类对</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地下空间的利用在逐步深入，现有的工程活动</w:t>
      </w:r>
      <w:r>
        <w:rPr>
          <w:rFonts w:hint="eastAsia"/>
          <w:color w:val="auto"/>
          <w:highlight w:val="none"/>
          <w:lang w:val="en-US" w:eastAsia="zh-CN"/>
        </w:rPr>
        <w:t>要</w:t>
      </w:r>
      <w:r>
        <w:rPr>
          <w:rFonts w:ascii="Times New Roman" w:hAnsi="Times New Roman" w:eastAsia="宋体"/>
          <w:color w:val="auto"/>
          <w:highlight w:val="none"/>
        </w:rPr>
        <w:t>尽量避免对未来地下空间开发留下隐患。工程勘察钻孔</w:t>
      </w:r>
      <w:r>
        <w:rPr>
          <w:rFonts w:hint="eastAsia" w:ascii="Times New Roman" w:hAnsi="Times New Roman" w:eastAsia="宋体"/>
          <w:color w:val="auto"/>
          <w:highlight w:val="none"/>
          <w:lang w:val="en-US" w:eastAsia="zh-CN"/>
        </w:rPr>
        <w:t>有</w:t>
      </w:r>
      <w:r>
        <w:rPr>
          <w:rFonts w:ascii="Times New Roman" w:hAnsi="Times New Roman" w:eastAsia="宋体"/>
          <w:color w:val="auto"/>
          <w:highlight w:val="none"/>
        </w:rPr>
        <w:t>可</w:t>
      </w:r>
      <w:r>
        <w:rPr>
          <w:rFonts w:hint="eastAsia" w:ascii="Times New Roman" w:hAnsi="Times New Roman" w:eastAsia="宋体"/>
          <w:color w:val="auto"/>
          <w:highlight w:val="none"/>
          <w:lang w:val="en-US" w:eastAsia="zh-CN"/>
        </w:rPr>
        <w:t>能</w:t>
      </w:r>
      <w:r>
        <w:rPr>
          <w:rFonts w:ascii="Times New Roman" w:hAnsi="Times New Roman" w:eastAsia="宋体"/>
          <w:color w:val="auto"/>
          <w:highlight w:val="none"/>
        </w:rPr>
        <w:t>成为地表水和地下水之间</w:t>
      </w:r>
      <w:r>
        <w:rPr>
          <w:rFonts w:hint="eastAsia" w:ascii="Times New Roman" w:hAnsi="Times New Roman" w:eastAsia="宋体"/>
          <w:color w:val="auto"/>
          <w:highlight w:val="none"/>
          <w:lang w:val="en-US" w:eastAsia="zh-CN"/>
        </w:rPr>
        <w:t>或不同的</w:t>
      </w:r>
      <w:r>
        <w:rPr>
          <w:rFonts w:ascii="Times New Roman" w:hAnsi="Times New Roman" w:eastAsia="宋体"/>
          <w:color w:val="auto"/>
          <w:highlight w:val="none"/>
        </w:rPr>
        <w:t>地下含水层之间的联系通道，如果处理不当，会对后期施工、地下工程设施的防渗等带来安全隐患，甚至造成透水事故。故本条特别要求市政工程勘察钻孔终孔后应</w:t>
      </w:r>
      <w:r>
        <w:rPr>
          <w:rFonts w:hint="eastAsia" w:ascii="Times New Roman" w:hAnsi="Times New Roman" w:eastAsia="宋体"/>
          <w:color w:val="auto"/>
          <w:highlight w:val="none"/>
          <w:lang w:val="en-US" w:eastAsia="zh-CN"/>
        </w:rPr>
        <w:t>结合工程需要</w:t>
      </w:r>
      <w:r>
        <w:rPr>
          <w:rFonts w:ascii="Times New Roman" w:hAnsi="Times New Roman" w:eastAsia="宋体"/>
          <w:color w:val="auto"/>
          <w:highlight w:val="none"/>
        </w:rPr>
        <w:t>进行</w:t>
      </w:r>
      <w:r>
        <w:rPr>
          <w:rFonts w:hint="eastAsia" w:ascii="Times New Roman" w:hAnsi="Times New Roman" w:eastAsia="宋体"/>
          <w:color w:val="auto"/>
          <w:highlight w:val="none"/>
          <w:lang w:val="en-US" w:eastAsia="zh-CN"/>
        </w:rPr>
        <w:t>回填</w:t>
      </w:r>
      <w:r>
        <w:rPr>
          <w:rFonts w:ascii="Times New Roman" w:hAnsi="Times New Roman" w:eastAsia="宋体"/>
          <w:color w:val="auto"/>
          <w:highlight w:val="none"/>
        </w:rPr>
        <w:t>封孔，封闭</w:t>
      </w:r>
      <w:r>
        <w:rPr>
          <w:rFonts w:hint="eastAsia" w:ascii="Times New Roman" w:hAnsi="Times New Roman" w:eastAsia="宋体"/>
          <w:color w:val="auto"/>
          <w:highlight w:val="none"/>
          <w:lang w:eastAsia="zh-CN"/>
        </w:rPr>
        <w:t>勘探</w:t>
      </w:r>
      <w:r>
        <w:rPr>
          <w:rFonts w:ascii="Times New Roman" w:hAnsi="Times New Roman" w:eastAsia="宋体"/>
          <w:color w:val="auto"/>
          <w:highlight w:val="none"/>
        </w:rPr>
        <w:t>形成的</w:t>
      </w:r>
      <w:r>
        <w:rPr>
          <w:rFonts w:hint="eastAsia" w:ascii="Times New Roman" w:hAnsi="Times New Roman" w:eastAsia="宋体"/>
          <w:color w:val="auto"/>
          <w:highlight w:val="none"/>
          <w:lang w:val="en-US" w:eastAsia="zh-CN"/>
        </w:rPr>
        <w:t>地下水活动</w:t>
      </w:r>
      <w:r>
        <w:rPr>
          <w:rFonts w:ascii="Times New Roman" w:hAnsi="Times New Roman" w:eastAsia="宋体"/>
          <w:color w:val="auto"/>
          <w:highlight w:val="none"/>
        </w:rPr>
        <w:t>通道。隧道、基坑、管道钻孔及邻近堤岸的钻孔</w:t>
      </w:r>
      <w:r>
        <w:rPr>
          <w:rFonts w:hint="eastAsia"/>
          <w:color w:val="auto"/>
          <w:highlight w:val="none"/>
          <w:lang w:val="en-US" w:eastAsia="zh-CN"/>
        </w:rPr>
        <w:t>尤其要</w:t>
      </w:r>
      <w:r>
        <w:rPr>
          <w:rFonts w:ascii="Times New Roman" w:hAnsi="Times New Roman" w:eastAsia="宋体"/>
          <w:color w:val="auto"/>
          <w:highlight w:val="none"/>
        </w:rPr>
        <w:t>控制封孔质量，以防止钻孔成为</w:t>
      </w:r>
      <w:r>
        <w:rPr>
          <w:rFonts w:hint="eastAsia" w:ascii="Times New Roman" w:hAnsi="Times New Roman" w:eastAsia="宋体"/>
          <w:color w:val="auto"/>
          <w:highlight w:val="none"/>
          <w:lang w:val="en-US" w:eastAsia="zh-CN"/>
        </w:rPr>
        <w:t>地下水活动</w:t>
      </w:r>
      <w:r>
        <w:rPr>
          <w:rFonts w:ascii="Times New Roman" w:hAnsi="Times New Roman" w:eastAsia="宋体"/>
          <w:color w:val="auto"/>
          <w:highlight w:val="none"/>
        </w:rPr>
        <w:t>通道。</w:t>
      </w:r>
    </w:p>
    <w:p>
      <w:pPr>
        <w:spacing w:line="360" w:lineRule="auto"/>
        <w:ind w:firstLine="420" w:firstLineChars="200"/>
        <w:rPr>
          <w:rFonts w:hint="default" w:ascii="Times New Roman" w:hAnsi="Times New Roman" w:eastAsia="宋体"/>
          <w:color w:val="auto"/>
          <w:sz w:val="6"/>
          <w:szCs w:val="8"/>
          <w:highlight w:val="none"/>
          <w:lang w:val="en-US" w:eastAsia="zh-CN"/>
        </w:rPr>
      </w:pPr>
      <w:r>
        <w:rPr>
          <w:rFonts w:hint="eastAsia" w:ascii="Times New Roman" w:hAnsi="Times New Roman" w:eastAsia="宋体"/>
          <w:color w:val="auto"/>
          <w:highlight w:val="none"/>
        </w:rPr>
        <w:t>溶洞发育地区，如溶洞顶板较薄，上部砂层可能顺着钻孔漏入下部空洞，造成地面塌陷，</w:t>
      </w:r>
      <w:r>
        <w:rPr>
          <w:rFonts w:hint="eastAsia"/>
          <w:color w:val="auto"/>
          <w:highlight w:val="none"/>
          <w:lang w:val="en-US" w:eastAsia="zh-CN"/>
        </w:rPr>
        <w:t>要</w:t>
      </w:r>
      <w:r>
        <w:rPr>
          <w:rFonts w:hint="eastAsia" w:ascii="Times New Roman" w:hAnsi="Times New Roman" w:eastAsia="宋体"/>
          <w:color w:val="auto"/>
          <w:highlight w:val="none"/>
        </w:rPr>
        <w:t>采取有效措施封堵溶洞顶板；土洞发育地区，钻孔易打破水力平衡，常留置套管，防止地面塌陷。</w:t>
      </w:r>
      <w:r>
        <w:rPr>
          <w:rFonts w:hint="eastAsia" w:ascii="Times New Roman" w:hAnsi="Times New Roman" w:eastAsia="宋体"/>
          <w:color w:val="auto"/>
          <w:highlight w:val="none"/>
          <w:lang w:val="en-US" w:eastAsia="zh-CN"/>
        </w:rPr>
        <w:t>考虑到采取上述措施仍存在地面塌陷的风险，</w:t>
      </w:r>
      <w:r>
        <w:rPr>
          <w:rFonts w:hint="eastAsia"/>
          <w:color w:val="auto"/>
          <w:highlight w:val="none"/>
          <w:lang w:val="en-US" w:eastAsia="zh-CN"/>
        </w:rPr>
        <w:t>建议</w:t>
      </w:r>
      <w:r>
        <w:rPr>
          <w:rFonts w:hint="eastAsia" w:ascii="Times New Roman" w:hAnsi="Times New Roman" w:eastAsia="宋体"/>
          <w:color w:val="auto"/>
          <w:highlight w:val="none"/>
          <w:lang w:val="en-US" w:eastAsia="zh-CN"/>
        </w:rPr>
        <w:t>做好相应的应急预案。</w:t>
      </w:r>
    </w:p>
    <w:p>
      <w:pPr>
        <w:widowControl/>
        <w:jc w:val="left"/>
        <w:rPr>
          <w:rFonts w:ascii="Times New Roman" w:hAnsi="Times New Roman" w:eastAsia="宋体"/>
          <w:color w:val="auto"/>
          <w:sz w:val="15"/>
          <w:szCs w:val="16"/>
          <w:highlight w:val="none"/>
        </w:rPr>
      </w:pPr>
      <w:r>
        <w:rPr>
          <w:rFonts w:ascii="Times New Roman" w:hAnsi="Times New Roman" w:eastAsia="宋体"/>
          <w:color w:val="auto"/>
          <w:sz w:val="15"/>
          <w:szCs w:val="16"/>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ind w:firstLine="120" w:firstLineChars="200"/>
        <w:textAlignment w:val="auto"/>
        <w:rPr>
          <w:rFonts w:ascii="Times New Roman" w:hAnsi="Times New Roman" w:eastAsia="宋体"/>
          <w:color w:val="auto"/>
          <w:sz w:val="6"/>
          <w:szCs w:val="8"/>
          <w:highlight w:val="none"/>
        </w:rPr>
      </w:pPr>
      <w:bookmarkStart w:id="329" w:name="_Toc76998258"/>
    </w:p>
    <w:p>
      <w:pPr>
        <w:pStyle w:val="2"/>
        <w:rPr>
          <w:rFonts w:ascii="Times New Roman" w:hAnsi="Times New Roman" w:eastAsia="宋体"/>
          <w:color w:val="auto"/>
          <w:highlight w:val="none"/>
        </w:rPr>
      </w:pPr>
      <w:bookmarkStart w:id="330" w:name="_Toc29135"/>
      <w:bookmarkStart w:id="331" w:name="_Toc2603"/>
      <w:r>
        <w:rPr>
          <w:rFonts w:ascii="Times New Roman" w:hAnsi="Times New Roman" w:eastAsia="宋体"/>
          <w:color w:val="auto"/>
          <w:highlight w:val="none"/>
        </w:rPr>
        <w:t>4</w:t>
      </w:r>
      <w:r>
        <w:rPr>
          <w:rFonts w:hint="eastAsia" w:ascii="Times New Roman" w:hAnsi="Times New Roman" w:eastAsia="宋体"/>
          <w:color w:val="auto"/>
          <w:highlight w:val="none"/>
        </w:rPr>
        <w:t xml:space="preserve">  </w:t>
      </w:r>
      <w:r>
        <w:rPr>
          <w:rFonts w:ascii="Times New Roman" w:hAnsi="Times New Roman" w:eastAsia="宋体"/>
          <w:color w:val="auto"/>
          <w:highlight w:val="none"/>
        </w:rPr>
        <w:t>岩土分类</w:t>
      </w:r>
      <w:bookmarkEnd w:id="329"/>
      <w:bookmarkEnd w:id="330"/>
      <w:bookmarkEnd w:id="331"/>
    </w:p>
    <w:p>
      <w:pPr>
        <w:pStyle w:val="3"/>
        <w:jc w:val="center"/>
        <w:rPr>
          <w:rFonts w:ascii="Times New Roman" w:hAnsi="Times New Roman" w:eastAsia="宋体" w:cs="Times New Roman"/>
          <w:color w:val="auto"/>
          <w:sz w:val="24"/>
          <w:highlight w:val="none"/>
        </w:rPr>
      </w:pPr>
      <w:bookmarkStart w:id="332" w:name="_Toc23947"/>
      <w:bookmarkStart w:id="333" w:name="_Toc15343"/>
      <w:bookmarkStart w:id="334" w:name="_Toc76998259"/>
      <w:r>
        <w:rPr>
          <w:rFonts w:ascii="Times New Roman" w:hAnsi="Times New Roman" w:eastAsia="宋体" w:cs="Times New Roman"/>
          <w:color w:val="auto"/>
          <w:sz w:val="24"/>
          <w:highlight w:val="none"/>
        </w:rPr>
        <w:t>4.1 岩石分类</w:t>
      </w:r>
      <w:bookmarkEnd w:id="332"/>
      <w:bookmarkEnd w:id="333"/>
      <w:bookmarkEnd w:id="334"/>
    </w:p>
    <w:p>
      <w:pPr>
        <w:spacing w:line="360" w:lineRule="auto"/>
        <w:rPr>
          <w:color w:val="auto"/>
          <w:szCs w:val="21"/>
          <w:highlight w:val="none"/>
        </w:rPr>
      </w:pPr>
      <w:r>
        <w:rPr>
          <w:rFonts w:ascii="Times New Roman" w:hAnsi="Times New Roman" w:eastAsia="宋体"/>
          <w:b/>
          <w:bCs/>
          <w:color w:val="auto"/>
          <w:szCs w:val="21"/>
          <w:highlight w:val="none"/>
        </w:rPr>
        <w:t>4.1.2</w:t>
      </w:r>
      <w:r>
        <w:rPr>
          <w:rFonts w:hint="eastAsia"/>
          <w:b/>
          <w:bCs/>
          <w:color w:val="auto"/>
          <w:szCs w:val="21"/>
          <w:highlight w:val="none"/>
          <w:lang w:val="en-US" w:eastAsia="zh-CN"/>
        </w:rPr>
        <w:t xml:space="preserve"> </w:t>
      </w:r>
      <w:r>
        <w:rPr>
          <w:rFonts w:ascii="Times New Roman" w:hAnsi="Times New Roman" w:eastAsia="宋体"/>
          <w:color w:val="auto"/>
          <w:szCs w:val="21"/>
          <w:highlight w:val="none"/>
        </w:rPr>
        <w:t xml:space="preserve"> </w:t>
      </w:r>
      <w:r>
        <w:rPr>
          <w:color w:val="auto"/>
          <w:szCs w:val="21"/>
          <w:highlight w:val="none"/>
        </w:rPr>
        <w:t>广东省常见的岩石见表4</w:t>
      </w:r>
      <w:r>
        <w:rPr>
          <w:rFonts w:hint="eastAsia"/>
          <w:color w:val="auto"/>
          <w:szCs w:val="21"/>
          <w:highlight w:val="none"/>
          <w:lang w:val="en-US" w:eastAsia="zh-CN"/>
        </w:rPr>
        <w:t>-</w:t>
      </w:r>
      <w:r>
        <w:rPr>
          <w:color w:val="auto"/>
          <w:szCs w:val="21"/>
          <w:highlight w:val="none"/>
        </w:rPr>
        <w:t>1。</w:t>
      </w:r>
    </w:p>
    <w:p>
      <w:pPr>
        <w:spacing w:line="360" w:lineRule="auto"/>
        <w:jc w:val="center"/>
        <w:rPr>
          <w:b/>
          <w:color w:val="auto"/>
          <w:szCs w:val="21"/>
          <w:highlight w:val="none"/>
        </w:rPr>
      </w:pPr>
      <w:r>
        <w:rPr>
          <w:b/>
          <w:color w:val="auto"/>
          <w:szCs w:val="21"/>
          <w:highlight w:val="none"/>
        </w:rPr>
        <w:t>表4</w:t>
      </w:r>
      <w:r>
        <w:rPr>
          <w:rFonts w:hint="eastAsia"/>
          <w:b/>
          <w:color w:val="auto"/>
          <w:szCs w:val="21"/>
          <w:highlight w:val="none"/>
          <w:lang w:val="en-US" w:eastAsia="zh-CN"/>
        </w:rPr>
        <w:t>-</w:t>
      </w:r>
      <w:r>
        <w:rPr>
          <w:b/>
          <w:color w:val="auto"/>
          <w:szCs w:val="21"/>
          <w:highlight w:val="none"/>
        </w:rPr>
        <w:t>1</w:t>
      </w:r>
      <w:r>
        <w:rPr>
          <w:b/>
          <w:bCs/>
          <w:color w:val="auto"/>
          <w:highlight w:val="none"/>
        </w:rPr>
        <w:t>　</w:t>
      </w:r>
      <w:r>
        <w:rPr>
          <w:b/>
          <w:color w:val="auto"/>
          <w:szCs w:val="21"/>
          <w:highlight w:val="none"/>
        </w:rPr>
        <w:t>广东省常见的岩石</w:t>
      </w:r>
    </w:p>
    <w:tbl>
      <w:tblPr>
        <w:tblStyle w:val="22"/>
        <w:tblW w:w="843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73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129" w:type="dxa"/>
            <w:shd w:val="clear" w:color="auto" w:fill="auto"/>
            <w:vAlign w:val="center"/>
          </w:tcPr>
          <w:p>
            <w:pPr>
              <w:jc w:val="center"/>
              <w:rPr>
                <w:color w:val="auto"/>
                <w:kern w:val="0"/>
                <w:sz w:val="20"/>
                <w:szCs w:val="20"/>
                <w:highlight w:val="none"/>
              </w:rPr>
            </w:pPr>
            <w:r>
              <w:rPr>
                <w:color w:val="auto"/>
                <w:kern w:val="0"/>
                <w:sz w:val="20"/>
                <w:szCs w:val="20"/>
                <w:highlight w:val="none"/>
              </w:rPr>
              <w:t>成因类别</w:t>
            </w:r>
          </w:p>
        </w:tc>
        <w:tc>
          <w:tcPr>
            <w:tcW w:w="7304" w:type="dxa"/>
            <w:shd w:val="clear" w:color="auto" w:fill="auto"/>
            <w:vAlign w:val="center"/>
          </w:tcPr>
          <w:p>
            <w:pPr>
              <w:jc w:val="center"/>
              <w:rPr>
                <w:color w:val="auto"/>
                <w:kern w:val="0"/>
                <w:sz w:val="20"/>
                <w:szCs w:val="20"/>
                <w:highlight w:val="none"/>
              </w:rPr>
            </w:pPr>
            <w:r>
              <w:rPr>
                <w:color w:val="auto"/>
                <w:kern w:val="0"/>
                <w:sz w:val="20"/>
                <w:szCs w:val="20"/>
                <w:highlight w:val="none"/>
              </w:rPr>
              <w:t>常见岩石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9" w:type="dxa"/>
            <w:shd w:val="clear" w:color="auto" w:fill="auto"/>
            <w:vAlign w:val="center"/>
          </w:tcPr>
          <w:p>
            <w:pPr>
              <w:jc w:val="center"/>
              <w:rPr>
                <w:color w:val="auto"/>
                <w:kern w:val="0"/>
                <w:sz w:val="20"/>
                <w:szCs w:val="20"/>
                <w:highlight w:val="none"/>
              </w:rPr>
            </w:pPr>
            <w:r>
              <w:rPr>
                <w:rFonts w:hint="eastAsia"/>
                <w:color w:val="auto"/>
                <w:kern w:val="0"/>
                <w:sz w:val="20"/>
                <w:szCs w:val="20"/>
                <w:highlight w:val="none"/>
              </w:rPr>
              <w:t>岩浆</w:t>
            </w:r>
            <w:r>
              <w:rPr>
                <w:color w:val="auto"/>
                <w:kern w:val="0"/>
                <w:sz w:val="20"/>
                <w:szCs w:val="20"/>
                <w:highlight w:val="none"/>
              </w:rPr>
              <w:t>岩</w:t>
            </w:r>
          </w:p>
        </w:tc>
        <w:tc>
          <w:tcPr>
            <w:tcW w:w="7304" w:type="dxa"/>
            <w:shd w:val="clear" w:color="auto" w:fill="auto"/>
            <w:vAlign w:val="center"/>
          </w:tcPr>
          <w:p>
            <w:pPr>
              <w:rPr>
                <w:color w:val="auto"/>
                <w:kern w:val="0"/>
                <w:sz w:val="20"/>
                <w:szCs w:val="20"/>
                <w:highlight w:val="none"/>
              </w:rPr>
            </w:pPr>
            <w:r>
              <w:rPr>
                <w:color w:val="auto"/>
                <w:kern w:val="0"/>
                <w:sz w:val="20"/>
                <w:szCs w:val="20"/>
                <w:highlight w:val="none"/>
              </w:rPr>
              <w:t>花岗岩、闪长岩、辉绿岩、玄武岩、粗面岩、流纹岩、凝灰岩、安山岩、玢岩、辉长岩等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9" w:type="dxa"/>
            <w:shd w:val="clear" w:color="auto" w:fill="auto"/>
            <w:vAlign w:val="center"/>
          </w:tcPr>
          <w:p>
            <w:pPr>
              <w:jc w:val="center"/>
              <w:rPr>
                <w:color w:val="auto"/>
                <w:kern w:val="0"/>
                <w:sz w:val="20"/>
                <w:szCs w:val="20"/>
                <w:highlight w:val="none"/>
              </w:rPr>
            </w:pPr>
            <w:r>
              <w:rPr>
                <w:color w:val="auto"/>
                <w:kern w:val="0"/>
                <w:sz w:val="20"/>
                <w:szCs w:val="20"/>
                <w:highlight w:val="none"/>
              </w:rPr>
              <w:t>沉积岩</w:t>
            </w:r>
          </w:p>
        </w:tc>
        <w:tc>
          <w:tcPr>
            <w:tcW w:w="7304" w:type="dxa"/>
            <w:shd w:val="clear" w:color="auto" w:fill="auto"/>
            <w:vAlign w:val="center"/>
          </w:tcPr>
          <w:p>
            <w:pPr>
              <w:rPr>
                <w:color w:val="auto"/>
                <w:kern w:val="0"/>
                <w:sz w:val="20"/>
                <w:szCs w:val="20"/>
                <w:highlight w:val="none"/>
              </w:rPr>
            </w:pPr>
            <w:r>
              <w:rPr>
                <w:color w:val="auto"/>
                <w:kern w:val="0"/>
                <w:sz w:val="20"/>
                <w:szCs w:val="20"/>
                <w:highlight w:val="none"/>
              </w:rPr>
              <w:t>石灰岩、砾岩、砂岩、泥岩、页岩、白云岩等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29" w:type="dxa"/>
            <w:shd w:val="clear" w:color="auto" w:fill="auto"/>
            <w:vAlign w:val="center"/>
          </w:tcPr>
          <w:p>
            <w:pPr>
              <w:jc w:val="center"/>
              <w:rPr>
                <w:color w:val="auto"/>
                <w:kern w:val="0"/>
                <w:sz w:val="20"/>
                <w:szCs w:val="20"/>
                <w:highlight w:val="none"/>
              </w:rPr>
            </w:pPr>
            <w:r>
              <w:rPr>
                <w:color w:val="auto"/>
                <w:kern w:val="0"/>
                <w:sz w:val="20"/>
                <w:szCs w:val="20"/>
                <w:highlight w:val="none"/>
              </w:rPr>
              <w:t>变质岩</w:t>
            </w:r>
          </w:p>
        </w:tc>
        <w:tc>
          <w:tcPr>
            <w:tcW w:w="7304" w:type="dxa"/>
            <w:shd w:val="clear" w:color="auto" w:fill="auto"/>
            <w:vAlign w:val="center"/>
          </w:tcPr>
          <w:p>
            <w:pPr>
              <w:rPr>
                <w:color w:val="auto"/>
                <w:kern w:val="0"/>
                <w:sz w:val="20"/>
                <w:szCs w:val="20"/>
                <w:highlight w:val="none"/>
              </w:rPr>
            </w:pPr>
            <w:r>
              <w:rPr>
                <w:color w:val="auto"/>
                <w:kern w:val="0"/>
                <w:sz w:val="20"/>
                <w:szCs w:val="20"/>
                <w:highlight w:val="none"/>
              </w:rPr>
              <w:t>混合岩、片岩、片麻岩、板岩、石英岩、大理岩、角岩、千枚岩、</w:t>
            </w:r>
            <w:r>
              <w:rPr>
                <w:color w:val="auto"/>
                <w:highlight w:val="none"/>
              </w:rPr>
              <w:fldChar w:fldCharType="begin"/>
            </w:r>
            <w:r>
              <w:rPr>
                <w:color w:val="auto"/>
                <w:highlight w:val="none"/>
              </w:rPr>
              <w:instrText xml:space="preserve"> HYPERLINK "https://baike.so.com/doc/5860600-6073443.html" \t "_blank" </w:instrText>
            </w:r>
            <w:r>
              <w:rPr>
                <w:color w:val="auto"/>
                <w:highlight w:val="none"/>
              </w:rPr>
              <w:fldChar w:fldCharType="separate"/>
            </w:r>
            <w:r>
              <w:rPr>
                <w:color w:val="auto"/>
                <w:kern w:val="0"/>
                <w:sz w:val="20"/>
                <w:szCs w:val="20"/>
                <w:highlight w:val="none"/>
              </w:rPr>
              <w:t>碎裂岩</w:t>
            </w:r>
            <w:r>
              <w:rPr>
                <w:color w:val="auto"/>
                <w:kern w:val="0"/>
                <w:sz w:val="20"/>
                <w:szCs w:val="20"/>
                <w:highlight w:val="none"/>
              </w:rPr>
              <w:fldChar w:fldCharType="end"/>
            </w:r>
            <w:r>
              <w:rPr>
                <w:color w:val="auto"/>
                <w:kern w:val="0"/>
                <w:sz w:val="20"/>
                <w:szCs w:val="20"/>
                <w:highlight w:val="none"/>
              </w:rPr>
              <w:t>、</w:t>
            </w:r>
            <w:r>
              <w:rPr>
                <w:color w:val="auto"/>
                <w:highlight w:val="none"/>
              </w:rPr>
              <w:fldChar w:fldCharType="begin"/>
            </w:r>
            <w:r>
              <w:rPr>
                <w:color w:val="auto"/>
                <w:highlight w:val="none"/>
              </w:rPr>
              <w:instrText xml:space="preserve"> HYPERLINK "https://baike.so.com/doc/5700391-5913105.html" \t "_blank" </w:instrText>
            </w:r>
            <w:r>
              <w:rPr>
                <w:color w:val="auto"/>
                <w:highlight w:val="none"/>
              </w:rPr>
              <w:fldChar w:fldCharType="separate"/>
            </w:r>
            <w:r>
              <w:rPr>
                <w:color w:val="auto"/>
                <w:kern w:val="0"/>
                <w:sz w:val="20"/>
                <w:szCs w:val="20"/>
                <w:highlight w:val="none"/>
              </w:rPr>
              <w:t>糜棱岩</w:t>
            </w:r>
            <w:r>
              <w:rPr>
                <w:color w:val="auto"/>
                <w:kern w:val="0"/>
                <w:sz w:val="20"/>
                <w:szCs w:val="20"/>
                <w:highlight w:val="none"/>
              </w:rPr>
              <w:fldChar w:fldCharType="end"/>
            </w:r>
            <w:r>
              <w:rPr>
                <w:color w:val="auto"/>
                <w:kern w:val="0"/>
                <w:sz w:val="20"/>
                <w:szCs w:val="20"/>
                <w:highlight w:val="none"/>
              </w:rPr>
              <w:t>等</w:t>
            </w:r>
          </w:p>
        </w:tc>
      </w:tr>
    </w:tbl>
    <w:p>
      <w:pPr>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本表基本涵盖广东省工程建设中常见的岩石种类，以广东省标准《建筑地基基础设计规范》DBJ 15-31-2016表4.2.2为基础，结合</w:t>
      </w:r>
      <w:r>
        <w:rPr>
          <w:rFonts w:hint="eastAsia" w:ascii="Times New Roman" w:hAnsi="Times New Roman" w:eastAsia="宋体"/>
          <w:color w:val="auto"/>
          <w:szCs w:val="21"/>
          <w:highlight w:val="none"/>
          <w:lang w:val="en-US" w:eastAsia="zh-CN"/>
        </w:rPr>
        <w:t>广东省</w:t>
      </w:r>
      <w:r>
        <w:rPr>
          <w:rFonts w:ascii="Times New Roman" w:hAnsi="Times New Roman" w:eastAsia="宋体"/>
          <w:color w:val="auto"/>
          <w:szCs w:val="21"/>
          <w:highlight w:val="none"/>
        </w:rPr>
        <w:t>区域地质成果编制。</w:t>
      </w:r>
    </w:p>
    <w:p>
      <w:pPr>
        <w:spacing w:line="360" w:lineRule="auto"/>
        <w:rPr>
          <w:rFonts w:ascii="Times New Roman" w:hAnsi="Times New Roman" w:eastAsia="宋体"/>
          <w:color w:val="auto"/>
          <w:szCs w:val="21"/>
          <w:highlight w:val="none"/>
        </w:rPr>
      </w:pPr>
      <w:r>
        <w:rPr>
          <w:rFonts w:ascii="Times New Roman" w:hAnsi="Times New Roman" w:eastAsia="宋体"/>
          <w:b/>
          <w:bCs/>
          <w:color w:val="auto"/>
          <w:szCs w:val="21"/>
          <w:highlight w:val="none"/>
        </w:rPr>
        <w:t xml:space="preserve">4.1.3 </w:t>
      </w:r>
      <w:r>
        <w:rPr>
          <w:rFonts w:hint="eastAsia"/>
          <w:b/>
          <w:bCs/>
          <w:color w:val="auto"/>
          <w:szCs w:val="21"/>
          <w:highlight w:val="none"/>
          <w:lang w:val="en-US" w:eastAsia="zh-CN"/>
        </w:rPr>
        <w:t xml:space="preserve"> </w:t>
      </w:r>
      <w:r>
        <w:rPr>
          <w:rFonts w:ascii="Times New Roman" w:hAnsi="Times New Roman" w:eastAsia="宋体"/>
          <w:color w:val="auto"/>
          <w:szCs w:val="21"/>
          <w:highlight w:val="none"/>
        </w:rPr>
        <w:t>本表依据广东省标准《建筑地基基础设计规范》DBJ 15-31-2016表4.2.4和国标《岩土工程勘察规范》GB 50021-2001（2009版）表A.0.3综合编制。</w:t>
      </w:r>
    </w:p>
    <w:p>
      <w:pPr>
        <w:spacing w:line="360" w:lineRule="auto"/>
        <w:rPr>
          <w:rFonts w:hint="default"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rPr>
        <w:t>4.1.4</w:t>
      </w:r>
      <w:r>
        <w:rPr>
          <w:rFonts w:hint="eastAsia" w:ascii="Times New Roman" w:hAnsi="Times New Roman" w:eastAsia="宋体"/>
          <w:b/>
          <w:bCs/>
          <w:color w:val="auto"/>
          <w:szCs w:val="21"/>
          <w:highlight w:val="none"/>
          <w:lang w:val="en-US" w:eastAsia="zh-CN"/>
        </w:rPr>
        <w:t xml:space="preserve"> </w:t>
      </w:r>
      <w:r>
        <w:rPr>
          <w:rFonts w:hint="eastAsia"/>
          <w:b/>
          <w:bCs/>
          <w:color w:val="auto"/>
          <w:szCs w:val="21"/>
          <w:highlight w:val="none"/>
          <w:lang w:val="en-US" w:eastAsia="zh-CN"/>
        </w:rPr>
        <w:t xml:space="preserve"> </w:t>
      </w:r>
      <w:r>
        <w:rPr>
          <w:rFonts w:hint="eastAsia" w:ascii="Times New Roman" w:hAnsi="Times New Roman" w:eastAsia="宋体"/>
          <w:b w:val="0"/>
          <w:bCs w:val="0"/>
          <w:color w:val="auto"/>
          <w:szCs w:val="21"/>
          <w:highlight w:val="none"/>
          <w:lang w:val="en-US" w:eastAsia="zh-CN"/>
        </w:rPr>
        <w:t>就本条第1、2款说明如下：</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Times New Roman" w:hAnsi="Times New Roman" w:eastAsia="宋体"/>
          <w:color w:val="auto"/>
          <w:szCs w:val="21"/>
          <w:highlight w:val="none"/>
        </w:rPr>
      </w:pPr>
      <w:r>
        <w:rPr>
          <w:rFonts w:hint="eastAsia" w:ascii="Times New Roman" w:hAnsi="Times New Roman" w:eastAsia="宋体"/>
          <w:b/>
          <w:bCs/>
          <w:color w:val="auto"/>
          <w:szCs w:val="21"/>
          <w:highlight w:val="none"/>
          <w:lang w:val="en-US" w:eastAsia="zh-CN"/>
        </w:rPr>
        <w:t xml:space="preserve">1 </w:t>
      </w:r>
      <w:r>
        <w:rPr>
          <w:rFonts w:hint="eastAsia"/>
          <w:b/>
          <w:bCs/>
          <w:color w:val="auto"/>
          <w:szCs w:val="21"/>
          <w:highlight w:val="none"/>
          <w:lang w:val="en-US" w:eastAsia="zh-CN"/>
        </w:rPr>
        <w:t xml:space="preserve"> </w:t>
      </w:r>
      <w:r>
        <w:rPr>
          <w:rFonts w:ascii="Times New Roman" w:hAnsi="Times New Roman" w:eastAsia="宋体"/>
          <w:color w:val="auto"/>
          <w:szCs w:val="21"/>
          <w:highlight w:val="none"/>
        </w:rPr>
        <w:t>表4.1.4-</w:t>
      </w:r>
      <w:r>
        <w:rPr>
          <w:rFonts w:hint="eastAsia" w:ascii="Times New Roman" w:hAnsi="Times New Roman" w:eastAsia="宋体"/>
          <w:color w:val="auto"/>
          <w:szCs w:val="21"/>
          <w:highlight w:val="none"/>
          <w:lang w:val="en-US" w:eastAsia="zh-CN"/>
        </w:rPr>
        <w:t>1依据</w:t>
      </w:r>
      <w:r>
        <w:rPr>
          <w:rFonts w:ascii="Times New Roman" w:hAnsi="Times New Roman" w:eastAsia="宋体"/>
          <w:color w:val="auto"/>
          <w:szCs w:val="21"/>
          <w:highlight w:val="none"/>
        </w:rPr>
        <w:t>国标《岩土工程勘察规范》GB 50021-2001（2009版）表3.2.2-1。</w:t>
      </w:r>
    </w:p>
    <w:p>
      <w:pPr>
        <w:spacing w:line="360" w:lineRule="auto"/>
        <w:ind w:firstLine="420" w:firstLineChars="200"/>
        <w:jc w:val="left"/>
        <w:rPr>
          <w:rFonts w:ascii="Times New Roman" w:hAnsi="Times New Roman" w:eastAsia="宋体"/>
          <w:color w:val="auto"/>
          <w:szCs w:val="21"/>
          <w:highlight w:val="none"/>
        </w:rPr>
      </w:pPr>
      <w:r>
        <w:rPr>
          <w:rFonts w:hint="eastAsia" w:ascii="Times New Roman" w:hAnsi="Times New Roman" w:eastAsia="宋体"/>
          <w:color w:val="auto"/>
          <w:szCs w:val="21"/>
          <w:highlight w:val="none"/>
          <w:lang w:val="en-US" w:eastAsia="zh-CN"/>
        </w:rPr>
        <w:t>不过，</w:t>
      </w:r>
      <w:r>
        <w:rPr>
          <w:rFonts w:ascii="Times New Roman" w:hAnsi="Times New Roman" w:eastAsia="宋体"/>
          <w:color w:val="auto"/>
          <w:szCs w:val="21"/>
          <w:highlight w:val="none"/>
        </w:rPr>
        <w:t>目前不少场地，尤其是构造发育的场地，难以取到满足要求的岩石试样进行岩石饱和单轴抗压强度试验，因而往往需要采用点荷载试验来辅助判别岩石强度。</w:t>
      </w:r>
      <w:r>
        <w:rPr>
          <w:rFonts w:hint="eastAsia" w:ascii="Times New Roman" w:hAnsi="Times New Roman" w:eastAsia="宋体"/>
          <w:color w:val="auto"/>
          <w:szCs w:val="21"/>
          <w:highlight w:val="none"/>
          <w:lang w:val="en-US" w:eastAsia="zh-CN"/>
        </w:rPr>
        <w:t>根据</w:t>
      </w:r>
      <w:r>
        <w:rPr>
          <w:rFonts w:ascii="Times New Roman" w:hAnsi="Times New Roman" w:eastAsia="宋体"/>
          <w:color w:val="auto"/>
          <w:szCs w:val="21"/>
          <w:highlight w:val="none"/>
        </w:rPr>
        <w:t>《工程岩体分级标准》GB 50218式（3.3.1）</w:t>
      </w:r>
      <w:r>
        <w:rPr>
          <w:rFonts w:hint="eastAsia" w:ascii="Times New Roman" w:hAnsi="Times New Roman" w:eastAsia="宋体"/>
          <w:color w:val="auto"/>
          <w:szCs w:val="21"/>
          <w:highlight w:val="none"/>
          <w:lang w:val="en-US" w:eastAsia="zh-CN"/>
        </w:rPr>
        <w:t>及</w:t>
      </w:r>
      <w:r>
        <w:rPr>
          <w:rFonts w:ascii="Times New Roman" w:hAnsi="Times New Roman" w:eastAsia="宋体"/>
          <w:color w:val="auto"/>
          <w:szCs w:val="21"/>
          <w:highlight w:val="none"/>
        </w:rPr>
        <w:t>《</w:t>
      </w:r>
      <w:r>
        <w:rPr>
          <w:rFonts w:hint="eastAsia" w:ascii="Times New Roman" w:hAnsi="Times New Roman" w:eastAsia="宋体"/>
          <w:color w:val="auto"/>
          <w:szCs w:val="21"/>
          <w:highlight w:val="none"/>
        </w:rPr>
        <w:t>公路隧道设计细则》</w:t>
      </w:r>
      <w:r>
        <w:rPr>
          <w:rFonts w:ascii="Times New Roman" w:hAnsi="Times New Roman" w:eastAsia="宋体"/>
          <w:color w:val="auto"/>
          <w:szCs w:val="21"/>
          <w:highlight w:val="none"/>
        </w:rPr>
        <w:t>JTG/T D70-2010</w:t>
      </w:r>
      <w:r>
        <w:rPr>
          <w:rFonts w:hint="eastAsia" w:ascii="Times New Roman" w:hAnsi="Times New Roman" w:eastAsia="宋体"/>
          <w:color w:val="auto"/>
          <w:szCs w:val="21"/>
          <w:highlight w:val="none"/>
          <w:lang w:eastAsia="zh-CN"/>
        </w:rPr>
        <w:t>，</w:t>
      </w:r>
      <w:r>
        <w:rPr>
          <w:rFonts w:hint="eastAsia" w:ascii="Times New Roman" w:hAnsi="Times New Roman" w:eastAsia="宋体"/>
          <w:color w:val="auto"/>
          <w:szCs w:val="21"/>
          <w:highlight w:val="none"/>
        </w:rPr>
        <w:t>当无地方经验</w:t>
      </w:r>
      <w:r>
        <w:rPr>
          <w:rFonts w:ascii="Times New Roman" w:hAnsi="Times New Roman" w:eastAsia="宋体"/>
          <w:color w:val="auto"/>
          <w:szCs w:val="21"/>
          <w:highlight w:val="none"/>
        </w:rPr>
        <w:t>时</w:t>
      </w:r>
      <w:r>
        <w:rPr>
          <w:rFonts w:hint="eastAsia" w:ascii="Times New Roman" w:hAnsi="Times New Roman" w:eastAsia="宋体"/>
          <w:color w:val="auto"/>
          <w:szCs w:val="21"/>
          <w:highlight w:val="none"/>
        </w:rPr>
        <w:t>，对于破坏荷载为</w:t>
      </w:r>
      <w:r>
        <w:rPr>
          <w:rFonts w:ascii="Times New Roman" w:hAnsi="Times New Roman" w:eastAsia="宋体"/>
          <w:i/>
          <w:iCs/>
          <w:color w:val="auto"/>
          <w:szCs w:val="21"/>
          <w:highlight w:val="none"/>
        </w:rPr>
        <w:t>P</w:t>
      </w:r>
      <w:r>
        <w:rPr>
          <w:rFonts w:hint="eastAsia" w:ascii="Times New Roman" w:hAnsi="Times New Roman" w:eastAsia="宋体"/>
          <w:color w:val="auto"/>
          <w:szCs w:val="21"/>
          <w:highlight w:val="none"/>
        </w:rPr>
        <w:t>、等价岩芯直径为</w:t>
      </w:r>
      <w:r>
        <w:rPr>
          <w:rFonts w:ascii="Times New Roman" w:hAnsi="Times New Roman" w:eastAsia="宋体"/>
          <w:i/>
          <w:iCs/>
          <w:color w:val="auto"/>
          <w:szCs w:val="21"/>
          <w:highlight w:val="none"/>
        </w:rPr>
        <w:t>D</w:t>
      </w:r>
      <w:r>
        <w:rPr>
          <w:rFonts w:ascii="Times New Roman" w:hAnsi="Times New Roman" w:eastAsia="宋体"/>
          <w:color w:val="auto"/>
          <w:szCs w:val="21"/>
          <w:highlight w:val="none"/>
          <w:vertAlign w:val="subscript"/>
        </w:rPr>
        <w:t>e</w:t>
      </w:r>
      <w:r>
        <w:rPr>
          <w:rFonts w:hint="eastAsia" w:ascii="Times New Roman" w:hAnsi="Times New Roman" w:eastAsia="宋体"/>
          <w:color w:val="auto"/>
          <w:szCs w:val="21"/>
          <w:highlight w:val="none"/>
        </w:rPr>
        <w:t>的</w:t>
      </w:r>
      <w:r>
        <w:rPr>
          <w:rFonts w:ascii="Times New Roman" w:hAnsi="Times New Roman" w:eastAsia="宋体"/>
          <w:color w:val="auto"/>
          <w:szCs w:val="21"/>
          <w:highlight w:val="none"/>
        </w:rPr>
        <w:t>点荷载试</w:t>
      </w:r>
      <w:r>
        <w:rPr>
          <w:rFonts w:hint="eastAsia" w:ascii="Times New Roman" w:hAnsi="Times New Roman" w:eastAsia="宋体"/>
          <w:color w:val="auto"/>
          <w:szCs w:val="21"/>
          <w:highlight w:val="none"/>
        </w:rPr>
        <w:t>样，可按</w:t>
      </w:r>
      <w:r>
        <w:rPr>
          <w:rFonts w:ascii="Times New Roman" w:hAnsi="Times New Roman" w:eastAsia="宋体"/>
          <w:color w:val="auto"/>
          <w:szCs w:val="21"/>
          <w:highlight w:val="none"/>
        </w:rPr>
        <w:t>式（4</w:t>
      </w:r>
      <w:r>
        <w:rPr>
          <w:rFonts w:hint="eastAsia" w:ascii="Times New Roman" w:hAnsi="Times New Roman" w:eastAsia="宋体"/>
          <w:color w:val="auto"/>
          <w:szCs w:val="21"/>
          <w:highlight w:val="none"/>
        </w:rPr>
        <w:t>-</w:t>
      </w:r>
      <w:r>
        <w:rPr>
          <w:rFonts w:ascii="Times New Roman" w:hAnsi="Times New Roman" w:eastAsia="宋体"/>
          <w:color w:val="auto"/>
          <w:szCs w:val="21"/>
          <w:highlight w:val="none"/>
        </w:rPr>
        <w:t>1）得到点荷载强度指标，并按</w:t>
      </w:r>
      <w:r>
        <w:rPr>
          <w:rFonts w:hint="eastAsia" w:ascii="Times New Roman" w:hAnsi="Times New Roman" w:eastAsia="宋体"/>
          <w:color w:val="auto"/>
          <w:szCs w:val="21"/>
          <w:highlight w:val="none"/>
        </w:rPr>
        <w:t>换算公式</w:t>
      </w:r>
      <w:r>
        <w:rPr>
          <w:rFonts w:ascii="Times New Roman" w:hAnsi="Times New Roman" w:eastAsia="宋体"/>
          <w:color w:val="auto"/>
          <w:szCs w:val="21"/>
          <w:highlight w:val="none"/>
        </w:rPr>
        <w:t>（4</w:t>
      </w:r>
      <w:r>
        <w:rPr>
          <w:rFonts w:hint="eastAsia" w:ascii="Times New Roman" w:hAnsi="Times New Roman" w:eastAsia="宋体"/>
          <w:color w:val="auto"/>
          <w:szCs w:val="21"/>
          <w:highlight w:val="none"/>
        </w:rPr>
        <w:t>-</w:t>
      </w:r>
      <w:r>
        <w:rPr>
          <w:rFonts w:ascii="Times New Roman" w:hAnsi="Times New Roman" w:eastAsia="宋体"/>
          <w:color w:val="auto"/>
          <w:szCs w:val="21"/>
          <w:highlight w:val="none"/>
        </w:rPr>
        <w:t>2）</w:t>
      </w:r>
      <w:r>
        <w:rPr>
          <w:rFonts w:hint="eastAsia" w:ascii="Times New Roman" w:hAnsi="Times New Roman" w:eastAsia="宋体"/>
          <w:color w:val="auto"/>
          <w:szCs w:val="21"/>
          <w:highlight w:val="none"/>
        </w:rPr>
        <w:t>换算</w:t>
      </w:r>
      <w:r>
        <w:rPr>
          <w:rFonts w:ascii="Times New Roman" w:hAnsi="Times New Roman" w:eastAsia="宋体"/>
          <w:color w:val="auto"/>
          <w:szCs w:val="21"/>
          <w:highlight w:val="none"/>
        </w:rPr>
        <w:t>得岩石饱和单轴抗压强度</w:t>
      </w:r>
      <w:r>
        <w:rPr>
          <w:rFonts w:ascii="Times New Roman" w:hAnsi="Times New Roman" w:eastAsia="宋体"/>
          <w:i/>
          <w:iCs/>
          <w:color w:val="auto"/>
          <w:szCs w:val="21"/>
          <w:highlight w:val="none"/>
        </w:rPr>
        <w:t>R</w:t>
      </w:r>
      <w:r>
        <w:rPr>
          <w:rFonts w:ascii="Times New Roman" w:hAnsi="Times New Roman" w:eastAsia="宋体"/>
          <w:color w:val="auto"/>
          <w:szCs w:val="21"/>
          <w:highlight w:val="none"/>
          <w:vertAlign w:val="subscript"/>
        </w:rPr>
        <w:t>c</w:t>
      </w:r>
      <w:r>
        <w:rPr>
          <w:rFonts w:hint="eastAsia" w:ascii="Times New Roman" w:hAnsi="Times New Roman" w:eastAsia="宋体"/>
          <w:color w:val="auto"/>
          <w:szCs w:val="21"/>
          <w:highlight w:val="none"/>
        </w:rPr>
        <w:t>：</w:t>
      </w:r>
    </w:p>
    <w:p>
      <w:pPr>
        <w:tabs>
          <w:tab w:val="center" w:pos="3580"/>
          <w:tab w:val="center" w:pos="7780"/>
        </w:tabs>
        <w:spacing w:line="360" w:lineRule="auto"/>
        <w:jc w:val="left"/>
        <w:rPr>
          <w:rFonts w:ascii="Times New Roman" w:hAnsi="Times New Roman" w:eastAsia="宋体"/>
          <w:color w:val="auto"/>
          <w:szCs w:val="21"/>
          <w:highlight w:val="none"/>
        </w:rPr>
      </w:pPr>
      <w:r>
        <w:rPr>
          <w:rFonts w:ascii="Times New Roman" w:hAnsi="Times New Roman" w:eastAsia="宋体"/>
          <w:color w:val="auto"/>
          <w:szCs w:val="21"/>
          <w:highlight w:val="none"/>
        </w:rPr>
        <w:tab/>
      </w:r>
      <w:r>
        <w:rPr>
          <w:rFonts w:ascii="Times New Roman" w:hAnsi="Times New Roman" w:eastAsia="宋体"/>
          <w:color w:val="auto"/>
          <w:szCs w:val="21"/>
          <w:highlight w:val="none"/>
        </w:rPr>
        <w:fldChar w:fldCharType="begin"/>
      </w:r>
      <w:r>
        <w:rPr>
          <w:rFonts w:ascii="Times New Roman" w:hAnsi="Times New Roman" w:eastAsia="宋体"/>
          <w:color w:val="auto"/>
          <w:szCs w:val="21"/>
          <w:highlight w:val="none"/>
        </w:rPr>
        <w:instrText xml:space="preserve"> QUOTE </w:instrText>
      </w:r>
      <w:r>
        <w:rPr>
          <w:rFonts w:ascii="Times New Roman" w:hAnsi="Times New Roman" w:eastAsia="宋体"/>
          <w:color w:val="auto"/>
          <w:position w:val="-39"/>
          <w:highlight w:val="none"/>
        </w:rPr>
        <w:pict>
          <v:shape id="_x0000_i1098" o:spt="75" type="#_x0000_t75" style="height:46.5pt;width:178.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2D765F&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2D765F&quot; wsp:rsidP=&quot;002D765F&quot;&gt;&lt;m:oMathPara&gt;&lt;m:oMath&gt;&lt;m:sSub&gt;&lt;m:sSubPr&gt;&lt;m:ctrlPr&gt;&lt;aml:annotation aml:id=&quot;0&quot; w:type=&quot;Word.Insertion&quot; aml:author=&quot;peng gongxun&quot; aml:createdate=&quot;2021-07-12T15:26:00Z&quot;&gt;&lt;aml:content&gt;&lt;w:rPr&gt;&lt;w:rFonts w:ascii=&quot;Cambria Math&quot; w:fareast=&quot;妤蜂綋&quot; w:h-asidsidsidsidsidsidsidsidsidsidsidsidsidsidsidsidsidsidsidsidsidsidsidsidsidsidsidsidsidsidsidnsi=&quot;Cambria Math&quot;/&gt;&lt;wx:font wx:val=&quot;Cambria Math&quot;/&gt;&lt;w:i/&gt;&lt;w:color w:val=&quot;000000&quot;/&gt;&lt;w:sz-cs w:val=&quot;21&quot;/&gt;&lt;/w:rPr&gt;&lt;/aml:content&gt;&lt;/aml:annotation&gt;&lt;/m:ctrlPr&gt;&lt;/m:sSubPr&gt;&lt;m:e&gt;&lt;m:r&gt;&lt;aml:annotation aml:id=&quot;1&quot; w:type=&quot;Word.Insertion&quot; aml:author=&quot;peng gongxun&quot; aml:createdate=&quot;2021-07-12T15:26:00Z&quot;&gt;&lt;aml:content&gt;&lt;w:rPr&gt;&lt;w:rFonts w:ascii=&quot;Cambria Math&quot; w:fareast=&quot;妤蜂綋&quot; w:h-ansi=&quot;Cambria Math&quot;/&gt;&lt;wx:font wx:val=&quot;Cambria Math&quot;/&gt;&lt;Pr&gt;w:i&lt;m:/&gt;&lt;e&gt;&lt;w:cm:rolo&gt;&lt;ar wml::vaannl=&quot;ota000tio000n a&quot;/&gt;ml:&lt;w:id=sz-&quot;1&quot;cs  w:w:vtypal=e=&quot;&quot;21Wor&quot;/&gt;d.I&lt;amnsel:artinnoon&quot;tat amionl:a amuthl:ior=d=&quot;&quot;pe2&quot; ng w:tgonypegxu=&quot;Wn&quot; ordaml.Formatting&quot; aml:author=&quot;peng gongxun&quot; aml:createdate=&quot;2021-07-12T15:26:00Z&quot;&gt;&lt;aml:content&gt;&lt;w:rPr&gt;&lt;w:rFonts w:ascii=&quot;Cambria Math&quot; w:fareast=&quot;妤蜂綋&quot;1&quot;&quot; w:h- w:ansi=&quot;typCambrie=&quot;a MathWor&quot;/&gt;&lt;wxd.I:font nsewx:valrti=&quot;Cambon&quot;ria Ma amth&quot;/&gt;&lt;l:aw:i/&gt;&lt;uthw:coloor=r w:va&quot;pel=&quot;000ng 000&quot;/&gt;gon&lt;w:sz-gxucs w:vn&quot; al=&quot;21aml&quot;/&gt;&lt;/w:rPr&gt;&lt;/aml:c00Zontentaml&gt;&lt;/amlnte:annot&lt;w:ation&gt;&gt;&lt;w&lt;/w:rPontr&gt;&lt;m:t:as&gt;I&lt;/m:=&quot;Ct&gt;&lt;/amrial:contth&quot;ent&gt;&lt;/faraml:ant=&quot;notation&gt;&lt;/m:r&gt;&lt;/m:e&gt;&lt;m:sub&gt;&lt;m:r&gt;&lt;aml:annotation aml:id=&quot;3&quot; w:type=&quot;Word.Insertion&quot; aml:author=&quot;peng gongxun&quot; aml:createdate=&quot;2021-07-12T15:26:00Z&quot;&gt;&lt;aml:content&gt;&lt;w:rPr&gt;&lt;w:rFonts w:ascii=&quot;Cambria Math&quot; w:fareast=&quot;妤蜂綋&quot;=&quot;C w:h-ansiria=&quot;Cambriath&quot; Math&quot;/&gt;&lt;farwx:font wt=&quot;x:val=&quot;Caon&gt;mbria Mat&lt;/mh&quot;/&gt;&lt;w:i/sub&gt;&lt;w:color&lt;am w:val=&quot;0tat00000&quot;/&gt;&lt;l:iw:sz-cs ww:t:val=&quot;21&quot;ord/&gt;&lt;aml:antionotation :auaml:id=&quot;4pen&quot; w:type=conxun&quot;Word.w:rForcrematrFoting&quot; e=&quot;ascaml:authombr7-1r=&quot;penh&quot; g g6:0ongastxun&quot; aml:ml:createt&gt;&lt;date=&quot;202&lt;w:1-07-12T15:26:00Z&quot;&gt;&lt;aml:content&gt;&lt;w:rPr&gt;&lt;w:rFonts w:ascii=&quot;Cambria Math&quot; w:fareast=&quot;妤蜂at綋&quot; w:h-ansil:i=&quot;Cambria Maw:tth&quot;/&gt;&lt;wx:fonordt wx:val=&quot;Catiomconbria Math&quot;/:w:rau&gt;&lt;w:i/&gt;&lt;w:rFocopenlor w:vascal=&quot;0xun0000mbr0&quot;/&gt;&lt;w:screzh&quot; -cs w:val=&quot;east=&quot;21&quot;/&gt;&lt;/w:rml:Pr7-1&gt;&lt;/aml:datconte6:0nt&gt;&lt;1-0/aml:annml:o6:0tation&gt;&lt;/w:tcon&gt;&lt;rPr&gt;&lt;m:t&gt;sPr&gt;&lt;/&lt;w:m:t&gt;&lt;/a w:ml:content&gt;&lt;mbr/aml:annotatw:fion&gt;&lt;/m:r&gt;&lt;m:dt&gt;&lt;m:dPr&gt;&lt;m:ctrlPr&gt;&lt;aml:annotation aml:id=&quot;5&quot; w:type=&quot;Word.Insertion&quot; aml:author=&quot;peng gongxun&quot; aml:createdate=&quot;2021-07-12T15:26:00Z&quot;&gt;&lt;aml:content&gt;&lt;w:rPr&gt;&lt;w:rFonts w:ascii=&quot;Cambria Math&quot; w:fareast=&quot;妤蜂綋&quot; w:h-a w:&lt;w:nsi=&quot;Cambriambr Math&quot;/&gt;&lt;wx:fonw:ft wx:val=&quot;Cambr:dtia trlMath&quot;/&gt;&lt;w:i/trltat&gt;&lt;w:color w:val5&quot; tat=&quot;000000&quot;/&gt;&lt;.Inw:s5&quot; z-cs w:va:aul=&quot;21&quot;.In/&gt;&lt;/w:ongrPr&gt;&lt;/aml:au:coatentent&gt;&lt;/aml:ong7-1annotation&gt;&lt;/m:&gt;&lt;aatectrlPr&gt;&lt;/m:dw:rPr&gt;7-1&lt;m:e&gt;&lt;m:r w:&gt;&lt;aml:&gt;&lt;aannotaia tion aml:w:rid=ast&quot;6&quot; w:type=&quot; w:Word.Insertion&quot;ia  aml:author=&quot;peastng gongxun&quot; aml:createdate=&quot;2021-07-12T15:26:00Z&quot;&gt;&lt;aml:content&gt;&lt;w:rPr&gt;&lt;w:rFonts w:ascii=&quot;Cambria Math&quot; w:fareast=&quot;妤蜂綋&quot; w:h-ansong&gt;&lt;ai=&quot;Cambria Math&quot;/&gt;w:rate&lt;wx:font wx:val w:=&quot;C7-1ambria Math&quot;ia /&gt;&lt;w:i&gt;&lt;a/&gt;&lt;w:coloastr w:val=&quot;w:r000000Wor&quot;/&gt;l:a&lt;w:sz-cs  w:w:v amgonal=&quot;21&quot;/&gt;&lt;aml:aia edang nnotation aml:i15:d=&quot;eatast7&quot; w:typente=&quot;Word12T.Fo:crrmaonttting&quot; am:col:authriaor=&quot;peng gon:rFgxut=&quot;n&quot; aml:createdaambte=&quot;2021-07-12T15:eas26:00Z&quot;&gt;&lt;aml:content&gt;&lt;w:rPr&gt;&lt;w:rFonts w:ascii=&quot;Cambria Math&quot; w:fareast=&quot;妤蜂綋&quot; w:h-&gt;&lt;aWorgonansi=&quot;Cambria Math&quot;/&gt;eda amw:r&lt;wx:font wx:val15:=&quot;Cng amb w:ria Math&quot;nte/&gt;&lt;w:ieat/&gt;&lt;w:cia oloontr w:val=&quot;12T000000&quot;/&gt;riaast&lt;w:sz-cs :cow:val=t=&quot;&quot;21&quot;/&gt;:cr&lt;/w:rP:rFr&gt;&lt;te=/aml:content&gt;&lt;/amlamb26::annotation&gt;&lt;/w:rPr&gt;&lt;&lt;w:easm:t&gt;50&lt;/m:t&gt;eas&lt;/aml:ciiconnt&gt;tent&gt;&lt;/aml:annofartation:as&gt;&lt;/m:r&gt;&lt;/m:e&gt;&lt;/m:d&gt;&lt;/ w:m:sub&gt;&lt;/m:sSub&gt;&lt;m:r&gt;&lt;aml:annotation aml:id=&quot;8&quot; w:type=&quot;Word.Insertion&quot; aml:author=&quot;peng gongxun&quot; aml:createdate=&quot;2021-07-12T15:26:00Z&quot;&gt;&lt;aml:content&gt;&lt;w:rPr&gt;&lt;w:rFonts w:ascii=&quot;Cambria Math&quot; w:fareast=&quot;妤蜂綋&quot; nt&gt;w:h/am-ansi=&quot;Cafarmbria Math&quot;/m:r:as&gt;&lt;wx:font&gt;&lt;/ wx:val=&quot;ub&gt;Cambri w:a Mathub&gt;&quot;/&gt;&lt;w:noti/&gt;&lt;w:color amlw:vamlal=pe=&quot;000000&quot;/&gt;&lt;w:sz-cs&quot; wInsaut w:val=&quot;21&quot;/&gt;&lt;aml:annotal:ceng&quot; ation aml:id=&quot;9&quot; w:T15typatee=&quot;un&quot;Word.Formatt&gt;&lt;wing&quot; aZ&quot;&gt;ml:&quot; waut-07hor=&quot;pi=&quot;eng gongxw:run&quot; aml:contst=reatedate=&quot;2a M021-07-12T15:26:00Z&quot;&gt;&lt;aml:content&gt;&lt;w:rPr&gt;&lt;w:rFonts w:ascii=&quot;Cambria Math&quot; w:fareast=&quot;妤蜂綋&quot; amlw:h-ansi=aut&quot;Cambramlia Math&quot;/Ins&gt;&lt;wx:fl:cont wx:val=&quot;&quot; wCambrienga MT15ath&quot;/&gt;&lt;w:i/&gt;&lt;w:col&quot; aor ate&gt;&lt;w&quot; ww:val=&quot;000000&quot;/&gt;&lt;w:sz-csun&quot;w:ri=&quot;Z&quot;&gt; w:val=&quot;21&quot;/&gt;&lt;/w:rPr&gt;=&quot;2&lt;/ast=ml:w:r-07content&gt;&lt;/am&lt;aml:annoT15tationa M&gt;&lt;/ontw:rts Pr&gt;&lt;m:t&gt;=:rP&lt;/m:t&gt;&lt;/al:cml::facontent&gt;&lt;/ambril:annotationw:a&gt;&lt;/m:r&gt;&lt;m:d&gt;&lt;m:dPr&gt;&lt;m:begChrear m:val=&quot;{&quot;/&gt;&lt;m:endChr m:val=&quot;&quot;/&gt;&lt;m:ctrlPr&gt;&lt;aml:annotation aml:id=&quot;10&quot; w:type=&quot;Word.Insertion&quot; aml:author=&quot;peng gongxun&quot; aml:createdate=&quot;2021-07-12T15:26:00Z&quot;&gt;&lt;aml:content&gt;&lt;w:rPr&gt;&lt;w:rFonts w:ascii=&quot;Cambria Math&quot; w:fareast=&quot;妤aa蜂綋&quot; w:h-ansi&lt;m:=&quot;Cambria Mareath&quot;/rea&gt;&lt;wx:font w&gt;&lt;mx:val=&quot;Cal=&quot;mbria Ma&gt;&lt;athl=&quot;&quot;/&gt;&lt;w:i/&gt;&lt;a&gt;&lt;w:con alor w:ty:val=&quot;00000n a0&quot;/&gt;&lt;:tyw:sertz-horcs w:val=&quot;21&quot;/&gt;&lt;/w:rertPrhorunate&quot;&gt;&lt;/aml:content&gt;&lt;/aml:annotatul:cnT15ate&quot;ion&gt;&lt;/m:ctrlPr&gt;&lt;/m:dPrsci&gt;&lt;m:r&gt;&lt;e&gt;&lt;l:cmT15:m&gt;&lt;m:mPr&gt;&lt;m:m妤acs&gt;&lt;m:athmc&gt;&lt;m:scimcPrr&gt;&lt;&gt;&lt;m:count m:val=&quot;1&quot;/&gt;&lt;m:妤amcJc&lt;a m:val=&quot;ce&quot;nter&quot;/&gt;&lt;/mm:mcPr&gt;&lt;/m:mtyc&gt;&lt;/m:mcs&gt;&lt;am:ctrlPr&gt;&lt;aaml:annotaortion aml:id=t&quot;11&quot; w:typey=&quot;Word.Itensertion&quot; aml&quot;:author=&quot;penrg gong:cxun&quot; aml:creat5edate=&quot;2021-0e7-12ciT15:26:00Z&quot;&gt;&lt;am&lt;l:content&gt;&lt;w:rcPr&gt;a&lt;w:rFonts w:aschii=&quot;Cambria Matihn&quot; w:fareast=&quot;妤?=&quot;浣? w:h-ansi=&quot;Cae&quot;:妤ambria mtyMath&quot;/&gt;&gt;&lt;/m&lt;wx:font wx:v&gt;&lt;aal=&quot;Cam&lt;aor/mbria Math&quot;/r&gt;&lt;a&gt;&lt;w:i/&gt;&lt;wd=t:colorIte w:val=ota&quot;000000&quot;/ypey&gt;&lt;w:sml&quot;z-csg:c w:val=&quot;21&quot;/&gt;&lt;/Insw:rPr&gt;&lt;penr/at5am2cil:content&gt;&lt;/aml:annotatun&quot;ion&gt;&lt;1am&lt;r&gt;a-0e/m:ctrlPr&gt;&lt;/m:mPr&gt;&lt;m:mr&gt;ast&lt;m:e:26ihnsch&gt;&lt;mw:rc:f&gt;&lt;m:fPr&gt;&lt;m:type m:val=&quot;l&quot;i?=&quot;n&quot;/Fon&gt;Mati&lt;m:ctrlPr&gt;&lt;aml:annotation aml:idrea=&quot;12&quot; w:type=&quot;Word.Insertion&quot; aml:author=&quot;peng gongxun&quot; aml:createdate=&quot;2021-07-12T15:26:00Z&quot;&gt;&lt;aml:content&gt;&lt;w:rPr&gt;&lt;w:rFonts w:ascii=&quot;Cambria Math&quot; w:fareast=&quot;妤蜂綋&quot; w:ihnh-anschsi=&quot;Cambri:rca:26 pe Math&quot;/&gt;&lt;wx:f&quot;l&quot;ont wx:?=&quot;val=&quot;Cambria amlMatiatFonh&quot;/&gt;&lt;tatw:i/&gt;&lt;w:coln aor w:vaWorl=&quot;000000&quot;=&quot;1/&gt;&lt;serreaw:sz-cs w:van&quot; lun&quot;=&quot;21&quot;/&gt;&lt;/w:rPr&gt;&lt;/tl:choaml:content&gt;&lt;/a0Z&quot;mleda:annotation&gt;&lt;/maml:ctr202lPr&gt;&lt;/m:ciifPr&gt;&lt;m:net=&quot;ntum&gt;&lt;m:r&gt;&lt;am&quot;Cal:annotatw:rion aml:id=&quot;13&quot;Mat w:type=&quot;Word.Insertih&quot; on&quot; aml:author=&quot;peng gongxun&quot; aml:createdate=&quot;2021-07-12T15:26:00Z&quot;&gt;&lt;aml:content&gt;&lt;w:rPr&gt;&lt;w:rFonts w:ascii=&quot;Cambria Math&quot; w:fareast=&quot;妤?&quot;浣搕ho&quot; w:h-anedasi=&quot;Cambramlia Math&quot;/&gt;&lt;wciix:font=&quot;t wx:202val=&quot;Caentmbria&quot;Ca Math&quot;/&gt;&lt;ionw:i=&quot;1/&gt;&lt;w:color w:vaw:rl=&quot;000Mat0=&quot;W00&quot;/&gt;&lt;&quot; owuth:sz-cs w:val=&quot;21&quot;/&gt;&lt;aml:ah&quot; nnotangx=&quot;pte-07dtion aml:id=&quot;14&quot; w:type=&quot;Word.Formeata0ZrFont&gt;&quot;tti2T1ng&quot; aml:author=&quot;peng gongxun&quot; am?&quot;lh&quot; :c=&quot;Cntereas wtedate=&quot;2021-07-12T15:26:00Z&quot;&gt;&lt;aml:c Maontent&gt;&lt;w:rPr&gt;&lt;w:rFonts w:ascii=&quot;Cambria Math&quot; w:fareast=&quot;妤蜂綋&quot; uthw:h-ans&quot; oi=&quot;=&quot;WCambria MatMatw:rh&quot;/&gt;&lt;wx:fon-07t wx:val=ted&quot;Cambrngxia Math&quot;/&gt;&lt;w=&quot;p:i/&gt;h&quot; &lt;rFow:color w:vnt&gt;al=&quot;0000000Z&quot;&quot;/&gt;&lt;w:sz-cs w:v2Tm?&quot;1al=&quot;2eat1&quot;/&gt;h&quot; &lt;/w:rPr7-1&gt;&lt;/aml:=&quot;Ccontent&gt;&lt;/a6:0ml:annos wtatio0Z&quot;nnontte&gt;&lt;/w:rPr&gt;&lt;m:t&gt;ml:P&lt;/msci:t&gt;&lt;/aml:contenonti=&quot;t&gt;&lt;/aml:a Mannotation&gt;ria&lt;/m:r&gt;&lt;m:sSup&gt;&lt;m:sSuathpPr&gt;&lt;m:ctrlPr&gt;&lt;aml:annotation aml:id=&quot;15&quot; w:type=&quot;Word.Insertion&quot; aml:author=&quot;peng gongxun&quot; aml:createdate=&quot;2021-07-12T15:26:00Z&quot;&gt;&lt;aml:content&gt;&lt;w:rPr&gt;&lt;w:rFonts w:ascii=&quot;Cambria Math&quot; w:fareast=&quot;妤蜂綋&quot; w:h-ai=&quot;i=&quot;nsiont=&quot;Cambria Math&quot; riaMa/ria&gt;&lt;wx:font wx:uatval=&quot;SuaCambria athMath&quot;/&gt;&lt;nnow:i/&gt;&lt;w:conotlor :tyw:val=&quot;000 w:000&quot;/&gt;&lt;w:sz-cw:tamls w:val=&quot;21&quot;/&gt;&lt;&quot; a/wl:a:rP21-r&gt;&lt;/aml:un&quot;content&gt;&lt;/am-07l:annxunotatinteon&gt;&lt;/ts m:ctrl-12Pr&gt;&lt;/m:sconSupPr&gt;&lt;ms w:e&gt;&lt;m:d&gt;&lt;mw:f:dPml:r&gt;&lt;m:ctrlPr&gt;&lt;amascl:ann w:otation aml:id=&quot;16&quot; w:typMate=&quot;Word.Insertion&quot; aml:author=&quot;peng gongxun&quot; aml:createdate=&quot;2021-07-12T15:26:00Z&quot;&gt;&lt;aml:content&gt;&lt;w:rPr&gt;&lt;w:rFonts w:ascii=&quot;Cambria Math&quot; w:fareast=&quot;妤蜂s 綋&quot; w:h-xunansi=&quot;Camb-12ricona Mats wh&quot;/&gt;&lt;wxw:f:foml:nt wx:val=&quot;Cambria Maml:th&quot;/&gt;&lt;w:ias w:cion/&gt;&lt;w=&quot;1::tycolor w:val=&quot;000000&quot;/&gt;&lt;w:sz-cs w:vMatal=&quot;21rthoa g&quot; aomlti&quot;/&gt;&lt;/w:rPr&gt;&lt;/aml:content&gt;&lt;/aml:annotati:rPon&gt;am:nt&gt;aml26l&lt;/m12T&quot;20:ctrlPr&gt;&lt;/m:dPr&gt;&lt;m:e&gt;&lt;m:f&gt;&lt;m :fPr&gt;&lt;mst=:th&quot; ypembr m:val=i=&quot;&quot;ontlin&quot;/&gt;&lt;m:ctrlPr&gt;&lt;aml:annotation aml:id=&quot;17&quot; w:type=&quot;Word.Insertion&quot; aml:author=&quot;peng gongxun&quot; aml:createdate=&quot;2021-07-12T15:26:00Z&quot;&gt;&lt;aml:content&gt;&lt;w:rPr&gt;&lt;w:rFonts w:ascii=&quot;Cambria Math&quot; w:fareast=&quot;妤T蜂綋&quot; &quot;20amlw:h-ansi=&lt;m &quot;Cambria Mst=ath&quot;/h&quot; &gt;&lt;wx:fmbront wx:val=i=&quot;&quot;Cambrion&gt;&lt;ata Math&quot;/&gt;&lt;wota:i/&gt;&lt;w:con olor w:valid==&quot;000000&quot;/&gt;&lt;w:amltypsz-cs w:pe=or=val=&quot;21&quot;/&gt;&lt;eng/w:rPr&gt;&lt;/aml:cxunonten15:t&gt;&lt;/aml:annoreat0Z&quot;ation&gt;&lt;/reamasc:camltrlPr&gt;&lt;/m:fPr&gt;&lt;m:brinnt&gt;um&gt;&lt;m:sSub&gt;&lt;m:athsSubr&gt;&lt;Pr&gt;&lt;m:ctrlw:fPrr&gt;&lt;&gt;&lt;aml:annotation a妤Tml:id=&quot;18 &quot; w:type=&quot;aWord.Insertrion&quot; aml:autahor=&quot;peng gongxun&quot; am l:createdlate=&quot;2021-07-1=2T15:26:0=0Z&quot;&gt;&lt;aml:content&gt;&lt;w:rPgr&gt;&lt;w:rFo:nts w:ascii=&quot;Cambnria Ma&quot;th&quot;c w:fareast=&quot;妤蜂?ea?aml w:h-briansi=&quot;Careambria Math&quot;ntaPr&gt;th&gt;/&gt;&lt;wx:font wx:val=&quot;Cambriw:fnnor&gt;&lt;a Math&quot;/&gt;&lt;w:i/&gt;&lt;w:r&gt;&quot;a&lt;col8 or w:妤Tval=&quot;000000&quot;/&gt;&lt;w:szuta-csrtr w:&quot;Woval=&quot;21&quot;/edl&gt;&lt;/w:rPram &gt;&lt;/a&quot; aml:cngontent&gt;&lt;/am:0=l:annotati-1=on&gt;&lt;/aFo:tem:ctrlPr&gt;&lt;/rPgmh&quot;c:sSubPr&gt;&lt;m:e&gt;&lt;mt&gt;:r&gt;Ma&quot;&lt;aml:annotation ambinml:id=&quot;ts 19&quot; w&gt;:tlype=&quot;Word.Insertion&quot;ha aml:author=&quot;peng ogon&gt;gxun&quot; aml:careatfedate=&quot;2021-07-12T1 5:26:00Z&quot;&gt;&lt;aml:content&gt;&lt;w:rPr&gt;&lt;w:rFonts w:ascii=&quot;Cambria Math&quot; w:fareast=&quot;妤蜂0=綋&quot; w:cngh-ans&quot;Fo: ai=&quot;Cam-1=bh&quot;cria Math&quot;/&gt;&lt;wrPgx:foatent wx:valMa&quot;=&quot;Cambria Matmbihmt&gt;&quot;/&gt;&lt;w w&gt;:i/&gt;&lt;w:cmbnolor w:val:tl=&quot;000000&quot;/&gt;tsn&quot;h &lt;w:sz-cs wg o:val=&quot;:ca21&quot;/&gt;n&quot;a&lt;aml:annotaton&gt;ion amatfl:id=&quot;20&quot; T1 w:type=&quot;ontamlW:rFord.Formatting&quot; a15:ml:author=&quot;p&lt;w:engs w gongx Maun&quot; aml=:createdate&gt;&lt;w=&quot;2021-07-12T15 Ma:26:00Z&quot;&gt;&lt;aml:content&gt;&lt;w:rPr&gt;&lt;w:rFonts w:ascii=&quot;Cambria Math&quot; w:fareast=&quot;?シ浣? wbn:htl-ansi&quot;h=&quot;Cam obcaria Math&quot;/&gt;&lt;wx:font wx:vats l=&quot;Cambria Mn&quot;aath&quot;/&gt;&lt;ntf&gt;w:1 i/&gt;ntrF&lt;w:color w:val=&quot;000000&quot;/&gt;&lt;w:sz-cs w:amlval=&quot;21&quot;/15:&gt;&lt;/w:r wMaPedlea=w:r&gt;&lt;/aml:content&gt;&lt;/aml:annotation&gt;&lt;/w:rPr&gt;&lt;m:&gt;&lt;wt&gt;D&lt;/m Ma:s t&gt;&gt;on&gt;&lt;&lt;&lt;nt/mlaml:content&gt;&lt;/aml:annotation&gt;&lt;/m:r&gt;&lt;/m:e&gt;&lt;m:sub&gt;&lt;scim:rath&gt;&lt;=&quot;?aml:annotation aml:id=&quot;21&quot; w:type=&quot;Word.Insertion&quot; aml:author=&quot;peng gongxun&quot; aml:createdate=&quot;2021-07-12T15:26:00Z&quot;&gt;&lt;aml:content&gt;&lt;w:rPr&gt;&lt;w:rFonts w:ascii=&quot;Cambria Math&quot; w:fareast=&quot;妤蜂on綋&gt;&gt;&lt;&quot;&gt;&gt;&lt; &gt;&lt;&lt;ntw M/mlaw:h-ansi=&quot;Cambria Math&quot;/&gt;&lt;wx:font wx&lt;sc:val=&quot;C:raambrratia Mathath&quot;/&gt;&lt;&lt;=&quot;w:i/=&quot;?&gt;athsci&lt;w:color w:val=&quot;0 am00000&quot;/&gt;&lt;:auw:sz-csaut w:val=uth&quot;21&quot;/&gt;&lt;aml:=&quot;pannota=&quot;00Zptiohorn am&lt;aml:id=&quot;22&quot; wl:c:type=&quot;Wor:cod.Formattinontg&quot; aml:autst=hor=t&gt;&lt;&quot;peng genntongxunont&quot; aml:createdate=&quot;2021-07-12T15:26:00Z&quot;&gt;&lt;aml:content&gt;&lt;w:rPr&gt;&lt;w:rFonts w:ascii=&quot;Cambria Math&quot; w:fareast=&quot;妤蜂?am? w=&quot;?:h-ansi=&quot;:auCathambria Maautscith&quot;/&gt;&lt;wx:fut0Zhont wx:val=&quot;Cambr&lt;am=&quot;pia Math&quot;/&gt;&lt;w:i/l:c=&quot;p&gt;&lt;w:color w:h:coorval=&quot;t=000000&quot;/&gt;&lt;ontw:sz-cs ennw:val=&quot;21&quot;/&gt;t&gt;&lt;&lt;/w:r amPr&gt;&lt;/aml:coentntentte&gt;&lt;=&gt;&lt;/aml:annontotation&gt;15:rP:&lt;/w:rPr&gt;&lt;m:t&gt;e&lt;/m:t&gt;&lt;s w:co/aml:content&gt;&lt;m/aml:mbrw:rannotation&gt;&lt;/m:r&gt;&lt;rFo/ream:sub&gt;&lt;/m:sSub&gt;&lt;/m:num&gt;&lt;m:den&gt;&lt;m:r&gt;&lt;aml:annotation aml:id=&quot;23&quot; w:type=&quot;Word.Insertion&quot; aml:author=&quot;peng gongxun&quot; aml:createdate=&quot;2021-07-12T15:26:00Z&quot;&gt;&lt;aml:content&gt;&lt;w:rPr&gt;&lt;w:rFonts w:ascii=&quot;Cambria Math&quot; w:fareast=&quot;妤蜂&lt;m綋&quot; w:h-mbransi=&quot;w:rCambria :r&gt;Math&quot;/&gt;&lt;wx:r&lt;/meaforFont wx:&gt;&lt;/val=&quot;Cambria:r&gt; M&gt;&lt;math&quot;/&gt;&lt;w:i/:an&gt;&lt;w:color w23&quot;:vatatInsl=&quot;000000&quot;/&gt;&lt;w:e=&quot;sz-cn&quot; s w:vty gopal=&quot;21&quot;/&gt;&lt;aml:authnnotatn&quot; ion 20200Zaml:id=&quot;24&quot; w:typamle=&quot;Word.Forl:cT1rFo5matting&quot; aml:author=&quot;peng gont&gt;nmgathw:axun&quot; aml:createdate=&quot;2021-07:as-12T1rea5:26:00Z&quot;&gt;&lt;aml:content&gt;&lt;w:rPr&gt;&lt;w:rFonts w:ascii=&quot;Cambria Math&quot; w:fareast=&quot;妤蜂綋&quot; w:h-ansi=&quot;Cambria Ma gothn&quot; &quot;/tate=&quot;&gt;&lt;wx:font wx:val=&quot;00ZCambria202 Mathn&quot; &quot;/&gt;typuth&lt;w:i/&gt;&lt;w:color wrFo:val=&quot;0l:c00000&quot;/&gt;&lt;w:sT15za&gt;nmml-cs w:val=&quot;ath21&quot;/&gt;&lt;/w:rPrw:07:a&gt;&lt;/aml:connt&gt;tes-1nt&gt;&lt;/aml:anno-12tation&gt;&lt;/:rPw:rPr&gt;&lt;mrea:t&gt;50&lt;/r&gt;&lt;:asm:h&quot; t&gt;&lt;/aml:conten:rFt&gt;&lt;/a:faml:annotaw:rtion&gt;&lt;/farm:r&gt;&lt;/m:den&gt;&lt;/m:f&gt;&lt;/m:aste&gt;&lt;/m:d&gt;&lt;/m:e:fa&gt;&lt;m:sup&gt;&lt;m:r&gt;&lt;aml:annotation aml:id=&quot;25&quot; w:type=&quot;Word.Insertion&quot; aml:author=&quot;peng gongxun&quot; aml:createdate=&quot;2021-07-12T15:26:00Z&quot;&gt;&lt;aml:content&gt;&lt;w:rPr&gt;&lt;w:rFonts w:ascii=&quot;Cambria Math&quot; w:fareast=&quot;妤蜂綋&quot; w:h-ansi=w:r&quot;farC:r&gt;ambria Math&quot;/&gt;&lt;wx:font&gt;&lt;/ te&gt;wastx:val=&quot;Cambria Math::r&gt;fa&quot;/&gt;m:r&lt;w:i/&gt;&lt;w:color w25&quot;:val=id=&quot;00n a0000on&quot;&quot;/&gt;&lt;w:sz-ctios w:val=n&quot; &quot;2ert1&quot;/&gt;&lt;amlxun:annotation amlxun:ho7-1rid=&quot;26&quot; w:type1ent-0=&quot;Word.Foratemaii=tontting&quot; aml:author=&quot;scil:cpeng gongxun&quot; ast=ml:crasceatedate=&quot;2021-07eas-12T15:26:00Z&quot;&gt;&lt;aathml:content&gt;&lt;w:rPr&gt;&lt;w:rFonts w:ascii=&quot;Cambria Math&quot; w:fareast=&quot;妤&quot;蜂綋&quot; w:h-aid=nsin&quot; :fa=&quot;Cambritioa Math&quot;/&gt;&lt;n awxxun:font wx:val=&quot;C7-1aertmbria Matenth&quot;/&gt;&lt;w:ixun/&gt;ii=&lt;w:color w1-0:val=&quot;0000ont00&quot;hor/&gt;&lt;w:ssciz-cs w:vaatest=l=&quot;21&quot;/&gt;&lt;/wte=:rPrl:c&gt;&lt;2T1/aml:contentasc&gt;&lt;/aml:annoeastationZ&quot;&gt;&gt;&lt;/w:rPr&gt;&gt;&lt;w&lt;m:t&gt;m&lt;/mw:a:t&gt;&lt;/aml:athcontea妤&quot;thnt&gt;&lt;/a ml:ann&lt;w:otation&gt;&lt;/mamb:r&gt;&lt;/m:supast&gt;&lt;/m:sSup&gt;&lt;/m:num&gt;&lt;m:den&gt;&lt;m:sSup&gt;&lt;m:sSupPr&gt;&lt;m:=ctrlPr&gt;&lt;aml:annotation aml:id=&quot;27&quot; w:type=&quot;Word.Insertion&quot; aml:author=&quot;peng gongxu1n&quot; aml:createdate=&quot;2021-07-12T15:26:00Z&quot;&gt;&lt;aml:content&gt;&lt;w:rPr&gt;&lt;w:rFonts w:ascii=&quot;Cambria Math&quot; w:fareast=&quot;?シ浣? w:h-ambnsi=&quot;Camstbria:s Math&quot;m:/&gt;&lt;wx:fdeont wx:upval=&quot;SuCamb:=ria Math&quot;/&gt;&lt;w:i/:ct&gt;&lt;w:color:an w:val=&quot;00ml0000&quot;/&gt;w:&lt;w=&quot;:szIn-cs w&quot; :val=ho&quot;21&quot;g /&gt;u1&lt;/w:rPr&gt;&lt;/aml:content&gt;&lt;/aml:annotaxuntion&gt;&lt;ate/m:ctrl-0Pr&gt;&lt;/6:m:amntsSurPpPron&gt;&lt;mciam M:e&gt;&lt;m:sSub&gt;&lt;m:sSubPr&gt;&lt;m:ctrlPr&gt;&lt;aml:annotation aml:id=&quot;28&quot;h&quot;  w:=&quot;?type=&quot;Word.Insertion&quot; aml:author=&quot;peng gongxun&quot; aml:createdate=&quot;2021-07-12T15:26:00Z&quot;&gt;&lt;aml:content&gt;&lt;w:rPr&gt;&lt;w:rFonts w:ascii=&quot;Cambria Math&quot; w:fareast=&quot;妤蜂綋&quot; w:h-ansxunateil-0=&quot;/6mnturPronm Miammci:am:Cambria Math&quot;/&gt;&lt;wx:font wx:val=&quot;Cambria Math&quot;/&gt;&lt;w:i/&gt;&lt;w:color w:val=&quot;000000rti&quot;/&gt;rti&lt;wertInsrd.:Wor=&quot;pWore=?h&quot; sz-cs w:val=&quot;21&quot;/&gt;&lt;/w:rPr&gt;&lt;/aml:content&gt;&lt;/aml:annotaw:rtion&gt;&lt;w:r/m:c&gt;&lt;wtrlentPr&gt;ont&lt;/m:sconSubPr&gt;con&lt;&lt;amm00Z:e&gt;26:&lt;m:r&gt;&lt;aml:annotation aml:id=&quot;29&quot; w:type=&quot;Word.Insertion&quot; aml:author=&quot;peng gongxun&quot; aml:createdate=&quot;2021-07-12T15:26:00Z&quot;&gt;&lt;aml:content&gt;&lt;w:rPr&gt;&lt;w:rFonts w:ascii=&quot;Cambria Math&quot; w:fareast=&quot;妤蜂綋&quot; w:hw:r-ansi=&quot;Caw:rmbria M&gt;&lt;wath&quot;/&gt;ent&lt;wx:foontnt wx:vaconl=&quot;Cambricona Ma&lt;amth&quot;/00ionZ&gt;&lt;w:i/26:&gt;&lt;d=&quot;w:color w:vatypl=&quot;000000Wor&quot;/&gt;&lt;w:sz-nsecs w:val=on&quot;&quot;21&quot;/&gt;&lt;aml:authnnotati7-1on penaml:id= g6:0o&quot;30&quot; w:txunypamle=&quot;Wordml:.Fnteormatting&quot; a&lt;w:ml:author=&quot;pe&lt;w:ng gongxun&quot; aml w::createdatecii=&quot;2021-07-&quot;Ca12T15:26:00Zia &quot;&gt;&lt;aml:content&gt;&lt;w:rPr&gt;&lt;w:rFonts w:ascii=&quot;Cambria Math&quot; w:fareast=&quot;妤蜂綋&quot; Worw00Z:h-ansi=&quot;Cansembri26:a Math&quot;/on&quot;&gt;7-1&lt;wx:font wx:val=&quot;u6:0thCambria Math&quot;/&gt;aml&lt;penw:i/&gt;&lt;w:color ntego w:val=&quot;000000&quot;/&lt;w:&gt;xun&lt;w:sxunz-cs w:val=&lt;w:&quot;21ml:&quot;dat/&gt;&lt;/w:rPr&gt;&lt;/am w:l:-&quot;Ccontent&gt;&lt;/aml:aciinnor&gt;&lt;Ziatation&gt;&lt;/w:rP&quot;Car&gt;&lt;m:i=&quot;entt&gt;D&lt;/m:t&gt;&lt;/aml:cia on:fatentsnt&gt;&lt;/aml:annotation&gt;&lt;/m:ia r&gt;&lt;/m:e&gt;&lt;m:sub&gt;&lt;m:rrea&gt;&lt;aml:annotation aml:id=&quot;31&quot; w:type=&quot;Word.Insertion&quot; aml:author=&quot;peng gongxun&quot; aml:createdate=&quot;2021-07-12T15:26:00Z&quot;&gt;&lt;aml:content&gt;&lt;w:rPr&gt;&lt;w:rFonts w:ascii=&quot;Cambria Math&quot; w:fareast=&quot;妤?a浣? w:h-ansi=&quot;Cafambriats Mia ath&quot;/&gt;&lt;wx:foonnt wx:val=a e&gt;&quot;Cambria Mat&gt;&lt;h&quot;/&gt;&lt;w:i/&gt;ea&lt;atw:color w:v aal=&quot;000000l:i&quot;/Wo&gt;&lt;w:sz-cs w:vansl=&quot;21&quot;/&gt;&lt;aormnsel:a annotation g aml:id=ea&quot;32&quot; w:tT1ype=&quot;Wordat.Formatt6:ing&quot; aml&lt;w:s author=&quot;p00Zeng gongxu&lt;wn&quot; =&quot;amfal:createdate=&quot;2&gt;&lt;w021-ri07t=-12T15:26:00Z&quot;&gt;&lt;aml:cont?aent&gt;&lt;w:rPr&gt;&lt;w:rFonts w:ascii=&quot;Cambria Math&quot; w:fareast=&quot;妤蜂綋&quot; w:h-&gt;ev aaa/Wonsi=&quot;Cambria Math&quot;/&gt;&lt;wx:fonta al:aorians wx:val=&quot;Cambria Math&quot;/&gt;tT1&lt;w=ea:i/&gt;&lt; g w:nsecolor :s w:val=&quot;000l&lt;w000&quot;/t6:&gt;&lt;w:sdatz-cs w:mfaval=&quot;21&quot;/&gt; =&quot;&lt;/w:rPr&gt;&lt;/au&lt;wml:con00Z2T1tent&gt;&lt;/aml7t=:anno:rPtation&gt;&lt;-ri/w:rPr&gt;:rP&lt;m:t&gt;e&gt;&lt;w&lt;/m:t&gt;&gt;&lt;wath&lt;/aml:content?at&gt;&lt;a M/aml:annotation&gt;&lt;/m:ra M&gt;&lt;/m:sub&gt;&lt;/m:sSCamub&gt;&lt;/m:e&gt;&lt;m:sup&gt;&lt;m:r&gt;&lt;aml:annotation aml:id=&quot;33&quot; w:type=&quot;Word.Insertion&quot; aml:author=&quot;peng gongxun&quot; aml:createdate=&quot;2021-07-12T15:26:00Z&quot;&gt;&lt;aml:content&gt;&lt;w:rPr&gt;&lt;w:rFonts w:ascii=&quot;Cambria Math&quot; w:fareast=&quot;妤蜂綋&quot; w:h-a Mt?aansi=&quot;Cambria /m:Math&quot;/&gt;a M&lt;wx&lt;/m:font wx::sSval=&quot;CambCamrip&gt;&lt;a Math&quot;/&gt;&lt;w&lt;mion::i/&gt;&lt;w:c w:olor w am:val=&quot;00000pe=0&quot;/&gt;&lt;w:sz-camls w:ve=&quot;gonal=&quot;21&quot;/&gt;&lt;aml:au:annotatgxuion amle=&quot;:id=&quot;34&quot;00Z w:nt&gt;type=&quot;n&quot; Word.=&quot;2Formatting&quot;&gt;&lt;&quot; amw:rl:autciihor w:=&quot;peng gongxun&quot; aml:crearPrtedati=&quot;e=&quot;2far021-07-12T15:26:00Z&quot;&gt;&lt;aml:content&gt;&lt;w:rPeasr&gt;&lt;w:rFonts w:ascii=&quot;Cambria Math&quot; w:fareast=&quot;妤蜂?am? m:w:hame=-anmlonsi=&quot;Cambria Math&quot;/&gt;&lt;wx:font wx:val=&quot;Cambr=&quot;ia xu=t&gt;&quot;a0ZuMath&quot;/&gt;&lt;w:i/&gt;&lt;w:color w:val=&quot;000000&quot;/&gt;&lt;w:sz-cs ww::iir&quot;2:&gt;&lt;n&quot; val=&quot;21&quot;/&gt;&lt;/w:rPr&gt;&lt;/aml:content&gt;&lt;/a12ml:an-1n21otaarti=&quot;oPrn&gt;&lt;/w:rPr&gt;&lt;m:t&gt;2&lt;/m:t&gt;&lt;/aciml:contecint&gt;&lt;w:/amonl:annotaonsation&gt;&lt;/easm:r&gt;&lt;/m:sup&gt;&lt;/m:sSup&gt;&lt;/m:den&gt;&lt;/m:f&gt;&lt;m:r&gt;&lt;aml:mannotation aml:id=&quot;35&quot; w:type=&quot;Word.Insertion&quot; aml:author=&quot;peng gongxun&quot; aml:createdate=&quot;2021-07-12T15:26:00Z&quot;&gt;&lt;aml:content&gt;&lt;w:rPr&gt;&lt;w:rFonts w:ascii=&quot;Cambria Math&quot; w:fareast=&quot;?シ浣?&lt;w: w:h-monansi=&quot;Cambaonrtasia Math&quot;/&gt;&lt;wea&lt;/sx:fontp&gt;&lt; wx:val=:de&quot;Cambria Ma:f&gt;th&quot;/&gt;&lt;w::rl:&gt;i/&gt;&lt;w:coll w::mor w:val=pe=&quot;000000&quot;/&gt;&lt;wrd.:sz-cs w:val=&quot;tin&quot;o21&quot;/&gt;&lt;amln&quot;:cr :annotation atedml:id=&quot;36&quot; onw:type=021&quot;Wordw:r.Format-07ting&quot; a&gt;&lt;wml:auw:thor=&quot;:26peng nts=&quot;?gongxun&quot; aml:creatascedate=&quot;2021-07-12=&quot;CT15:26:00Z&quot;&gt;&lt;aml:content&gt;&lt;w:rPr&gt;&lt;w:rFonts w:ascii=&quot;Cambria Math&quot; w:fareast=&quot;妤蜂綋&quot; w:pe=:r&gt;h-ansi=&quot;Cambria in&quot;Mard.th&quot;l:m/&gt;&lt;wx:font:cr wx:valtio=&quot;Camb onria Mattedh&quot;/&gt;&lt;w:in&quot; /&gt;&lt;w:rw:color w:valuw:021=&quot;000000&quot;/&gt;&lt;w&gt;&lt;w:sz-cs =&quot;?w:va-07l=&quot;21&quot;/&gt;&lt;/wnts:rPr&gt;&lt;asc/aml:coCT1ntent&gt;:26&lt;/amlasc:anno=&quot;Ctatiotenn&gt;&lt;/w:aw:rPr&gt;&lt;m:t&gt;    =&quot;C&lt;/m:t&gt;&lt;nt&gt;s w/a&quot; wml:content&gt;&lt;/aml:annotationtsn&gt;&lt;/&quot; wm:r&gt;&lt;m:r&gt;&lt;aml:annotation aml:id=&quot;37w:f&quot; w:type=&quot;Word.Insertion&quot; aml:author=&quot;peng gongxun&quot; aml:createdate=&quot;2021-07-12T15:26:00Z&quot;&gt;&lt;aml:content&gt;&lt;m:rPr&gt;&lt;m:sty m:val=&quot;p&quot;/&gt;&lt;/m:rPr&gt;&lt;w:rPr&gt;&lt;w:rFonts w:ascii=&quot;Cambria Math&quot; w:fareast=&quot;妤蜂綋&quot; w:h-ansi=&quot;Cambria nts/&quot; w&quot; M&quot; wath&quot; w:hint=&quot;fareast&quot;/&gt;&lt;wx:f7w:on37wt &quot;37wx:&quot;37val=&quot;?w:fシ浣?/&gt;&lt;wuthor:coloauthor w:l:autval=&quot;000autho000&quot;l:aut=&quot;202/&gt;&lt;w:sz-cse=&quot;20 w:val=&quot;21&quot;/&gt;&quot;&lt;m:rP2021&lt;aml:anate=&gt;&lt;m:r&quot;notationPr&gt;&lt;w aml:id&gt;&lt;m:r=&quot;38&quot; w:rPr&gt;&lt;type=&quot;nt&gt;&lt;mWord.Forw:rPrmatw:farting&quot; aml:author=&quot;p:rPr&gt;&quot;  ww:feng gongxun&quot; aml:creatrPw:r&gt;&lt;&quot; ed:fareate=&quot;2021-07-12T15:27w6:h&quot;  ww:00Z&quot;&gt;&lt;aml:content&gt;&lt;w:rP37r&gt;ts&lt;w:rFonts w:ascii=&quot;Cambria Ma37th&quot; w:fareast=&quot;妤?0浣? w:h-athonsi=&quot;Ca&lt;w=&quot;?w:fm:rbria Math&quot;021 w:hint=&quot;aut&gt;&lt;fareast&quot;/&gt;m:r&lt;wx:font wx:are=&quot;val=&quot;妤:rPr蜂綋&quot;/&gt;&lt;w:&gt;&quot;  wcolor w&quot;nt&gt;&lt;m&gt;&quot; w:f:vatrPw:l=&quot;000000&quot;/&gt;&lt;w:sz-r&gt;07-12&lt;&quot; cp:rPr&gt;s w:val=&quot;21&quot;/5:27w&gt;&lt;/w:rPd:farer&gt;&lt;/amltent&gt;:content&gt;:h&quot;  w&lt;/amw:ascl:annotatrPrw:rP3farea7&gt;&lt;tion&gt;&lt;/w:rPr&gt;&lt;a&lt;wi=&quot;Camm:h&quot; w::t&gt;鏁版?st=&quot;妤?0緝灏?nt&gt;&lt;w:r=&quot;?w:fm:rPr&gt;ts?/m:t&gt;nt=&quot;aut&gt;&lt;&lt;/amlCambriont wx:ara Ma37:con:&gt;&quot;  wtent&gt;&lt; w:h-atrPw:atho/aml:an&gt;07-12no Math&quot;021tation&gt;ast&quot;/&gt;m:r&lt;/m:r&gt;&lt;l=&quot;妤:rPr/m:e&gt;&lt;/mm&gt;&quot; w:f:mr&gt;&lt;m:z-r&gt;&lt;&quot; mr&gt;&lt;&quot;/5:27wm:e&gt;mltent&gt;&lt;m:amw:ascsSubP3farea&gt;&lt;m:Pr&gt;&lt;a&lt;wsSubPr&gt;&lt;i=&quot;Ca=&quot;?w:fm:ct:hint=&quot;autrlPr&gt;&lt;ont wx:e=&quot;aml&quot;nt&gt;&lt;m:annp:rPr&gt;otatid:fareo:h&quot;  wnw:rP37 &lt;i=&quot;Cama=&quot;妤?0ml:r:i&gt;&lt;d=ar&quot; w39w:&quot; 12w:type=&quot;Word.Insertion&quot; aml:author=&quot;peng gongxun&quot; aml:createdate=&quot;2021-07-12T15:26:00Z&quot;&gt;&lt;atrPrm:h&quot; ws:&gt;&lt;aml:content&gt;&lt; ww:&gt;craPwr&gt;&lt;w:rFonts w:ascii=&quot;Cambria Math&quot; w:fareast=&quot;妤蜂綋&quot; w:h-ansi=&quot;Cambria Math&quot;/&gt;&lt;wx:font wx:val=&quot;Cambria Mathe=&gt;&lt;m&quot;Pr&gt;&quot;aa PC?li&quot;9 12w: w=ar&gt;&lt;:r?0am37 wreut/&gt;&lt;w:fw:i/&gt;&lt;w:color w:val=&quot;000000&quot;/&gt;&lt;w:sz-cs w:val=&quot;21&quot;/&gt;&lt;/w:rPr&gt;&lt;/aml:content&gt;&lt;/aml:annotation&gt;&lt;/m:ctrlaPwPrcra&gt;&lt;:&gt;c/m:w:&gt;sS wwut&gt;&lt; bPrnt&gt;&gt;&lt;entm tenw&lt;nte:coams:e&gt;&lt; w:m:r&gt;&lt;r&gt;&lt;aml:annotation aml:id=&quot;40&quot; w:type=&quot;Word.Insertion&quot; aml:author=&quot;peng gongxun&quot; aml:crreatedate=&quot;2021-07-12T15:26:00Z&quot;&gt;&lt;aml:content&gt;&lt;w:rPr&gt;&lt;w:rFonts w:ascii=&quot;Cambria Math&quot; w:fareast=&quot;妤蜂綋&quot;aPw w:h-craansi=:&gt;c&quot;Cambrw:&gt;ia Ma wwth&quot;/&gt;&lt;&gt;&lt; wx:fonnt&gt;t wx:entval=&quot;tenCambrnteia :coMa&lt;amt wsh&quot;/&gt;&lt;w: w:i/&gt;&lt;w:cor&gt;&lt;lor w:val=&quot;:au000000&quot;/or=&gt;&lt;w:sz-cengs w:val=&quot;ngx21&quot;/&gt;&lt;am&quot; al:annota:crtion aml:iedad=&quot;41&quot; w=&quot;2:type=&quot;W1-0ord.Form12Tatting&quot; :26aml:26:autho:00r=&quot;peng&quot;&gt;&lt; gongxun&quot; conaml:createdaw:rte=&quot;2021-07-12T15:26:00Z&quot;&gt;&lt;aml:content&gt;&lt;w:rPr&gt;&lt;w:rFonts w:ascii=&quot;Cambria Math&quot; w:fareast=&quot;妤?s浣? w:r=h-ansi w:=&quot;ngCambria Mathgxr&gt;&lt;&quot;/&gt;&lt;wx:f aont wx:val=cr&quot;Cambria Mathda&quot;/&gt;&lt;w:i/&gt;&lt;w&quot;2:color w:va-0l=&quot;000000&quot;/2T&gt;&lt;w:sz-cs w26pe:val=&quot;26:1&quot;/&gt;gx&lt;/w:00rPr&gt;&lt;/al:ml:&quot;&gt;&lt;content&gt;rt&lt;/aml:anconno7-tation&gt;&lt;/w:rPr0Z&gt;&lt;w:rm:t&gt;P&lt;/m:tet&gt;&lt;/aml:conte&gt;&lt;nt&gt;&lt;/aml:annt=ow:tation&gt;&lt;/m:r&gt;mb&lt;/m:e&gt;&lt;m:suh&quot;b&gt;&lt;m:r&gt;&lt;ameal:annotat?sion aml:id=&quot;42&quot; w:type=&quot;Word.Insertion&quot; aml:author=&quot;peng gongxun&quot; aml:createdate=&quot;2021-07-12T15:26:00Z&quot;&gt;&lt;aml:content&gt;&lt;w:rPr&gt;&lt;w:rFonts w:ascii=&quot;Cambria Math&quot; w:fareast=&quot;妤蜂綋:te&quot; ww:r:h-ansi=&quot;e&gt;&lt;Cambrint=a Math&quot;/&gt;ow:&lt;wxm:r:font wx:val&gt;mbsuh=&quot;Cambria Matuh&quot;l:ah&quot;/&gt;&lt;w:i/&gt;&lt;wmeaaml:color w:vat?slype=&quot;000000&quot;/&gt;&lt;w:sz-on&quot;cw:ts w:val=&quot;21&quot;/&gt;&quot;pe&lt;amte=l:aon&quot;nnotationaml15: aml:id=&quot;43&quot; w:typ:co&quot;20e=&quot;Word.Formatti&lt;w:ng26:&quot; aml:author=ii=&quot;l:cpeng gongxun&quot; a&quot; w:rPml:createdate=&quot;202w:a1-07-12T15:26:00Z&quot;&gt;&lt;amth&quot;l:content&gt;&lt;w:rPr&gt;&lt;w:rFonts w:ascii=&quot;Cambria Math&quot; w:fareast=&quot;妤蜂綋ype&quot; w:h-meaansi=&quot;Cambria on&quot;Matte=t?sh&quot;/&gt;&lt;wx:font wx&quot;pe15::val=&quot;Cambw:tria Math:coaml&quot;/&gt;&lt;w:i/&gt;&lt;w:color o&lt;w:n&quot;&quot;20w:val=&quot;000000&quot;/&gt;ii=&lt;w:sz26:-cs w:valrea=&quot;21&quot;/&gt;&lt;&quot; wl:c/w:rPr&gt;&lt;/a-12ml:content&gt;:02wrP&lt;/aml:al:cnnotation&gt;&lt;/w:rZ&quot;&gt;Prw:a&gt;&lt;ontm:t&gt;50&lt;/m:t&gt;&lt;/aml:rP:con Matent&gt;th&quot;&lt;/aml:annotai=&quot;tion&gt;&lt;/m:r&gt;&lt;/m:subts &gt;far&lt;/m:sSub&gt;&lt;m:r&gt;&lt;aml:annotation aml:id=&quot;44&quot; w:type=&quot;Word.Insertion&quot; aml:author=&quot;peng gongxun&quot; aml:createdate=&quot;2021-07-12T15:26:00Z&quot;&gt;&lt;aml:content&gt;&lt;w:rPr&gt;&lt;w:rFonts w:ascii=&quot;Cambria Math&quot; w:fareast=&quot;妤蜂綋&quot; w:rP: Mah-ansi=&quot;Cambria Mth&quot;ath&quot;/&gt;iio/m:n=&quot;&lt;wx:font wx:val=&quot;Cambria&gt;&lt;m faSubrMats th&quot;/&gt;&lt;w:i/&gt;&lt;w:cd=&quot;olornol:it w:val=&quot;000000&quot;/&gt;&lt;n&quot; w:sz-typrtics w:val=:cr&quot;21&quot;/&gt;&lt;aml&quot; a:annotationgxu r=26:&quot;aml:id=&quot;45&quot; wT15:type=&quot;Word.F&gt;&lt;w07-ormatting&quot;20&quot; arPrml:author=Mat&quot;ontpeng gongxun&quot; amrial:createdatw:ae=&quot;2021-07-12T15:26:00Z&quot;&gt;&lt;aml:reacontent&gt;&lt;w:rPr&gt;&lt;w:rFonts w:ascii=&quot;Cambria Math&quot; w:fareast=&quot;妤蜂?:i? w:h-an&quot; si=ts &quot;nocrtCambria Math&quot;/rti&gt;&lt;wx:f aont wx:6:vatypl=&quot;Cambria Mathgxu&quot;/&gt;&lt;15w:i/&lt;w&gt;&lt;w:color w:var=&quot;l=&quot;0000007-0&quot;Pr/&gt;at&lt;w:sz-cs w:val=&quot;21&quot;/&gt;&lt;/w:ontr&quot;20riadaP21r&gt;&lt;/aml:content&gt;&lt;/aml:annotaw:atiomntln:26&gt;&lt;/w:rPr&gt;&lt;m:t&gt;/2500           ri  rciea w:r&lt;/m:t&gt;&lt;/aml:content&gt;&lt;/aml:annoitati w:on&gt;&lt;/Camm:r&gt;&lt;m:r&gt;&lt;aml:annotation aml:id=&quot;46&quot; w:type=&quot;Word.Insertion&quot; aml:author=&quot;peng gongxun&quot; aml:createdate=&quot;2021-07-12T15:27:00Z&quot;&gt;&lt;aml:content&gt;&lt;w:rPr&gt;&lt;w:rFonts w:ascii=&quot;Cambria Math&quot; w:fareast=&quot;妤蜂綋&quot; w ri:h-anrcisi=&quot;Camw:rbrreaia Math&quot;//am&gt;&lt;wx:fl:aont wx:noival=&quot;Cambr w:ia Mal:ath&quot;/&gt;&lt;Camnnow:i/&gt;&lt;w:coloionr w:val=&quot;0.Inaml00000&quot;/&gt;&lt;wert:sz-cs w:val=e=&quot; am&quot;21&quot;/&gt;aml&lt;/w am:rPr&gt;&lt;m:t&gt;cre   0Z&quot;&lt;/m:t&gt;&lt;/aml:contet&gt;&lt;ae=nt&gt;&lt;/aml:annotat2sci0:co2ion&gt;&lt;/m:r&gt;&lt;m:r&gt;&lt;i=&quot;amlent:annotation aml:id=ria&quot;47&quot; w:ty:rFpe=&quot;Worda M.Insertion&quot; aml:author=&quot;peng gongxun&quot; aml:createdate=&quot;2021-07-12T15:26:00Z&quot;&gt;&lt;aml:content&gt;&lt;m:rPr&gt;&lt;m:sty m:val=&quot;p&quot;/&gt;&lt;/m:rPr&gt;&lt;w:rPr&gt;&lt;w:rFonts w:ascii=&quot;Cambria Math&quot; w:fareast=&quot;妤蜂綋&quot;sci w:h-an:cosi=&quot;Cambri202ai=&quot; Math&quot; w:hinenttn a=&quot;fareast&quot;/&gt;&lt;wy:rxria:font wx:va=&quot;Wl=&quot;妤蜂綋&quot;:ttion&quot; y:rordaeng go MF/&gt;&lt;w:color wauthor:vangxun&quot;l=&quot;000ate=&quot;2000&quot;26:00Z/&gt;&lt;w:sz-cs w:val=&quot;2ml:cre1&quot;/&gt;&lt;07-12Tam&lt;aml:Pr&gt;&lt;/:rFont&gt;&lt;/m:m:cl:annotation aml:id=&quot;48&quot; w:type=&quot;Word.Formaysci m Math&quot;s w:as:v&gt;&lt;w:rPatt&gt;&lt;m:rPing&quot; aml:authoy:rr=&quot;pengn a gongxuni=&quot;&quot; aml:c:coreascireast=i=&quot;tedate=&quot;2021-07-12w:asciT15:2=&quot;W6:00Z&quot;&gt;&lt;amrial:contenentt&gt;&lt;w:rPr&gt;&lt;w202:rFonts w:ascii=&quot;Cambria Math&quot; w:fareast=&quot;妤蜂綋&quot; /m:w:h-ansi=&quot;C&lt;m:a:rFmbria Matl:ch&quot; w:hint=&quot;scifa12Treast&quot;/&gt;&lt;th&quot;wcrex:font wx:v:asal=&quot;妤?oy:r浣?/&gt;&lt;w:c&gt;&lt;wengn a:rPolor w:val=&quot;0yxuni=&quot; m:va00000&quot;/&gt;ate=&quot;2&lt;w:sz-l:c:cocs w:v&gt;&lt;m:r7-12w:Pal=&quot;21&quot;/&gt;&lt;/wreast=:rPr&gt;5:2=&quot;&lt;w:rPrW&lt;/aml:contscii=&quot;ent&gt;&lt;/aml&lt;am2fareas:rFonria:annotation&gt;&lt;/w:rPr&gt;&lt;m:t&gt;?t/m:scii=&quot;enent暟?12w:asci緝t=&quot;sci澶氭椂&lt;/mnsi=&quot;C&lt;m::t&gt;&lt;&gt;&lt;=&quot;妤?oy:rwbria Math&quot; w:st&quot;/&gt;&lt;th&quot;rPr&gt;&lt;w202/aml:conia engn aMatl:ctent&gt;&lt;/amlthate=&quot;2&quot; w:fart wx:v:aseast:annotatixuni=&quot;on&gt;&lt;/m:r&gt;&lt;/m:en7-12w:t=&quot;fa12T&gt;&lt;/m:m&lt;w:rPrr&gt;&lt;/m:m&gt;&gt;&lt;w:fareasrP&lt;/m:e&gt;&lt;/m:d&gt;l:c:co&lt;/m:nsi=&quot;Ca:rF5:2=&quot;WoMast&quot;/2:rFon&gt;&lt;wcreth&gt;&gt;?t/m:&lt;/m:oMatscih0y m:vaPara&gt;&lt;/w:p&gt;&lt;w:secreast=tPr ws&lt;amriap:rsidscii=&quot;R=&quot;00000000&quot;&gt;&lt;w:pgSz w:w=&quot;12240&quot; w:h=&quot;1v&gt;&lt;mtscii=&quot;:rP5840&quot;?tenent/&gt;&lt;w:pgMar w:top=&quot;1440&quot; w:right=&quot;1800&quot; w:bottom=&quot;1440&quot; w:left=&quot;1800&quot; w:header=&quot;:asci720&quot; w:footer=&quot;720&quot; w:gutter=&quot;0&quot;/&gt;&lt;w:cols w:space=&quot;720&quot;/&gt;&lt;/w:sectPr&gt;&lt;/wx:sect&gt;&lt;/w:body&gt;&lt;/w:wordDocument&gt;">
            <v:path/>
            <v:fill on="f" focussize="0,0"/>
            <v:stroke on="f" joinstyle="miter"/>
            <v:imagedata r:id="rId61" chromakey="#FFFFFF" o:title=""/>
            <o:lock v:ext="edit" aspectratio="t"/>
            <w10:wrap type="none"/>
            <w10:anchorlock/>
          </v:shape>
        </w:pict>
      </w:r>
      <w:r>
        <w:rPr>
          <w:rFonts w:ascii="Times New Roman" w:hAnsi="Times New Roman" w:eastAsia="宋体"/>
          <w:color w:val="auto"/>
          <w:szCs w:val="21"/>
          <w:highlight w:val="none"/>
        </w:rPr>
        <w:instrText xml:space="preserve"> </w:instrText>
      </w:r>
      <w:r>
        <w:rPr>
          <w:rFonts w:ascii="Times New Roman" w:hAnsi="Times New Roman" w:eastAsia="宋体"/>
          <w:color w:val="auto"/>
          <w:szCs w:val="21"/>
          <w:highlight w:val="none"/>
        </w:rPr>
        <w:fldChar w:fldCharType="separate"/>
      </w:r>
      <w:r>
        <w:rPr>
          <w:rFonts w:ascii="Times New Roman" w:hAnsi="Times New Roman" w:eastAsia="宋体"/>
          <w:color w:val="auto"/>
          <w:position w:val="-39"/>
          <w:highlight w:val="none"/>
        </w:rPr>
        <w:pict>
          <v:shape id="_x0000_i1099" o:spt="75" type="#_x0000_t75" style="height:45.75pt;width:175.6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2D765F&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2D765F&quot; wsp:rsidP=&quot;002D765F&quot;&gt;&lt;m:oMathPara&gt;&lt;m:oMath&gt;&lt;m:sSub&gt;&lt;m:sSubPr&gt;&lt;m:ctrlPr&gt;&lt;aml:annotation aml:id=&quot;0&quot; w:type=&quot;Word.Insertion&quot; aml:author=&quot;peng gongxun&quot; aml:createdate=&quot;2021-07-12T15:26:00Z&quot;&gt;&lt;aml:content&gt;&lt;w:rPr&gt;&lt;w:rFonts w:ascii=&quot;Cambria Math&quot; w:fareast=&quot;妤蜂綋&quot; w:h-asidsidsidsidsidsidsidsidsidsidsidsidsidsidsidsidsidsidsidsidsidsidsidsidsidsidsidsidsidsidsidnsi=&quot;Cambria Math&quot;/&gt;&lt;wx:font wx:val=&quot;Cambria Math&quot;/&gt;&lt;w:i/&gt;&lt;w:color w:val=&quot;000000&quot;/&gt;&lt;w:sz-cs w:val=&quot;21&quot;/&gt;&lt;/w:rPr&gt;&lt;/aml:content&gt;&lt;/aml:annotation&gt;&lt;/m:ctrlPr&gt;&lt;/m:sSubPr&gt;&lt;m:e&gt;&lt;m:r&gt;&lt;aml:annotation aml:id=&quot;1&quot; w:type=&quot;Word.Insertion&quot; aml:author=&quot;peng gongxun&quot; aml:createdate=&quot;2021-07-12T15:26:00Z&quot;&gt;&lt;aml:content&gt;&lt;w:rPr&gt;&lt;w:rFonts w:ascii=&quot;Cambria Math&quot; w:fareast=&quot;妤蜂綋&quot; w:h-ansi=&quot;Cambria Math&quot;/&gt;&lt;wx:font wx:val=&quot;Cambria Math&quot;/&gt;&lt;Pr&gt;w:i&lt;m:/&gt;&lt;e&gt;&lt;w:cm:rolo&gt;&lt;ar wml::vaannl=&quot;ota000tio000n a&quot;/&gt;ml:&lt;w:id=sz-&quot;1&quot;cs  w:w:vtypal=e=&quot;&quot;21Wor&quot;/&gt;d.I&lt;amnsel:artinnoon&quot;tat amionl:a amuthl:ior=d=&quot;&quot;pe2&quot; ng w:tgonypegxu=&quot;Wn&quot; ordaml.Formatting&quot; aml:author=&quot;peng gongxun&quot; aml:createdate=&quot;2021-07-12T15:26:00Z&quot;&gt;&lt;aml:content&gt;&lt;w:rPr&gt;&lt;w:rFonts w:ascii=&quot;Cambria Math&quot; w:fareast=&quot;妤蜂綋&quot;1&quot;&quot; w:h- w:ansi=&quot;typCambrie=&quot;a MathWor&quot;/&gt;&lt;wxd.I:font nsewx:valrti=&quot;Cambon&quot;ria Ma amth&quot;/&gt;&lt;l:aw:i/&gt;&lt;uthw:coloor=r w:va&quot;pel=&quot;000ng 000&quot;/&gt;gon&lt;w:sz-gxucs w:vn&quot; al=&quot;21aml&quot;/&gt;&lt;/w:rPr&gt;&lt;/aml:c00Zontentaml&gt;&lt;/amlnte:annot&lt;w:ation&gt;&gt;&lt;w&lt;/w:rPontr&gt;&lt;m:t:as&gt;I&lt;/m:=&quot;Ct&gt;&lt;/amrial:contth&quot;ent&gt;&lt;/faraml:ant=&quot;notation&gt;&lt;/m:r&gt;&lt;/m:e&gt;&lt;m:sub&gt;&lt;m:r&gt;&lt;aml:annotation aml:id=&quot;3&quot; w:type=&quot;Word.Insertion&quot; aml:author=&quot;peng gongxun&quot; aml:createdate=&quot;2021-07-12T15:26:00Z&quot;&gt;&lt;aml:content&gt;&lt;w:rPr&gt;&lt;w:rFonts w:ascii=&quot;Cambria Math&quot; w:fareast=&quot;妤蜂綋&quot;=&quot;C w:h-ansiria=&quot;Cambriath&quot; Math&quot;/&gt;&lt;farwx:font wt=&quot;x:val=&quot;Caon&gt;mbria Mat&lt;/mh&quot;/&gt;&lt;w:i/sub&gt;&lt;w:color&lt;am w:val=&quot;0tat00000&quot;/&gt;&lt;l:iw:sz-cs ww:t:val=&quot;21&quot;ord/&gt;&lt;aml:antionotation :auaml:id=&quot;4pen&quot; w:type=conxun&quot;Word.w:rForcrematrFoting&quot; e=&quot;ascaml:authombr7-1r=&quot;penh&quot; g g6:0ongastxun&quot; aml:ml:createt&gt;&lt;date=&quot;202&lt;w:1-07-12T15:26:00Z&quot;&gt;&lt;aml:content&gt;&lt;w:rPr&gt;&lt;w:rFonts w:ascii=&quot;Cambria Math&quot; w:fareast=&quot;妤蜂at綋&quot; w:h-ansil:i=&quot;Cambria Maw:tth&quot;/&gt;&lt;wx:fonordt wx:val=&quot;Catiomconbria Math&quot;/:w:rau&gt;&lt;w:i/&gt;&lt;w:rFocopenlor w:vascal=&quot;0xun0000mbr0&quot;/&gt;&lt;w:screzh&quot; -cs w:val=&quot;east=&quot;21&quot;/&gt;&lt;/w:rml:Pr7-1&gt;&lt;/aml:datconte6:0nt&gt;&lt;1-0/aml:annml:o6:0tation&gt;&lt;/w:tcon&gt;&lt;rPr&gt;&lt;m:t&gt;sPr&gt;&lt;/&lt;w:m:t&gt;&lt;/a w:ml:content&gt;&lt;mbr/aml:annotatw:fion&gt;&lt;/m:r&gt;&lt;m:dt&gt;&lt;m:dPr&gt;&lt;m:ctrlPr&gt;&lt;aml:annotation aml:id=&quot;5&quot; w:type=&quot;Word.Insertion&quot; aml:author=&quot;peng gongxun&quot; aml:createdate=&quot;2021-07-12T15:26:00Z&quot;&gt;&lt;aml:content&gt;&lt;w:rPr&gt;&lt;w:rFonts w:ascii=&quot;Cambria Math&quot; w:fareast=&quot;妤蜂綋&quot; w:h-a w:&lt;w:nsi=&quot;Cambriambr Math&quot;/&gt;&lt;wx:fonw:ft wx:val=&quot;Cambr:dtia trlMath&quot;/&gt;&lt;w:i/trltat&gt;&lt;w:color w:val5&quot; tat=&quot;000000&quot;/&gt;&lt;.Inw:s5&quot; z-cs w:va:aul=&quot;21&quot;.In/&gt;&lt;/w:ongrPr&gt;&lt;/aml:au:coatentent&gt;&lt;/aml:ong7-1annotation&gt;&lt;/m:&gt;&lt;aatectrlPr&gt;&lt;/m:dw:rPr&gt;7-1&lt;m:e&gt;&lt;m:r w:&gt;&lt;aml:&gt;&lt;aannotaia tion aml:w:rid=ast&quot;6&quot; w:type=&quot; w:Word.Insertion&quot;ia  aml:author=&quot;peastng gongxun&quot; aml:createdate=&quot;2021-07-12T15:26:00Z&quot;&gt;&lt;aml:content&gt;&lt;w:rPr&gt;&lt;w:rFonts w:ascii=&quot;Cambria Math&quot; w:fareast=&quot;妤蜂綋&quot; w:h-ansong&gt;&lt;ai=&quot;Cambria Math&quot;/&gt;w:rate&lt;wx:font wx:val w:=&quot;C7-1ambria Math&quot;ia /&gt;&lt;w:i&gt;&lt;a/&gt;&lt;w:coloastr w:val=&quot;w:r000000Wor&quot;/&gt;l:a&lt;w:sz-cs  w:w:v amgonal=&quot;21&quot;/&gt;&lt;aml:aia edang nnotation aml:i15:d=&quot;eatast7&quot; w:typente=&quot;Word12T.Fo:crrmaonttting&quot; am:col:authriaor=&quot;peng gon:rFgxut=&quot;n&quot; aml:createdaambte=&quot;2021-07-12T15:eas26:00Z&quot;&gt;&lt;aml:content&gt;&lt;w:rPr&gt;&lt;w:rFonts w:ascii=&quot;Cambria Math&quot; w:fareast=&quot;妤蜂綋&quot; w:h-&gt;&lt;aWorgonansi=&quot;Cambria Math&quot;/&gt;eda amw:r&lt;wx:font wx:val15:=&quot;Cng amb w:ria Math&quot;nte/&gt;&lt;w:ieat/&gt;&lt;w:cia oloontr w:val=&quot;12T000000&quot;/&gt;riaast&lt;w:sz-cs :cow:val=t=&quot;&quot;21&quot;/&gt;:cr&lt;/w:rP:rFr&gt;&lt;te=/aml:content&gt;&lt;/amlamb26::annotation&gt;&lt;/w:rPr&gt;&lt;&lt;w:easm:t&gt;50&lt;/m:t&gt;eas&lt;/aml:ciiconnt&gt;tent&gt;&lt;/aml:annofartation:as&gt;&lt;/m:r&gt;&lt;/m:e&gt;&lt;/m:d&gt;&lt;/ w:m:sub&gt;&lt;/m:sSub&gt;&lt;m:r&gt;&lt;aml:annotation aml:id=&quot;8&quot; w:type=&quot;Word.Insertion&quot; aml:author=&quot;peng gongxun&quot; aml:createdate=&quot;2021-07-12T15:26:00Z&quot;&gt;&lt;aml:content&gt;&lt;w:rPr&gt;&lt;w:rFonts w:ascii=&quot;Cambria Math&quot; w:fareast=&quot;妤蜂綋&quot; nt&gt;w:h/am-ansi=&quot;Cafarmbria Math&quot;/m:r:as&gt;&lt;wx:font&gt;&lt;/ wx:val=&quot;ub&gt;Cambri w:a Mathub&gt;&quot;/&gt;&lt;w:noti/&gt;&lt;w:color amlw:vamlal=pe=&quot;000000&quot;/&gt;&lt;w:sz-cs&quot; wInsaut w:val=&quot;21&quot;/&gt;&lt;aml:annotal:ceng&quot; ation aml:id=&quot;9&quot; w:T15typatee=&quot;un&quot;Word.Formatt&gt;&lt;wing&quot; aZ&quot;&gt;ml:&quot; waut-07hor=&quot;pi=&quot;eng gongxw:run&quot; aml:contst=reatedate=&quot;2a M021-07-12T15:26:00Z&quot;&gt;&lt;aml:content&gt;&lt;w:rPr&gt;&lt;w:rFonts w:ascii=&quot;Cambria Math&quot; w:fareast=&quot;妤蜂綋&quot; amlw:h-ansi=aut&quot;Cambramlia Math&quot;/Ins&gt;&lt;wx:fl:cont wx:val=&quot;&quot; wCambrienga MT15ath&quot;/&gt;&lt;w:i/&gt;&lt;w:col&quot; aor ate&gt;&lt;w&quot; ww:val=&quot;000000&quot;/&gt;&lt;w:sz-csun&quot;w:ri=&quot;Z&quot;&gt; w:val=&quot;21&quot;/&gt;&lt;/w:rPr&gt;=&quot;2&lt;/ast=ml:w:r-07content&gt;&lt;/am&lt;aml:annoT15tationa M&gt;&lt;/ontw:rts Pr&gt;&lt;m:t&gt;=:rP&lt;/m:t&gt;&lt;/al:cml::facontent&gt;&lt;/ambril:annotationw:a&gt;&lt;/m:r&gt;&lt;m:d&gt;&lt;m:dPr&gt;&lt;m:begChrear m:val=&quot;{&quot;/&gt;&lt;m:endChr m:val=&quot;&quot;/&gt;&lt;m:ctrlPr&gt;&lt;aml:annotation aml:id=&quot;10&quot; w:type=&quot;Word.Insertion&quot; aml:author=&quot;peng gongxun&quot; aml:createdate=&quot;2021-07-12T15:26:00Z&quot;&gt;&lt;aml:content&gt;&lt;w:rPr&gt;&lt;w:rFonts w:ascii=&quot;Cambria Math&quot; w:fareast=&quot;妤aa蜂綋&quot; w:h-ansi&lt;m:=&quot;Cambria Mareath&quot;/rea&gt;&lt;wx:font w&gt;&lt;mx:val=&quot;Cal=&quot;mbria Ma&gt;&lt;athl=&quot;&quot;/&gt;&lt;w:i/&gt;&lt;a&gt;&lt;w:con alor w:ty:val=&quot;00000n a0&quot;/&gt;&lt;:tyw:sertz-horcs w:val=&quot;21&quot;/&gt;&lt;/w:rertPrhorunate&quot;&gt;&lt;/aml:content&gt;&lt;/aml:annotatul:cnT15ate&quot;ion&gt;&lt;/m:ctrlPr&gt;&lt;/m:dPrsci&gt;&lt;m:r&gt;&lt;e&gt;&lt;l:cmT15:m&gt;&lt;m:mPr&gt;&lt;m:m妤acs&gt;&lt;m:athmc&gt;&lt;m:scimcPrr&gt;&lt;&gt;&lt;m:count m:val=&quot;1&quot;/&gt;&lt;m:妤amcJc&lt;a m:val=&quot;ce&quot;nter&quot;/&gt;&lt;/mm:mcPr&gt;&lt;/m:mtyc&gt;&lt;/m:mcs&gt;&lt;am:ctrlPr&gt;&lt;aaml:annotaortion aml:id=t&quot;11&quot; w:typey=&quot;Word.Itensertion&quot; aml&quot;:author=&quot;penrg gong:cxun&quot; aml:creat5edate=&quot;2021-0e7-12ciT15:26:00Z&quot;&gt;&lt;am&lt;l:content&gt;&lt;w:rcPr&gt;a&lt;w:rFonts w:aschii=&quot;Cambria Matihn&quot; w:fareast=&quot;妤?=&quot;浣? w:h-ansi=&quot;Cae&quot;:妤ambria mtyMath&quot;/&gt;&gt;&lt;/m&lt;wx:font wx:v&gt;&lt;aal=&quot;Cam&lt;aor/mbria Math&quot;/r&gt;&lt;a&gt;&lt;w:i/&gt;&lt;wd=t:colorIte w:val=ota&quot;000000&quot;/ypey&gt;&lt;w:sml&quot;z-csg:c w:val=&quot;21&quot;/&gt;&lt;/Insw:rPr&gt;&lt;penr/at5am2cil:content&gt;&lt;/aml:annotatun&quot;ion&gt;&lt;1am&lt;r&gt;a-0e/m:ctrlPr&gt;&lt;/m:mPr&gt;&lt;m:mr&gt;ast&lt;m:e:26ihnsch&gt;&lt;mw:rc:f&gt;&lt;m:fPr&gt;&lt;m:type m:val=&quot;l&quot;i?=&quot;n&quot;/Fon&gt;Mati&lt;m:ctrlPr&gt;&lt;aml:annotation aml:idrea=&quot;12&quot; w:type=&quot;Word.Insertion&quot; aml:author=&quot;peng gongxun&quot; aml:createdate=&quot;2021-07-12T15:26:00Z&quot;&gt;&lt;aml:content&gt;&lt;w:rPr&gt;&lt;w:rFonts w:ascii=&quot;Cambria Math&quot; w:fareast=&quot;妤蜂綋&quot; w:ihnh-anschsi=&quot;Cambri:rca:26 pe Math&quot;/&gt;&lt;wx:f&quot;l&quot;ont wx:?=&quot;val=&quot;Cambria amlMatiatFonh&quot;/&gt;&lt;tatw:i/&gt;&lt;w:coln aor w:vaWorl=&quot;000000&quot;=&quot;1/&gt;&lt;serreaw:sz-cs w:van&quot; lun&quot;=&quot;21&quot;/&gt;&lt;/w:rPr&gt;&lt;/tl:choaml:content&gt;&lt;/a0Z&quot;mleda:annotation&gt;&lt;/maml:ctr202lPr&gt;&lt;/m:ciifPr&gt;&lt;m:net=&quot;ntum&gt;&lt;m:r&gt;&lt;am&quot;Cal:annotatw:rion aml:id=&quot;13&quot;Mat w:type=&quot;Word.Insertih&quot; on&quot; aml:author=&quot;peng gongxun&quot; aml:createdate=&quot;2021-07-12T15:26:00Z&quot;&gt;&lt;aml:content&gt;&lt;w:rPr&gt;&lt;w:rFonts w:ascii=&quot;Cambria Math&quot; w:fareast=&quot;妤?&quot;浣搕ho&quot; w:h-anedasi=&quot;Cambramlia Math&quot;/&gt;&lt;wciix:font=&quot;t wx:202val=&quot;Caentmbria&quot;Ca Math&quot;/&gt;&lt;ionw:i=&quot;1/&gt;&lt;w:color w:vaw:rl=&quot;000Mat0=&quot;W00&quot;/&gt;&lt;&quot; owuth:sz-cs w:val=&quot;21&quot;/&gt;&lt;aml:ah&quot; nnotangx=&quot;pte-07dtion aml:id=&quot;14&quot; w:type=&quot;Word.Formeata0ZrFont&gt;&quot;tti2T1ng&quot; aml:author=&quot;peng gongxun&quot; am?&quot;lh&quot; :c=&quot;Cntereas wtedate=&quot;2021-07-12T15:26:00Z&quot;&gt;&lt;aml:c Maontent&gt;&lt;w:rPr&gt;&lt;w:rFonts w:ascii=&quot;Cambria Math&quot; w:fareast=&quot;妤蜂綋&quot; uthw:h-ans&quot; oi=&quot;=&quot;WCambria MatMatw:rh&quot;/&gt;&lt;wx:fon-07t wx:val=ted&quot;Cambrngxia Math&quot;/&gt;&lt;w=&quot;p:i/&gt;h&quot; &lt;rFow:color w:vnt&gt;al=&quot;0000000Z&quot;&quot;/&gt;&lt;w:sz-cs w:v2Tm?&quot;1al=&quot;2eat1&quot;/&gt;h&quot; &lt;/w:rPr7-1&gt;&lt;/aml:=&quot;Ccontent&gt;&lt;/a6:0ml:annos wtatio0Z&quot;nnontte&gt;&lt;/w:rPr&gt;&lt;m:t&gt;ml:P&lt;/msci:t&gt;&lt;/aml:contenonti=&quot;t&gt;&lt;/aml:a Mannotation&gt;ria&lt;/m:r&gt;&lt;m:sSup&gt;&lt;m:sSuathpPr&gt;&lt;m:ctrlPr&gt;&lt;aml:annotation aml:id=&quot;15&quot; w:type=&quot;Word.Insertion&quot; aml:author=&quot;peng gongxun&quot; aml:createdate=&quot;2021-07-12T15:26:00Z&quot;&gt;&lt;aml:content&gt;&lt;w:rPr&gt;&lt;w:rFonts w:ascii=&quot;Cambria Math&quot; w:fareast=&quot;妤蜂綋&quot; w:h-ai=&quot;i=&quot;nsiont=&quot;Cambria Math&quot; riaMa/ria&gt;&lt;wx:font wx:uatval=&quot;SuaCambria athMath&quot;/&gt;&lt;nnow:i/&gt;&lt;w:conotlor :tyw:val=&quot;000 w:000&quot;/&gt;&lt;w:sz-cw:tamls w:val=&quot;21&quot;/&gt;&lt;&quot; a/wl:a:rP21-r&gt;&lt;/aml:un&quot;content&gt;&lt;/am-07l:annxunotatinteon&gt;&lt;/ts m:ctrl-12Pr&gt;&lt;/m:sconSupPr&gt;&lt;ms w:e&gt;&lt;m:d&gt;&lt;mw:f:dPml:r&gt;&lt;m:ctrlPr&gt;&lt;amascl:ann w:otation aml:id=&quot;16&quot; w:typMate=&quot;Word.Insertion&quot; aml:author=&quot;peng gongxun&quot; aml:createdate=&quot;2021-07-12T15:26:00Z&quot;&gt;&lt;aml:content&gt;&lt;w:rPr&gt;&lt;w:rFonts w:ascii=&quot;Cambria Math&quot; w:fareast=&quot;妤蜂s 綋&quot; w:h-xunansi=&quot;Camb-12ricona Mats wh&quot;/&gt;&lt;wxw:f:foml:nt wx:val=&quot;Cambria Maml:th&quot;/&gt;&lt;w:ias w:cion/&gt;&lt;w=&quot;1::tycolor w:val=&quot;000000&quot;/&gt;&lt;w:sz-cs w:vMatal=&quot;21rthoa g&quot; aomlti&quot;/&gt;&lt;/w:rPr&gt;&lt;/aml:content&gt;&lt;/aml:annotati:rPon&gt;am:nt&gt;aml26l&lt;/m12T&quot;20:ctrlPr&gt;&lt;/m:dPr&gt;&lt;m:e&gt;&lt;m:f&gt;&lt;m :fPr&gt;&lt;mst=:th&quot; ypembr m:val=i=&quot;&quot;ontlin&quot;/&gt;&lt;m:ctrlPr&gt;&lt;aml:annotation aml:id=&quot;17&quot; w:type=&quot;Word.Insertion&quot; aml:author=&quot;peng gongxun&quot; aml:createdate=&quot;2021-07-12T15:26:00Z&quot;&gt;&lt;aml:content&gt;&lt;w:rPr&gt;&lt;w:rFonts w:ascii=&quot;Cambria Math&quot; w:fareast=&quot;妤T蜂綋&quot; &quot;20amlw:h-ansi=&lt;m &quot;Cambria Mst=ath&quot;/h&quot; &gt;&lt;wx:fmbront wx:val=i=&quot;&quot;Cambrion&gt;&lt;ata Math&quot;/&gt;&lt;wota:i/&gt;&lt;w:con olor w:valid==&quot;000000&quot;/&gt;&lt;w:amltypsz-cs w:pe=or=val=&quot;21&quot;/&gt;&lt;eng/w:rPr&gt;&lt;/aml:cxunonten15:t&gt;&lt;/aml:annoreat0Z&quot;ation&gt;&lt;/reamasc:camltrlPr&gt;&lt;/m:fPr&gt;&lt;m:brinnt&gt;um&gt;&lt;m:sSub&gt;&lt;m:athsSubr&gt;&lt;Pr&gt;&lt;m:ctrlw:fPrr&gt;&lt;&gt;&lt;aml:annotation a妤Tml:id=&quot;18 &quot; w:type=&quot;aWord.Insertrion&quot; aml:autahor=&quot;peng gongxun&quot; am l:createdlate=&quot;2021-07-1=2T15:26:0=0Z&quot;&gt;&lt;aml:content&gt;&lt;w:rPgr&gt;&lt;w:rFo:nts w:ascii=&quot;Cambnria Ma&quot;th&quot;c w:fareast=&quot;妤蜂?ea?aml w:h-briansi=&quot;Careambria Math&quot;ntaPr&gt;th&gt;/&gt;&lt;wx:font wx:val=&quot;Cambriw:fnnor&gt;&lt;a Math&quot;/&gt;&lt;w:i/&gt;&lt;w:r&gt;&quot;a&lt;col8 or w:妤Tval=&quot;000000&quot;/&gt;&lt;w:szuta-csrtr w:&quot;Woval=&quot;21&quot;/edl&gt;&lt;/w:rPram &gt;&lt;/a&quot; aml:cngontent&gt;&lt;/am:0=l:annotati-1=on&gt;&lt;/aFo:tem:ctrlPr&gt;&lt;/rPgmh&quot;c:sSubPr&gt;&lt;m:e&gt;&lt;mt&gt;:r&gt;Ma&quot;&lt;aml:annotation ambinml:id=&quot;ts 19&quot; w&gt;:tlype=&quot;Word.Insertion&quot;ha aml:author=&quot;peng ogon&gt;gxun&quot; aml:careatfedate=&quot;2021-07-12T1 5:26:00Z&quot;&gt;&lt;aml:content&gt;&lt;w:rPr&gt;&lt;w:rFonts w:ascii=&quot;Cambria Math&quot; w:fareast=&quot;妤蜂0=綋&quot; w:cngh-ans&quot;Fo: ai=&quot;Cam-1=bh&quot;cria Math&quot;/&gt;&lt;wrPgx:foatent wx:valMa&quot;=&quot;Cambria Matmbihmt&gt;&quot;/&gt;&lt;w w&gt;:i/&gt;&lt;w:cmbnolor w:val:tl=&quot;000000&quot;/&gt;tsn&quot;h &lt;w:sz-cs wg o:val=&quot;:ca21&quot;/&gt;n&quot;a&lt;aml:annotaton&gt;ion amatfl:id=&quot;20&quot; T1 w:type=&quot;ontamlW:rFord.Formatting&quot; a15:ml:author=&quot;p&lt;w:engs w gongx Maun&quot; aml=:createdate&gt;&lt;w=&quot;2021-07-12T15 Ma:26:00Z&quot;&gt;&lt;aml:content&gt;&lt;w:rPr&gt;&lt;w:rFonts w:ascii=&quot;Cambria Math&quot; w:fareast=&quot;?シ浣? wbn:htl-ansi&quot;h=&quot;Cam obcaria Math&quot;/&gt;&lt;wx:font wx:vats l=&quot;Cambria Mn&quot;aath&quot;/&gt;&lt;ntf&gt;w:1 i/&gt;ntrF&lt;w:color w:val=&quot;000000&quot;/&gt;&lt;w:sz-cs w:amlval=&quot;21&quot;/15:&gt;&lt;/w:r wMaPedlea=w:r&gt;&lt;/aml:content&gt;&lt;/aml:annotation&gt;&lt;/w:rPr&gt;&lt;m:&gt;&lt;wt&gt;D&lt;/m Ma:s t&gt;&gt;on&gt;&lt;&lt;&lt;nt/mlaml:content&gt;&lt;/aml:annotation&gt;&lt;/m:r&gt;&lt;/m:e&gt;&lt;m:sub&gt;&lt;scim:rath&gt;&lt;=&quot;?aml:annotation aml:id=&quot;21&quot; w:type=&quot;Word.Insertion&quot; aml:author=&quot;peng gongxun&quot; aml:createdate=&quot;2021-07-12T15:26:00Z&quot;&gt;&lt;aml:content&gt;&lt;w:rPr&gt;&lt;w:rFonts w:ascii=&quot;Cambria Math&quot; w:fareast=&quot;妤蜂on綋&gt;&gt;&lt;&quot;&gt;&gt;&lt; &gt;&lt;&lt;ntw M/mlaw:h-ansi=&quot;Cambria Math&quot;/&gt;&lt;wx:font wx&lt;sc:val=&quot;C:raambrratia Mathath&quot;/&gt;&lt;&lt;=&quot;w:i/=&quot;?&gt;athsci&lt;w:color w:val=&quot;0 am00000&quot;/&gt;&lt;:auw:sz-csaut w:val=uth&quot;21&quot;/&gt;&lt;aml:=&quot;pannota=&quot;00Zptiohorn am&lt;aml:id=&quot;22&quot; wl:c:type=&quot;Wor:cod.Formattinontg&quot; aml:autst=hor=t&gt;&lt;&quot;peng genntongxunont&quot; aml:createdate=&quot;2021-07-12T15:26:00Z&quot;&gt;&lt;aml:content&gt;&lt;w:rPr&gt;&lt;w:rFonts w:ascii=&quot;Cambria Math&quot; w:fareast=&quot;妤蜂?am? w=&quot;?:h-ansi=&quot;:auCathambria Maautscith&quot;/&gt;&lt;wx:fut0Zhont wx:val=&quot;Cambr&lt;am=&quot;pia Math&quot;/&gt;&lt;w:i/l:c=&quot;p&gt;&lt;w:color w:h:coorval=&quot;t=000000&quot;/&gt;&lt;ontw:sz-cs ennw:val=&quot;21&quot;/&gt;t&gt;&lt;&lt;/w:r amPr&gt;&lt;/aml:coentntentte&gt;&lt;=&gt;&lt;/aml:annontotation&gt;15:rP:&lt;/w:rPr&gt;&lt;m:t&gt;e&lt;/m:t&gt;&lt;s w:co/aml:content&gt;&lt;m/aml:mbrw:rannotation&gt;&lt;/m:r&gt;&lt;rFo/ream:sub&gt;&lt;/m:sSub&gt;&lt;/m:num&gt;&lt;m:den&gt;&lt;m:r&gt;&lt;aml:annotation aml:id=&quot;23&quot; w:type=&quot;Word.Insertion&quot; aml:author=&quot;peng gongxun&quot; aml:createdate=&quot;2021-07-12T15:26:00Z&quot;&gt;&lt;aml:content&gt;&lt;w:rPr&gt;&lt;w:rFonts w:ascii=&quot;Cambria Math&quot; w:fareast=&quot;妤蜂&lt;m綋&quot; w:h-mbransi=&quot;w:rCambria :r&gt;Math&quot;/&gt;&lt;wx:r&lt;/meaforFont wx:&gt;&lt;/val=&quot;Cambria:r&gt; M&gt;&lt;math&quot;/&gt;&lt;w:i/:an&gt;&lt;w:color w23&quot;:vatatInsl=&quot;000000&quot;/&gt;&lt;w:e=&quot;sz-cn&quot; s w:vty gopal=&quot;21&quot;/&gt;&lt;aml:authnnotatn&quot; ion 20200Zaml:id=&quot;24&quot; w:typamle=&quot;Word.Forl:cT1rFo5matting&quot; aml:author=&quot;peng gont&gt;nmgathw:axun&quot; aml:createdate=&quot;2021-07:as-12T1rea5:26:00Z&quot;&gt;&lt;aml:content&gt;&lt;w:rPr&gt;&lt;w:rFonts w:ascii=&quot;Cambria Math&quot; w:fareast=&quot;妤蜂綋&quot; w:h-ansi=&quot;Cambria Ma gothn&quot; &quot;/tate=&quot;&gt;&lt;wx:font wx:val=&quot;00ZCambria202 Mathn&quot; &quot;/&gt;typuth&lt;w:i/&gt;&lt;w:color wrFo:val=&quot;0l:c00000&quot;/&gt;&lt;w:sT15za&gt;nmml-cs w:val=&quot;ath21&quot;/&gt;&lt;/w:rPrw:07:a&gt;&lt;/aml:connt&gt;tes-1nt&gt;&lt;/aml:anno-12tation&gt;&lt;/:rPw:rPr&gt;&lt;mrea:t&gt;50&lt;/r&gt;&lt;:asm:h&quot; t&gt;&lt;/aml:conten:rFt&gt;&lt;/a:faml:annotaw:rtion&gt;&lt;/farm:r&gt;&lt;/m:den&gt;&lt;/m:f&gt;&lt;/m:aste&gt;&lt;/m:d&gt;&lt;/m:e:fa&gt;&lt;m:sup&gt;&lt;m:r&gt;&lt;aml:annotation aml:id=&quot;25&quot; w:type=&quot;Word.Insertion&quot; aml:author=&quot;peng gongxun&quot; aml:createdate=&quot;2021-07-12T15:26:00Z&quot;&gt;&lt;aml:content&gt;&lt;w:rPr&gt;&lt;w:rFonts w:ascii=&quot;Cambria Math&quot; w:fareast=&quot;妤蜂綋&quot; w:h-ansi=w:r&quot;farC:r&gt;ambria Math&quot;/&gt;&lt;wx:font&gt;&lt;/ te&gt;wastx:val=&quot;Cambria Math::r&gt;fa&quot;/&gt;m:r&lt;w:i/&gt;&lt;w:color w25&quot;:val=id=&quot;00n a0000on&quot;&quot;/&gt;&lt;w:sz-ctios w:val=n&quot; &quot;2ert1&quot;/&gt;&lt;amlxun:annotation amlxun:ho7-1rid=&quot;26&quot; w:type1ent-0=&quot;Word.Foratemaii=tontting&quot; aml:author=&quot;scil:cpeng gongxun&quot; ast=ml:crasceatedate=&quot;2021-07eas-12T15:26:00Z&quot;&gt;&lt;aathml:content&gt;&lt;w:rPr&gt;&lt;w:rFonts w:ascii=&quot;Cambria Math&quot; w:fareast=&quot;妤&quot;蜂綋&quot; w:h-aid=nsin&quot; :fa=&quot;Cambritioa Math&quot;/&gt;&lt;n awxxun:font wx:val=&quot;C7-1aertmbria Matenth&quot;/&gt;&lt;w:ixun/&gt;ii=&lt;w:color w1-0:val=&quot;0000ont00&quot;hor/&gt;&lt;w:ssciz-cs w:vaatest=l=&quot;21&quot;/&gt;&lt;/wte=:rPrl:c&gt;&lt;2T1/aml:contentasc&gt;&lt;/aml:annoeastationZ&quot;&gt;&gt;&lt;/w:rPr&gt;&gt;&lt;w&lt;m:t&gt;m&lt;/mw:a:t&gt;&lt;/aml:athcontea妤&quot;thnt&gt;&lt;/a ml:ann&lt;w:otation&gt;&lt;/mamb:r&gt;&lt;/m:supast&gt;&lt;/m:sSup&gt;&lt;/m:num&gt;&lt;m:den&gt;&lt;m:sSup&gt;&lt;m:sSupPr&gt;&lt;m:=ctrlPr&gt;&lt;aml:annotation aml:id=&quot;27&quot; w:type=&quot;Word.Insertion&quot; aml:author=&quot;peng gongxu1n&quot; aml:createdate=&quot;2021-07-12T15:26:00Z&quot;&gt;&lt;aml:content&gt;&lt;w:rPr&gt;&lt;w:rFonts w:ascii=&quot;Cambria Math&quot; w:fareast=&quot;?シ浣? w:h-ambnsi=&quot;Camstbria:s Math&quot;m:/&gt;&lt;wx:fdeont wx:upval=&quot;SuCamb:=ria Math&quot;/&gt;&lt;w:i/:ct&gt;&lt;w:color:an w:val=&quot;00ml0000&quot;/&gt;w:&lt;w=&quot;:szIn-cs w&quot; :val=ho&quot;21&quot;g /&gt;u1&lt;/w:rPr&gt;&lt;/aml:content&gt;&lt;/aml:annotaxuntion&gt;&lt;ate/m:ctrl-0Pr&gt;&lt;/6:m:amntsSurPpPron&gt;&lt;mciam M:e&gt;&lt;m:sSub&gt;&lt;m:sSubPr&gt;&lt;m:ctrlPr&gt;&lt;aml:annotation aml:id=&quot;28&quot;h&quot;  w:=&quot;?type=&quot;Word.Insertion&quot; aml:author=&quot;peng gongxun&quot; aml:createdate=&quot;2021-07-12T15:26:00Z&quot;&gt;&lt;aml:content&gt;&lt;w:rPr&gt;&lt;w:rFonts w:ascii=&quot;Cambria Math&quot; w:fareast=&quot;妤蜂綋&quot; w:h-ansxunateil-0=&quot;/6mnturPronm Miammci:am:Cambria Math&quot;/&gt;&lt;wx:font wx:val=&quot;Cambria Math&quot;/&gt;&lt;w:i/&gt;&lt;w:color w:val=&quot;000000rti&quot;/&gt;rti&lt;wertInsrd.:Wor=&quot;pWore=?h&quot; sz-cs w:val=&quot;21&quot;/&gt;&lt;/w:rPr&gt;&lt;/aml:content&gt;&lt;/aml:annotaw:rtion&gt;&lt;w:r/m:c&gt;&lt;wtrlentPr&gt;ont&lt;/m:sconSubPr&gt;con&lt;&lt;amm00Z:e&gt;26:&lt;m:r&gt;&lt;aml:annotation aml:id=&quot;29&quot; w:type=&quot;Word.Insertion&quot; aml:author=&quot;peng gongxun&quot; aml:createdate=&quot;2021-07-12T15:26:00Z&quot;&gt;&lt;aml:content&gt;&lt;w:rPr&gt;&lt;w:rFonts w:ascii=&quot;Cambria Math&quot; w:fareast=&quot;妤蜂綋&quot; w:hw:r-ansi=&quot;Caw:rmbria M&gt;&lt;wath&quot;/&gt;ent&lt;wx:foontnt wx:vaconl=&quot;Cambricona Ma&lt;amth&quot;/00ionZ&gt;&lt;w:i/26:&gt;&lt;d=&quot;w:color w:vatypl=&quot;000000Wor&quot;/&gt;&lt;w:sz-nsecs w:val=on&quot;&quot;21&quot;/&gt;&lt;aml:authnnotati7-1on penaml:id= g6:0o&quot;30&quot; w:txunypamle=&quot;Wordml:.Fnteormatting&quot; a&lt;w:ml:author=&quot;pe&lt;w:ng gongxun&quot; aml w::createdatecii=&quot;2021-07-&quot;Ca12T15:26:00Zia &quot;&gt;&lt;aml:content&gt;&lt;w:rPr&gt;&lt;w:rFonts w:ascii=&quot;Cambria Math&quot; w:fareast=&quot;妤蜂綋&quot; Worw00Z:h-ansi=&quot;Cansembri26:a Math&quot;/on&quot;&gt;7-1&lt;wx:font wx:val=&quot;u6:0thCambria Math&quot;/&gt;aml&lt;penw:i/&gt;&lt;w:color ntego w:val=&quot;000000&quot;/&lt;w:&gt;xun&lt;w:sxunz-cs w:val=&lt;w:&quot;21ml:&quot;dat/&gt;&lt;/w:rPr&gt;&lt;/am w:l:-&quot;Ccontent&gt;&lt;/aml:aciinnor&gt;&lt;Ziatation&gt;&lt;/w:rP&quot;Car&gt;&lt;m:i=&quot;entt&gt;D&lt;/m:t&gt;&lt;/aml:cia on:fatentsnt&gt;&lt;/aml:annotation&gt;&lt;/m:ia r&gt;&lt;/m:e&gt;&lt;m:sub&gt;&lt;m:rrea&gt;&lt;aml:annotation aml:id=&quot;31&quot; w:type=&quot;Word.Insertion&quot; aml:author=&quot;peng gongxun&quot; aml:createdate=&quot;2021-07-12T15:26:00Z&quot;&gt;&lt;aml:content&gt;&lt;w:rPr&gt;&lt;w:rFonts w:ascii=&quot;Cambria Math&quot; w:fareast=&quot;妤?a浣? w:h-ansi=&quot;Cafambriats Mia ath&quot;/&gt;&lt;wx:foonnt wx:val=a e&gt;&quot;Cambria Mat&gt;&lt;h&quot;/&gt;&lt;w:i/&gt;ea&lt;atw:color w:v aal=&quot;000000l:i&quot;/Wo&gt;&lt;w:sz-cs w:vansl=&quot;21&quot;/&gt;&lt;aormnsel:a annotation g aml:id=ea&quot;32&quot; w:tT1ype=&quot;Wordat.Formatt6:ing&quot; aml&lt;w:s author=&quot;p00Zeng gongxu&lt;wn&quot; =&quot;amfal:createdate=&quot;2&gt;&lt;w021-ri07t=-12T15:26:00Z&quot;&gt;&lt;aml:cont?aent&gt;&lt;w:rPr&gt;&lt;w:rFonts w:ascii=&quot;Cambria Math&quot; w:fareast=&quot;妤蜂綋&quot; w:h-&gt;ev aaa/Wonsi=&quot;Cambria Math&quot;/&gt;&lt;wx:fonta al:aorians wx:val=&quot;Cambria Math&quot;/&gt;tT1&lt;w=ea:i/&gt;&lt; g w:nsecolor :s w:val=&quot;000l&lt;w000&quot;/t6:&gt;&lt;w:sdatz-cs w:mfaval=&quot;21&quot;/&gt; =&quot;&lt;/w:rPr&gt;&lt;/au&lt;wml:con00Z2T1tent&gt;&lt;/aml7t=:anno:rPtation&gt;&lt;-ri/w:rPr&gt;:rP&lt;m:t&gt;e&gt;&lt;w&lt;/m:t&gt;&gt;&lt;wath&lt;/aml:content?at&gt;&lt;a M/aml:annotation&gt;&lt;/m:ra M&gt;&lt;/m:sub&gt;&lt;/m:sSCamub&gt;&lt;/m:e&gt;&lt;m:sup&gt;&lt;m:r&gt;&lt;aml:annotation aml:id=&quot;33&quot; w:type=&quot;Word.Insertion&quot; aml:author=&quot;peng gongxun&quot; aml:createdate=&quot;2021-07-12T15:26:00Z&quot;&gt;&lt;aml:content&gt;&lt;w:rPr&gt;&lt;w:rFonts w:ascii=&quot;Cambria Math&quot; w:fareast=&quot;妤蜂綋&quot; w:h-a Mt?aansi=&quot;Cambria /m:Math&quot;/&gt;a M&lt;wx&lt;/m:font wx::sSval=&quot;CambCamrip&gt;&lt;a Math&quot;/&gt;&lt;w&lt;mion::i/&gt;&lt;w:c w:olor w am:val=&quot;00000pe=0&quot;/&gt;&lt;w:sz-camls w:ve=&quot;gonal=&quot;21&quot;/&gt;&lt;aml:au:annotatgxuion amle=&quot;:id=&quot;34&quot;00Z w:nt&gt;type=&quot;n&quot; Word.=&quot;2Formatting&quot;&gt;&lt;&quot; amw:rl:autciihor w:=&quot;peng gongxun&quot; aml:crearPrtedati=&quot;e=&quot;2far021-07-12T15:26:00Z&quot;&gt;&lt;aml:content&gt;&lt;w:rPeasr&gt;&lt;w:rFonts w:ascii=&quot;Cambria Math&quot; w:fareast=&quot;妤蜂?am? m:w:hame=-anmlonsi=&quot;Cambria Math&quot;/&gt;&lt;wx:font wx:val=&quot;Cambr=&quot;ia xu=t&gt;&quot;a0ZuMath&quot;/&gt;&lt;w:i/&gt;&lt;w:color w:val=&quot;000000&quot;/&gt;&lt;w:sz-cs ww::iir&quot;2:&gt;&lt;n&quot; val=&quot;21&quot;/&gt;&lt;/w:rPr&gt;&lt;/aml:content&gt;&lt;/a12ml:an-1n21otaarti=&quot;oPrn&gt;&lt;/w:rPr&gt;&lt;m:t&gt;2&lt;/m:t&gt;&lt;/aciml:contecint&gt;&lt;w:/amonl:annotaonsation&gt;&lt;/easm:r&gt;&lt;/m:sup&gt;&lt;/m:sSup&gt;&lt;/m:den&gt;&lt;/m:f&gt;&lt;m:r&gt;&lt;aml:mannotation aml:id=&quot;35&quot; w:type=&quot;Word.Insertion&quot; aml:author=&quot;peng gongxun&quot; aml:createdate=&quot;2021-07-12T15:26:00Z&quot;&gt;&lt;aml:content&gt;&lt;w:rPr&gt;&lt;w:rFonts w:ascii=&quot;Cambria Math&quot; w:fareast=&quot;?シ浣?&lt;w: w:h-monansi=&quot;Cambaonrtasia Math&quot;/&gt;&lt;wea&lt;/sx:fontp&gt;&lt; wx:val=:de&quot;Cambria Ma:f&gt;th&quot;/&gt;&lt;w::rl:&gt;i/&gt;&lt;w:coll w::mor w:val=pe=&quot;000000&quot;/&gt;&lt;wrd.:sz-cs w:val=&quot;tin&quot;o21&quot;/&gt;&lt;amln&quot;:cr :annotation atedml:id=&quot;36&quot; onw:type=021&quot;Wordw:r.Format-07ting&quot; a&gt;&lt;wml:auw:thor=&quot;:26peng nts=&quot;?gongxun&quot; aml:creatascedate=&quot;2021-07-12=&quot;CT15:26:00Z&quot;&gt;&lt;aml:content&gt;&lt;w:rPr&gt;&lt;w:rFonts w:ascii=&quot;Cambria Math&quot; w:fareast=&quot;妤蜂綋&quot; w:pe=:r&gt;h-ansi=&quot;Cambria in&quot;Mard.th&quot;l:m/&gt;&lt;wx:font:cr wx:valtio=&quot;Camb onria Mattedh&quot;/&gt;&lt;w:in&quot; /&gt;&lt;w:rw:color w:valuw:021=&quot;000000&quot;/&gt;&lt;w&gt;&lt;w:sz-cs =&quot;?w:va-07l=&quot;21&quot;/&gt;&lt;/wnts:rPr&gt;&lt;asc/aml:coCT1ntent&gt;:26&lt;/amlasc:anno=&quot;Ctatiotenn&gt;&lt;/w:aw:rPr&gt;&lt;m:t&gt;    =&quot;C&lt;/m:t&gt;&lt;nt&gt;s w/a&quot; wml:content&gt;&lt;/aml:annotationtsn&gt;&lt;/&quot; wm:r&gt;&lt;m:r&gt;&lt;aml:annotation aml:id=&quot;37w:f&quot; w:type=&quot;Word.Insertion&quot; aml:author=&quot;peng gongxun&quot; aml:createdate=&quot;2021-07-12T15:26:00Z&quot;&gt;&lt;aml:content&gt;&lt;m:rPr&gt;&lt;m:sty m:val=&quot;p&quot;/&gt;&lt;/m:rPr&gt;&lt;w:rPr&gt;&lt;w:rFonts w:ascii=&quot;Cambria Math&quot; w:fareast=&quot;妤蜂綋&quot; w:h-ansi=&quot;Cambria nts/&quot; w&quot; M&quot; wath&quot; w:hint=&quot;fareast&quot;/&gt;&lt;wx:f7w:on37wt &quot;37wx:&quot;37val=&quot;?w:fシ浣?/&gt;&lt;wuthor:coloauthor w:l:autval=&quot;000autho000&quot;l:aut=&quot;202/&gt;&lt;w:sz-cse=&quot;20 w:val=&quot;21&quot;/&gt;&quot;&lt;m:rP2021&lt;aml:anate=&gt;&lt;m:r&quot;notationPr&gt;&lt;w aml:id&gt;&lt;m:r=&quot;38&quot; w:rPr&gt;&lt;type=&quot;nt&gt;&lt;mWord.Forw:rPrmatw:farting&quot; aml:author=&quot;p:rPr&gt;&quot;  ww:feng gongxun&quot; aml:creatrPw:r&gt;&lt;&quot; ed:fareate=&quot;2021-07-12T15:27w6:h&quot;  ww:00Z&quot;&gt;&lt;aml:content&gt;&lt;w:rP37r&gt;ts&lt;w:rFonts w:ascii=&quot;Cambria Ma37th&quot; w:fareast=&quot;妤?0浣? w:h-athonsi=&quot;Ca&lt;w=&quot;?w:fm:rbria Math&quot;021 w:hint=&quot;aut&gt;&lt;fareast&quot;/&gt;m:r&lt;wx:font wx:are=&quot;val=&quot;妤:rPr蜂綋&quot;/&gt;&lt;w:&gt;&quot;  wcolor w&quot;nt&gt;&lt;m&gt;&quot; w:f:vatrPw:l=&quot;000000&quot;/&gt;&lt;w:sz-r&gt;07-12&lt;&quot; cp:rPr&gt;s w:val=&quot;21&quot;/5:27w&gt;&lt;/w:rPd:farer&gt;&lt;/amltent&gt;:content&gt;:h&quot;  w&lt;/amw:ascl:annotatrPrw:rP3farea7&gt;&lt;tion&gt;&lt;/w:rPr&gt;&lt;a&lt;wi=&quot;Camm:h&quot; w::t&gt;鏁版?st=&quot;妤?0緝灏?nt&gt;&lt;w:r=&quot;?w:fm:rPr&gt;ts?/m:t&gt;nt=&quot;aut&gt;&lt;&lt;/amlCambriont wx:ara Ma37:con:&gt;&quot;  wtent&gt;&lt; w:h-atrPw:atho/aml:an&gt;07-12no Math&quot;021tation&gt;ast&quot;/&gt;m:r&lt;/m:r&gt;&lt;l=&quot;妤:rPr/m:e&gt;&lt;/mm&gt;&quot; w:f:mr&gt;&lt;m:z-r&gt;&lt;&quot; mr&gt;&lt;&quot;/5:27wm:e&gt;mltent&gt;&lt;m:amw:ascsSubP3farea&gt;&lt;m:Pr&gt;&lt;a&lt;wsSubPr&gt;&lt;i=&quot;Ca=&quot;?w:fm:ct:hint=&quot;autrlPr&gt;&lt;ont wx:e=&quot;aml&quot;nt&gt;&lt;m:annp:rPr&gt;otatid:fareo:h&quot;  wnw:rP37 &lt;i=&quot;Cama=&quot;妤?0ml:r:i&gt;&lt;d=ar&quot; w39w:&quot; 12w:type=&quot;Word.Insertion&quot; aml:author=&quot;peng gongxun&quot; aml:createdate=&quot;2021-07-12T15:26:00Z&quot;&gt;&lt;atrPrm:h&quot; ws:&gt;&lt;aml:content&gt;&lt; ww:&gt;craPwr&gt;&lt;w:rFonts w:ascii=&quot;Cambria Math&quot; w:fareast=&quot;妤蜂綋&quot; w:h-ansi=&quot;Cambria Math&quot;/&gt;&lt;wx:font wx:val=&quot;Cambria Mathe=&gt;&lt;m&quot;Pr&gt;&quot;aa PC?li&quot;9 12w: w=ar&gt;&lt;:r?0am37 wreut/&gt;&lt;w:fw:i/&gt;&lt;w:color w:val=&quot;000000&quot;/&gt;&lt;w:sz-cs w:val=&quot;21&quot;/&gt;&lt;/w:rPr&gt;&lt;/aml:content&gt;&lt;/aml:annotation&gt;&lt;/m:ctrlaPwPrcra&gt;&lt;:&gt;c/m:w:&gt;sS wwut&gt;&lt; bPrnt&gt;&gt;&lt;entm tenw&lt;nte:coams:e&gt;&lt; w:m:r&gt;&lt;r&gt;&lt;aml:annotation aml:id=&quot;40&quot; w:type=&quot;Word.Insertion&quot; aml:author=&quot;peng gongxun&quot; aml:crreatedate=&quot;2021-07-12T15:26:00Z&quot;&gt;&lt;aml:content&gt;&lt;w:rPr&gt;&lt;w:rFonts w:ascii=&quot;Cambria Math&quot; w:fareast=&quot;妤蜂綋&quot;aPw w:h-craansi=:&gt;c&quot;Cambrw:&gt;ia Ma wwth&quot;/&gt;&lt;&gt;&lt; wx:fonnt&gt;t wx:entval=&quot;tenCambrnteia :coMa&lt;amt wsh&quot;/&gt;&lt;w: w:i/&gt;&lt;w:cor&gt;&lt;lor w:val=&quot;:au000000&quot;/or=&gt;&lt;w:sz-cengs w:val=&quot;ngx21&quot;/&gt;&lt;am&quot; al:annota:crtion aml:iedad=&quot;41&quot; w=&quot;2:type=&quot;W1-0ord.Form12Tatting&quot; :26aml:26:autho:00r=&quot;peng&quot;&gt;&lt; gongxun&quot; conaml:createdaw:rte=&quot;2021-07-12T15:26:00Z&quot;&gt;&lt;aml:content&gt;&lt;w:rPr&gt;&lt;w:rFonts w:ascii=&quot;Cambria Math&quot; w:fareast=&quot;妤?s浣? w:r=h-ansi w:=&quot;ngCambria Mathgxr&gt;&lt;&quot;/&gt;&lt;wx:f aont wx:val=cr&quot;Cambria Mathda&quot;/&gt;&lt;w:i/&gt;&lt;w&quot;2:color w:va-0l=&quot;000000&quot;/2T&gt;&lt;w:sz-cs w26pe:val=&quot;26:1&quot;/&gt;gx&lt;/w:00rPr&gt;&lt;/al:ml:&quot;&gt;&lt;content&gt;rt&lt;/aml:anconno7-tation&gt;&lt;/w:rPr0Z&gt;&lt;w:rm:t&gt;P&lt;/m:tet&gt;&lt;/aml:conte&gt;&lt;nt&gt;&lt;/aml:annt=ow:tation&gt;&lt;/m:r&gt;mb&lt;/m:e&gt;&lt;m:suh&quot;b&gt;&lt;m:r&gt;&lt;ameal:annotat?sion aml:id=&quot;42&quot; w:type=&quot;Word.Insertion&quot; aml:author=&quot;peng gongxun&quot; aml:createdate=&quot;2021-07-12T15:26:00Z&quot;&gt;&lt;aml:content&gt;&lt;w:rPr&gt;&lt;w:rFonts w:ascii=&quot;Cambria Math&quot; w:fareast=&quot;妤蜂綋:te&quot; ww:r:h-ansi=&quot;e&gt;&lt;Cambrint=a Math&quot;/&gt;ow:&lt;wxm:r:font wx:val&gt;mbsuh=&quot;Cambria Matuh&quot;l:ah&quot;/&gt;&lt;w:i/&gt;&lt;wmeaaml:color w:vat?slype=&quot;000000&quot;/&gt;&lt;w:sz-on&quot;cw:ts w:val=&quot;21&quot;/&gt;&quot;pe&lt;amte=l:aon&quot;nnotationaml15: aml:id=&quot;43&quot; w:typ:co&quot;20e=&quot;Word.Formatti&lt;w:ng26:&quot; aml:author=ii=&quot;l:cpeng gongxun&quot; a&quot; w:rPml:createdate=&quot;202w:a1-07-12T15:26:00Z&quot;&gt;&lt;amth&quot;l:content&gt;&lt;w:rPr&gt;&lt;w:rFonts w:ascii=&quot;Cambria Math&quot; w:fareast=&quot;妤蜂綋ype&quot; w:h-meaansi=&quot;Cambria on&quot;Matte=t?sh&quot;/&gt;&lt;wx:font wx&quot;pe15::val=&quot;Cambw:tria Math:coaml&quot;/&gt;&lt;w:i/&gt;&lt;w:color o&lt;w:n&quot;&quot;20w:val=&quot;000000&quot;/&gt;ii=&lt;w:sz26:-cs w:valrea=&quot;21&quot;/&gt;&lt;&quot; wl:c/w:rPr&gt;&lt;/a-12ml:content&gt;:02wrP&lt;/aml:al:cnnotation&gt;&lt;/w:rZ&quot;&gt;Prw:a&gt;&lt;ontm:t&gt;50&lt;/m:t&gt;&lt;/aml:rP:con Matent&gt;th&quot;&lt;/aml:annotai=&quot;tion&gt;&lt;/m:r&gt;&lt;/m:subts &gt;far&lt;/m:sSub&gt;&lt;m:r&gt;&lt;aml:annotation aml:id=&quot;44&quot; w:type=&quot;Word.Insertion&quot; aml:author=&quot;peng gongxun&quot; aml:createdate=&quot;2021-07-12T15:26:00Z&quot;&gt;&lt;aml:content&gt;&lt;w:rPr&gt;&lt;w:rFonts w:ascii=&quot;Cambria Math&quot; w:fareast=&quot;妤蜂綋&quot; w:rP: Mah-ansi=&quot;Cambria Mth&quot;ath&quot;/&gt;iio/m:n=&quot;&lt;wx:font wx:val=&quot;Cambria&gt;&lt;m faSubrMats th&quot;/&gt;&lt;w:i/&gt;&lt;w:cd=&quot;olornol:it w:val=&quot;000000&quot;/&gt;&lt;n&quot; w:sz-typrtics w:val=:cr&quot;21&quot;/&gt;&lt;aml&quot; a:annotationgxu r=26:&quot;aml:id=&quot;45&quot; wT15:type=&quot;Word.F&gt;&lt;w07-ormatting&quot;20&quot; arPrml:author=Mat&quot;ontpeng gongxun&quot; amrial:createdatw:ae=&quot;2021-07-12T15:26:00Z&quot;&gt;&lt;aml:reacontent&gt;&lt;w:rPr&gt;&lt;w:rFonts w:ascii=&quot;Cambria Math&quot; w:fareast=&quot;妤蜂?:i? w:h-an&quot; si=ts &quot;nocrtCambria Math&quot;/rti&gt;&lt;wx:f aont wx:6:vatypl=&quot;Cambria Mathgxu&quot;/&gt;&lt;15w:i/&lt;w&gt;&lt;w:color w:var=&quot;l=&quot;0000007-0&quot;Pr/&gt;at&lt;w:sz-cs w:val=&quot;21&quot;/&gt;&lt;/w:ontr&quot;20riadaP21r&gt;&lt;/aml:content&gt;&lt;/aml:annotaw:atiomntln:26&gt;&lt;/w:rPr&gt;&lt;m:t&gt;/2500           ri  rciea w:r&lt;/m:t&gt;&lt;/aml:content&gt;&lt;/aml:annoitati w:on&gt;&lt;/Camm:r&gt;&lt;m:r&gt;&lt;aml:annotation aml:id=&quot;46&quot; w:type=&quot;Word.Insertion&quot; aml:author=&quot;peng gongxun&quot; aml:createdate=&quot;2021-07-12T15:27:00Z&quot;&gt;&lt;aml:content&gt;&lt;w:rPr&gt;&lt;w:rFonts w:ascii=&quot;Cambria Math&quot; w:fareast=&quot;妤蜂綋&quot; w ri:h-anrcisi=&quot;Camw:rbrreaia Math&quot;//am&gt;&lt;wx:fl:aont wx:noival=&quot;Cambr w:ia Mal:ath&quot;/&gt;&lt;Camnnow:i/&gt;&lt;w:coloionr w:val=&quot;0.Inaml00000&quot;/&gt;&lt;wert:sz-cs w:val=e=&quot; am&quot;21&quot;/&gt;aml&lt;/w am:rPr&gt;&lt;m:t&gt;cre   0Z&quot;&lt;/m:t&gt;&lt;/aml:contet&gt;&lt;ae=nt&gt;&lt;/aml:annotat2sci0:co2ion&gt;&lt;/m:r&gt;&lt;m:r&gt;&lt;i=&quot;amlent:annotation aml:id=ria&quot;47&quot; w:ty:rFpe=&quot;Worda M.Insertion&quot; aml:author=&quot;peng gongxun&quot; aml:createdate=&quot;2021-07-12T15:26:00Z&quot;&gt;&lt;aml:content&gt;&lt;m:rPr&gt;&lt;m:sty m:val=&quot;p&quot;/&gt;&lt;/m:rPr&gt;&lt;w:rPr&gt;&lt;w:rFonts w:ascii=&quot;Cambria Math&quot; w:fareast=&quot;妤蜂綋&quot;sci w:h-an:cosi=&quot;Cambri202ai=&quot; Math&quot; w:hinenttn a=&quot;fareast&quot;/&gt;&lt;wy:rxria:font wx:va=&quot;Wl=&quot;妤蜂綋&quot;:ttion&quot; y:rordaeng go MF/&gt;&lt;w:color wauthor:vangxun&quot;l=&quot;000ate=&quot;2000&quot;26:00Z/&gt;&lt;w:sz-cs w:val=&quot;2ml:cre1&quot;/&gt;&lt;07-12Tam&lt;aml:Pr&gt;&lt;/:rFont&gt;&lt;/m:m:cl:annotation aml:id=&quot;48&quot; w:type=&quot;Word.Formaysci m Math&quot;s w:as:v&gt;&lt;w:rPatt&gt;&lt;m:rPing&quot; aml:authoy:rr=&quot;pengn a gongxuni=&quot;&quot; aml:c:coreascireast=i=&quot;tedate=&quot;2021-07-12w:asciT15:2=&quot;W6:00Z&quot;&gt;&lt;amrial:contenentt&gt;&lt;w:rPr&gt;&lt;w202:rFonts w:ascii=&quot;Cambria Math&quot; w:fareast=&quot;妤蜂綋&quot; /m:w:h-ansi=&quot;C&lt;m:a:rFmbria Matl:ch&quot; w:hint=&quot;scifa12Treast&quot;/&gt;&lt;th&quot;wcrex:font wx:v:asal=&quot;妤?oy:r浣?/&gt;&lt;w:c&gt;&lt;wengn a:rPolor w:val=&quot;0yxuni=&quot; m:va00000&quot;/&gt;ate=&quot;2&lt;w:sz-l:c:cocs w:v&gt;&lt;m:r7-12w:Pal=&quot;21&quot;/&gt;&lt;/wreast=:rPr&gt;5:2=&quot;&lt;w:rPrW&lt;/aml:contscii=&quot;ent&gt;&lt;/aml&lt;am2fareas:rFonria:annotation&gt;&lt;/w:rPr&gt;&lt;m:t&gt;?t/m:scii=&quot;enent暟?12w:asci緝t=&quot;sci澶氭椂&lt;/mnsi=&quot;C&lt;m::t&gt;&lt;&gt;&lt;=&quot;妤?oy:rwbria Math&quot; w:st&quot;/&gt;&lt;th&quot;rPr&gt;&lt;w202/aml:conia engn aMatl:ctent&gt;&lt;/amlthate=&quot;2&quot; w:fart wx:v:aseast:annotatixuni=&quot;on&gt;&lt;/m:r&gt;&lt;/m:en7-12w:t=&quot;fa12T&gt;&lt;/m:m&lt;w:rPrr&gt;&lt;/m:m&gt;&gt;&lt;w:fareasrP&lt;/m:e&gt;&lt;/m:d&gt;l:c:co&lt;/m:nsi=&quot;Ca:rF5:2=&quot;WoMast&quot;/2:rFon&gt;&lt;wcreth&gt;&gt;?t/m:&lt;/m:oMatscih0y m:vaPara&gt;&lt;/w:p&gt;&lt;w:secreast=tPr ws&lt;amriap:rsidscii=&quot;R=&quot;00000000&quot;&gt;&lt;w:pgSz w:w=&quot;12240&quot; w:h=&quot;1v&gt;&lt;mtscii=&quot;:rP5840&quot;?tenent/&gt;&lt;w:pgMar w:top=&quot;1440&quot; w:right=&quot;1800&quot; w:bottom=&quot;1440&quot; w:left=&quot;1800&quot; w:header=&quot;:asci720&quot; w:footer=&quot;720&quot; w:gutter=&quot;0&quot;/&gt;&lt;w:cols w:space=&quot;720&quot;/&gt;&lt;/w:sectPr&gt;&lt;/wx:sect&gt;&lt;/w:body&gt;&lt;/w:wordDocument&gt;">
            <v:path/>
            <v:fill on="f" focussize="0,0"/>
            <v:stroke on="f"/>
            <v:imagedata r:id="rId61" chromakey="#FFFFFF" o:title=""/>
            <o:lock v:ext="edit" aspectratio="t"/>
            <w10:wrap type="none"/>
            <w10:anchorlock/>
          </v:shape>
        </w:pict>
      </w:r>
      <w:r>
        <w:rPr>
          <w:rFonts w:ascii="Times New Roman" w:hAnsi="Times New Roman" w:eastAsia="宋体"/>
          <w:color w:val="auto"/>
          <w:szCs w:val="21"/>
          <w:highlight w:val="none"/>
        </w:rPr>
        <w:fldChar w:fldCharType="end"/>
      </w:r>
      <w:r>
        <w:rPr>
          <w:rFonts w:ascii="Times New Roman" w:hAnsi="Times New Roman" w:eastAsia="宋体"/>
          <w:color w:val="auto"/>
          <w:szCs w:val="21"/>
          <w:highlight w:val="none"/>
        </w:rPr>
        <w:tab/>
      </w:r>
      <w:r>
        <w:rPr>
          <w:rFonts w:ascii="Times New Roman" w:hAnsi="Times New Roman" w:eastAsia="宋体"/>
          <w:color w:val="auto"/>
          <w:szCs w:val="21"/>
          <w:highlight w:val="none"/>
        </w:rPr>
        <w:t>(4</w:t>
      </w:r>
      <w:r>
        <w:rPr>
          <w:rFonts w:hint="eastAsia" w:ascii="Times New Roman" w:hAnsi="Times New Roman" w:eastAsia="宋体"/>
          <w:color w:val="auto"/>
          <w:szCs w:val="21"/>
          <w:highlight w:val="none"/>
        </w:rPr>
        <w:t>-</w:t>
      </w:r>
      <w:r>
        <w:rPr>
          <w:rFonts w:ascii="Times New Roman" w:hAnsi="Times New Roman" w:eastAsia="宋体"/>
          <w:color w:val="auto"/>
          <w:szCs w:val="21"/>
          <w:highlight w:val="none"/>
        </w:rPr>
        <w:t>1)</w:t>
      </w:r>
    </w:p>
    <w:p>
      <w:pPr>
        <w:tabs>
          <w:tab w:val="center" w:pos="3580"/>
          <w:tab w:val="center" w:pos="7780"/>
        </w:tabs>
        <w:spacing w:line="360" w:lineRule="auto"/>
        <w:jc w:val="left"/>
        <w:rPr>
          <w:rFonts w:ascii="Times New Roman" w:hAnsi="Times New Roman" w:eastAsia="宋体"/>
          <w:color w:val="auto"/>
          <w:szCs w:val="21"/>
          <w:highlight w:val="none"/>
        </w:rPr>
      </w:pPr>
      <w:r>
        <w:rPr>
          <w:rFonts w:ascii="Times New Roman" w:hAnsi="Times New Roman" w:eastAsia="宋体"/>
          <w:color w:val="auto"/>
          <w:szCs w:val="21"/>
          <w:highlight w:val="none"/>
        </w:rPr>
        <w:tab/>
      </w:r>
      <w:r>
        <w:rPr>
          <w:rFonts w:ascii="Times New Roman" w:hAnsi="Times New Roman" w:eastAsia="宋体"/>
          <w:color w:val="auto"/>
          <w:szCs w:val="21"/>
          <w:highlight w:val="none"/>
        </w:rPr>
        <w:fldChar w:fldCharType="begin"/>
      </w:r>
      <w:r>
        <w:rPr>
          <w:rFonts w:ascii="Times New Roman" w:hAnsi="Times New Roman" w:eastAsia="宋体"/>
          <w:color w:val="auto"/>
          <w:szCs w:val="21"/>
          <w:highlight w:val="none"/>
        </w:rPr>
        <w:instrText xml:space="preserve"> QUOTE </w:instrText>
      </w:r>
      <w:r>
        <w:rPr>
          <w:rFonts w:ascii="Times New Roman" w:hAnsi="Times New Roman" w:eastAsia="宋体"/>
          <w:color w:val="auto"/>
          <w:position w:val="-8"/>
          <w:highlight w:val="none"/>
        </w:rPr>
        <w:pict>
          <v:shape id="_x0000_i1100" o:spt="75" type="#_x0000_t75" style="height:15.75pt;width:87.7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62E41&quot;/&gt;&lt;wsp:rsid wsp:val=&quot;00EC30E9&quot;/&gt;&lt;wsp:rsid wsp:val=&quot;00ED1A4B&quot;/&gt;&lt;wsp:rsid wsp:val=&quot;00EF51DC&quot;/&gt;&lt;wsp:rsid wsp:val=&quot;00F83540&quot;/&gt;&lt;/wsp:rsids&gt;&lt;/w:docPr&gt;&lt;w:body&gt;&lt;wx:sect&gt;&lt;w:p wsp:rsidR=&quot;00000000&quot; wsp:rsidRDefault=&quot;00E62E41&quot; wsp:rsidP=&quot;00E62E41&quot;&gt;&lt;m:oMathPara&gt;&lt;m:oMath&gt;&lt;m:sSub&gt;&lt;m:sSubPr&gt;&lt;m:ctrlPr&gt;&lt;aml:annotation aml:id=&quot;0&quot; w:type=&quot;Word.Insertion&quot; aml:author=&quot;peng gongxun&quot; aml:createdate=&quot;2021-07-12T15:26:00Z&quot;&gt;&lt;aml:content&gt;&lt;w:rPr&gt;&lt;w:rFonts w:ascii=&quot;Cambria Math&quot; w:fareast=&quot;妤蜂綋&quot; w:h-asidsidsidsidsidsidsidsidsidsidsidsidsidsidsidsidsidsidsidsidsidsidsidsidsidsidsidsidsidsidsidnsi=&quot;Cambria Math&quot;/&gt;&lt;wx:font wx:val=&quot;Cambria Math&quot;/&gt;&lt;w:i/&gt;&lt;w:color w:val=&quot;000000&quot;/&gt;&lt;w:sz-cs w:val=&quot;21&quot;/&gt;&lt;/w:rPr&gt;&lt;/aml:content&gt;&lt;/aml:annotation&gt;&lt;/m:ctrlPr&gt;&lt;/m:sSubPr&gt;&lt;m:e&gt;&lt;m:r&gt;&lt;aml:annotation aml:id=&quot;1&quot; w:type=&quot;Word.Insertion&quot; aml:author=&quot;peng gongxun&quot; aml:createdate=&quot;2021-07-12T15:26:00Z&quot;&gt;&lt;aml:content&gt;&lt;w:rPr&gt;&lt;w:rFonts w:ascii=&quot;Cambria Math&quot; w:fareast=&quot;妤蜂綋&quot; w:h-ansi=&quot;Cambria Math&quot;/&gt;&lt;wx:font wx:val=&quot;Cambria Math&quot;/&gt;&lt;Pr&gt;w:i&lt;m:/&gt;&lt;e&gt;&lt;w:cm:rolo&gt;&lt;ar wml::vaannl=&quot;ota000tio000n a&quot;/&gt;ml:&lt;w:id=sz-&quot;1&quot;cs  w:w:vtypal=e=&quot;&quot;21Wor&quot;/&gt;d.I&lt;amnsel:artinnoon&quot;tat amionl:a amuthl:ior=d=&quot;&quot;pe2&quot; ng w:tgonypegxu=&quot;Wn&quot; ordaml.Formatting&quot; aml:author=&quot;peng gongxun&quot; aml:createdate=&quot;2021-07-12T15:26:00Z&quot;&gt;&lt;aml:content&gt;&lt;w:rPr&gt;&lt;w:rFonts w:ascii=&quot;Cambria Math&quot; w:fareast=&quot;妤蜂綋&quot;1&quot;&quot; w:h- w:ansi=&quot;typCambrie=&quot;a MathWor&quot;/&gt;&lt;wxd.I:font nsewx:valrti=&quot;Cambon&quot;ria Ma amth&quot;/&gt;&lt;l:aw:i/&gt;&lt;uthw:coloor=r w:va&quot;pel=&quot;000ng 000&quot;/&gt;gon&lt;w:sz-gxucs w:vn&quot; al=&quot;21aml&quot;/&gt;&lt;/w:rPr&gt;&lt;/aml:c00Zontentaml&gt;&lt;/amlnte:annot&lt;w:ation&gt;&gt;&lt;w&lt;/w:rPontr&gt;&lt;m:t:as&gt;R&lt;/m:=&quot;Ct&gt;&lt;/amrial:contth&quot;ent&gt;&lt;/faraml:ant=&quot;notation&gt;&lt;/m:r&gt;&lt;/m:e&gt;&lt;m:sub&gt;&lt;m:r&gt;&lt;aml:annotation aml:id=&quot;3&quot; w:type=&quot;Word.Insertion&quot; aml:author=&quot;peng gongxun&quot; aml:createdate=&quot;2021-07-12T15:26:00Z&quot;&gt;&lt;aml:content&gt;&lt;w:rPr&gt;&lt;w:rFonts w:ascii=&quot;Cambria Math&quot; w:fareast=&quot;妤蜂綋&quot;=&quot;C w:h-ansiria=&quot;Cambriath&quot; Math&quot;/&gt;&lt;farwx:font wt=&quot;x:val=&quot;Caon&gt;mbria Mat&lt;/mh&quot;/&gt;&lt;w:i/sub&gt;&lt;w:color&lt;am w:val=&quot;0tat00000&quot;/&gt;&lt;l:iw:sz-cs ww:t:val=&quot;21&quot;ord/&gt;&lt;aml:antionotation :auaml:id=&quot;4pen&quot; w:type=conxun&quot;Word.w:rForcrematrFoting&quot; e=&quot;ascaml:authombr7-1r=&quot;penh&quot; g g6:0ongastxun&quot; aml:ml:createt&gt;&lt;date=&quot;202&lt;w:1-07-12T15:26:00Z&quot;&gt;&lt;aml:content&gt;&lt;w:rPr&gt;&lt;w:rFonts w:ascii=&quot;Cambria Math&quot; w:fareast=&quot;妤蜂at綋&quot; w:h-ansil:i=&quot;Cambria Maw:tth&quot;/&gt;&lt;wx:fonordt wx:val=&quot;Catiomconbria Math&quot;/:w:rau&gt;&lt;w:i/&gt;&lt;w:rFocopenlor w:vascal=&quot;0xun0000mbr0&quot;/&gt;&lt;w:screzh&quot; -cs w:val=&quot;east=&quot;21&quot;/&gt;&lt;/w:rml:Pr7-1&gt;&lt;/aml:datconte6:0nt&gt;&lt;1-0/aml:annml:o6:0tation&gt;&lt;/w:tcon&gt;&lt;rPr&gt;&lt;m:t&gt;cPr&gt;&lt;/&lt;w:m:t&gt;&lt;/a w:ml:content&gt;&lt;mbr/aml:annotatw:fion&gt;&lt;/m:r&gt;&lt;/m:tsub&gt;&lt;/m:sSub&gt;&lt;m:r&gt;&lt;aml:annotation aml:id=&quot;5&quot; w:type=&quot;Word.Insertion&quot; aml:author=&quot;peng gongxun&quot; aml:createdate=&quot;2021-07-12T15:26:00Z&quot;&gt;&lt;aml:content&gt;&lt;w:rPr&gt;&lt;w:rFonts w:ascii=&quot;Cambria Math&quot; w:fareast=&quot;妤蜂綋&quot; w:h-a w:&lt;w:nsi=&quot;Cambriambr Math&quot;/&gt;&lt;wx:fonw:ft wx:val=&quot;Cambrm:tia &gt;&lt;mMath&quot;/&gt;&lt;w:i/&gt;&lt;mtat&gt;&lt;w:color w:val5&quot; tat=&quot;000000&quot;/&gt;&lt;.Inw:s5&quot; z-cs w:va:aul=&quot;21&quot;.In/&gt;&lt;amlong:annotati:auon ateaml:id=&quot;6&quot; wong7-1:type=&quot;Word.For&gt;&lt;aatematting&quot; amlw:r:au7-1thor=&quot;pen w:g gong&gt;&lt;axun&quot; aia ml:createw:rdataste=&quot;2021-07-1 w:2T15:26:00Z&quot;&gt;&lt;aia ml:content&gt;&lt;w:rastPr&gt;&lt;w:rFonts w:ascii=&quot;Cambria Math&quot; w:fareast=&quot;妤蜂綋&quot; w:tat:auh-ansi=&quot;Cambria Maong5&quot; th&quot;/&gt;&lt;wx:font watex:v.Inal=&quot;Cambria 7-1Math&quot;/:au&gt;&lt;w:i/&gt;&lt;w&gt;&lt;a:color w:ongval=&quot;0w:r00000&quot;/&gt;&lt;w:satez-c w:s w:val=&quot;21&quot;/&gt;&lt;7-1ia /w:rPr&gt;&lt;/aml:conteast&gt;&lt;ant&gt;&lt;/aml:conannota2T1tiow:rn&gt;&lt;&lt;w:/w:rPr&gt;&lt;mml::t&gt;=22&quot;Ca w:.82&lt;/m:t&gt;Pr&gt;&lt;/aareml:conia tent&gt;&lt;ii=/aml:annotatastionw:f&gt;&lt;/m:r&gt;&lt;m:sSup&gt;asc&lt;m:sSupPr&gt;&lt;m:ctrlPr&gt;&lt;aml:annotation aml:id=&quot;7&quot; w:type=&quot;Word.Insertion&quot; aml:author=&quot;peng gongxun&quot; aml:createdate=&quot;2021-07-12T15:26:00Z&quot;&gt;&lt;aml:content&gt;&lt;w:rPr&gt;&lt;w:rFonts w:ascii=&quot;Cambria Math&quot; w:fareast=&quot;妤蜂綋&quot; w:h-ania ii=/amsi=&quot;Cambria Math&quot;/&gt;&lt;w&gt;&lt;/w:fastx:font wx:val=&quot;sSuCam&lt;m:briasca Math&quot;/&gt;:an&lt;w:i/&gt;aml&lt;w:color w:v&quot; wal=&quot;00000=&quot;70&quot;/&gt;&lt;w:szion-cs w:val=&quot;2ert1&quot;/&gt;&lt;/ gow:rPr&gt;&lt;/aml:conengtenateZ&quot;&gt;t&gt;&lt;/aml:annotationtedr&gt;&lt;:00&gt;&lt;/m:ctrlPr&gt;&lt;/m:sSCamupP:rP:26r&gt;&lt;m:e&gt;&lt;m:sSst=ub&gt;&lt;m:i=&quot;sSu&gt;&lt;wbPr&gt;&lt;m:ctrlPr&gt;&lt;reaaml:anscinotation aml:id=&quot;8&quot; w:fa:type=&quot;Word.Insertion&quot; aml:author=&quot;peng gongxun&quot; aml:createdate=&quot;2021-07-12T15:26:00Z&quot;&gt;&lt;aml:content&gt;&lt;w:rPr&gt;&lt;w:rFonts w:ascii=&quot;Cambria Math&quot; w:fareast=&quot;妤蜂綋&quot; tedw:hCam-ansi=&quot;Ca:rPmbria Math&quot;/st=:26&gt;&lt;wx:fonti=&quot; wx:val=&quot;:ctCambri&gt;&lt;wa Mathrea&quot;/&gt;&lt;w:atii/&gt;&lt;w:color sciw:v:idal=pe=&quot;000000&quot;/&gt;&lt;w:sz-cs:faInsaut w:val=&quot;21&quot;/&gt;&lt;/w:rPr&gt;&lt;/al:ceng&quot; aml:content&gt;&lt;/aml:aT15nnoatetatun&quot;ionts &gt;&lt;/m:ctrl&gt;&lt;wPr&gt;&lt;/mZ&quot;&gt;:sS&quot; wubP-07r&gt;&lt;m:ei=&quot;&gt;&lt;m:r&gt;&lt;amw:rl:annotationst= aml:id=&quot;9&quot; a Mw:type=&quot;Word.Insertion&quot; aml:author=&quot;peng gongxun&quot; aml:createdate=&quot;2021-07-12T15:26:00Z&quot;&gt;&lt;aml:content&gt;&lt;w:rPr&gt;&lt;w:rFonts w:ascii=&quot;Cambria Math&quot; w:fareast=&quot;妤蜂綋&quot;T15 w:&quot; ah-ats nsi=&quot;Cateambria Ma&gt;&lt;wth&quot;/&gt;&lt;&quot; wwx:un&quot;font wZ&quot;&gt;x:val=i=&quot;&quot;Caw:rmbria Math&quot;/-07&gt;&lt;ww:r:i/st=9&quot; &gt;&lt;w:color w:val=&quot;000000&quot;a Mn&quot; ord/&gt;&lt;w:sz-cs w:val=&quot;21&quot;/&gt;&lt;&quot; aamlpenaml:annotation aml:id2T1=&quot;10&quot; e=&quot;w:tml:ype=&quot;Word.Fow:rrmatting&quot;ml: aml:a5:2uthor=mbr&quot;peng gongxu w:n&quot; aml:crPr&gt;eatedate=&quot;2021-are07-12T15:26:ia 00Z&quot;&gt;&lt;aml:content&gt;&lt;w:rPr&gt;&lt;w:rFonts w:ascii=&quot;Cambria Math&quot; w:fareast=&quot;妤蜂綋n&quot; w:r&quot; w:h-ansi=&quot;ordCam-07bria M&quot; aath&quot;/&gt;a M&lt;wx:font penwx:val=&quot;C2T1ambria Math&quot;aml/&gt;&lt;w:ie=&quot;/&gt;&lt;w:cw:rolor w:val=&quot;000000ml:&quot;/&gt;ml:&lt;w:mbr w:sz-cs w:val=&quot;21&quot;/&gt;&lt;/w:rP5:2 w:areeatr&gt;&lt;/aml:content&gt;&lt;/aml:annotnteatiia arePr&gt;on&gt;&lt;/w:rPr&gt;&lt;m:t&gt;I&lt;=&quot;C/m:t&gt;&lt;:rF/amntel:cia ontent&gt;&lt;/aml:annot w:ation&gt;=&quot;C&lt;/m:r&gt;:rF&lt;/m:e&gt;&lt;m:sub&gt;&lt;m:r&gt;&lt;aml:annotat w:ion aml:id=&quot;11&quot; w:type=&quot;Word.Insertion&quot; aml:author=&quot;peng gongxun&quot; aml:createdate=&quot;2021-07-12T15:26:00Z&quot;&gt;&lt;aml:content&gt;&lt;w:rPr&gt;&lt;w:rFonts w:ascii=&quot;Cambria Math&quot; w:fareast=&quot;妤?F浣? w:h-nteansi=&quot;Camia mlbria Math w:&quot;/&gt;&lt;wx:font =&quot;Cwx:vale&gt;=&quot;Camb:rFria&gt;&lt;m Math&quot;/&gt;&lt;w:i/&gt;&lt;l:aamw:color w:val=&quot;11&quot; w:000000&quot;/&gt;&lt;w:n&quot;sz-e=&quot;cs w:val=&quot;xu21uth&quot;/&gt;&lt;amnsel:acrnnotationng  a5:ml:id=&quot;te=12&quot; w:typ&gt;&lt;e=&quot;Word.FormrFatt07-ing&quot; anteml:autashor=&quot;peng argongxun&quot; amrPrl:cambrea?Ftedate=&quot;2021-07-12T15:26:00th&quot;Z&quot;&gt;&lt;aml:content&gt;&lt;w:rPr&gt;&lt;w:rFonts w:ascii=&quot;Cambria Math&quot; w:fareast=&quot;妤蜂?rF?:a 1&quot;w:h-an&quot;nsi=&quot;Camxubria Math&quot;/&gt;&lt;wx:font w=th&quot;:cr wx:va5:l=&quot;Cambria Math&quot;/&gt;&lt;w:i/&gt;&lt;w:ce&gt;&lt;=og rFlnseor w:val=&quot;000000&quot;/&gt;&lt;w:sz-csas warte:va7-l=&quot;21&quot;/&gt;&lt;/w:rPr&gt;&lt;/aml:cont?F20ent&gt;&lt;mb/aml:Prannotation&gt;&lt;/w:rPr&gt;&lt;mnt:amt&gt;s&lt;/m:&quot;&gt;t&gt;&lt;/amlh&quot;:content&gt;&lt;/amla :ann=&quot;otation&gt;&lt;ci/m:r&gt;&lt;m:d:a&gt;&lt;m:dPr&gt;&lt;m:ctrlPr&gt;&lt;aml:annotation amlF:id=&quot;13&quot; w:type=&quot;Word.Insertion&quot; aml:author=&quot;peng gongxun&quot; aml:createdate=&quot;2021-07-12T15:26:00Z&quot;&gt;&lt;aml:content&gt;&lt;w:rPr&gt;&lt;w:rFonts w:ascii=&quot;Cambria Math&quot; w:fareast=&quot;妤蜂綋&quot;:&quot;&gt; w:h-ansi=&quot;lh&quot;Cambla ria Man=&quot;th&quot;/&gt;&lt;wx:font &lt;ciwx:vm:dal=&quot;Camr&gt;&lt;brid:aa MarlPth&quot;/&gt;&lt;w:i/&gt;&lt;w:id=colnnoor w13&quot;:val=&quot;000000&quot;mpe=lF/&gt;&lt;w:uthsz-cs w:val=&quot;r=&quot;ser21&quot;/&gt;&lt;/w:rPr&gt;&lt;/ong202aml:co:auntent&gt;&lt;-07/aml:an:crnotation:rP&gt;&lt;/m26::ctrlPr&gt;&lt;/m:&gt;&lt;wd202Pr&gt;&lt;m:e&gt;&lt;ml w::c:r&gt;&lt;aml:aw:annotationrea aml:id=&quot;14&quot; w:type=mbr&quot;Word.Insertion&quot; aml:author=&quot;peng gongxun&quot; aml:createdate=&quot;2021-07-12T15:26:00Z&quot;&gt;&lt;aml:content&gt;&lt;w:rPr&gt;&lt;w:rFonts w:ascii=&quot;Cambria Math&quot; w:fareast=&quot;妤蜂綋-07&quot; w:h-ansi=&quot;:rPCa:aumbria:cr Math&quot;26:/&gt;&lt;wx:&gt;&lt;wfont wx:v w:al=&quot;Cambria Math202&quot;l:c/&gt;&lt;w:aw:irea/&gt;&lt;w:&quot; wcolor rd.w:val=&quot;000000&quot;/&gt;&lt;w:sz-csmbrIns&quot; a &quot;pew:vamlal=&quot;21&quot;/&gt;&lt;aml:annotation aml:id=&quot;15&quot; 2T1ml:e=&quot;crexunw:type=&quot;Word.Formatting&quot; aml:aubrits thorrPr=&quot;pnteeng&quot;&gt;&lt; gongxun&quot; aml:createdate=&quot;202rea1-07-1ath2T15:2Cam6:00Z&quot;&gt;&lt;aml:content&gt;&lt;w:rPr&gt;&lt;w:rFonts w:ascii=&quot;Cambria Math&quot; w:fareast=&quot;妤蜂綋&quot; l:cw:h-ansi=&quot;C202aamlmbr&quot;peia Ma&quot; ath&quot;/&gt;&lt;wx:Insfont wx:val=mbr&quot;Cml:ambria2T1 Math&quot;/&gt;&lt;e=&quot;w:i/&gt;&lt;w:colocrer w:valbri=&quot;000000xts un&quot;/&gt;&lt;w:sz-csrPr w:val=&quot;21&quot;/&gt;&lt;/tedntew:rPr&gt;&lt;/aateml:conten&quot;&gt;&lt;t&gt;&lt;/areaml:annot:coation&gt;&lt;/w:athrPnter&gt;&lt;m:t&gt;ia 50&lt;/m:t&gt;&lt;/amCarPrmMatl:content&gt;&lt;/aml:ann&quot; woonttation&gt;&lt;/m:r&gt;&lt;/m:e&gt;&lt;st=/m:d&gt;ii=&lt;/m:sub&gt;&lt;/m:sSub&gt;&lt;/m:e&gt;&lt;m:sup&gt;&lt;m:r&gt;&lt;aml:annotation aml:id=&quot;16&quot; w:type=&quot;Word.Insertion&quot; aml:author=&quot;peng gongxun&quot; aml:createdate=&quot;2021-07-12T15:26:00Z&quot;&gt;&lt;aml:content&gt;&lt;w:rPr&gt;&lt;w:rFonts w:ascii=&quot;Cambria Math&quot; w:fareast=&quot;妤蜂? w?on w:h-ontansi=&quot;Cambria&gt;&lt; Matst=h&quot;/&gt;&lt;wx:fonii=t sSw/m:x:val=&quot;Cambri&gt;&lt;/a Mr&gt;ath&quot;/&gt;&lt;w:i/aml&gt;&lt;w:col&quot;1or w:vad=&quot;l=&quot;0ati00000&quot;/&gt;er&lt;w:sw:tz-cs w:val=ogon&quot;&quot;21&quot;/&gt;&lt;aml: goannotation teaml:id=&quot;17&quot; w:n&quot; &gt;&lt;type=&quot;Wo021rd.FFoorma&gt;&lt;atting&quot; &lt;waml:author=&quot;pena g gongxunont&quot; amlnts:crea Matedatwe=&quot;2021-07-12T15:26:00Z&quot;&gt;&lt;aml:cow:fntent&gt;&lt;w:rPr&gt;&lt;w:rFonts w:ascii=&quot;Cambria Math&quot; w:fareast=&quot;妤?l浣? =&quot;w:h-ansier=&quot;Cambria Matgoh&quot;/&gt;&lt;wx:font wx:atiw:tvaon&quot;l=go&quot;Camtebria Math&quot;/&gt;&lt;&gt;&lt;w:i/&gt;&lt;w:cFoolor w:val=&quot;000000&quot;/n&quot;02&lt;a&lt;w1 &gt;&lt;w:sz-a cs w:val= a&quot;21&quot;/&gt;&lt;/w:rPr&gt;&lt;/aml:content&gt;&lt;/atwmMalnt2Ts:ontanmlnotation&gt;&lt;/w:rPr&gt;&lt;m:t&gt;0.75&lt;/m:t&gt;&lt;/aml&lt;w:caso:rntMaenentt&gt;&lt;/w:faml:annotation&gt;&lt;/m:r&gt;&lt;/m:sup&gt;&lt;/m:sSu?lp&gt;&lt;/m:oastMath&gt;&lt;/mfar: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62" chromakey="#FFFFFF" o:title=""/>
            <o:lock v:ext="edit" aspectratio="t"/>
            <w10:wrap type="none"/>
            <w10:anchorlock/>
          </v:shape>
        </w:pict>
      </w:r>
      <w:r>
        <w:rPr>
          <w:rFonts w:ascii="Times New Roman" w:hAnsi="Times New Roman" w:eastAsia="宋体"/>
          <w:color w:val="auto"/>
          <w:szCs w:val="21"/>
          <w:highlight w:val="none"/>
        </w:rPr>
        <w:instrText xml:space="preserve"> </w:instrText>
      </w:r>
      <w:r>
        <w:rPr>
          <w:rFonts w:ascii="Times New Roman" w:hAnsi="Times New Roman" w:eastAsia="宋体"/>
          <w:color w:val="auto"/>
          <w:szCs w:val="21"/>
          <w:highlight w:val="none"/>
        </w:rPr>
        <w:fldChar w:fldCharType="separate"/>
      </w:r>
      <w:r>
        <w:rPr>
          <w:rFonts w:ascii="Times New Roman" w:hAnsi="Times New Roman" w:eastAsia="宋体"/>
          <w:color w:val="auto"/>
          <w:position w:val="-8"/>
          <w:highlight w:val="none"/>
        </w:rPr>
        <w:pict>
          <v:shape id="_x0000_i1101" o:spt="75" type="#_x0000_t75" style="height:15.75pt;width:87.7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62E41&quot;/&gt;&lt;wsp:rsid wsp:val=&quot;00EC30E9&quot;/&gt;&lt;wsp:rsid wsp:val=&quot;00ED1A4B&quot;/&gt;&lt;wsp:rsid wsp:val=&quot;00EF51DC&quot;/&gt;&lt;wsp:rsid wsp:val=&quot;00F83540&quot;/&gt;&lt;/wsp:rsids&gt;&lt;/w:docPr&gt;&lt;w:body&gt;&lt;wx:sect&gt;&lt;w:p wsp:rsidR=&quot;00000000&quot; wsp:rsidRDefault=&quot;00E62E41&quot; wsp:rsidP=&quot;00E62E41&quot;&gt;&lt;m:oMathPara&gt;&lt;m:oMath&gt;&lt;m:sSub&gt;&lt;m:sSubPr&gt;&lt;m:ctrlPr&gt;&lt;aml:annotation aml:id=&quot;0&quot; w:type=&quot;Word.Insertion&quot; aml:author=&quot;peng gongxun&quot; aml:createdate=&quot;2021-07-12T15:26:00Z&quot;&gt;&lt;aml:content&gt;&lt;w:rPr&gt;&lt;w:rFonts w:ascii=&quot;Cambria Math&quot; w:fareast=&quot;妤蜂綋&quot; w:h-asidsidsidsidsidsidsidsidsidsidsidsidsidsidsidsidsidsidsidsidsidsidsidsidsidsidsidsidsidsidsidnsi=&quot;Cambria Math&quot;/&gt;&lt;wx:font wx:val=&quot;Cambria Math&quot;/&gt;&lt;w:i/&gt;&lt;w:color w:val=&quot;000000&quot;/&gt;&lt;w:sz-cs w:val=&quot;21&quot;/&gt;&lt;/w:rPr&gt;&lt;/aml:content&gt;&lt;/aml:annotation&gt;&lt;/m:ctrlPr&gt;&lt;/m:sSubPr&gt;&lt;m:e&gt;&lt;m:r&gt;&lt;aml:annotation aml:id=&quot;1&quot; w:type=&quot;Word.Insertion&quot; aml:author=&quot;peng gongxun&quot; aml:createdate=&quot;2021-07-12T15:26:00Z&quot;&gt;&lt;aml:content&gt;&lt;w:rPr&gt;&lt;w:rFonts w:ascii=&quot;Cambria Math&quot; w:fareast=&quot;妤蜂綋&quot; w:h-ansi=&quot;Cambria Math&quot;/&gt;&lt;wx:font wx:val=&quot;Cambria Math&quot;/&gt;&lt;Pr&gt;w:i&lt;m:/&gt;&lt;e&gt;&lt;w:cm:rolo&gt;&lt;ar wml::vaannl=&quot;ota000tio000n a&quot;/&gt;ml:&lt;w:id=sz-&quot;1&quot;cs  w:w:vtypal=e=&quot;&quot;21Wor&quot;/&gt;d.I&lt;amnsel:artinnoon&quot;tat amionl:a amuthl:ior=d=&quot;&quot;pe2&quot; ng w:tgonypegxu=&quot;Wn&quot; ordaml.Formatting&quot; aml:author=&quot;peng gongxun&quot; aml:createdate=&quot;2021-07-12T15:26:00Z&quot;&gt;&lt;aml:content&gt;&lt;w:rPr&gt;&lt;w:rFonts w:ascii=&quot;Cambria Math&quot; w:fareast=&quot;妤蜂綋&quot;1&quot;&quot; w:h- w:ansi=&quot;typCambrie=&quot;a MathWor&quot;/&gt;&lt;wxd.I:font nsewx:valrti=&quot;Cambon&quot;ria Ma amth&quot;/&gt;&lt;l:aw:i/&gt;&lt;uthw:coloor=r w:va&quot;pel=&quot;000ng 000&quot;/&gt;gon&lt;w:sz-gxucs w:vn&quot; al=&quot;21aml&quot;/&gt;&lt;/w:rPr&gt;&lt;/aml:c00Zontentaml&gt;&lt;/amlnte:annot&lt;w:ation&gt;&gt;&lt;w&lt;/w:rPontr&gt;&lt;m:t:as&gt;R&lt;/m:=&quot;Ct&gt;&lt;/amrial:contth&quot;ent&gt;&lt;/faraml:ant=&quot;notation&gt;&lt;/m:r&gt;&lt;/m:e&gt;&lt;m:sub&gt;&lt;m:r&gt;&lt;aml:annotation aml:id=&quot;3&quot; w:type=&quot;Word.Insertion&quot; aml:author=&quot;peng gongxun&quot; aml:createdate=&quot;2021-07-12T15:26:00Z&quot;&gt;&lt;aml:content&gt;&lt;w:rPr&gt;&lt;w:rFonts w:ascii=&quot;Cambria Math&quot; w:fareast=&quot;妤蜂綋&quot;=&quot;C w:h-ansiria=&quot;Cambriath&quot; Math&quot;/&gt;&lt;farwx:font wt=&quot;x:val=&quot;Caon&gt;mbria Mat&lt;/mh&quot;/&gt;&lt;w:i/sub&gt;&lt;w:color&lt;am w:val=&quot;0tat00000&quot;/&gt;&lt;l:iw:sz-cs ww:t:val=&quot;21&quot;ord/&gt;&lt;aml:antionotation :auaml:id=&quot;4pen&quot; w:type=conxun&quot;Word.w:rForcrematrFoting&quot; e=&quot;ascaml:authombr7-1r=&quot;penh&quot; g g6:0ongastxun&quot; aml:ml:createt&gt;&lt;date=&quot;202&lt;w:1-07-12T15:26:00Z&quot;&gt;&lt;aml:content&gt;&lt;w:rPr&gt;&lt;w:rFonts w:ascii=&quot;Cambria Math&quot; w:fareast=&quot;妤蜂at綋&quot; w:h-ansil:i=&quot;Cambria Maw:tth&quot;/&gt;&lt;wx:fonordt wx:val=&quot;Catiomconbria Math&quot;/:w:rau&gt;&lt;w:i/&gt;&lt;w:rFocopenlor w:vascal=&quot;0xun0000mbr0&quot;/&gt;&lt;w:screzh&quot; -cs w:val=&quot;east=&quot;21&quot;/&gt;&lt;/w:rml:Pr7-1&gt;&lt;/aml:datconte6:0nt&gt;&lt;1-0/aml:annml:o6:0tation&gt;&lt;/w:tcon&gt;&lt;rPr&gt;&lt;m:t&gt;cPr&gt;&lt;/&lt;w:m:t&gt;&lt;/a w:ml:content&gt;&lt;mbr/aml:annotatw:fion&gt;&lt;/m:r&gt;&lt;/m:tsub&gt;&lt;/m:sSub&gt;&lt;m:r&gt;&lt;aml:annotation aml:id=&quot;5&quot; w:type=&quot;Word.Insertion&quot; aml:author=&quot;peng gongxun&quot; aml:createdate=&quot;2021-07-12T15:26:00Z&quot;&gt;&lt;aml:content&gt;&lt;w:rPr&gt;&lt;w:rFonts w:ascii=&quot;Cambria Math&quot; w:fareast=&quot;妤蜂綋&quot; w:h-a w:&lt;w:nsi=&quot;Cambriambr Math&quot;/&gt;&lt;wx:fonw:ft wx:val=&quot;Cambrm:tia &gt;&lt;mMath&quot;/&gt;&lt;w:i/&gt;&lt;mtat&gt;&lt;w:color w:val5&quot; tat=&quot;000000&quot;/&gt;&lt;.Inw:s5&quot; z-cs w:va:aul=&quot;21&quot;.In/&gt;&lt;amlong:annotati:auon ateaml:id=&quot;6&quot; wong7-1:type=&quot;Word.For&gt;&lt;aatematting&quot; amlw:r:au7-1thor=&quot;pen w:g gong&gt;&lt;axun&quot; aia ml:createw:rdataste=&quot;2021-07-1 w:2T15:26:00Z&quot;&gt;&lt;aia ml:content&gt;&lt;w:rastPr&gt;&lt;w:rFonts w:ascii=&quot;Cambria Math&quot; w:fareast=&quot;妤蜂綋&quot; w:tat:auh-ansi=&quot;Cambria Maong5&quot; th&quot;/&gt;&lt;wx:font watex:v.Inal=&quot;Cambria 7-1Math&quot;/:au&gt;&lt;w:i/&gt;&lt;w&gt;&lt;a:color w:ongval=&quot;0w:r00000&quot;/&gt;&lt;w:satez-c w:s w:val=&quot;21&quot;/&gt;&lt;7-1ia /w:rPr&gt;&lt;/aml:conteast&gt;&lt;ant&gt;&lt;/aml:conannota2T1tiow:rn&gt;&lt;&lt;w:/w:rPr&gt;&lt;mml::t&gt;=22&quot;Ca w:.82&lt;/m:t&gt;Pr&gt;&lt;/aareml:conia tent&gt;&lt;ii=/aml:annotatastionw:f&gt;&lt;/m:r&gt;&lt;m:sSup&gt;asc&lt;m:sSupPr&gt;&lt;m:ctrlPr&gt;&lt;aml:annotation aml:id=&quot;7&quot; w:type=&quot;Word.Insertion&quot; aml:author=&quot;peng gongxun&quot; aml:createdate=&quot;2021-07-12T15:26:00Z&quot;&gt;&lt;aml:content&gt;&lt;w:rPr&gt;&lt;w:rFonts w:ascii=&quot;Cambria Math&quot; w:fareast=&quot;妤蜂綋&quot; w:h-ania ii=/amsi=&quot;Cambria Math&quot;/&gt;&lt;w&gt;&lt;/w:fastx:font wx:val=&quot;sSuCam&lt;m:briasca Math&quot;/&gt;:an&lt;w:i/&gt;aml&lt;w:color w:v&quot; wal=&quot;00000=&quot;70&quot;/&gt;&lt;w:szion-cs w:val=&quot;2ert1&quot;/&gt;&lt;/ gow:rPr&gt;&lt;/aml:conengtenateZ&quot;&gt;t&gt;&lt;/aml:annotationtedr&gt;&lt;:00&gt;&lt;/m:ctrlPr&gt;&lt;/m:sSCamupP:rP:26r&gt;&lt;m:e&gt;&lt;m:sSst=ub&gt;&lt;m:i=&quot;sSu&gt;&lt;wbPr&gt;&lt;m:ctrlPr&gt;&lt;reaaml:anscinotation aml:id=&quot;8&quot; w:fa:type=&quot;Word.Insertion&quot; aml:author=&quot;peng gongxun&quot; aml:createdate=&quot;2021-07-12T15:26:00Z&quot;&gt;&lt;aml:content&gt;&lt;w:rPr&gt;&lt;w:rFonts w:ascii=&quot;Cambria Math&quot; w:fareast=&quot;妤蜂綋&quot; tedw:hCam-ansi=&quot;Ca:rPmbria Math&quot;/st=:26&gt;&lt;wx:fonti=&quot; wx:val=&quot;:ctCambri&gt;&lt;wa Mathrea&quot;/&gt;&lt;w:atii/&gt;&lt;w:color sciw:v:idal=pe=&quot;000000&quot;/&gt;&lt;w:sz-cs:faInsaut w:val=&quot;21&quot;/&gt;&lt;/w:rPr&gt;&lt;/al:ceng&quot; aml:content&gt;&lt;/aml:aT15nnoatetatun&quot;ionts &gt;&lt;/m:ctrl&gt;&lt;wPr&gt;&lt;/mZ&quot;&gt;:sS&quot; wubP-07r&gt;&lt;m:ei=&quot;&gt;&lt;m:r&gt;&lt;amw:rl:annotationst= aml:id=&quot;9&quot; a Mw:type=&quot;Word.Insertion&quot; aml:author=&quot;peng gongxun&quot; aml:createdate=&quot;2021-07-12T15:26:00Z&quot;&gt;&lt;aml:content&gt;&lt;w:rPr&gt;&lt;w:rFonts w:ascii=&quot;Cambria Math&quot; w:fareast=&quot;妤蜂綋&quot;T15 w:&quot; ah-ats nsi=&quot;Cateambria Ma&gt;&lt;wth&quot;/&gt;&lt;&quot; wwx:un&quot;font wZ&quot;&gt;x:val=i=&quot;&quot;Caw:rmbria Math&quot;/-07&gt;&lt;ww:r:i/st=9&quot; &gt;&lt;w:color w:val=&quot;000000&quot;a Mn&quot; ord/&gt;&lt;w:sz-cs w:val=&quot;21&quot;/&gt;&lt;&quot; aamlpenaml:annotation aml:id2T1=&quot;10&quot; e=&quot;w:tml:ype=&quot;Word.Fow:rrmatting&quot;ml: aml:a5:2uthor=mbr&quot;peng gongxu w:n&quot; aml:crPr&gt;eatedate=&quot;2021-are07-12T15:26:ia 00Z&quot;&gt;&lt;aml:content&gt;&lt;w:rPr&gt;&lt;w:rFonts w:ascii=&quot;Cambria Math&quot; w:fareast=&quot;妤蜂綋n&quot; w:r&quot; w:h-ansi=&quot;ordCam-07bria M&quot; aath&quot;/&gt;a M&lt;wx:font penwx:val=&quot;C2T1ambria Math&quot;aml/&gt;&lt;w:ie=&quot;/&gt;&lt;w:cw:rolor w:val=&quot;000000ml:&quot;/&gt;ml:&lt;w:mbr w:sz-cs w:val=&quot;21&quot;/&gt;&lt;/w:rP5:2 w:areeatr&gt;&lt;/aml:content&gt;&lt;/aml:annotnteatiia arePr&gt;on&gt;&lt;/w:rPr&gt;&lt;m:t&gt;I&lt;=&quot;C/m:t&gt;&lt;:rF/amntel:cia ontent&gt;&lt;/aml:annot w:ation&gt;=&quot;C&lt;/m:r&gt;:rF&lt;/m:e&gt;&lt;m:sub&gt;&lt;m:r&gt;&lt;aml:annotat w:ion aml:id=&quot;11&quot; w:type=&quot;Word.Insertion&quot; aml:author=&quot;peng gongxun&quot; aml:createdate=&quot;2021-07-12T15:26:00Z&quot;&gt;&lt;aml:content&gt;&lt;w:rPr&gt;&lt;w:rFonts w:ascii=&quot;Cambria Math&quot; w:fareast=&quot;妤?F浣? w:h-nteansi=&quot;Camia mlbria Math w:&quot;/&gt;&lt;wx:font =&quot;Cwx:vale&gt;=&quot;Camb:rFria&gt;&lt;m Math&quot;/&gt;&lt;w:i/&gt;&lt;l:aamw:color w:val=&quot;11&quot; w:000000&quot;/&gt;&lt;w:n&quot;sz-e=&quot;cs w:val=&quot;xu21uth&quot;/&gt;&lt;amnsel:acrnnotationng  a5:ml:id=&quot;te=12&quot; w:typ&gt;&lt;e=&quot;Word.FormrFatt07-ing&quot; anteml:autashor=&quot;peng argongxun&quot; amrPrl:cambrea?Ftedate=&quot;2021-07-12T15:26:00th&quot;Z&quot;&gt;&lt;aml:content&gt;&lt;w:rPr&gt;&lt;w:rFonts w:ascii=&quot;Cambria Math&quot; w:fareast=&quot;妤蜂?rF?:a 1&quot;w:h-an&quot;nsi=&quot;Camxubria Math&quot;/&gt;&lt;wx:font w=th&quot;:cr wx:va5:l=&quot;Cambria Math&quot;/&gt;&lt;w:i/&gt;&lt;w:ce&gt;&lt;=og rFlnseor w:val=&quot;000000&quot;/&gt;&lt;w:sz-csas warte:va7-l=&quot;21&quot;/&gt;&lt;/w:rPr&gt;&lt;/aml:cont?F20ent&gt;&lt;mb/aml:Prannotation&gt;&lt;/w:rPr&gt;&lt;mnt:amt&gt;s&lt;/m:&quot;&gt;t&gt;&lt;/amlh&quot;:content&gt;&lt;/amla :ann=&quot;otation&gt;&lt;ci/m:r&gt;&lt;m:d:a&gt;&lt;m:dPr&gt;&lt;m:ctrlPr&gt;&lt;aml:annotation amlF:id=&quot;13&quot; w:type=&quot;Word.Insertion&quot; aml:author=&quot;peng gongxun&quot; aml:createdate=&quot;2021-07-12T15:26:00Z&quot;&gt;&lt;aml:content&gt;&lt;w:rPr&gt;&lt;w:rFonts w:ascii=&quot;Cambria Math&quot; w:fareast=&quot;妤蜂綋&quot;:&quot;&gt; w:h-ansi=&quot;lh&quot;Cambla ria Man=&quot;th&quot;/&gt;&lt;wx:font &lt;ciwx:vm:dal=&quot;Camr&gt;&lt;brid:aa MarlPth&quot;/&gt;&lt;w:i/&gt;&lt;w:id=colnnoor w13&quot;:val=&quot;000000&quot;mpe=lF/&gt;&lt;w:uthsz-cs w:val=&quot;r=&quot;ser21&quot;/&gt;&lt;/w:rPr&gt;&lt;/ong202aml:co:auntent&gt;&lt;-07/aml:an:crnotation:rP&gt;&lt;/m26::ctrlPr&gt;&lt;/m:&gt;&lt;wd202Pr&gt;&lt;m:e&gt;&lt;ml w::c:r&gt;&lt;aml:aw:annotationrea aml:id=&quot;14&quot; w:type=mbr&quot;Word.Insertion&quot; aml:author=&quot;peng gongxun&quot; aml:createdate=&quot;2021-07-12T15:26:00Z&quot;&gt;&lt;aml:content&gt;&lt;w:rPr&gt;&lt;w:rFonts w:ascii=&quot;Cambria Math&quot; w:fareast=&quot;妤蜂綋-07&quot; w:h-ansi=&quot;:rPCa:aumbria:cr Math&quot;26:/&gt;&lt;wx:&gt;&lt;wfont wx:v w:al=&quot;Cambria Math202&quot;l:c/&gt;&lt;w:aw:irea/&gt;&lt;w:&quot; wcolor rd.w:val=&quot;000000&quot;/&gt;&lt;w:sz-csmbrIns&quot; a &quot;pew:vamlal=&quot;21&quot;/&gt;&lt;aml:annotation aml:id=&quot;15&quot; 2T1ml:e=&quot;crexunw:type=&quot;Word.Formatting&quot; aml:aubrits thorrPr=&quot;pnteeng&quot;&gt;&lt; gongxun&quot; aml:createdate=&quot;202rea1-07-1ath2T15:2Cam6:00Z&quot;&gt;&lt;aml:content&gt;&lt;w:rPr&gt;&lt;w:rFonts w:ascii=&quot;Cambria Math&quot; w:fareast=&quot;妤蜂綋&quot; l:cw:h-ansi=&quot;C202aamlmbr&quot;peia Ma&quot; ath&quot;/&gt;&lt;wx:Insfont wx:val=mbr&quot;Cml:ambria2T1 Math&quot;/&gt;&lt;e=&quot;w:i/&gt;&lt;w:colocrer w:valbri=&quot;000000xts un&quot;/&gt;&lt;w:sz-csrPr w:val=&quot;21&quot;/&gt;&lt;/tedntew:rPr&gt;&lt;/aateml:conten&quot;&gt;&lt;t&gt;&lt;/areaml:annot:coation&gt;&lt;/w:athrPnter&gt;&lt;m:t&gt;ia 50&lt;/m:t&gt;&lt;/amCarPrmMatl:content&gt;&lt;/aml:ann&quot; woonttation&gt;&lt;/m:r&gt;&lt;/m:e&gt;&lt;st=/m:d&gt;ii=&lt;/m:sub&gt;&lt;/m:sSub&gt;&lt;/m:e&gt;&lt;m:sup&gt;&lt;m:r&gt;&lt;aml:annotation aml:id=&quot;16&quot; w:type=&quot;Word.Insertion&quot; aml:author=&quot;peng gongxun&quot; aml:createdate=&quot;2021-07-12T15:26:00Z&quot;&gt;&lt;aml:content&gt;&lt;w:rPr&gt;&lt;w:rFonts w:ascii=&quot;Cambria Math&quot; w:fareast=&quot;妤蜂? w?on w:h-ontansi=&quot;Cambria&gt;&lt; Matst=h&quot;/&gt;&lt;wx:fonii=t sSw/m:x:val=&quot;Cambri&gt;&lt;/a Mr&gt;ath&quot;/&gt;&lt;w:i/aml&gt;&lt;w:col&quot;1or w:vad=&quot;l=&quot;0ati00000&quot;/&gt;er&lt;w:sw:tz-cs w:val=ogon&quot;&quot;21&quot;/&gt;&lt;aml: goannotation teaml:id=&quot;17&quot; w:n&quot; &gt;&lt;type=&quot;Wo021rd.FFoorma&gt;&lt;atting&quot; &lt;waml:author=&quot;pena g gongxunont&quot; amlnts:crea Matedatwe=&quot;2021-07-12T15:26:00Z&quot;&gt;&lt;aml:cow:fntent&gt;&lt;w:rPr&gt;&lt;w:rFonts w:ascii=&quot;Cambria Math&quot; w:fareast=&quot;妤?l浣? =&quot;w:h-ansier=&quot;Cambria Matgoh&quot;/&gt;&lt;wx:font wx:atiw:tvaon&quot;l=go&quot;Camtebria Math&quot;/&gt;&lt;&gt;&lt;w:i/&gt;&lt;w:cFoolor w:val=&quot;000000&quot;/n&quot;02&lt;a&lt;w1 &gt;&lt;w:sz-a cs w:val= a&quot;21&quot;/&gt;&lt;/w:rPr&gt;&lt;/aml:content&gt;&lt;/atwmMalnt2Ts:ontanmlnotation&gt;&lt;/w:rPr&gt;&lt;m:t&gt;0.75&lt;/m:t&gt;&lt;/aml&lt;w:caso:rntMaenentt&gt;&lt;/w:faml:annotation&gt;&lt;/m:r&gt;&lt;/m:sup&gt;&lt;/m:sSu?lp&gt;&lt;/m:oastMath&gt;&lt;/mfar: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62" chromakey="#FFFFFF" o:title=""/>
            <o:lock v:ext="edit" aspectratio="t"/>
            <w10:wrap type="none"/>
            <w10:anchorlock/>
          </v:shape>
        </w:pict>
      </w:r>
      <w:r>
        <w:rPr>
          <w:rFonts w:ascii="Times New Roman" w:hAnsi="Times New Roman" w:eastAsia="宋体"/>
          <w:color w:val="auto"/>
          <w:szCs w:val="21"/>
          <w:highlight w:val="none"/>
        </w:rPr>
        <w:fldChar w:fldCharType="end"/>
      </w:r>
      <w:r>
        <w:rPr>
          <w:rFonts w:ascii="Times New Roman" w:hAnsi="Times New Roman" w:eastAsia="宋体"/>
          <w:color w:val="auto"/>
          <w:szCs w:val="21"/>
          <w:highlight w:val="none"/>
        </w:rPr>
        <w:tab/>
      </w:r>
      <w:r>
        <w:rPr>
          <w:rFonts w:ascii="Times New Roman" w:hAnsi="Times New Roman" w:eastAsia="宋体"/>
          <w:color w:val="auto"/>
          <w:szCs w:val="21"/>
          <w:highlight w:val="none"/>
        </w:rPr>
        <w:t>(4</w:t>
      </w:r>
      <w:r>
        <w:rPr>
          <w:rFonts w:hint="eastAsia" w:ascii="Times New Roman" w:hAnsi="Times New Roman" w:eastAsia="宋体"/>
          <w:color w:val="auto"/>
          <w:szCs w:val="21"/>
          <w:highlight w:val="none"/>
        </w:rPr>
        <w:t>-</w:t>
      </w:r>
      <w:r>
        <w:rPr>
          <w:rFonts w:ascii="Times New Roman" w:hAnsi="Times New Roman" w:eastAsia="宋体"/>
          <w:color w:val="auto"/>
          <w:szCs w:val="21"/>
          <w:highlight w:val="none"/>
        </w:rPr>
        <w:t>2)</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rPr>
        <w:t>式中，</w:t>
      </w:r>
      <w:r>
        <w:rPr>
          <w:rFonts w:ascii="Times New Roman" w:hAnsi="Times New Roman" w:eastAsia="宋体"/>
          <w:i/>
          <w:iCs/>
          <w:color w:val="auto"/>
          <w:szCs w:val="21"/>
          <w:highlight w:val="none"/>
        </w:rPr>
        <w:t>m</w:t>
      </w:r>
      <w:r>
        <w:rPr>
          <w:rFonts w:hint="eastAsia" w:ascii="Times New Roman" w:hAnsi="Times New Roman" w:eastAsia="宋体"/>
          <w:color w:val="auto"/>
          <w:szCs w:val="21"/>
          <w:highlight w:val="none"/>
        </w:rPr>
        <w:t>——修正系数，可取</w:t>
      </w:r>
      <w:r>
        <w:rPr>
          <w:rFonts w:ascii="Times New Roman" w:hAnsi="Times New Roman" w:eastAsia="宋体"/>
          <w:color w:val="auto"/>
          <w:szCs w:val="21"/>
          <w:highlight w:val="none"/>
        </w:rPr>
        <w:t>0.40~0.45</w:t>
      </w:r>
      <w:r>
        <w:rPr>
          <w:rFonts w:hint="eastAsia" w:ascii="Times New Roman" w:hAnsi="Times New Roman" w:eastAsia="宋体"/>
          <w:color w:val="auto"/>
          <w:szCs w:val="21"/>
          <w:highlight w:val="none"/>
        </w:rPr>
        <w:t>，或者根据同类岩石的经验值确定。</w:t>
      </w:r>
    </w:p>
    <w:p>
      <w:pPr>
        <w:keepNext w:val="0"/>
        <w:keepLines w:val="0"/>
        <w:pageBreakBefore w:val="0"/>
        <w:widowControl w:val="0"/>
        <w:tabs>
          <w:tab w:val="left" w:pos="709"/>
        </w:tabs>
        <w:kinsoku/>
        <w:wordWrap/>
        <w:overflowPunct/>
        <w:topLinePunct w:val="0"/>
        <w:autoSpaceDE/>
        <w:autoSpaceDN/>
        <w:bidi w:val="0"/>
        <w:adjustRightInd/>
        <w:snapToGrid/>
        <w:spacing w:line="520" w:lineRule="exact"/>
        <w:ind w:left="0" w:hanging="1620" w:hangingChars="900"/>
        <w:textAlignment w:val="auto"/>
        <w:rPr>
          <w:rFonts w:ascii="Times New Roman" w:hAnsi="Times New Roman" w:eastAsia="宋体"/>
          <w:color w:val="auto"/>
          <w:szCs w:val="21"/>
          <w:highlight w:val="none"/>
        </w:rPr>
      </w:pPr>
      <w:r>
        <w:rPr>
          <w:rFonts w:ascii="Times New Roman" w:hAnsi="Times New Roman" w:eastAsia="宋体"/>
          <w:color w:val="auto"/>
          <w:sz w:val="18"/>
          <w:szCs w:val="18"/>
          <w:highlight w:val="none"/>
        </w:rPr>
        <w:tab/>
      </w:r>
      <w:r>
        <w:rPr>
          <w:rFonts w:ascii="Times New Roman" w:hAnsi="Times New Roman" w:eastAsia="宋体"/>
          <w:color w:val="auto"/>
          <w:szCs w:val="21"/>
          <w:highlight w:val="none"/>
        </w:rPr>
        <w:fldChar w:fldCharType="begin"/>
      </w:r>
      <w:r>
        <w:rPr>
          <w:rFonts w:ascii="Times New Roman" w:hAnsi="Times New Roman" w:eastAsia="宋体"/>
          <w:color w:val="auto"/>
          <w:szCs w:val="21"/>
          <w:highlight w:val="none"/>
        </w:rPr>
        <w:instrText xml:space="preserve"> QUOTE </w:instrText>
      </w:r>
      <w:r>
        <w:rPr>
          <w:rFonts w:ascii="Times New Roman" w:hAnsi="Times New Roman" w:eastAsia="宋体"/>
          <w:color w:val="auto"/>
          <w:position w:val="-9"/>
          <w:highlight w:val="none"/>
        </w:rPr>
        <w:pict>
          <v:shape id="_x0000_i1102" o:spt="75" type="#_x0000_t75" style="height:15.75pt;width:22.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11653&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811653&quot; wsp:rsidP=&quot;00811653&quot;&gt;&lt;m:oMathPara&gt;&lt;m:oMath&gt;&lt;m:sSub&gt;&lt;m:sSubPr&gt;&lt;m:ctrlPr&gt;&lt;aml:annotation aml:id=&quot;0&quot; w:type=&quot;Word.Insertion&quot; aml:author=&quot;peng gongxun&quot; aml:createdate=&quot;2021-07-12T15:26:00Z&quot;&gt;&lt;aml:content&gt;&lt;w:rPr&gt;&lt;w:rFonts w:ascii=&quot;Cambria Math&quot; w:fareast=&quot;妤蜂綋&quot; w:h-asidsidsidsidsidsidsidsidsidsidsidsidsidsidsidsidsidsidsidsidsidsidsidsidsidsidsidsidsidsidsidnsi=&quot;Cambria Math&quot;/&gt;&lt;wx:font wx:val=&quot;Cambria Math&quot;/&gt;&lt;w:i/&gt;&lt;w:color w:val=&quot;000000&quot;/&gt;&lt;w:sz-cs w:val=&quot;21&quot;/&gt;&lt;/w:rPr&gt;&lt;/aml:content&gt;&lt;/aml:annotation&gt;&lt;/m:ctrlPr&gt;&lt;/m:sSubPr&gt;&lt;m:e&gt;&lt;m:r&gt;&lt;aml:annotation aml:id=&quot;1&quot; w:type=&quot;Word.Insertion&quot; aml:author=&quot;peng gongxun&quot; aml:createdate=&quot;2021-07-12T15:26:00Z&quot;&gt;&lt;aml:content&gt;&lt;w:rPr&gt;&lt;w:rFonts w:ascii=&quot;Cambria Math&quot; w:fareast=&quot;妤蜂綋&quot; w:h-ansi=&quot;Cambria Math&quot;/&gt;&lt;wx:font wx:val=&quot;Cambria Math&quot;/&gt;&lt;Pr&gt;w:i&lt;m:/&gt;&lt;e&gt;&lt;w:cm:rolo&gt;&lt;ar wml::vaannl=&quot;ota000tio000n a&quot;/&gt;ml:&lt;w:id=sz-&quot;1&quot;cs  w:w:vtypal=e=&quot;&quot;21Wor&quot;/&gt;d.I&lt;amnsel:artinnoon&quot;tat amionl:a amuthl:ior=d=&quot;&quot;pe2&quot; ng w:tgonypegxu=&quot;Wn&quot; ordaml.Formatting&quot; aml:author=&quot;peng gongxun&quot; aml:createdate=&quot;2021-07-12T15:26:00Z&quot;&gt;&lt;aml:content&gt;&lt;w:rPr&gt;&lt;w:rFonts w:ascii=&quot;Cambria Math&quot; w:fareast=&quot;妤蜂綋&quot;1&quot;&quot; w:h- w:ansi=&quot;typCambrie=&quot;a MathWor&quot;/&gt;&lt;wxd.I:font nsewx:valrti=&quot;Cambon&quot;ria Ma amth&quot;/&gt;&lt;l:aw:i/&gt;&lt;uthw:coloor=r w:va&quot;pel=&quot;000ng 000&quot;/&gt;gon&lt;w:sz-gxucs w:vn&quot; al=&quot;21aml&quot;/&gt;&lt;/w:rPr&gt;&lt;/aml:c00Zontentaml&gt;&lt;/amlnte:annot&lt;w:ation&gt;&gt;&lt;w&lt;/w:rPontr&gt;&lt;m:t:as&gt;I&lt;/m:=&quot;Ct&gt;&lt;/amrial:contth&quot;ent&gt;&lt;/faraml:ant=&quot;notation&gt;&lt;/m:r&gt;&lt;/m:e&gt;&lt;m:sub&gt;&lt;m:r&gt;&lt;aml:annotation aml:id=&quot;3&quot; w:type=&quot;Word.Insertion&quot; aml:author=&quot;peng gongxun&quot; aml:createdate=&quot;2021-07-12T15:26:00Z&quot;&gt;&lt;aml:content&gt;&lt;w:rPr&gt;&lt;w:rFonts w:ascii=&quot;Cambria Math&quot; w:fareast=&quot;妤蜂綋&quot;=&quot;C w:h-ansiria=&quot;Cambriath&quot; Math&quot;/&gt;&lt;farwx:font wt=&quot;x:val=&quot;Caon&gt;mbria Mat&lt;/mh&quot;/&gt;&lt;w:i/sub&gt;&lt;w:color&lt;am w:val=&quot;0tat00000&quot;/&gt;&lt;l:iw:sz-cs ww:t:val=&quot;21&quot;ord/&gt;&lt;aml:antionotation :auaml:id=&quot;4pen&quot; w:type=conxun&quot;Word.w:rForcrematrFoting&quot; e=&quot;ascaml:authombr7-1r=&quot;penh&quot; g g6:0ongastxun&quot; aml:ml:createt&gt;&lt;date=&quot;202&lt;w:1-07-12T15:26:00Z&quot;&gt;&lt;aml:content&gt;&lt;w:rPr&gt;&lt;w:rFonts w:ascii=&quot;Cambria Math&quot; w:fareast=&quot;妤蜂at綋&quot; w:h-ansil:i=&quot;Cambria Maw:tth&quot;/&gt;&lt;wx:fonordt wx:val=&quot;Catiomconbria Math&quot;/:w:rau&gt;&lt;w:i/&gt;&lt;w:rFocopenlor w:vascal=&quot;0xun0000mbr0&quot;/&gt;&lt;w:screzh&quot; -cs w:val=&quot;east=&quot;21&quot;/&gt;&lt;/w:rml:Pr7-1&gt;&lt;/aml:datconte6:0nt&gt;&lt;1-0/aml:annml:o6:0tation&gt;&lt;/w:tcon&gt;&lt;rPr&gt;&lt;m:t&gt;sPr&gt;&lt;/&lt;w:m:t&gt;&lt;/a w:ml:content&gt;&lt;mbr/aml:annotatw:fion&gt;&lt;/m:r&gt;&lt;m:dt&gt;&lt;m:dPr&gt;&lt;m:ctrlPr&gt;&lt;aml:annotation aml:id=&quot;5&quot; w:type=&quot;Word.Insertion&quot; aml:author=&quot;peng gongxun&quot; aml:createdate=&quot;2021-07-12T15:26:00Z&quot;&gt;&lt;aml:content&gt;&lt;w:rPr&gt;&lt;w:rFonts w:ascii=&quot;Cambria Math&quot; w:fareast=&quot;妤蜂綋&quot; w:h-a w:&lt;w:nsi=&quot;Cambriambr Math&quot;/&gt;&lt;wx:fonw:ft wx:val=&quot;Cambr:dtia trlMath&quot;/&gt;&lt;w:i/trltat&gt;&lt;w:color w:val5&quot; tat=&quot;000000&quot;/&gt;&lt;.Inw:s5&quot; z-cs w:va:aul=&quot;21&quot;.In/&gt;&lt;/w:ongrPr&gt;&lt;/aml:au:coatentent&gt;&lt;/aml:ong7-1annotation&gt;&lt;/m:&gt;&lt;aatectrlPr&gt;&lt;/m:dw:rPr&gt;7-1&lt;m:e&gt;&lt;m:r w:&gt;&lt;aml:&gt;&lt;aannotaia tion aml:w:rid=ast&quot;6&quot; w:type=&quot; w:Word.Insertion&quot;ia  aml:author=&quot;peastng gongxun&quot; aml:createdate=&quot;2021-07-12T15:26:00Z&quot;&gt;&lt;aml:content&gt;&lt;w:rPr&gt;&lt;w:rFonts w:ascii=&quot;Cambria Math&quot; w:fareast=&quot;妤蜂綋&quot; w:h-ansong&gt;&lt;ai=&quot;Cambria Math&quot;/&gt;w:rate&lt;wx:font wx:val w:=&quot;C7-1ambria Math&quot;ia /&gt;&lt;w:i&gt;&lt;a/&gt;&lt;w:coloastr w:val=&quot;w:r000000Wor&quot;/&gt;l:a&lt;w:sz-cs  w:w:v amgonal=&quot;21&quot;/&gt;&lt;aml:aia edang nnotation aml:i15:d=&quot;eatast7&quot; w:typente=&quot;Word12T.Fo:crrmaonttting&quot; am:col:authriaor=&quot;peng gon:rFgxut=&quot;n&quot; aml:createdaambte=&quot;2021-07-12T15:eas26:00Z&quot;&gt;&lt;aml:content&gt;&lt;w:rPr&gt;&lt;w:rFonts w:ascii=&quot;Cambria Math&quot; w:fareast=&quot;妤蜂綋&quot; w:h-&gt;&lt;aWorgonansi=&quot;Cambria Math&quot;/&gt;eda amw:r&lt;wx:font wx:val15:=&quot;Cng amb w:ria Math&quot;nte/&gt;&lt;w:ieat/&gt;&lt;w:cia oloontr w:val=&quot;12T000000&quot;/&gt;riaast&lt;w:sz-cs :cow:val=t=&quot;&quot;21&quot;/&gt;:cr&lt;/w:rP:rFr&gt;&lt;te=/aml:content&gt;&lt;/amlamb26::annotation&gt;&lt;/w:rPr&gt;&lt;&lt;w:easm:t&gt;50&lt;/m:t&gt;eas&lt;/aml:ciiconnt&gt;tent&gt;&lt;/aml:annofartation:as&gt;&lt;/m:r&gt;&lt;/m:e&gt;&lt;/m:d&gt;&lt;/ w: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63" chromakey="#FFFFFF" o:title=""/>
            <o:lock v:ext="edit" aspectratio="t"/>
            <w10:wrap type="none"/>
            <w10:anchorlock/>
          </v:shape>
        </w:pict>
      </w:r>
      <w:r>
        <w:rPr>
          <w:rFonts w:ascii="Times New Roman" w:hAnsi="Times New Roman" w:eastAsia="宋体"/>
          <w:color w:val="auto"/>
          <w:szCs w:val="21"/>
          <w:highlight w:val="none"/>
        </w:rPr>
        <w:instrText xml:space="preserve"> </w:instrText>
      </w:r>
      <w:r>
        <w:rPr>
          <w:rFonts w:ascii="Times New Roman" w:hAnsi="Times New Roman" w:eastAsia="宋体"/>
          <w:color w:val="auto"/>
          <w:szCs w:val="21"/>
          <w:highlight w:val="none"/>
        </w:rPr>
        <w:fldChar w:fldCharType="separate"/>
      </w:r>
      <w:r>
        <w:rPr>
          <w:rFonts w:ascii="Times New Roman" w:hAnsi="Times New Roman" w:eastAsia="宋体"/>
          <w:color w:val="auto"/>
          <w:position w:val="-9"/>
          <w:highlight w:val="none"/>
        </w:rPr>
        <w:pict>
          <v:shape id="_x0000_i1103" o:spt="75" type="#_x0000_t75" style="height:15.75pt;width:22.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11653&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811653&quot; wsp:rsidP=&quot;00811653&quot;&gt;&lt;m:oMathPara&gt;&lt;m:oMath&gt;&lt;m:sSub&gt;&lt;m:sSubPr&gt;&lt;m:ctrlPr&gt;&lt;aml:annotation aml:id=&quot;0&quot; w:type=&quot;Word.Insertion&quot; aml:author=&quot;peng gongxun&quot; aml:createdate=&quot;2021-07-12T15:26:00Z&quot;&gt;&lt;aml:content&gt;&lt;w:rPr&gt;&lt;w:rFonts w:ascii=&quot;Cambria Math&quot; w:fareast=&quot;妤蜂綋&quot; w:h-asidsidsidsidsidsidsidsidsidsidsidsidsidsidsidsidsidsidsidsidsidsidsidsidsidsidsidsidsidsidsidnsi=&quot;Cambria Math&quot;/&gt;&lt;wx:font wx:val=&quot;Cambria Math&quot;/&gt;&lt;w:i/&gt;&lt;w:color w:val=&quot;000000&quot;/&gt;&lt;w:sz-cs w:val=&quot;21&quot;/&gt;&lt;/w:rPr&gt;&lt;/aml:content&gt;&lt;/aml:annotation&gt;&lt;/m:ctrlPr&gt;&lt;/m:sSubPr&gt;&lt;m:e&gt;&lt;m:r&gt;&lt;aml:annotation aml:id=&quot;1&quot; w:type=&quot;Word.Insertion&quot; aml:author=&quot;peng gongxun&quot; aml:createdate=&quot;2021-07-12T15:26:00Z&quot;&gt;&lt;aml:content&gt;&lt;w:rPr&gt;&lt;w:rFonts w:ascii=&quot;Cambria Math&quot; w:fareast=&quot;妤蜂綋&quot; w:h-ansi=&quot;Cambria Math&quot;/&gt;&lt;wx:font wx:val=&quot;Cambria Math&quot;/&gt;&lt;Pr&gt;w:i&lt;m:/&gt;&lt;e&gt;&lt;w:cm:rolo&gt;&lt;ar wml::vaannl=&quot;ota000tio000n a&quot;/&gt;ml:&lt;w:id=sz-&quot;1&quot;cs  w:w:vtypal=e=&quot;&quot;21Wor&quot;/&gt;d.I&lt;amnsel:artinnoon&quot;tat amionl:a amuthl:ior=d=&quot;&quot;pe2&quot; ng w:tgonypegxu=&quot;Wn&quot; ordaml.Formatting&quot; aml:author=&quot;peng gongxun&quot; aml:createdate=&quot;2021-07-12T15:26:00Z&quot;&gt;&lt;aml:content&gt;&lt;w:rPr&gt;&lt;w:rFonts w:ascii=&quot;Cambria Math&quot; w:fareast=&quot;妤蜂綋&quot;1&quot;&quot; w:h- w:ansi=&quot;typCambrie=&quot;a MathWor&quot;/&gt;&lt;wxd.I:font nsewx:valrti=&quot;Cambon&quot;ria Ma amth&quot;/&gt;&lt;l:aw:i/&gt;&lt;uthw:coloor=r w:va&quot;pel=&quot;000ng 000&quot;/&gt;gon&lt;w:sz-gxucs w:vn&quot; al=&quot;21aml&quot;/&gt;&lt;/w:rPr&gt;&lt;/aml:c00Zontentaml&gt;&lt;/amlnte:annot&lt;w:ation&gt;&gt;&lt;w&lt;/w:rPontr&gt;&lt;m:t:as&gt;I&lt;/m:=&quot;Ct&gt;&lt;/amrial:contth&quot;ent&gt;&lt;/faraml:ant=&quot;notation&gt;&lt;/m:r&gt;&lt;/m:e&gt;&lt;m:sub&gt;&lt;m:r&gt;&lt;aml:annotation aml:id=&quot;3&quot; w:type=&quot;Word.Insertion&quot; aml:author=&quot;peng gongxun&quot; aml:createdate=&quot;2021-07-12T15:26:00Z&quot;&gt;&lt;aml:content&gt;&lt;w:rPr&gt;&lt;w:rFonts w:ascii=&quot;Cambria Math&quot; w:fareast=&quot;妤蜂綋&quot;=&quot;C w:h-ansiria=&quot;Cambriath&quot; Math&quot;/&gt;&lt;farwx:font wt=&quot;x:val=&quot;Caon&gt;mbria Mat&lt;/mh&quot;/&gt;&lt;w:i/sub&gt;&lt;w:color&lt;am w:val=&quot;0tat00000&quot;/&gt;&lt;l:iw:sz-cs ww:t:val=&quot;21&quot;ord/&gt;&lt;aml:antionotation :auaml:id=&quot;4pen&quot; w:type=conxun&quot;Word.w:rForcrematrFoting&quot; e=&quot;ascaml:authombr7-1r=&quot;penh&quot; g g6:0ongastxun&quot; aml:ml:createt&gt;&lt;date=&quot;202&lt;w:1-07-12T15:26:00Z&quot;&gt;&lt;aml:content&gt;&lt;w:rPr&gt;&lt;w:rFonts w:ascii=&quot;Cambria Math&quot; w:fareast=&quot;妤蜂at綋&quot; w:h-ansil:i=&quot;Cambria Maw:tth&quot;/&gt;&lt;wx:fonordt wx:val=&quot;Catiomconbria Math&quot;/:w:rau&gt;&lt;w:i/&gt;&lt;w:rFocopenlor w:vascal=&quot;0xun0000mbr0&quot;/&gt;&lt;w:screzh&quot; -cs w:val=&quot;east=&quot;21&quot;/&gt;&lt;/w:rml:Pr7-1&gt;&lt;/aml:datconte6:0nt&gt;&lt;1-0/aml:annml:o6:0tation&gt;&lt;/w:tcon&gt;&lt;rPr&gt;&lt;m:t&gt;sPr&gt;&lt;/&lt;w:m:t&gt;&lt;/a w:ml:content&gt;&lt;mbr/aml:annotatw:fion&gt;&lt;/m:r&gt;&lt;m:dt&gt;&lt;m:dPr&gt;&lt;m:ctrlPr&gt;&lt;aml:annotation aml:id=&quot;5&quot; w:type=&quot;Word.Insertion&quot; aml:author=&quot;peng gongxun&quot; aml:createdate=&quot;2021-07-12T15:26:00Z&quot;&gt;&lt;aml:content&gt;&lt;w:rPr&gt;&lt;w:rFonts w:ascii=&quot;Cambria Math&quot; w:fareast=&quot;妤蜂綋&quot; w:h-a w:&lt;w:nsi=&quot;Cambriambr Math&quot;/&gt;&lt;wx:fonw:ft wx:val=&quot;Cambr:dtia trlMath&quot;/&gt;&lt;w:i/trltat&gt;&lt;w:color w:val5&quot; tat=&quot;000000&quot;/&gt;&lt;.Inw:s5&quot; z-cs w:va:aul=&quot;21&quot;.In/&gt;&lt;/w:ongrPr&gt;&lt;/aml:au:coatentent&gt;&lt;/aml:ong7-1annotation&gt;&lt;/m:&gt;&lt;aatectrlPr&gt;&lt;/m:dw:rPr&gt;7-1&lt;m:e&gt;&lt;m:r w:&gt;&lt;aml:&gt;&lt;aannotaia tion aml:w:rid=ast&quot;6&quot; w:type=&quot; w:Word.Insertion&quot;ia  aml:author=&quot;peastng gongxun&quot; aml:createdate=&quot;2021-07-12T15:26:00Z&quot;&gt;&lt;aml:content&gt;&lt;w:rPr&gt;&lt;w:rFonts w:ascii=&quot;Cambria Math&quot; w:fareast=&quot;妤蜂綋&quot; w:h-ansong&gt;&lt;ai=&quot;Cambria Math&quot;/&gt;w:rate&lt;wx:font wx:val w:=&quot;C7-1ambria Math&quot;ia /&gt;&lt;w:i&gt;&lt;a/&gt;&lt;w:coloastr w:val=&quot;w:r000000Wor&quot;/&gt;l:a&lt;w:sz-cs  w:w:v amgonal=&quot;21&quot;/&gt;&lt;aml:aia edang nnotation aml:i15:d=&quot;eatast7&quot; w:typente=&quot;Word12T.Fo:crrmaonttting&quot; am:col:authriaor=&quot;peng gon:rFgxut=&quot;n&quot; aml:createdaambte=&quot;2021-07-12T15:eas26:00Z&quot;&gt;&lt;aml:content&gt;&lt;w:rPr&gt;&lt;w:rFonts w:ascii=&quot;Cambria Math&quot; w:fareast=&quot;妤蜂綋&quot; w:h-&gt;&lt;aWorgonansi=&quot;Cambria Math&quot;/&gt;eda amw:r&lt;wx:font wx:val15:=&quot;Cng amb w:ria Math&quot;nte/&gt;&lt;w:ieat/&gt;&lt;w:cia oloontr w:val=&quot;12T000000&quot;/&gt;riaast&lt;w:sz-cs :cow:val=t=&quot;&quot;21&quot;/&gt;:cr&lt;/w:rP:rFr&gt;&lt;te=/aml:content&gt;&lt;/amlamb26::annotation&gt;&lt;/w:rPr&gt;&lt;&lt;w:easm:t&gt;50&lt;/m:t&gt;eas&lt;/aml:ciiconnt&gt;tent&gt;&lt;/aml:annofartation:as&gt;&lt;/m:r&gt;&lt;/m:e&gt;&lt;/m:d&gt;&lt;/ w: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63" chromakey="#FFFFFF" o:title=""/>
            <o:lock v:ext="edit" aspectratio="t"/>
            <w10:wrap type="none"/>
            <w10:anchorlock/>
          </v:shape>
        </w:pict>
      </w:r>
      <w:r>
        <w:rPr>
          <w:rFonts w:ascii="Times New Roman" w:hAnsi="Times New Roman" w:eastAsia="宋体"/>
          <w:color w:val="auto"/>
          <w:szCs w:val="21"/>
          <w:highlight w:val="none"/>
        </w:rPr>
        <w:fldChar w:fldCharType="end"/>
      </w:r>
      <w:r>
        <w:rPr>
          <w:rFonts w:hint="eastAsia" w:ascii="Times New Roman" w:hAnsi="Times New Roman" w:eastAsia="宋体"/>
          <w:color w:val="auto"/>
          <w:szCs w:val="21"/>
          <w:highlight w:val="none"/>
        </w:rPr>
        <w:t>——等价岩芯直径为</w:t>
      </w:r>
      <w:r>
        <w:rPr>
          <w:rFonts w:ascii="Times New Roman" w:hAnsi="Times New Roman" w:eastAsia="宋体"/>
          <w:color w:val="auto"/>
          <w:szCs w:val="21"/>
          <w:highlight w:val="none"/>
        </w:rPr>
        <w:t>50mm</w:t>
      </w:r>
      <w:r>
        <w:rPr>
          <w:rFonts w:hint="eastAsia" w:ascii="Times New Roman" w:hAnsi="Times New Roman" w:eastAsia="宋体"/>
          <w:color w:val="auto"/>
          <w:szCs w:val="21"/>
          <w:highlight w:val="none"/>
        </w:rPr>
        <w:t>的岩石点荷载强度指数</w:t>
      </w:r>
      <w:r>
        <w:rPr>
          <w:rFonts w:ascii="Times New Roman" w:hAnsi="Times New Roman" w:eastAsia="宋体"/>
          <w:color w:val="auto"/>
          <w:szCs w:val="21"/>
          <w:highlight w:val="none"/>
        </w:rPr>
        <w:t>(MPa)</w:t>
      </w:r>
      <w:r>
        <w:rPr>
          <w:rFonts w:hint="eastAsia" w:ascii="Times New Roman" w:hAnsi="Times New Roman" w:eastAsia="宋体"/>
          <w:color w:val="auto"/>
          <w:szCs w:val="21"/>
          <w:highlight w:val="none"/>
        </w:rPr>
        <w:t>。</w:t>
      </w:r>
    </w:p>
    <w:p>
      <w:pPr>
        <w:keepNext w:val="0"/>
        <w:keepLines w:val="0"/>
        <w:pageBreakBefore w:val="0"/>
        <w:widowControl w:val="0"/>
        <w:tabs>
          <w:tab w:val="left" w:pos="709"/>
        </w:tabs>
        <w:kinsoku/>
        <w:wordWrap/>
        <w:overflowPunct/>
        <w:topLinePunct w:val="0"/>
        <w:autoSpaceDE/>
        <w:autoSpaceDN/>
        <w:bidi w:val="0"/>
        <w:adjustRightInd/>
        <w:snapToGrid/>
        <w:spacing w:line="520" w:lineRule="exact"/>
        <w:ind w:left="0" w:hanging="1890" w:hangingChars="900"/>
        <w:textAlignment w:val="auto"/>
        <w:rPr>
          <w:rFonts w:ascii="Times New Roman" w:hAnsi="Times New Roman" w:eastAsia="宋体"/>
          <w:color w:val="auto"/>
          <w:sz w:val="18"/>
          <w:szCs w:val="18"/>
          <w:highlight w:val="none"/>
        </w:rPr>
      </w:pPr>
      <w:r>
        <w:rPr>
          <w:rFonts w:ascii="Times New Roman" w:hAnsi="Times New Roman" w:eastAsia="宋体"/>
          <w:color w:val="auto"/>
          <w:szCs w:val="21"/>
          <w:highlight w:val="none"/>
        </w:rPr>
        <w:tab/>
      </w:r>
      <w:r>
        <w:rPr>
          <w:rFonts w:ascii="Times New Roman" w:hAnsi="Times New Roman" w:eastAsia="宋体"/>
          <w:color w:val="auto"/>
          <w:szCs w:val="21"/>
          <w:highlight w:val="none"/>
        </w:rPr>
        <w:fldChar w:fldCharType="begin"/>
      </w:r>
      <w:r>
        <w:rPr>
          <w:rFonts w:ascii="Times New Roman" w:hAnsi="Times New Roman" w:eastAsia="宋体"/>
          <w:color w:val="auto"/>
          <w:szCs w:val="21"/>
          <w:highlight w:val="none"/>
        </w:rPr>
        <w:instrText xml:space="preserve"> QUOTE </w:instrText>
      </w:r>
      <w:r>
        <w:rPr>
          <w:rFonts w:ascii="Times New Roman" w:hAnsi="Times New Roman" w:eastAsia="宋体"/>
          <w:color w:val="auto"/>
          <w:position w:val="-8"/>
          <w:highlight w:val="none"/>
        </w:rPr>
        <w:pict>
          <v:shape id="_x0000_i1104" o:spt="75" type="#_x0000_t75" style="height:15.75pt;width:14.2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32FBA&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232FBA&quot; wsp:rsidP=&quot;00232FBA&quot;&gt;&lt;m:oMathPara&gt;&lt;m:oMath&gt;&lt;m:sSub&gt;&lt;m:sSubPr&gt;&lt;m:ctrlPr&gt;&lt;aml:annotation aml:id=&quot;0&quot; w:type=&quot;Word.Insertion&quot; aml:author=&quot;peng gongxun&quot; aml:createdate=&quot;2021-07-12T15:26:00Z&quot;&gt;&lt;aml:content&gt;&lt;w:rPr&gt;&lt;w:rFonts w:ascii=&quot;Cambria Math&quot; w:fareast=&quot;妤蜂綋&quot; w:h-asidsidsidsidsidsidsidsidsidsidsidsidsidsidsidsidsidsidsidsidsidsidsidsidsidsidsidsidsidsidsidnsi=&quot;Cambria Math&quot;/&gt;&lt;wx:font wx:val=&quot;Cambria Math&quot;/&gt;&lt;w:i/&gt;&lt;w:color w:val=&quot;000000&quot;/&gt;&lt;w:sz-cs w:val=&quot;21&quot;/&gt;&lt;/w:rPr&gt;&lt;/aml:content&gt;&lt;/aml:annotation&gt;&lt;/m:ctrlPr&gt;&lt;/m:sSubPr&gt;&lt;m:e&gt;&lt;m:r&gt;&lt;aml:annotation aml:id=&quot;1&quot; w:type=&quot;Word.Insertion&quot; aml:author=&quot;peng gongxun&quot; aml:createdate=&quot;2021-07-12T15:26:00Z&quot;&gt;&lt;aml:content&gt;&lt;w:rPr&gt;&lt;w:rFonts w:ascii=&quot;Cambria Math&quot; w:fareast=&quot;妤蜂綋&quot; w:h-ansi=&quot;Cambria Math&quot;/&gt;&lt;wx:font wx:val=&quot;Cambria Math&quot;/&gt;&lt;Pr&gt;w:i&lt;m:/&gt;&lt;e&gt;&lt;w:cm:rolo&gt;&lt;ar wml::vaannl=&quot;ota000tio000n a&quot;/&gt;ml:&lt;w:id=sz-&quot;1&quot;cs  w:w:vtypal=e=&quot;&quot;21Wor&quot;/&gt;d.I&lt;amnsel:artinnoon&quot;tat amionl:a amuthl:ior=d=&quot;&quot;pe2&quot; ng w:tgonypegxu=&quot;Wn&quot; ordaml.Formatting&quot; aml:author=&quot;peng gongxun&quot; aml:createdate=&quot;2021-07-12T15:26:00Z&quot;&gt;&lt;aml:content&gt;&lt;w:rPr&gt;&lt;w:rFonts w:ascii=&quot;Cambria Math&quot; w:fareast=&quot;妤蜂綋&quot;1&quot;&quot; w:h- w:ansi=&quot;typCambrie=&quot;a MathWor&quot;/&gt;&lt;wxd.I:font nsewx:valrti=&quot;Cambon&quot;ria Ma amth&quot;/&gt;&lt;l:aw:i/&gt;&lt;uthw:coloor=r w:va&quot;pel=&quot;000ng 000&quot;/&gt;gon&lt;w:sz-gxucs w:vn&quot; al=&quot;21aml&quot;/&gt;&lt;/w:rPr&gt;&lt;/aml:c00Zontentaml&gt;&lt;/amlnte:annot&lt;w:ation&gt;&gt;&lt;w&lt;/w:rPontr&gt;&lt;m:t:as&gt;P&lt;/m:=&quot;Ct&gt;&lt;/amrial:contth&quot;ent&gt;&lt;/faraml:ant=&quot;notation&gt;&lt;/m:r&gt;&lt;/m:e&gt;&lt;m:sub&gt;&lt;m:r&gt;&lt;aml:annotation aml:id=&quot;3&quot; w:type=&quot;Word.Insertion&quot; aml:author=&quot;peng gongxun&quot; aml:createdate=&quot;2021-07-12T15:26:00Z&quot;&gt;&lt;aml:content&gt;&lt;w:rPr&gt;&lt;w:rFonts w:ascii=&quot;Cambria Math&quot; w:fareast=&quot;妤蜂綋&quot;=&quot;C w:h-ansiria=&quot;Cambriath&quot; Math&quot;/&gt;&lt;farwx:font wt=&quot;x:val=&quot;Caon&gt;mbria Mat&lt;/mh&quot;/&gt;&lt;w:i/sub&gt;&lt;w:color&lt;am w:val=&quot;0tat00000&quot;/&gt;&lt;l:iw:sz-cs ww:t:val=&quot;21&quot;ord/&gt;&lt;aml:antionotation :auaml:id=&quot;4pen&quot; w:type=conxun&quot;Word.w:rForcrematrFoting&quot; e=&quot;ascaml:authombr7-1r=&quot;penh&quot; g g6:0ongastxun&quot; aml:ml:createt&gt;&lt;date=&quot;202&lt;w:1-07-12T15:26:00Z&quot;&gt;&lt;aml:content&gt;&lt;w:rPr&gt;&lt;w:rFonts w:ascii=&quot;Cambria Math&quot; w:fareast=&quot;妤蜂at綋&quot; w:h-ansil:i=&quot;Cambria Maw:tth&quot;/&gt;&lt;wx:fonordt wx:val=&quot;Catiomconbria Math&quot;/:w:rau&gt;&lt;w:i/&gt;&lt;w:rFocopenlor w:vascal=&quot;0xun0000mbr0&quot;/&gt;&lt;w:screzh&quot; -cs w:val=&quot;east=&quot;21&quot;/&gt;&lt;/w:rml:Pr7-1&gt;&lt;/aml:datconte6:0nt&gt;&lt;1-0/aml:annml:o6:0tation&gt;&lt;/w:tcon&gt;&lt;rPr&gt;&lt;m:t&gt;5Pr&gt;0&lt;&lt;w:/m:t&gt;&lt;/ w:aml:content&gt;mbr&lt;/aml:annotaw:ftion&gt;&lt;/m:r&gt;&lt;/mt: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64" chromakey="#FFFFFF" o:title=""/>
            <o:lock v:ext="edit" aspectratio="t"/>
            <w10:wrap type="none"/>
            <w10:anchorlock/>
          </v:shape>
        </w:pict>
      </w:r>
      <w:r>
        <w:rPr>
          <w:rFonts w:ascii="Times New Roman" w:hAnsi="Times New Roman" w:eastAsia="宋体"/>
          <w:color w:val="auto"/>
          <w:szCs w:val="21"/>
          <w:highlight w:val="none"/>
        </w:rPr>
        <w:instrText xml:space="preserve"> </w:instrText>
      </w:r>
      <w:r>
        <w:rPr>
          <w:rFonts w:ascii="Times New Roman" w:hAnsi="Times New Roman" w:eastAsia="宋体"/>
          <w:color w:val="auto"/>
          <w:szCs w:val="21"/>
          <w:highlight w:val="none"/>
        </w:rPr>
        <w:fldChar w:fldCharType="separate"/>
      </w:r>
      <w:r>
        <w:rPr>
          <w:rFonts w:ascii="Times New Roman" w:hAnsi="Times New Roman" w:eastAsia="宋体"/>
          <w:color w:val="auto"/>
          <w:position w:val="-8"/>
          <w:highlight w:val="none"/>
        </w:rPr>
        <w:pict>
          <v:shape id="_x0000_i1105" o:spt="75" type="#_x0000_t75" style="height:15.75pt;width:14.2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C30E9&quot;/&gt;&lt;wsp:rsid wsp:val=&quot;00043FB4&quot;/&gt;&lt;wsp:rsid wsp:val=&quot;00086E2A&quot;/&gt;&lt;wsp:rsid wsp:val=&quot;000C771B&quot;/&gt;&lt;wsp:rsid wsp:val=&quot;001218E3&quot;/&gt;&lt;wsp:rsid wsp:val=&quot;001528B7&quot;/&gt;&lt;wsp:rsid wsp:val=&quot;00185E3C&quot;/&gt;&lt;wsp:rsid wsp:val=&quot;001D2BDD&quot;/&gt;&lt;wsp:rsid wsp:val=&quot;0020044F&quot;/&gt;&lt;wsp:rsid wsp:val=&quot;00217CDF&quot;/&gt;&lt;wsp:rsid wsp:val=&quot;00232FBA&quot;/&gt;&lt;wsp:rsid wsp:val=&quot;0025536F&quot;/&gt;&lt;wsp:rsid wsp:val=&quot;0028053C&quot;/&gt;&lt;wsp:rsid wsp:val=&quot;0029062B&quot;/&gt;&lt;wsp:rsid wsp:val=&quot;00296B9D&quot;/&gt;&lt;wsp:rsid wsp:val=&quot;002A0268&quot;/&gt;&lt;wsp:rsid wsp:val=&quot;00310EE5&quot;/&gt;&lt;wsp:rsid wsp:val=&quot;003858A7&quot;/&gt;&lt;wsp:rsid wsp:val=&quot;003A7BCC&quot;/&gt;&lt;wsp:rsid wsp:val=&quot;003B75CB&quot;/&gt;&lt;wsp:rsid wsp:val=&quot;003D08C4&quot;/&gt;&lt;wsp:rsid wsp:val=&quot;003E7CF7&quot;/&gt;&lt;wsp:rsid wsp:val=&quot;00402489&quot;/&gt;&lt;wsp:rsid wsp:val=&quot;004253BA&quot;/&gt;&lt;wsp:rsid wsp:val=&quot;00443325&quot;/&gt;&lt;wsp:rsid wsp:val=&quot;00461D37&quot;/&gt;&lt;wsp:rsid wsp:val=&quot;00482E77&quot;/&gt;&lt;wsp:rsid wsp:val=&quot;004856D5&quot;/&gt;&lt;wsp:rsid wsp:val=&quot;00486D5A&quot;/&gt;&lt;wsp:rsid wsp:val=&quot;00503E4F&quot;/&gt;&lt;wsp:rsid wsp:val=&quot;00514337&quot;/&gt;&lt;wsp:rsid wsp:val=&quot;005351C3&quot;/&gt;&lt;wsp:rsid wsp:val=&quot;005451AF&quot;/&gt;&lt;wsp:rsid wsp:val=&quot;00581B71&quot;/&gt;&lt;wsp:rsid wsp:val=&quot;005A6659&quot;/&gt;&lt;wsp:rsid wsp:val=&quot;005D67DB&quot;/&gt;&lt;wsp:rsid wsp:val=&quot;0060650D&quot;/&gt;&lt;wsp:rsid wsp:val=&quot;00641710&quot;/&gt;&lt;wsp:rsid wsp:val=&quot;006465B8&quot;/&gt;&lt;wsp:rsid wsp:val=&quot;006524AF&quot;/&gt;&lt;wsp:rsid wsp:val=&quot;00660523&quot;/&gt;&lt;wsp:rsid wsp:val=&quot;0067072C&quot;/&gt;&lt;wsp:rsid wsp:val=&quot;006850BA&quot;/&gt;&lt;wsp:rsid wsp:val=&quot;00692073&quot;/&gt;&lt;wsp:rsid wsp:val=&quot;006A220D&quot;/&gt;&lt;wsp:rsid wsp:val=&quot;006E3A2F&quot;/&gt;&lt;wsp:rsid wsp:val=&quot;00731F94&quot;/&gt;&lt;wsp:rsid wsp:val=&quot;00764BD8&quot;/&gt;&lt;wsp:rsid wsp:val=&quot;007C4DA4&quot;/&gt;&lt;wsp:rsid wsp:val=&quot;007D11DB&quot;/&gt;&lt;wsp:rsid wsp:val=&quot;007D3C67&quot;/&gt;&lt;wsp:rsid wsp:val=&quot;00825A01&quot;/&gt;&lt;wsp:rsid wsp:val=&quot;00826DBC&quot;/&gt;&lt;wsp:rsid wsp:val=&quot;00832407&quot;/&gt;&lt;wsp:rsid wsp:val=&quot;00833D26&quot;/&gt;&lt;wsp:rsid wsp:val=&quot;0085467B&quot;/&gt;&lt;wsp:rsid wsp:val=&quot;00857D5F&quot;/&gt;&lt;wsp:rsid wsp:val=&quot;00891FD2&quot;/&gt;&lt;wsp:rsid wsp:val=&quot;008A03F4&quot;/&gt;&lt;wsp:rsid wsp:val=&quot;008D4AA1&quot;/&gt;&lt;wsp:rsid wsp:val=&quot;008E6EA8&quot;/&gt;&lt;wsp:rsid wsp:val=&quot;0096661B&quot;/&gt;&lt;wsp:rsid wsp:val=&quot;00A27548&quot;/&gt;&lt;wsp:rsid wsp:val=&quot;00A61AF9&quot;/&gt;&lt;wsp:rsid wsp:val=&quot;00A719D6&quot;/&gt;&lt;wsp:rsid wsp:val=&quot;00AA5B88&quot;/&gt;&lt;wsp:rsid wsp:val=&quot;00AF2F90&quot;/&gt;&lt;wsp:rsid wsp:val=&quot;00B062C9&quot;/&gt;&lt;wsp:rsid wsp:val=&quot;00B06F70&quot;/&gt;&lt;wsp:rsid wsp:val=&quot;00B24E90&quot;/&gt;&lt;wsp:rsid wsp:val=&quot;00B43A95&quot;/&gt;&lt;wsp:rsid wsp:val=&quot;00B46C01&quot;/&gt;&lt;wsp:rsid wsp:val=&quot;00BB333B&quot;/&gt;&lt;wsp:rsid wsp:val=&quot;00CA56FA&quot;/&gt;&lt;wsp:rsid wsp:val=&quot;00CB04C0&quot;/&gt;&lt;wsp:rsid wsp:val=&quot;00CB6DF1&quot;/&gt;&lt;wsp:rsid wsp:val=&quot;00CC2A59&quot;/&gt;&lt;wsp:rsid wsp:val=&quot;00CF2ACA&quot;/&gt;&lt;wsp:rsid wsp:val=&quot;00D4165D&quot;/&gt;&lt;wsp:rsid wsp:val=&quot;00D60A17&quot;/&gt;&lt;wsp:rsid wsp:val=&quot;00D64243&quot;/&gt;&lt;wsp:rsid wsp:val=&quot;00D70AC2&quot;/&gt;&lt;wsp:rsid wsp:val=&quot;00E60ECF&quot;/&gt;&lt;wsp:rsid wsp:val=&quot;00EC30E9&quot;/&gt;&lt;wsp:rsid wsp:val=&quot;00ED1A4B&quot;/&gt;&lt;wsp:rsid wsp:val=&quot;00EF51DC&quot;/&gt;&lt;wsp:rsid wsp:val=&quot;00F83540&quot;/&gt;&lt;/wsp:rsids&gt;&lt;/w:docPr&gt;&lt;w:body&gt;&lt;wx:sect&gt;&lt;w:p wsp:rsidR=&quot;00000000&quot; wsp:rsidRDefault=&quot;00232FBA&quot; wsp:rsidP=&quot;00232FBA&quot;&gt;&lt;m:oMathPara&gt;&lt;m:oMath&gt;&lt;m:sSub&gt;&lt;m:sSubPr&gt;&lt;m:ctrlPr&gt;&lt;aml:annotation aml:id=&quot;0&quot; w:type=&quot;Word.Insertion&quot; aml:author=&quot;peng gongxun&quot; aml:createdate=&quot;2021-07-12T15:26:00Z&quot;&gt;&lt;aml:content&gt;&lt;w:rPr&gt;&lt;w:rFonts w:ascii=&quot;Cambria Math&quot; w:fareast=&quot;妤蜂綋&quot; w:h-asidsidsidsidsidsidsidsidsidsidsidsidsidsidsidsidsidsidsidsidsidsidsidsidsidsidsidsidsidsidsidnsi=&quot;Cambria Math&quot;/&gt;&lt;wx:font wx:val=&quot;Cambria Math&quot;/&gt;&lt;w:i/&gt;&lt;w:color w:val=&quot;000000&quot;/&gt;&lt;w:sz-cs w:val=&quot;21&quot;/&gt;&lt;/w:rPr&gt;&lt;/aml:content&gt;&lt;/aml:annotation&gt;&lt;/m:ctrlPr&gt;&lt;/m:sSubPr&gt;&lt;m:e&gt;&lt;m:r&gt;&lt;aml:annotation aml:id=&quot;1&quot; w:type=&quot;Word.Insertion&quot; aml:author=&quot;peng gongxun&quot; aml:createdate=&quot;2021-07-12T15:26:00Z&quot;&gt;&lt;aml:content&gt;&lt;w:rPr&gt;&lt;w:rFonts w:ascii=&quot;Cambria Math&quot; w:fareast=&quot;妤蜂綋&quot; w:h-ansi=&quot;Cambria Math&quot;/&gt;&lt;wx:font wx:val=&quot;Cambria Math&quot;/&gt;&lt;Pr&gt;w:i&lt;m:/&gt;&lt;e&gt;&lt;w:cm:rolo&gt;&lt;ar wml::vaannl=&quot;ota000tio000n a&quot;/&gt;ml:&lt;w:id=sz-&quot;1&quot;cs  w:w:vtypal=e=&quot;&quot;21Wor&quot;/&gt;d.I&lt;amnsel:artinnoon&quot;tat amionl:a amuthl:ior=d=&quot;&quot;pe2&quot; ng w:tgonypegxu=&quot;Wn&quot; ordaml.Formatting&quot; aml:author=&quot;peng gongxun&quot; aml:createdate=&quot;2021-07-12T15:26:00Z&quot;&gt;&lt;aml:content&gt;&lt;w:rPr&gt;&lt;w:rFonts w:ascii=&quot;Cambria Math&quot; w:fareast=&quot;妤蜂綋&quot;1&quot;&quot; w:h- w:ansi=&quot;typCambrie=&quot;a MathWor&quot;/&gt;&lt;wxd.I:font nsewx:valrti=&quot;Cambon&quot;ria Ma amth&quot;/&gt;&lt;l:aw:i/&gt;&lt;uthw:coloor=r w:va&quot;pel=&quot;000ng 000&quot;/&gt;gon&lt;w:sz-gxucs w:vn&quot; al=&quot;21aml&quot;/&gt;&lt;/w:rPr&gt;&lt;/aml:c00Zontentaml&gt;&lt;/amlnte:annot&lt;w:ation&gt;&gt;&lt;w&lt;/w:rPontr&gt;&lt;m:t:as&gt;P&lt;/m:=&quot;Ct&gt;&lt;/amrial:contth&quot;ent&gt;&lt;/faraml:ant=&quot;notation&gt;&lt;/m:r&gt;&lt;/m:e&gt;&lt;m:sub&gt;&lt;m:r&gt;&lt;aml:annotation aml:id=&quot;3&quot; w:type=&quot;Word.Insertion&quot; aml:author=&quot;peng gongxun&quot; aml:createdate=&quot;2021-07-12T15:26:00Z&quot;&gt;&lt;aml:content&gt;&lt;w:rPr&gt;&lt;w:rFonts w:ascii=&quot;Cambria Math&quot; w:fareast=&quot;妤蜂綋&quot;=&quot;C w:h-ansiria=&quot;Cambriath&quot; Math&quot;/&gt;&lt;farwx:font wt=&quot;x:val=&quot;Caon&gt;mbria Mat&lt;/mh&quot;/&gt;&lt;w:i/sub&gt;&lt;w:color&lt;am w:val=&quot;0tat00000&quot;/&gt;&lt;l:iw:sz-cs ww:t:val=&quot;21&quot;ord/&gt;&lt;aml:antionotation :auaml:id=&quot;4pen&quot; w:type=conxun&quot;Word.w:rForcrematrFoting&quot; e=&quot;ascaml:authombr7-1r=&quot;penh&quot; g g6:0ongastxun&quot; aml:ml:createt&gt;&lt;date=&quot;202&lt;w:1-07-12T15:26:00Z&quot;&gt;&lt;aml:content&gt;&lt;w:rPr&gt;&lt;w:rFonts w:ascii=&quot;Cambria Math&quot; w:fareast=&quot;妤蜂at綋&quot; w:h-ansil:i=&quot;Cambria Maw:tth&quot;/&gt;&lt;wx:fonordt wx:val=&quot;Catiomconbria Math&quot;/:w:rau&gt;&lt;w:i/&gt;&lt;w:rFocopenlor w:vascal=&quot;0xun0000mbr0&quot;/&gt;&lt;w:screzh&quot; -cs w:val=&quot;east=&quot;21&quot;/&gt;&lt;/w:rml:Pr7-1&gt;&lt;/aml:datconte6:0nt&gt;&lt;1-0/aml:annml:o6:0tation&gt;&lt;/w:tcon&gt;&lt;rPr&gt;&lt;m:t&gt;5Pr&gt;0&lt;&lt;w:/m:t&gt;&lt;/ w:aml:content&gt;mbr&lt;/aml:annotaw:ftion&gt;&lt;/m:r&gt;&lt;/mt: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64" chromakey="#FFFFFF" o:title=""/>
            <o:lock v:ext="edit" aspectratio="t"/>
            <w10:wrap type="none"/>
            <w10:anchorlock/>
          </v:shape>
        </w:pict>
      </w:r>
      <w:r>
        <w:rPr>
          <w:rFonts w:ascii="Times New Roman" w:hAnsi="Times New Roman" w:eastAsia="宋体"/>
          <w:color w:val="auto"/>
          <w:szCs w:val="21"/>
          <w:highlight w:val="none"/>
        </w:rPr>
        <w:fldChar w:fldCharType="end"/>
      </w:r>
      <w:r>
        <w:rPr>
          <w:rFonts w:hint="eastAsia" w:ascii="Times New Roman" w:hAnsi="Times New Roman" w:eastAsia="宋体"/>
          <w:color w:val="auto"/>
          <w:szCs w:val="21"/>
          <w:highlight w:val="none"/>
        </w:rPr>
        <w:t>——绘制</w:t>
      </w:r>
      <w:r>
        <w:rPr>
          <w:rFonts w:ascii="Times New Roman" w:hAnsi="Times New Roman" w:eastAsia="宋体"/>
          <w:i/>
          <w:iCs/>
          <w:color w:val="auto"/>
          <w:szCs w:val="21"/>
          <w:highlight w:val="none"/>
        </w:rPr>
        <w:t>D</w:t>
      </w:r>
      <w:r>
        <w:rPr>
          <w:rFonts w:ascii="Times New Roman" w:hAnsi="Times New Roman" w:eastAsia="宋体"/>
          <w:color w:val="auto"/>
          <w:szCs w:val="21"/>
          <w:highlight w:val="none"/>
          <w:vertAlign w:val="subscript"/>
        </w:rPr>
        <w:t>e</w:t>
      </w:r>
      <w:r>
        <w:rPr>
          <w:rFonts w:ascii="Times New Roman" w:hAnsi="Times New Roman" w:eastAsia="宋体"/>
          <w:color w:val="auto"/>
          <w:szCs w:val="21"/>
          <w:highlight w:val="none"/>
          <w:vertAlign w:val="superscript"/>
        </w:rPr>
        <w:t>2</w:t>
      </w:r>
      <w:r>
        <w:rPr>
          <w:rFonts w:ascii="Times New Roman" w:hAnsi="Times New Roman" w:eastAsia="宋体"/>
          <w:color w:val="auto"/>
          <w:szCs w:val="21"/>
          <w:highlight w:val="none"/>
        </w:rPr>
        <w:t xml:space="preserve"> -</w:t>
      </w:r>
      <w:r>
        <w:rPr>
          <w:rFonts w:ascii="Times New Roman" w:hAnsi="Times New Roman" w:eastAsia="宋体"/>
          <w:i/>
          <w:iCs/>
          <w:color w:val="auto"/>
          <w:szCs w:val="21"/>
          <w:highlight w:val="none"/>
        </w:rPr>
        <w:t>P</w:t>
      </w:r>
      <w:r>
        <w:rPr>
          <w:rFonts w:hint="eastAsia" w:ascii="Times New Roman" w:hAnsi="Times New Roman" w:eastAsia="宋体"/>
          <w:color w:val="auto"/>
          <w:szCs w:val="21"/>
          <w:highlight w:val="none"/>
        </w:rPr>
        <w:t>曲线，</w:t>
      </w:r>
      <w:r>
        <w:rPr>
          <w:rFonts w:ascii="Times New Roman" w:hAnsi="Times New Roman" w:eastAsia="宋体"/>
          <w:i/>
          <w:iCs/>
          <w:color w:val="auto"/>
          <w:szCs w:val="21"/>
          <w:highlight w:val="none"/>
        </w:rPr>
        <w:t>D</w:t>
      </w:r>
      <w:r>
        <w:rPr>
          <w:rFonts w:ascii="Times New Roman" w:hAnsi="Times New Roman" w:eastAsia="宋体"/>
          <w:color w:val="auto"/>
          <w:szCs w:val="21"/>
          <w:highlight w:val="none"/>
          <w:vertAlign w:val="subscript"/>
        </w:rPr>
        <w:t>e</w:t>
      </w:r>
      <w:r>
        <w:rPr>
          <w:rFonts w:ascii="Times New Roman" w:hAnsi="Times New Roman" w:eastAsia="宋体"/>
          <w:color w:val="auto"/>
          <w:szCs w:val="21"/>
          <w:highlight w:val="none"/>
        </w:rPr>
        <w:t>=50mm</w:t>
      </w:r>
      <w:r>
        <w:rPr>
          <w:rFonts w:hint="eastAsia" w:ascii="Times New Roman" w:hAnsi="Times New Roman" w:eastAsia="宋体"/>
          <w:color w:val="auto"/>
          <w:szCs w:val="21"/>
          <w:highlight w:val="none"/>
        </w:rPr>
        <w:t>所对应的破坏荷载</w:t>
      </w:r>
      <w:r>
        <w:rPr>
          <w:rFonts w:ascii="Times New Roman" w:hAnsi="Times New Roman" w:eastAsia="宋体"/>
          <w:color w:val="auto"/>
          <w:szCs w:val="21"/>
          <w:highlight w:val="none"/>
        </w:rPr>
        <w:t>(N)</w:t>
      </w:r>
      <w:r>
        <w:rPr>
          <w:rFonts w:hint="eastAsia" w:ascii="Times New Roman" w:hAnsi="Times New Roman" w:eastAsia="宋体"/>
          <w:color w:val="auto"/>
          <w:szCs w:val="21"/>
          <w:highlight w:val="none"/>
        </w:rPr>
        <w:t>。</w:t>
      </w:r>
    </w:p>
    <w:p>
      <w:pPr>
        <w:tabs>
          <w:tab w:val="left" w:pos="709"/>
        </w:tabs>
        <w:spacing w:line="360" w:lineRule="auto"/>
        <w:rPr>
          <w:rFonts w:ascii="Times New Roman" w:hAnsi="Times New Roman" w:eastAsia="宋体"/>
          <w:color w:val="auto"/>
          <w:szCs w:val="21"/>
          <w:highlight w:val="none"/>
        </w:rPr>
      </w:pPr>
      <w:r>
        <w:rPr>
          <w:rFonts w:ascii="Times New Roman" w:hAnsi="Times New Roman" w:eastAsia="宋体"/>
          <w:color w:val="auto"/>
          <w:sz w:val="18"/>
          <w:szCs w:val="18"/>
          <w:highlight w:val="none"/>
        </w:rPr>
        <w:tab/>
      </w:r>
      <w:r>
        <w:rPr>
          <w:rFonts w:ascii="Times New Roman" w:hAnsi="Times New Roman" w:eastAsia="宋体"/>
          <w:i/>
          <w:iCs/>
          <w:color w:val="auto"/>
          <w:szCs w:val="21"/>
          <w:highlight w:val="none"/>
        </w:rPr>
        <w:t>D</w:t>
      </w:r>
      <w:r>
        <w:rPr>
          <w:rFonts w:ascii="Times New Roman" w:hAnsi="Times New Roman" w:eastAsia="宋体"/>
          <w:color w:val="auto"/>
          <w:szCs w:val="21"/>
          <w:highlight w:val="none"/>
          <w:vertAlign w:val="subscript"/>
        </w:rPr>
        <w:t>e</w:t>
      </w:r>
      <w:r>
        <w:rPr>
          <w:rFonts w:hint="eastAsia" w:ascii="Times New Roman" w:hAnsi="Times New Roman" w:eastAsia="宋体"/>
          <w:color w:val="auto"/>
          <w:szCs w:val="21"/>
          <w:highlight w:val="none"/>
        </w:rPr>
        <w:t>——等价岩芯直径</w:t>
      </w:r>
      <w:r>
        <w:rPr>
          <w:rFonts w:ascii="Times New Roman" w:hAnsi="Times New Roman" w:eastAsia="宋体"/>
          <w:color w:val="auto"/>
          <w:szCs w:val="21"/>
          <w:highlight w:val="none"/>
        </w:rPr>
        <w:t>(mm)</w:t>
      </w:r>
      <w:r>
        <w:rPr>
          <w:rFonts w:hint="eastAsia" w:ascii="Times New Roman" w:hAnsi="Times New Roman" w:eastAsia="宋体"/>
          <w:color w:val="auto"/>
          <w:szCs w:val="21"/>
          <w:highlight w:val="none"/>
        </w:rPr>
        <w:t>。具体参照《工程岩体试验方法标准》</w:t>
      </w:r>
      <w:r>
        <w:rPr>
          <w:rFonts w:ascii="Times New Roman" w:hAnsi="Times New Roman" w:eastAsia="宋体"/>
          <w:color w:val="auto"/>
          <w:szCs w:val="21"/>
          <w:highlight w:val="none"/>
        </w:rPr>
        <w:t>GB/T 50266</w:t>
      </w:r>
      <w:r>
        <w:rPr>
          <w:rFonts w:hint="eastAsia" w:ascii="Times New Roman" w:hAnsi="Times New Roman" w:eastAsia="宋体"/>
          <w:color w:val="auto"/>
          <w:szCs w:val="21"/>
          <w:highlight w:val="none"/>
        </w:rPr>
        <w:t>相关规定</w:t>
      </w:r>
      <w:r>
        <w:rPr>
          <w:rFonts w:ascii="Times New Roman" w:hAnsi="Times New Roman" w:eastAsia="宋体"/>
          <w:color w:val="auto"/>
          <w:szCs w:val="21"/>
          <w:highlight w:val="none"/>
        </w:rPr>
        <w:t>确定</w:t>
      </w:r>
      <w:r>
        <w:rPr>
          <w:rFonts w:hint="eastAsia" w:ascii="Times New Roman" w:hAnsi="Times New Roman" w:eastAsia="宋体"/>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lang w:val="en-US" w:eastAsia="zh-CN"/>
        </w:rPr>
        <w:t>因而，</w:t>
      </w:r>
      <w:r>
        <w:rPr>
          <w:rFonts w:ascii="Times New Roman" w:hAnsi="Times New Roman" w:eastAsia="宋体"/>
          <w:color w:val="auto"/>
          <w:szCs w:val="21"/>
          <w:highlight w:val="none"/>
        </w:rPr>
        <w:t>当无法取得单轴抗压强度数据时，</w:t>
      </w:r>
      <w:r>
        <w:rPr>
          <w:rFonts w:hint="eastAsia" w:ascii="Times New Roman" w:hAnsi="Times New Roman" w:eastAsia="宋体"/>
          <w:color w:val="auto"/>
          <w:szCs w:val="21"/>
          <w:highlight w:val="none"/>
          <w:lang w:val="en-US" w:eastAsia="zh-CN"/>
        </w:rPr>
        <w:t>也</w:t>
      </w:r>
      <w:r>
        <w:rPr>
          <w:rFonts w:ascii="Times New Roman" w:hAnsi="Times New Roman" w:eastAsia="宋体"/>
          <w:color w:val="auto"/>
          <w:szCs w:val="21"/>
          <w:highlight w:val="none"/>
        </w:rPr>
        <w:t>可用</w:t>
      </w:r>
      <w:r>
        <w:rPr>
          <w:rFonts w:ascii="Times New Roman" w:hAnsi="Times New Roman" w:eastAsia="宋体"/>
          <w:i/>
          <w:iCs/>
          <w:color w:val="auto"/>
          <w:spacing w:val="1"/>
          <w:kern w:val="0"/>
          <w:szCs w:val="21"/>
          <w:highlight w:val="none"/>
        </w:rPr>
        <w:t>I</w:t>
      </w:r>
      <w:r>
        <w:rPr>
          <w:rFonts w:ascii="Times New Roman" w:hAnsi="Times New Roman" w:eastAsia="宋体"/>
          <w:color w:val="auto"/>
          <w:spacing w:val="1"/>
          <w:kern w:val="0"/>
          <w:szCs w:val="21"/>
          <w:highlight w:val="none"/>
          <w:vertAlign w:val="subscript"/>
        </w:rPr>
        <w:t>s(50)</w:t>
      </w:r>
      <w:r>
        <w:rPr>
          <w:rFonts w:hint="eastAsia" w:ascii="Times New Roman" w:hAnsi="Times New Roman" w:eastAsia="宋体"/>
          <w:color w:val="auto"/>
          <w:szCs w:val="21"/>
          <w:highlight w:val="none"/>
        </w:rPr>
        <w:t>按</w:t>
      </w:r>
      <w:r>
        <w:rPr>
          <w:rFonts w:ascii="Times New Roman" w:hAnsi="Times New Roman" w:eastAsia="宋体"/>
          <w:color w:val="auto"/>
          <w:szCs w:val="21"/>
          <w:highlight w:val="none"/>
        </w:rPr>
        <w:t>表4-</w:t>
      </w:r>
      <w:r>
        <w:rPr>
          <w:rFonts w:hint="eastAsia" w:ascii="Times New Roman" w:hAnsi="Times New Roman" w:eastAsia="宋体"/>
          <w:color w:val="auto"/>
          <w:szCs w:val="21"/>
          <w:highlight w:val="none"/>
          <w:lang w:val="en-US" w:eastAsia="zh-CN"/>
        </w:rPr>
        <w:t>2</w:t>
      </w:r>
      <w:r>
        <w:rPr>
          <w:rFonts w:hint="eastAsia" w:ascii="Times New Roman" w:hAnsi="Times New Roman" w:eastAsia="宋体"/>
          <w:color w:val="auto"/>
          <w:szCs w:val="21"/>
          <w:highlight w:val="none"/>
        </w:rPr>
        <w:t>划分</w:t>
      </w:r>
      <w:r>
        <w:rPr>
          <w:rFonts w:ascii="Times New Roman" w:hAnsi="Times New Roman" w:eastAsia="宋体"/>
          <w:color w:val="auto"/>
          <w:szCs w:val="21"/>
          <w:highlight w:val="none"/>
        </w:rPr>
        <w:t>岩石坚硬程度。</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Times New Roman" w:hAnsi="Times New Roman" w:eastAsia="宋体"/>
          <w:b/>
          <w:color w:val="auto"/>
          <w:szCs w:val="21"/>
          <w:highlight w:val="none"/>
          <w:lang w:eastAsia="zh-CN"/>
        </w:rPr>
      </w:pPr>
      <w:r>
        <w:rPr>
          <w:rFonts w:ascii="Times New Roman" w:hAnsi="Times New Roman" w:eastAsia="宋体"/>
          <w:b/>
          <w:color w:val="auto"/>
          <w:szCs w:val="21"/>
          <w:highlight w:val="none"/>
        </w:rPr>
        <w:t>表4-</w:t>
      </w:r>
      <w:r>
        <w:rPr>
          <w:rFonts w:hint="eastAsia" w:ascii="Times New Roman" w:hAnsi="Times New Roman" w:eastAsia="宋体"/>
          <w:b/>
          <w:color w:val="auto"/>
          <w:szCs w:val="21"/>
          <w:highlight w:val="none"/>
          <w:lang w:val="en-US" w:eastAsia="zh-CN"/>
        </w:rPr>
        <w:t>2</w:t>
      </w:r>
      <w:r>
        <w:rPr>
          <w:rFonts w:ascii="Times New Roman" w:hAnsi="Times New Roman" w:eastAsia="宋体"/>
          <w:b/>
          <w:color w:val="auto"/>
          <w:szCs w:val="21"/>
          <w:highlight w:val="none"/>
        </w:rPr>
        <w:t xml:space="preserve"> 岩石坚硬程度的</w:t>
      </w:r>
      <w:r>
        <w:rPr>
          <w:rFonts w:hint="eastAsia" w:ascii="Times New Roman" w:hAnsi="Times New Roman" w:eastAsia="宋体"/>
          <w:b/>
          <w:color w:val="auto"/>
          <w:szCs w:val="21"/>
          <w:highlight w:val="none"/>
          <w:lang w:val="en-US" w:eastAsia="zh-CN"/>
        </w:rPr>
        <w:t>分类</w:t>
      </w:r>
    </w:p>
    <w:tbl>
      <w:tblPr>
        <w:tblStyle w:val="22"/>
        <w:tblW w:w="82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314"/>
        <w:gridCol w:w="1314"/>
        <w:gridCol w:w="1314"/>
        <w:gridCol w:w="1314"/>
        <w:gridCol w:w="13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717" w:type="dxa"/>
            <w:tcBorders>
              <w:tl2br w:val="nil"/>
              <w:tr2bl w:val="nil"/>
            </w:tcBorders>
          </w:tcPr>
          <w:p>
            <w:pPr>
              <w:ind w:left="-90" w:leftChars="-43" w:firstLine="202" w:firstLineChars="100"/>
              <w:jc w:val="center"/>
              <w:rPr>
                <w:rFonts w:ascii="Times New Roman" w:hAnsi="Times New Roman" w:eastAsia="宋体"/>
                <w:color w:val="auto"/>
                <w:spacing w:val="1"/>
                <w:kern w:val="0"/>
                <w:sz w:val="20"/>
                <w:szCs w:val="16"/>
                <w:highlight w:val="none"/>
              </w:rPr>
            </w:pPr>
            <w:r>
              <w:rPr>
                <w:rFonts w:ascii="Times New Roman" w:hAnsi="Times New Roman" w:eastAsia="宋体"/>
                <w:color w:val="auto"/>
                <w:spacing w:val="1"/>
                <w:kern w:val="0"/>
                <w:sz w:val="20"/>
                <w:szCs w:val="16"/>
                <w:highlight w:val="none"/>
              </w:rPr>
              <w:t>坚硬程度</w:t>
            </w:r>
          </w:p>
        </w:tc>
        <w:tc>
          <w:tcPr>
            <w:tcW w:w="1314" w:type="dxa"/>
            <w:tcBorders>
              <w:tl2br w:val="nil"/>
              <w:tr2bl w:val="nil"/>
            </w:tcBorders>
            <w:vAlign w:val="center"/>
          </w:tcPr>
          <w:p>
            <w:pPr>
              <w:ind w:left="-90" w:leftChars="-43" w:firstLine="202" w:firstLineChars="100"/>
              <w:jc w:val="center"/>
              <w:rPr>
                <w:rFonts w:ascii="Times New Roman" w:hAnsi="Times New Roman" w:eastAsia="宋体"/>
                <w:color w:val="auto"/>
                <w:sz w:val="20"/>
                <w:szCs w:val="16"/>
                <w:highlight w:val="none"/>
              </w:rPr>
            </w:pPr>
            <w:r>
              <w:rPr>
                <w:rFonts w:ascii="Times New Roman" w:hAnsi="Times New Roman" w:eastAsia="宋体"/>
                <w:color w:val="auto"/>
                <w:spacing w:val="1"/>
                <w:kern w:val="0"/>
                <w:sz w:val="20"/>
                <w:szCs w:val="16"/>
                <w:highlight w:val="none"/>
              </w:rPr>
              <w:t>坚硬岩</w:t>
            </w:r>
          </w:p>
        </w:tc>
        <w:tc>
          <w:tcPr>
            <w:tcW w:w="1314" w:type="dxa"/>
            <w:tcBorders>
              <w:tl2br w:val="nil"/>
              <w:tr2bl w:val="nil"/>
            </w:tcBorders>
            <w:vAlign w:val="center"/>
          </w:tcPr>
          <w:p>
            <w:pPr>
              <w:ind w:left="-90" w:leftChars="-43" w:firstLine="202" w:firstLineChars="100"/>
              <w:jc w:val="center"/>
              <w:rPr>
                <w:rFonts w:ascii="Times New Roman" w:hAnsi="Times New Roman" w:eastAsia="宋体"/>
                <w:color w:val="auto"/>
                <w:sz w:val="20"/>
                <w:szCs w:val="16"/>
                <w:highlight w:val="none"/>
              </w:rPr>
            </w:pPr>
            <w:r>
              <w:rPr>
                <w:rFonts w:ascii="Times New Roman" w:hAnsi="Times New Roman" w:eastAsia="宋体"/>
                <w:color w:val="auto"/>
                <w:spacing w:val="1"/>
                <w:kern w:val="0"/>
                <w:sz w:val="20"/>
                <w:szCs w:val="16"/>
                <w:highlight w:val="none"/>
              </w:rPr>
              <w:t>较硬岩</w:t>
            </w:r>
          </w:p>
        </w:tc>
        <w:tc>
          <w:tcPr>
            <w:tcW w:w="1314" w:type="dxa"/>
            <w:tcBorders>
              <w:tl2br w:val="nil"/>
              <w:tr2bl w:val="nil"/>
            </w:tcBorders>
            <w:vAlign w:val="center"/>
          </w:tcPr>
          <w:p>
            <w:pPr>
              <w:ind w:left="-90" w:leftChars="-43" w:firstLine="202" w:firstLineChars="100"/>
              <w:jc w:val="center"/>
              <w:rPr>
                <w:rFonts w:ascii="Times New Roman" w:hAnsi="Times New Roman" w:eastAsia="宋体"/>
                <w:color w:val="auto"/>
                <w:sz w:val="20"/>
                <w:szCs w:val="16"/>
                <w:highlight w:val="none"/>
              </w:rPr>
            </w:pPr>
            <w:r>
              <w:rPr>
                <w:rFonts w:ascii="Times New Roman" w:hAnsi="Times New Roman" w:eastAsia="宋体"/>
                <w:color w:val="auto"/>
                <w:spacing w:val="1"/>
                <w:kern w:val="0"/>
                <w:sz w:val="20"/>
                <w:szCs w:val="16"/>
                <w:highlight w:val="none"/>
              </w:rPr>
              <w:t>较软岩</w:t>
            </w:r>
          </w:p>
        </w:tc>
        <w:tc>
          <w:tcPr>
            <w:tcW w:w="1314" w:type="dxa"/>
            <w:tcBorders>
              <w:tl2br w:val="nil"/>
              <w:tr2bl w:val="nil"/>
            </w:tcBorders>
            <w:vAlign w:val="center"/>
          </w:tcPr>
          <w:p>
            <w:pPr>
              <w:ind w:left="-90" w:leftChars="-43" w:firstLine="202" w:firstLineChars="100"/>
              <w:jc w:val="center"/>
              <w:rPr>
                <w:rFonts w:ascii="Times New Roman" w:hAnsi="Times New Roman" w:eastAsia="宋体"/>
                <w:color w:val="auto"/>
                <w:sz w:val="20"/>
                <w:szCs w:val="16"/>
                <w:highlight w:val="none"/>
              </w:rPr>
            </w:pPr>
            <w:r>
              <w:rPr>
                <w:rFonts w:ascii="Times New Roman" w:hAnsi="Times New Roman" w:eastAsia="宋体"/>
                <w:color w:val="auto"/>
                <w:spacing w:val="1"/>
                <w:kern w:val="0"/>
                <w:sz w:val="20"/>
                <w:szCs w:val="16"/>
                <w:highlight w:val="none"/>
              </w:rPr>
              <w:t>软岩</w:t>
            </w:r>
          </w:p>
        </w:tc>
        <w:tc>
          <w:tcPr>
            <w:tcW w:w="1317" w:type="dxa"/>
            <w:tcBorders>
              <w:tl2br w:val="nil"/>
              <w:tr2bl w:val="nil"/>
            </w:tcBorders>
            <w:vAlign w:val="center"/>
          </w:tcPr>
          <w:p>
            <w:pPr>
              <w:ind w:left="-90" w:leftChars="-43" w:firstLine="202" w:firstLineChars="100"/>
              <w:jc w:val="center"/>
              <w:rPr>
                <w:rFonts w:ascii="Times New Roman" w:hAnsi="Times New Roman" w:eastAsia="宋体"/>
                <w:color w:val="auto"/>
                <w:sz w:val="20"/>
                <w:szCs w:val="16"/>
                <w:highlight w:val="none"/>
              </w:rPr>
            </w:pPr>
            <w:r>
              <w:rPr>
                <w:rFonts w:ascii="Times New Roman" w:hAnsi="Times New Roman" w:eastAsia="宋体"/>
                <w:color w:val="auto"/>
                <w:spacing w:val="1"/>
                <w:kern w:val="0"/>
                <w:sz w:val="20"/>
                <w:szCs w:val="16"/>
                <w:highlight w:val="none"/>
              </w:rPr>
              <w:t>极软岩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717" w:type="dxa"/>
            <w:tcBorders>
              <w:tl2br w:val="nil"/>
              <w:tr2bl w:val="nil"/>
            </w:tcBorders>
            <w:vAlign w:val="center"/>
          </w:tcPr>
          <w:p>
            <w:pPr>
              <w:ind w:left="-105" w:leftChars="-50"/>
              <w:jc w:val="center"/>
              <w:rPr>
                <w:rFonts w:ascii="Times New Roman" w:hAnsi="Times New Roman" w:eastAsia="宋体"/>
                <w:color w:val="auto"/>
                <w:spacing w:val="1"/>
                <w:kern w:val="0"/>
                <w:sz w:val="20"/>
                <w:szCs w:val="16"/>
                <w:highlight w:val="none"/>
                <w:vertAlign w:val="subscript"/>
              </w:rPr>
            </w:pPr>
            <w:r>
              <w:rPr>
                <w:rFonts w:ascii="Times New Roman" w:hAnsi="Times New Roman" w:eastAsia="宋体"/>
                <w:color w:val="auto"/>
                <w:spacing w:val="1"/>
                <w:kern w:val="0"/>
                <w:sz w:val="20"/>
                <w:szCs w:val="16"/>
                <w:highlight w:val="none"/>
              </w:rPr>
              <w:t>点荷载强度指数</w:t>
            </w:r>
            <w:r>
              <w:rPr>
                <w:rFonts w:ascii="Times New Roman" w:hAnsi="Times New Roman" w:eastAsia="宋体"/>
                <w:i/>
                <w:iCs/>
                <w:color w:val="auto"/>
                <w:spacing w:val="1"/>
                <w:kern w:val="0"/>
                <w:sz w:val="20"/>
                <w:szCs w:val="16"/>
                <w:highlight w:val="none"/>
              </w:rPr>
              <w:t>I</w:t>
            </w:r>
            <w:r>
              <w:rPr>
                <w:rFonts w:ascii="Times New Roman" w:hAnsi="Times New Roman" w:eastAsia="宋体"/>
                <w:color w:val="auto"/>
                <w:spacing w:val="1"/>
                <w:kern w:val="0"/>
                <w:sz w:val="20"/>
                <w:szCs w:val="16"/>
                <w:highlight w:val="none"/>
                <w:vertAlign w:val="subscript"/>
              </w:rPr>
              <w:t>s(50)</w:t>
            </w:r>
            <w:r>
              <w:rPr>
                <w:rFonts w:ascii="Times New Roman" w:hAnsi="Times New Roman" w:eastAsia="宋体"/>
                <w:color w:val="auto"/>
                <w:spacing w:val="1"/>
                <w:kern w:val="0"/>
                <w:sz w:val="20"/>
                <w:szCs w:val="16"/>
                <w:highlight w:val="none"/>
              </w:rPr>
              <w:t>（MPa）</w:t>
            </w:r>
          </w:p>
        </w:tc>
        <w:tc>
          <w:tcPr>
            <w:tcW w:w="1314" w:type="dxa"/>
            <w:tcBorders>
              <w:tl2br w:val="nil"/>
              <w:tr2bl w:val="nil"/>
            </w:tcBorders>
            <w:vAlign w:val="center"/>
          </w:tcPr>
          <w:p>
            <w:pPr>
              <w:jc w:val="center"/>
              <w:rPr>
                <w:rFonts w:ascii="Times New Roman" w:hAnsi="Times New Roman" w:eastAsia="宋体"/>
                <w:color w:val="auto"/>
                <w:sz w:val="20"/>
                <w:szCs w:val="16"/>
                <w:highlight w:val="none"/>
              </w:rPr>
            </w:pPr>
            <w:r>
              <w:rPr>
                <w:rFonts w:ascii="Times New Roman" w:hAnsi="Times New Roman" w:eastAsia="宋体"/>
                <w:i/>
                <w:iCs/>
                <w:color w:val="auto"/>
                <w:spacing w:val="1"/>
                <w:kern w:val="0"/>
                <w:sz w:val="20"/>
                <w:szCs w:val="16"/>
                <w:highlight w:val="none"/>
              </w:rPr>
              <w:t>I</w:t>
            </w:r>
            <w:r>
              <w:rPr>
                <w:rFonts w:ascii="Times New Roman" w:hAnsi="Times New Roman" w:eastAsia="宋体"/>
                <w:color w:val="auto"/>
                <w:spacing w:val="1"/>
                <w:kern w:val="0"/>
                <w:sz w:val="20"/>
                <w:szCs w:val="16"/>
                <w:highlight w:val="none"/>
                <w:vertAlign w:val="subscript"/>
              </w:rPr>
              <w:t>s(50)</w:t>
            </w:r>
            <w:r>
              <w:rPr>
                <w:rFonts w:ascii="Times New Roman" w:hAnsi="Times New Roman" w:eastAsia="宋体"/>
                <w:color w:val="auto"/>
                <w:sz w:val="20"/>
                <w:szCs w:val="16"/>
                <w:highlight w:val="none"/>
              </w:rPr>
              <w:t>＞</w:t>
            </w:r>
            <w:r>
              <w:rPr>
                <w:rFonts w:ascii="Times New Roman" w:hAnsi="Times New Roman" w:eastAsia="宋体"/>
                <w:color w:val="auto"/>
                <w:spacing w:val="1"/>
                <w:kern w:val="0"/>
                <w:sz w:val="20"/>
                <w:szCs w:val="16"/>
                <w:highlight w:val="none"/>
              </w:rPr>
              <w:t>3.63</w:t>
            </w:r>
          </w:p>
        </w:tc>
        <w:tc>
          <w:tcPr>
            <w:tcW w:w="1314" w:type="dxa"/>
            <w:tcBorders>
              <w:tl2br w:val="nil"/>
              <w:tr2bl w:val="nil"/>
            </w:tcBorders>
            <w:vAlign w:val="center"/>
          </w:tcPr>
          <w:p>
            <w:pPr>
              <w:jc w:val="center"/>
              <w:rPr>
                <w:rFonts w:ascii="Times New Roman" w:hAnsi="Times New Roman" w:eastAsia="宋体"/>
                <w:color w:val="auto"/>
                <w:spacing w:val="1"/>
                <w:kern w:val="0"/>
                <w:sz w:val="20"/>
                <w:szCs w:val="16"/>
                <w:highlight w:val="none"/>
              </w:rPr>
            </w:pPr>
            <w:r>
              <w:rPr>
                <w:rFonts w:ascii="Times New Roman" w:hAnsi="Times New Roman" w:eastAsia="宋体"/>
                <w:color w:val="auto"/>
                <w:spacing w:val="1"/>
                <w:kern w:val="0"/>
                <w:sz w:val="20"/>
                <w:szCs w:val="16"/>
                <w:highlight w:val="none"/>
              </w:rPr>
              <w:t>3.63</w:t>
            </w:r>
            <w:r>
              <w:rPr>
                <w:rFonts w:hint="eastAsia" w:ascii="宋体" w:hAnsi="宋体" w:eastAsia="宋体" w:cs="宋体"/>
                <w:color w:val="auto"/>
                <w:sz w:val="20"/>
                <w:szCs w:val="16"/>
                <w:highlight w:val="none"/>
              </w:rPr>
              <w:t>≥</w:t>
            </w:r>
            <w:r>
              <w:rPr>
                <w:rFonts w:ascii="Times New Roman" w:hAnsi="Times New Roman" w:eastAsia="宋体"/>
                <w:i/>
                <w:iCs/>
                <w:color w:val="auto"/>
                <w:spacing w:val="1"/>
                <w:kern w:val="0"/>
                <w:sz w:val="20"/>
                <w:szCs w:val="16"/>
                <w:highlight w:val="none"/>
              </w:rPr>
              <w:t>I</w:t>
            </w:r>
            <w:r>
              <w:rPr>
                <w:rFonts w:ascii="Times New Roman" w:hAnsi="Times New Roman" w:eastAsia="宋体"/>
                <w:color w:val="auto"/>
                <w:spacing w:val="1"/>
                <w:kern w:val="0"/>
                <w:sz w:val="20"/>
                <w:szCs w:val="16"/>
                <w:highlight w:val="none"/>
                <w:vertAlign w:val="subscript"/>
              </w:rPr>
              <w:t>s(50)</w:t>
            </w:r>
            <w:r>
              <w:rPr>
                <w:rFonts w:ascii="Times New Roman" w:hAnsi="Times New Roman" w:eastAsia="宋体"/>
                <w:color w:val="auto"/>
                <w:sz w:val="20"/>
                <w:szCs w:val="16"/>
                <w:highlight w:val="none"/>
              </w:rPr>
              <w:t>＞</w:t>
            </w:r>
            <w:r>
              <w:rPr>
                <w:rFonts w:ascii="Times New Roman" w:hAnsi="Times New Roman" w:eastAsia="宋体"/>
                <w:color w:val="auto"/>
                <w:spacing w:val="1"/>
                <w:kern w:val="0"/>
                <w:sz w:val="20"/>
                <w:szCs w:val="16"/>
                <w:highlight w:val="none"/>
              </w:rPr>
              <w:t>1.44</w:t>
            </w:r>
          </w:p>
        </w:tc>
        <w:tc>
          <w:tcPr>
            <w:tcW w:w="1314" w:type="dxa"/>
            <w:tcBorders>
              <w:tl2br w:val="nil"/>
              <w:tr2bl w:val="nil"/>
            </w:tcBorders>
            <w:vAlign w:val="center"/>
          </w:tcPr>
          <w:p>
            <w:pPr>
              <w:jc w:val="center"/>
              <w:rPr>
                <w:rFonts w:ascii="Times New Roman" w:hAnsi="Times New Roman" w:eastAsia="宋体"/>
                <w:color w:val="auto"/>
                <w:spacing w:val="1"/>
                <w:kern w:val="0"/>
                <w:sz w:val="20"/>
                <w:szCs w:val="16"/>
                <w:highlight w:val="none"/>
              </w:rPr>
            </w:pPr>
            <w:r>
              <w:rPr>
                <w:rFonts w:ascii="Times New Roman" w:hAnsi="Times New Roman" w:eastAsia="宋体"/>
                <w:color w:val="auto"/>
                <w:spacing w:val="1"/>
                <w:kern w:val="0"/>
                <w:sz w:val="20"/>
                <w:szCs w:val="16"/>
                <w:highlight w:val="none"/>
              </w:rPr>
              <w:t>1.44</w:t>
            </w:r>
            <w:r>
              <w:rPr>
                <w:rFonts w:hint="eastAsia" w:ascii="宋体" w:hAnsi="宋体" w:eastAsia="宋体" w:cs="宋体"/>
                <w:color w:val="auto"/>
                <w:sz w:val="20"/>
                <w:szCs w:val="16"/>
                <w:highlight w:val="none"/>
              </w:rPr>
              <w:t>≥</w:t>
            </w:r>
            <w:r>
              <w:rPr>
                <w:rFonts w:ascii="Times New Roman" w:hAnsi="Times New Roman" w:eastAsia="宋体"/>
                <w:i/>
                <w:iCs/>
                <w:color w:val="auto"/>
                <w:spacing w:val="1"/>
                <w:kern w:val="0"/>
                <w:sz w:val="20"/>
                <w:szCs w:val="16"/>
                <w:highlight w:val="none"/>
              </w:rPr>
              <w:t>I</w:t>
            </w:r>
            <w:r>
              <w:rPr>
                <w:rFonts w:ascii="Times New Roman" w:hAnsi="Times New Roman" w:eastAsia="宋体"/>
                <w:color w:val="auto"/>
                <w:spacing w:val="1"/>
                <w:kern w:val="0"/>
                <w:sz w:val="20"/>
                <w:szCs w:val="16"/>
                <w:highlight w:val="none"/>
                <w:vertAlign w:val="subscript"/>
              </w:rPr>
              <w:t>s(50)</w:t>
            </w:r>
            <w:r>
              <w:rPr>
                <w:rFonts w:ascii="Times New Roman" w:hAnsi="Times New Roman" w:eastAsia="宋体"/>
                <w:color w:val="auto"/>
                <w:sz w:val="20"/>
                <w:szCs w:val="16"/>
                <w:highlight w:val="none"/>
              </w:rPr>
              <w:t>＞</w:t>
            </w:r>
            <w:r>
              <w:rPr>
                <w:rFonts w:ascii="Times New Roman" w:hAnsi="Times New Roman" w:eastAsia="宋体"/>
                <w:color w:val="auto"/>
                <w:spacing w:val="1"/>
                <w:kern w:val="0"/>
                <w:sz w:val="20"/>
                <w:szCs w:val="16"/>
                <w:highlight w:val="none"/>
              </w:rPr>
              <w:t>0.57</w:t>
            </w:r>
          </w:p>
        </w:tc>
        <w:tc>
          <w:tcPr>
            <w:tcW w:w="1314" w:type="dxa"/>
            <w:tcBorders>
              <w:tl2br w:val="nil"/>
              <w:tr2bl w:val="nil"/>
            </w:tcBorders>
            <w:vAlign w:val="center"/>
          </w:tcPr>
          <w:p>
            <w:pPr>
              <w:jc w:val="center"/>
              <w:rPr>
                <w:rFonts w:ascii="Times New Roman" w:hAnsi="Times New Roman" w:eastAsia="宋体"/>
                <w:color w:val="auto"/>
                <w:spacing w:val="1"/>
                <w:kern w:val="0"/>
                <w:sz w:val="20"/>
                <w:szCs w:val="16"/>
                <w:highlight w:val="none"/>
              </w:rPr>
            </w:pPr>
            <w:r>
              <w:rPr>
                <w:rFonts w:ascii="Times New Roman" w:hAnsi="Times New Roman" w:eastAsia="宋体"/>
                <w:color w:val="auto"/>
                <w:spacing w:val="1"/>
                <w:kern w:val="0"/>
                <w:sz w:val="20"/>
                <w:szCs w:val="16"/>
                <w:highlight w:val="none"/>
              </w:rPr>
              <w:t>0.57</w:t>
            </w:r>
            <w:r>
              <w:rPr>
                <w:rFonts w:hint="eastAsia" w:ascii="宋体" w:hAnsi="宋体" w:eastAsia="宋体" w:cs="宋体"/>
                <w:color w:val="auto"/>
                <w:sz w:val="20"/>
                <w:szCs w:val="16"/>
                <w:highlight w:val="none"/>
              </w:rPr>
              <w:t>≥</w:t>
            </w:r>
            <w:r>
              <w:rPr>
                <w:rFonts w:ascii="Times New Roman" w:hAnsi="Times New Roman" w:eastAsia="宋体"/>
                <w:i/>
                <w:iCs/>
                <w:color w:val="auto"/>
                <w:spacing w:val="1"/>
                <w:kern w:val="0"/>
                <w:sz w:val="20"/>
                <w:szCs w:val="16"/>
                <w:highlight w:val="none"/>
              </w:rPr>
              <w:t>I</w:t>
            </w:r>
            <w:r>
              <w:rPr>
                <w:rFonts w:ascii="Times New Roman" w:hAnsi="Times New Roman" w:eastAsia="宋体"/>
                <w:color w:val="auto"/>
                <w:spacing w:val="1"/>
                <w:kern w:val="0"/>
                <w:sz w:val="20"/>
                <w:szCs w:val="16"/>
                <w:highlight w:val="none"/>
                <w:vertAlign w:val="subscript"/>
              </w:rPr>
              <w:t>s(50)</w:t>
            </w:r>
            <w:r>
              <w:rPr>
                <w:rFonts w:ascii="Times New Roman" w:hAnsi="Times New Roman" w:eastAsia="宋体"/>
                <w:color w:val="auto"/>
                <w:sz w:val="20"/>
                <w:szCs w:val="16"/>
                <w:highlight w:val="none"/>
              </w:rPr>
              <w:t>＞</w:t>
            </w:r>
            <w:r>
              <w:rPr>
                <w:rFonts w:ascii="Times New Roman" w:hAnsi="Times New Roman" w:eastAsia="宋体"/>
                <w:color w:val="auto"/>
                <w:spacing w:val="1"/>
                <w:kern w:val="0"/>
                <w:sz w:val="20"/>
                <w:szCs w:val="16"/>
                <w:highlight w:val="none"/>
              </w:rPr>
              <w:t>0.13</w:t>
            </w:r>
          </w:p>
        </w:tc>
        <w:tc>
          <w:tcPr>
            <w:tcW w:w="1317" w:type="dxa"/>
            <w:tcBorders>
              <w:tl2br w:val="nil"/>
              <w:tr2bl w:val="nil"/>
            </w:tcBorders>
            <w:vAlign w:val="center"/>
          </w:tcPr>
          <w:p>
            <w:pPr>
              <w:jc w:val="center"/>
              <w:rPr>
                <w:rFonts w:hint="default" w:ascii="Times New Roman" w:hAnsi="Times New Roman" w:eastAsia="宋体"/>
                <w:color w:val="auto"/>
                <w:sz w:val="20"/>
                <w:szCs w:val="16"/>
                <w:highlight w:val="none"/>
                <w:lang w:val="en-US" w:eastAsia="zh-CN"/>
              </w:rPr>
            </w:pPr>
            <w:r>
              <w:rPr>
                <w:rFonts w:hint="eastAsia" w:ascii="Times New Roman" w:hAnsi="Times New Roman" w:eastAsia="宋体"/>
                <w:color w:val="auto"/>
                <w:sz w:val="20"/>
                <w:szCs w:val="16"/>
                <w:highlight w:val="none"/>
                <w:lang w:val="en-US" w:eastAsia="zh-CN"/>
              </w:rPr>
              <w:t>不适用</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b/>
          <w:bCs/>
          <w:color w:val="auto"/>
          <w:szCs w:val="21"/>
          <w:highlight w:val="none"/>
        </w:rPr>
      </w:pPr>
      <w:r>
        <w:rPr>
          <w:rFonts w:hint="eastAsia" w:ascii="Times New Roman" w:hAnsi="Times New Roman" w:eastAsia="宋体"/>
          <w:color w:val="auto"/>
          <w:kern w:val="0"/>
          <w:sz w:val="18"/>
          <w:szCs w:val="15"/>
          <w:highlight w:val="none"/>
          <w:lang w:val="en-US" w:eastAsia="zh-CN"/>
        </w:rPr>
        <w:t>注：</w:t>
      </w:r>
      <w:r>
        <w:rPr>
          <w:rFonts w:ascii="Times New Roman" w:hAnsi="Times New Roman" w:eastAsia="宋体"/>
          <w:color w:val="auto"/>
          <w:kern w:val="0"/>
          <w:sz w:val="18"/>
          <w:szCs w:val="15"/>
          <w:highlight w:val="none"/>
        </w:rPr>
        <w:t>当点荷载试验强度试验的试件非直径50mm的标准试件时，点荷载强度指数</w:t>
      </w:r>
      <w:r>
        <w:rPr>
          <w:rFonts w:ascii="Times New Roman" w:hAnsi="Times New Roman" w:eastAsia="宋体"/>
          <w:i/>
          <w:iCs/>
          <w:color w:val="auto"/>
          <w:spacing w:val="1"/>
          <w:kern w:val="0"/>
          <w:sz w:val="20"/>
          <w:szCs w:val="16"/>
          <w:highlight w:val="none"/>
        </w:rPr>
        <w:t>I</w:t>
      </w:r>
      <w:r>
        <w:rPr>
          <w:rFonts w:ascii="Times New Roman" w:hAnsi="Times New Roman" w:eastAsia="宋体"/>
          <w:color w:val="auto"/>
          <w:spacing w:val="1"/>
          <w:kern w:val="0"/>
          <w:sz w:val="20"/>
          <w:szCs w:val="16"/>
          <w:highlight w:val="none"/>
          <w:vertAlign w:val="subscript"/>
        </w:rPr>
        <w:t>s</w:t>
      </w:r>
      <w:r>
        <w:rPr>
          <w:rFonts w:ascii="Times New Roman" w:hAnsi="Times New Roman" w:eastAsia="宋体"/>
          <w:color w:val="auto"/>
          <w:kern w:val="0"/>
          <w:sz w:val="18"/>
          <w:szCs w:val="15"/>
          <w:highlight w:val="none"/>
        </w:rPr>
        <w:t>应按现行国家标准《工程岩体分级标准》GB 50218附录A换算成标准试件的点荷载强度指数。</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Times New Roman" w:hAnsi="Times New Roman" w:eastAsia="宋体"/>
          <w:color w:val="auto"/>
          <w:szCs w:val="21"/>
          <w:highlight w:val="none"/>
        </w:rPr>
      </w:pPr>
      <w:r>
        <w:rPr>
          <w:rFonts w:ascii="Times New Roman" w:hAnsi="Times New Roman" w:eastAsia="宋体"/>
          <w:b/>
          <w:bCs/>
          <w:color w:val="auto"/>
          <w:szCs w:val="21"/>
          <w:highlight w:val="none"/>
        </w:rPr>
        <w:t xml:space="preserve">2 </w:t>
      </w:r>
      <w:r>
        <w:rPr>
          <w:rFonts w:hint="eastAsia"/>
          <w:b/>
          <w:bCs/>
          <w:color w:val="auto"/>
          <w:szCs w:val="21"/>
          <w:highlight w:val="none"/>
          <w:lang w:val="en-US" w:eastAsia="zh-CN"/>
        </w:rPr>
        <w:t xml:space="preserve"> </w:t>
      </w:r>
      <w:r>
        <w:rPr>
          <w:rFonts w:ascii="Times New Roman" w:hAnsi="Times New Roman" w:eastAsia="宋体"/>
          <w:color w:val="auto"/>
          <w:szCs w:val="21"/>
          <w:highlight w:val="none"/>
        </w:rPr>
        <w:t>表4.1.4-2以国标《岩土工程勘察规范》GB 50021-2001（2009版）表A.0.1为基础，修正了原表中将未风化-微风化的砂质泥岩作为较软岩、未风化-微风化的泥质砂岩作为软岩的错误。</w:t>
      </w:r>
    </w:p>
    <w:p>
      <w:pPr>
        <w:spacing w:line="360" w:lineRule="auto"/>
        <w:rPr>
          <w:rFonts w:hint="default" w:ascii="Times New Roman" w:hAnsi="Times New Roman" w:eastAsia="宋体"/>
          <w:b w:val="0"/>
          <w:bCs w:val="0"/>
          <w:color w:val="auto"/>
          <w:szCs w:val="21"/>
          <w:highlight w:val="none"/>
          <w:lang w:val="en-US" w:eastAsia="zh-CN"/>
        </w:rPr>
      </w:pPr>
      <w:r>
        <w:rPr>
          <w:rFonts w:ascii="Times New Roman" w:hAnsi="Times New Roman" w:eastAsia="宋体"/>
          <w:b/>
          <w:bCs/>
          <w:color w:val="auto"/>
          <w:szCs w:val="21"/>
          <w:highlight w:val="none"/>
        </w:rPr>
        <w:t>4.1.</w:t>
      </w:r>
      <w:r>
        <w:rPr>
          <w:rFonts w:hint="eastAsia" w:ascii="Times New Roman" w:hAnsi="Times New Roman" w:eastAsia="宋体"/>
          <w:b/>
          <w:bCs/>
          <w:color w:val="auto"/>
          <w:szCs w:val="21"/>
          <w:highlight w:val="none"/>
          <w:lang w:val="en-US" w:eastAsia="zh-CN"/>
        </w:rPr>
        <w:t>5</w:t>
      </w:r>
      <w:r>
        <w:rPr>
          <w:rFonts w:hint="eastAsia"/>
          <w:b/>
          <w:bCs/>
          <w:color w:val="auto"/>
          <w:szCs w:val="21"/>
          <w:highlight w:val="none"/>
          <w:lang w:val="en-US" w:eastAsia="zh-CN"/>
        </w:rPr>
        <w:t xml:space="preserve"> </w:t>
      </w:r>
      <w:r>
        <w:rPr>
          <w:rFonts w:ascii="Times New Roman" w:hAnsi="Times New Roman" w:eastAsia="宋体"/>
          <w:b/>
          <w:bCs/>
          <w:color w:val="auto"/>
          <w:szCs w:val="21"/>
          <w:highlight w:val="none"/>
        </w:rPr>
        <w:t xml:space="preserve"> </w:t>
      </w:r>
      <w:r>
        <w:rPr>
          <w:rFonts w:hint="eastAsia" w:ascii="Times New Roman" w:hAnsi="Times New Roman" w:eastAsia="宋体"/>
          <w:b w:val="0"/>
          <w:bCs w:val="0"/>
          <w:color w:val="auto"/>
          <w:szCs w:val="21"/>
          <w:highlight w:val="none"/>
          <w:lang w:val="en-US" w:eastAsia="zh-CN"/>
        </w:rPr>
        <w:t>特殊性岩石包括软化岩石、易溶性岩石、膨胀性岩石、崩解性岩石、盐渍化岩石等。</w:t>
      </w:r>
    </w:p>
    <w:p>
      <w:pPr>
        <w:spacing w:line="360" w:lineRule="auto"/>
        <w:rPr>
          <w:rFonts w:hint="eastAsia" w:ascii="Times New Roman" w:hAnsi="Times New Roman" w:eastAsia="宋体"/>
          <w:b w:val="0"/>
          <w:bCs w:val="0"/>
          <w:color w:val="auto"/>
          <w:szCs w:val="21"/>
          <w:highlight w:val="none"/>
          <w:lang w:val="en-US" w:eastAsia="zh-CN"/>
        </w:rPr>
      </w:pPr>
      <w:r>
        <w:rPr>
          <w:rFonts w:ascii="Times New Roman" w:hAnsi="Times New Roman" w:eastAsia="宋体"/>
          <w:b/>
          <w:bCs/>
          <w:color w:val="auto"/>
          <w:szCs w:val="21"/>
          <w:highlight w:val="none"/>
        </w:rPr>
        <w:t xml:space="preserve">4.1.6 </w:t>
      </w:r>
      <w:r>
        <w:rPr>
          <w:rFonts w:hint="eastAsia"/>
          <w:b/>
          <w:bCs/>
          <w:color w:val="auto"/>
          <w:szCs w:val="21"/>
          <w:highlight w:val="none"/>
          <w:lang w:val="en-US" w:eastAsia="zh-CN"/>
        </w:rPr>
        <w:t xml:space="preserve"> </w:t>
      </w:r>
      <w:r>
        <w:rPr>
          <w:rFonts w:hint="eastAsia" w:ascii="Times New Roman" w:hAnsi="Times New Roman" w:eastAsia="宋体"/>
          <w:b w:val="0"/>
          <w:bCs w:val="0"/>
          <w:color w:val="auto"/>
          <w:szCs w:val="21"/>
          <w:highlight w:val="none"/>
          <w:lang w:val="en-US" w:eastAsia="zh-CN"/>
        </w:rPr>
        <w:t>就本条第1、4款说明如下：</w:t>
      </w:r>
    </w:p>
    <w:p>
      <w:pPr>
        <w:spacing w:line="360" w:lineRule="auto"/>
        <w:ind w:firstLine="422" w:firstLineChars="200"/>
        <w:rPr>
          <w:rFonts w:ascii="Times New Roman" w:hAnsi="Times New Roman" w:eastAsia="宋体"/>
          <w:color w:val="auto"/>
          <w:szCs w:val="21"/>
          <w:highlight w:val="none"/>
        </w:rPr>
      </w:pPr>
      <w:r>
        <w:rPr>
          <w:rFonts w:ascii="Times New Roman" w:hAnsi="Times New Roman" w:eastAsia="宋体"/>
          <w:b/>
          <w:bCs/>
          <w:color w:val="auto"/>
          <w:szCs w:val="21"/>
          <w:highlight w:val="none"/>
        </w:rPr>
        <w:t>1</w:t>
      </w:r>
      <w:r>
        <w:rPr>
          <w:rFonts w:hint="eastAsia"/>
          <w:b/>
          <w:bCs/>
          <w:color w:val="auto"/>
          <w:szCs w:val="21"/>
          <w:highlight w:val="none"/>
          <w:lang w:val="en-US" w:eastAsia="zh-CN"/>
        </w:rPr>
        <w:t xml:space="preserve"> </w:t>
      </w:r>
      <w:r>
        <w:rPr>
          <w:rFonts w:ascii="Times New Roman" w:hAnsi="Times New Roman" w:eastAsia="宋体"/>
          <w:color w:val="auto"/>
          <w:szCs w:val="21"/>
          <w:highlight w:val="none"/>
        </w:rPr>
        <w:t>关于</w:t>
      </w:r>
      <w:r>
        <w:rPr>
          <w:rFonts w:ascii="Times New Roman" w:hAnsi="Times New Roman" w:eastAsia="宋体"/>
          <w:i/>
          <w:iCs/>
          <w:color w:val="auto"/>
          <w:szCs w:val="21"/>
          <w:highlight w:val="none"/>
        </w:rPr>
        <w:t>V</w:t>
      </w:r>
      <w:r>
        <w:rPr>
          <w:rFonts w:ascii="Times New Roman" w:hAnsi="Times New Roman" w:eastAsia="宋体"/>
          <w:color w:val="auto"/>
          <w:szCs w:val="21"/>
          <w:highlight w:val="none"/>
          <w:vertAlign w:val="subscript"/>
        </w:rPr>
        <w:t>pm</w:t>
      </w:r>
      <w:r>
        <w:rPr>
          <w:rFonts w:ascii="Times New Roman" w:hAnsi="Times New Roman" w:eastAsia="宋体"/>
          <w:color w:val="auto"/>
          <w:szCs w:val="21"/>
          <w:highlight w:val="none"/>
        </w:rPr>
        <w:t>和</w:t>
      </w:r>
      <w:r>
        <w:rPr>
          <w:rFonts w:ascii="Times New Roman" w:hAnsi="Times New Roman" w:eastAsia="宋体"/>
          <w:i/>
          <w:iCs/>
          <w:color w:val="auto"/>
          <w:szCs w:val="21"/>
          <w:highlight w:val="none"/>
        </w:rPr>
        <w:t>V</w:t>
      </w:r>
      <w:r>
        <w:rPr>
          <w:rFonts w:ascii="Times New Roman" w:hAnsi="Times New Roman" w:eastAsia="宋体"/>
          <w:color w:val="auto"/>
          <w:szCs w:val="21"/>
          <w:highlight w:val="none"/>
          <w:vertAlign w:val="subscript"/>
        </w:rPr>
        <w:t>pr</w:t>
      </w:r>
      <w:r>
        <w:rPr>
          <w:rFonts w:ascii="Times New Roman" w:hAnsi="Times New Roman" w:eastAsia="宋体"/>
          <w:color w:val="auto"/>
          <w:szCs w:val="21"/>
          <w:highlight w:val="none"/>
        </w:rPr>
        <w:t>的测试对象，《岩土工程勘察规范》GB 50021仅强调要注意其</w:t>
      </w:r>
      <w:r>
        <w:rPr>
          <w:rFonts w:hint="eastAsia" w:ascii="宋体" w:hAnsi="宋体" w:eastAsia="宋体" w:cs="宋体"/>
          <w:color w:val="auto"/>
          <w:szCs w:val="21"/>
          <w:highlight w:val="none"/>
        </w:rPr>
        <w:t>“代表性”，</w:t>
      </w:r>
      <w:r>
        <w:rPr>
          <w:rFonts w:ascii="Times New Roman" w:hAnsi="Times New Roman" w:eastAsia="宋体"/>
          <w:color w:val="auto"/>
          <w:szCs w:val="21"/>
          <w:highlight w:val="none"/>
        </w:rPr>
        <w:t>表述不够清晰；而</w:t>
      </w:r>
      <w:r>
        <w:rPr>
          <w:rFonts w:ascii="Times New Roman" w:hAnsi="Times New Roman" w:eastAsia="宋体"/>
          <w:color w:val="auto"/>
          <w:szCs w:val="21"/>
          <w:highlight w:val="none"/>
          <w:lang w:val="zh-CN"/>
        </w:rPr>
        <w:t>《工程岩体分级标准》</w:t>
      </w:r>
      <w:r>
        <w:rPr>
          <w:rFonts w:ascii="Times New Roman" w:hAnsi="Times New Roman" w:eastAsia="宋体"/>
          <w:color w:val="auto"/>
          <w:szCs w:val="21"/>
          <w:highlight w:val="none"/>
        </w:rPr>
        <w:t>GB/T 50218的表述则相对明确，要求</w:t>
      </w:r>
      <w:r>
        <w:rPr>
          <w:rFonts w:hint="eastAsia" w:ascii="宋体" w:hAnsi="宋体" w:eastAsia="宋体" w:cs="宋体"/>
          <w:color w:val="auto"/>
          <w:szCs w:val="21"/>
          <w:highlight w:val="none"/>
        </w:rPr>
        <w:t>“应在（测试岩体弹性纵波速度的）同一岩体中取样，测试岩石弹性纵波波速”</w:t>
      </w:r>
      <w:r>
        <w:rPr>
          <w:rFonts w:ascii="Times New Roman" w:hAnsi="Times New Roman" w:eastAsia="宋体"/>
          <w:color w:val="auto"/>
          <w:szCs w:val="21"/>
          <w:highlight w:val="none"/>
        </w:rPr>
        <w:t>。按</w:t>
      </w:r>
      <w:r>
        <w:rPr>
          <w:rFonts w:ascii="Times New Roman" w:hAnsi="Times New Roman" w:eastAsia="宋体"/>
          <w:color w:val="auto"/>
          <w:szCs w:val="21"/>
          <w:highlight w:val="none"/>
          <w:lang w:val="zh-CN"/>
        </w:rPr>
        <w:t>《工程岩体分级标准》</w:t>
      </w:r>
      <w:r>
        <w:rPr>
          <w:rFonts w:ascii="Times New Roman" w:hAnsi="Times New Roman" w:eastAsia="宋体"/>
          <w:color w:val="auto"/>
          <w:szCs w:val="21"/>
          <w:highlight w:val="none"/>
        </w:rPr>
        <w:t>GB/T 50218的原意，既然</w:t>
      </w:r>
      <w:r>
        <w:rPr>
          <w:rFonts w:ascii="Times New Roman" w:hAnsi="Times New Roman" w:eastAsia="宋体"/>
          <w:i/>
          <w:iCs/>
          <w:color w:val="auto"/>
          <w:szCs w:val="21"/>
          <w:highlight w:val="none"/>
        </w:rPr>
        <w:t>K</w:t>
      </w:r>
      <w:r>
        <w:rPr>
          <w:rFonts w:ascii="Times New Roman" w:hAnsi="Times New Roman" w:eastAsia="宋体"/>
          <w:color w:val="auto"/>
          <w:szCs w:val="21"/>
          <w:highlight w:val="none"/>
          <w:vertAlign w:val="subscript"/>
        </w:rPr>
        <w:t>v</w:t>
      </w:r>
      <w:r>
        <w:rPr>
          <w:rFonts w:ascii="Times New Roman" w:hAnsi="Times New Roman" w:eastAsia="宋体"/>
          <w:color w:val="auto"/>
          <w:szCs w:val="21"/>
          <w:highlight w:val="none"/>
        </w:rPr>
        <w:t>反映的是岩体的完整性，那么岩石和岩体就应当是同个位置的，岩性和风化程度应当一致。然而，在实际操作中，一些测试单位对一种岩性，往往都只选取较新鲜的微风化岩块测试</w:t>
      </w:r>
      <w:r>
        <w:rPr>
          <w:rFonts w:ascii="Times New Roman" w:hAnsi="Times New Roman" w:eastAsia="宋体"/>
          <w:i/>
          <w:iCs/>
          <w:color w:val="auto"/>
          <w:szCs w:val="21"/>
          <w:highlight w:val="none"/>
        </w:rPr>
        <w:t>V</w:t>
      </w:r>
      <w:r>
        <w:rPr>
          <w:rFonts w:ascii="Times New Roman" w:hAnsi="Times New Roman" w:eastAsia="宋体"/>
          <w:color w:val="auto"/>
          <w:szCs w:val="21"/>
          <w:highlight w:val="none"/>
          <w:vertAlign w:val="subscript"/>
        </w:rPr>
        <w:t>pr</w:t>
      </w:r>
      <w:r>
        <w:rPr>
          <w:rFonts w:ascii="Times New Roman" w:hAnsi="Times New Roman" w:eastAsia="宋体"/>
          <w:color w:val="auto"/>
          <w:szCs w:val="21"/>
          <w:highlight w:val="none"/>
        </w:rPr>
        <w:t>值，这与规范的原意有一定出入。</w:t>
      </w:r>
    </w:p>
    <w:p>
      <w:pPr>
        <w:spacing w:line="360" w:lineRule="auto"/>
        <w:ind w:firstLine="420" w:firstLineChars="200"/>
        <w:rPr>
          <w:rFonts w:ascii="Times New Roman" w:hAnsi="Times New Roman" w:eastAsia="宋体"/>
          <w:color w:val="auto"/>
          <w:szCs w:val="21"/>
          <w:highlight w:val="none"/>
        </w:rPr>
      </w:pPr>
      <w:r>
        <w:rPr>
          <w:rFonts w:ascii="Times New Roman" w:hAnsi="Times New Roman" w:eastAsia="宋体"/>
          <w:color w:val="auto"/>
          <w:szCs w:val="21"/>
          <w:highlight w:val="none"/>
        </w:rPr>
        <w:t>不过，广州市市政设计研究总院有限公司的相关研究表明：虽然</w:t>
      </w:r>
      <w:r>
        <w:rPr>
          <w:rFonts w:ascii="Times New Roman" w:hAnsi="Times New Roman" w:eastAsia="宋体"/>
          <w:color w:val="auto"/>
          <w:highlight w:val="none"/>
          <w:lang w:val="zh-CN"/>
        </w:rPr>
        <w:t>单纯从理论角度上看，</w:t>
      </w:r>
      <w:r>
        <w:rPr>
          <w:rFonts w:ascii="Times New Roman" w:hAnsi="Times New Roman" w:eastAsia="宋体"/>
          <w:i/>
          <w:iCs/>
          <w:color w:val="auto"/>
          <w:szCs w:val="21"/>
          <w:highlight w:val="none"/>
        </w:rPr>
        <w:t>V</w:t>
      </w:r>
      <w:r>
        <w:rPr>
          <w:rFonts w:ascii="Times New Roman" w:hAnsi="Times New Roman" w:eastAsia="宋体"/>
          <w:color w:val="auto"/>
          <w:szCs w:val="21"/>
          <w:highlight w:val="none"/>
          <w:vertAlign w:val="subscript"/>
        </w:rPr>
        <w:t>pr</w:t>
      </w:r>
      <w:r>
        <w:rPr>
          <w:rFonts w:ascii="Times New Roman" w:hAnsi="Times New Roman" w:eastAsia="宋体"/>
          <w:color w:val="auto"/>
          <w:szCs w:val="21"/>
          <w:highlight w:val="none"/>
        </w:rPr>
        <w:t>与</w:t>
      </w:r>
      <w:r>
        <w:rPr>
          <w:rFonts w:ascii="Times New Roman" w:hAnsi="Times New Roman" w:eastAsia="宋体"/>
          <w:i/>
          <w:iCs/>
          <w:color w:val="auto"/>
          <w:szCs w:val="21"/>
          <w:highlight w:val="none"/>
        </w:rPr>
        <w:t>V</w:t>
      </w:r>
      <w:r>
        <w:rPr>
          <w:rFonts w:ascii="Times New Roman" w:hAnsi="Times New Roman" w:eastAsia="宋体"/>
          <w:color w:val="auto"/>
          <w:szCs w:val="21"/>
          <w:highlight w:val="none"/>
          <w:vertAlign w:val="subscript"/>
        </w:rPr>
        <w:t>pm</w:t>
      </w:r>
      <w:r>
        <w:rPr>
          <w:rFonts w:ascii="Times New Roman" w:hAnsi="Times New Roman" w:eastAsia="宋体"/>
          <w:color w:val="auto"/>
          <w:szCs w:val="21"/>
          <w:highlight w:val="none"/>
        </w:rPr>
        <w:t>对应的岩石和岩体位置一致才符合</w:t>
      </w:r>
      <w:r>
        <w:rPr>
          <w:rFonts w:ascii="Times New Roman" w:hAnsi="Times New Roman" w:eastAsia="宋体"/>
          <w:i/>
          <w:iCs/>
          <w:color w:val="auto"/>
          <w:szCs w:val="21"/>
          <w:highlight w:val="none"/>
        </w:rPr>
        <w:t>K</w:t>
      </w:r>
      <w:r>
        <w:rPr>
          <w:rFonts w:ascii="Times New Roman" w:hAnsi="Times New Roman" w:eastAsia="宋体"/>
          <w:color w:val="auto"/>
          <w:szCs w:val="21"/>
          <w:highlight w:val="none"/>
          <w:vertAlign w:val="subscript"/>
        </w:rPr>
        <w:t>v</w:t>
      </w:r>
      <w:r>
        <w:rPr>
          <w:rFonts w:ascii="Times New Roman" w:hAnsi="Times New Roman" w:eastAsia="宋体"/>
          <w:color w:val="auto"/>
          <w:szCs w:val="21"/>
          <w:highlight w:val="none"/>
        </w:rPr>
        <w:t>的基本概念以及当前规范的原意，但由于取样代表性不一定能保证，在工程应用中可能风险偏高；而</w:t>
      </w:r>
      <w:r>
        <w:rPr>
          <w:rFonts w:ascii="Times New Roman" w:hAnsi="Times New Roman" w:eastAsia="宋体"/>
          <w:i/>
          <w:iCs/>
          <w:color w:val="auto"/>
          <w:szCs w:val="21"/>
          <w:highlight w:val="none"/>
        </w:rPr>
        <w:t>V</w:t>
      </w:r>
      <w:r>
        <w:rPr>
          <w:rFonts w:ascii="Times New Roman" w:hAnsi="Times New Roman" w:eastAsia="宋体"/>
          <w:color w:val="auto"/>
          <w:szCs w:val="21"/>
          <w:highlight w:val="none"/>
          <w:vertAlign w:val="subscript"/>
        </w:rPr>
        <w:t>pr</w:t>
      </w:r>
      <w:r>
        <w:rPr>
          <w:rFonts w:ascii="Times New Roman" w:hAnsi="Times New Roman" w:eastAsia="宋体"/>
          <w:color w:val="auto"/>
          <w:szCs w:val="21"/>
          <w:highlight w:val="none"/>
        </w:rPr>
        <w:t>以微风化岩石为对象虽存在概念上的瑕疵，但在工程应用中却可能是一种折中的、相对较优的方案。</w:t>
      </w:r>
    </w:p>
    <w:p>
      <w:pPr>
        <w:spacing w:line="360" w:lineRule="auto"/>
        <w:ind w:firstLine="420" w:firstLineChars="200"/>
        <w:rPr>
          <w:rFonts w:ascii="Times New Roman" w:hAnsi="Times New Roman" w:eastAsia="宋体"/>
          <w:color w:val="auto"/>
          <w:szCs w:val="21"/>
          <w:highlight w:val="none"/>
        </w:rPr>
      </w:pPr>
      <w:r>
        <w:rPr>
          <w:rFonts w:ascii="Times New Roman" w:hAnsi="Times New Roman" w:eastAsia="宋体"/>
          <w:color w:val="auto"/>
          <w:szCs w:val="21"/>
          <w:highlight w:val="none"/>
        </w:rPr>
        <w:t>因此，在实际工程应用中，勘察人员</w:t>
      </w:r>
      <w:r>
        <w:rPr>
          <w:rFonts w:hint="eastAsia"/>
          <w:color w:val="auto"/>
          <w:szCs w:val="21"/>
          <w:highlight w:val="none"/>
          <w:lang w:val="en-US" w:eastAsia="zh-CN"/>
        </w:rPr>
        <w:t>要</w:t>
      </w:r>
      <w:r>
        <w:rPr>
          <w:rFonts w:ascii="Times New Roman" w:hAnsi="Times New Roman" w:eastAsia="宋体"/>
          <w:color w:val="auto"/>
          <w:szCs w:val="21"/>
          <w:highlight w:val="none"/>
        </w:rPr>
        <w:t>结合岩体的具体情况进行采取合适的样品进行测试。</w:t>
      </w:r>
    </w:p>
    <w:p>
      <w:pPr>
        <w:spacing w:line="360" w:lineRule="auto"/>
        <w:rPr>
          <w:rFonts w:ascii="Times New Roman" w:hAnsi="Times New Roman" w:eastAsia="宋体"/>
          <w:color w:val="auto"/>
          <w:szCs w:val="21"/>
          <w:highlight w:val="none"/>
        </w:rPr>
      </w:pPr>
      <w:r>
        <w:rPr>
          <w:rFonts w:ascii="Times New Roman" w:hAnsi="Times New Roman" w:eastAsia="宋体"/>
          <w:b/>
          <w:bCs/>
          <w:color w:val="auto"/>
          <w:szCs w:val="21"/>
          <w:highlight w:val="none"/>
        </w:rPr>
        <w:t>4.1.</w:t>
      </w:r>
      <w:r>
        <w:rPr>
          <w:rFonts w:hint="eastAsia" w:ascii="Times New Roman" w:hAnsi="Times New Roman" w:eastAsia="宋体"/>
          <w:b/>
          <w:bCs/>
          <w:color w:val="auto"/>
          <w:szCs w:val="21"/>
          <w:highlight w:val="none"/>
          <w:lang w:val="en-US" w:eastAsia="zh-CN"/>
        </w:rPr>
        <w:t>7~4.1.8</w:t>
      </w:r>
      <w:r>
        <w:rPr>
          <w:rFonts w:hint="eastAsia"/>
          <w:b/>
          <w:bCs/>
          <w:color w:val="auto"/>
          <w:szCs w:val="21"/>
          <w:highlight w:val="none"/>
          <w:lang w:val="en-US" w:eastAsia="zh-CN"/>
        </w:rPr>
        <w:t xml:space="preserve"> </w:t>
      </w:r>
      <w:r>
        <w:rPr>
          <w:rFonts w:ascii="Times New Roman" w:hAnsi="Times New Roman" w:eastAsia="宋体"/>
          <w:b/>
          <w:bCs/>
          <w:color w:val="auto"/>
          <w:szCs w:val="21"/>
          <w:highlight w:val="none"/>
        </w:rPr>
        <w:t xml:space="preserve"> </w:t>
      </w:r>
      <w:r>
        <w:rPr>
          <w:rFonts w:hint="eastAsia" w:ascii="Times New Roman" w:hAnsi="Times New Roman" w:eastAsia="宋体"/>
          <w:color w:val="auto"/>
          <w:szCs w:val="21"/>
          <w:highlight w:val="none"/>
          <w:lang w:val="en-US" w:eastAsia="zh-CN"/>
        </w:rPr>
        <w:t>岩层厚度及</w:t>
      </w:r>
      <w:r>
        <w:rPr>
          <w:rFonts w:ascii="Times New Roman" w:hAnsi="Times New Roman" w:eastAsia="宋体"/>
          <w:color w:val="auto"/>
          <w:szCs w:val="21"/>
          <w:highlight w:val="none"/>
        </w:rPr>
        <w:t>岩体结构类型综合国标《岩土工程勘察规范》GB 50021-2001（2009版）、国标《工程岩体分级标准》GB 50218-2014、广东省标准《建筑地基基础设计规范》DBJ 15-31-2016以及重庆市《市政工程地质勘察规范》DBJ 50-174-2014等的相关表格编制而成。</w:t>
      </w:r>
    </w:p>
    <w:p>
      <w:pPr>
        <w:tabs>
          <w:tab w:val="center" w:pos="4410"/>
          <w:tab w:val="right" w:pos="9240"/>
        </w:tabs>
        <w:autoSpaceDE w:val="0"/>
        <w:autoSpaceDN w:val="0"/>
        <w:adjustRightInd w:val="0"/>
        <w:spacing w:line="360" w:lineRule="auto"/>
        <w:jc w:val="left"/>
        <w:rPr>
          <w:rFonts w:hint="eastAsia" w:ascii="Times New Roman" w:hAnsi="Times New Roman" w:eastAsia="宋体"/>
          <w:color w:val="auto"/>
          <w:szCs w:val="21"/>
          <w:highlight w:val="none"/>
          <w:lang w:val="en-US" w:eastAsia="zh-CN"/>
        </w:rPr>
      </w:pPr>
      <w:r>
        <w:rPr>
          <w:rFonts w:ascii="Times New Roman" w:hAnsi="Times New Roman" w:eastAsia="宋体"/>
          <w:b/>
          <w:bCs/>
          <w:color w:val="auto"/>
          <w:szCs w:val="21"/>
          <w:highlight w:val="none"/>
        </w:rPr>
        <w:t>4.1.</w:t>
      </w:r>
      <w:r>
        <w:rPr>
          <w:rFonts w:hint="eastAsia" w:ascii="Times New Roman" w:hAnsi="Times New Roman" w:eastAsia="宋体"/>
          <w:b/>
          <w:bCs/>
          <w:color w:val="auto"/>
          <w:szCs w:val="21"/>
          <w:highlight w:val="none"/>
          <w:lang w:val="en-US" w:eastAsia="zh-CN"/>
        </w:rPr>
        <w:t>9</w:t>
      </w:r>
      <w:r>
        <w:rPr>
          <w:rFonts w:hint="eastAsia"/>
          <w:b/>
          <w:bCs/>
          <w:color w:val="auto"/>
          <w:szCs w:val="21"/>
          <w:highlight w:val="none"/>
          <w:lang w:val="en-US" w:eastAsia="zh-CN"/>
        </w:rPr>
        <w:t xml:space="preserve"> </w:t>
      </w:r>
      <w:r>
        <w:rPr>
          <w:rFonts w:ascii="Times New Roman" w:hAnsi="Times New Roman" w:eastAsia="宋体"/>
          <w:b/>
          <w:bCs/>
          <w:color w:val="auto"/>
          <w:szCs w:val="21"/>
          <w:highlight w:val="none"/>
        </w:rPr>
        <w:t xml:space="preserve"> </w:t>
      </w:r>
      <w:r>
        <w:rPr>
          <w:rFonts w:hint="eastAsia" w:ascii="Times New Roman" w:hAnsi="Times New Roman" w:eastAsia="宋体"/>
          <w:b w:val="0"/>
          <w:bCs w:val="0"/>
          <w:color w:val="auto"/>
          <w:szCs w:val="21"/>
          <w:highlight w:val="none"/>
          <w:lang w:val="en-US" w:eastAsia="zh-CN"/>
        </w:rPr>
        <w:t>本条根据</w:t>
      </w:r>
      <w:r>
        <w:rPr>
          <w:rFonts w:ascii="Times New Roman" w:hAnsi="Times New Roman" w:eastAsia="宋体"/>
          <w:color w:val="auto"/>
          <w:szCs w:val="21"/>
          <w:highlight w:val="none"/>
        </w:rPr>
        <w:t>国标《岩土工程勘察规范》GB 50021-2001（2009版）</w:t>
      </w:r>
      <w:r>
        <w:rPr>
          <w:rFonts w:hint="eastAsia" w:ascii="Times New Roman" w:hAnsi="Times New Roman" w:eastAsia="宋体"/>
          <w:color w:val="auto"/>
          <w:szCs w:val="21"/>
          <w:highlight w:val="none"/>
          <w:lang w:val="en-US" w:eastAsia="zh-CN"/>
        </w:rPr>
        <w:t>表3.2.2-3。</w:t>
      </w:r>
    </w:p>
    <w:p>
      <w:pPr>
        <w:pStyle w:val="3"/>
        <w:jc w:val="center"/>
        <w:rPr>
          <w:rFonts w:ascii="Times New Roman" w:hAnsi="Times New Roman" w:eastAsia="宋体" w:cs="Times New Roman"/>
          <w:color w:val="auto"/>
          <w:sz w:val="24"/>
          <w:highlight w:val="none"/>
        </w:rPr>
      </w:pPr>
      <w:bookmarkStart w:id="335" w:name="_Toc25570"/>
      <w:bookmarkStart w:id="336" w:name="_Toc26907"/>
      <w:bookmarkStart w:id="337" w:name="_Toc13297"/>
      <w:r>
        <w:rPr>
          <w:rFonts w:ascii="Times New Roman" w:hAnsi="Times New Roman" w:eastAsia="宋体" w:cs="Times New Roman"/>
          <w:color w:val="auto"/>
          <w:sz w:val="24"/>
          <w:highlight w:val="none"/>
        </w:rPr>
        <w:t>4.2  岩石描述</w:t>
      </w:r>
      <w:bookmarkEnd w:id="335"/>
      <w:bookmarkEnd w:id="336"/>
      <w:bookmarkEnd w:id="337"/>
    </w:p>
    <w:p>
      <w:pPr>
        <w:tabs>
          <w:tab w:val="center" w:pos="4410"/>
          <w:tab w:val="right" w:pos="9240"/>
        </w:tabs>
        <w:autoSpaceDE w:val="0"/>
        <w:autoSpaceDN w:val="0"/>
        <w:adjustRightInd w:val="0"/>
        <w:spacing w:line="360" w:lineRule="auto"/>
        <w:jc w:val="left"/>
        <w:rPr>
          <w:rFonts w:hint="default" w:ascii="Times New Roman" w:hAnsi="Times New Roman" w:eastAsia="宋体"/>
          <w:color w:val="auto"/>
          <w:szCs w:val="21"/>
          <w:highlight w:val="none"/>
          <w:lang w:val="en-US" w:eastAsia="zh-CN"/>
        </w:rPr>
      </w:pPr>
      <w:r>
        <w:rPr>
          <w:rFonts w:hint="eastAsia" w:ascii="Times New Roman" w:hAnsi="Times New Roman" w:eastAsia="宋体"/>
          <w:b/>
          <w:bCs/>
          <w:color w:val="auto"/>
          <w:szCs w:val="21"/>
          <w:highlight w:val="none"/>
          <w:lang w:val="en-US" w:eastAsia="zh-CN"/>
        </w:rPr>
        <w:t>4.2.1</w:t>
      </w:r>
      <w:r>
        <w:rPr>
          <w:rFonts w:hint="eastAsia" w:ascii="Times New Roman" w:hAnsi="Times New Roman" w:eastAsia="宋体"/>
          <w:color w:val="auto"/>
          <w:szCs w:val="21"/>
          <w:highlight w:val="none"/>
          <w:lang w:val="en-US" w:eastAsia="zh-CN"/>
        </w:rPr>
        <w:t xml:space="preserve"> </w:t>
      </w:r>
      <w:r>
        <w:rPr>
          <w:rFonts w:hint="eastAsia"/>
          <w:color w:val="auto"/>
          <w:szCs w:val="21"/>
          <w:highlight w:val="none"/>
          <w:lang w:val="en-US" w:eastAsia="zh-CN"/>
        </w:rPr>
        <w:t xml:space="preserve"> </w:t>
      </w:r>
      <w:r>
        <w:rPr>
          <w:rFonts w:ascii="Times New Roman" w:hAnsi="Times New Roman" w:eastAsia="宋体"/>
          <w:color w:val="auto"/>
          <w:szCs w:val="21"/>
          <w:highlight w:val="none"/>
        </w:rPr>
        <w:t>岩石质量指标RQD</w:t>
      </w:r>
      <w:bookmarkStart w:id="338" w:name="_Hlk70346995"/>
      <w:r>
        <w:rPr>
          <w:rFonts w:hint="eastAsia" w:ascii="Times New Roman" w:hAnsi="Times New Roman" w:eastAsia="宋体"/>
          <w:color w:val="auto"/>
          <w:szCs w:val="21"/>
          <w:highlight w:val="none"/>
          <w:lang w:eastAsia="zh-CN"/>
        </w:rPr>
        <w:t>，</w:t>
      </w:r>
      <w:r>
        <w:rPr>
          <w:rFonts w:ascii="Times New Roman" w:hAnsi="Times New Roman" w:eastAsia="宋体"/>
          <w:color w:val="auto"/>
          <w:szCs w:val="21"/>
          <w:highlight w:val="none"/>
        </w:rPr>
        <w:t>指用直径75mm的金刚石钻头和双层岩芯管在岩石中钻进，连续取芯，回次钻进所取岩芯中，长度大于10cm的岩芯段长度之和与该回次进尺的比值，以百分数表示。</w:t>
      </w:r>
      <w:bookmarkEnd w:id="338"/>
    </w:p>
    <w:p>
      <w:pPr>
        <w:pStyle w:val="3"/>
        <w:jc w:val="center"/>
        <w:rPr>
          <w:rFonts w:ascii="Times New Roman" w:hAnsi="Times New Roman" w:eastAsia="宋体" w:cs="Times New Roman"/>
          <w:color w:val="auto"/>
          <w:sz w:val="24"/>
          <w:highlight w:val="none"/>
        </w:rPr>
      </w:pPr>
      <w:bookmarkStart w:id="339" w:name="_Toc29485"/>
      <w:bookmarkStart w:id="340" w:name="_Toc76998261"/>
      <w:bookmarkStart w:id="341" w:name="_Toc32697"/>
      <w:r>
        <w:rPr>
          <w:rFonts w:ascii="Times New Roman" w:hAnsi="Times New Roman" w:eastAsia="宋体" w:cs="Times New Roman"/>
          <w:color w:val="auto"/>
          <w:sz w:val="24"/>
          <w:highlight w:val="none"/>
        </w:rPr>
        <w:t>4.3  土的分类</w:t>
      </w:r>
      <w:bookmarkEnd w:id="339"/>
      <w:bookmarkEnd w:id="340"/>
      <w:bookmarkEnd w:id="341"/>
    </w:p>
    <w:p>
      <w:pPr>
        <w:spacing w:line="360" w:lineRule="auto"/>
        <w:rPr>
          <w:rFonts w:ascii="Times New Roman" w:hAnsi="Times New Roman" w:eastAsia="宋体"/>
          <w:color w:val="auto"/>
          <w:szCs w:val="21"/>
          <w:highlight w:val="none"/>
        </w:rPr>
      </w:pPr>
      <w:r>
        <w:rPr>
          <w:rFonts w:ascii="Times New Roman" w:hAnsi="Times New Roman" w:eastAsia="宋体"/>
          <w:b/>
          <w:bCs/>
          <w:color w:val="auto"/>
          <w:szCs w:val="21"/>
          <w:highlight w:val="none"/>
        </w:rPr>
        <w:t xml:space="preserve">4.3.1 </w:t>
      </w:r>
      <w:r>
        <w:rPr>
          <w:rFonts w:hint="eastAsia"/>
          <w:b/>
          <w:bCs/>
          <w:color w:val="auto"/>
          <w:szCs w:val="21"/>
          <w:highlight w:val="none"/>
          <w:lang w:val="en-US" w:eastAsia="zh-CN"/>
        </w:rPr>
        <w:t xml:space="preserve"> </w:t>
      </w:r>
      <w:r>
        <w:rPr>
          <w:rFonts w:ascii="Times New Roman" w:hAnsi="Times New Roman" w:eastAsia="宋体"/>
          <w:color w:val="auto"/>
          <w:szCs w:val="21"/>
          <w:highlight w:val="none"/>
        </w:rPr>
        <w:t>土的定名由野外定性判断和室内试验定量分析相结合完成，两者不可偏废。</w:t>
      </w:r>
    </w:p>
    <w:p>
      <w:pPr>
        <w:spacing w:line="360" w:lineRule="auto"/>
        <w:ind w:firstLine="420" w:firstLineChars="200"/>
        <w:rPr>
          <w:rFonts w:ascii="Times New Roman" w:hAnsi="Times New Roman" w:eastAsia="宋体"/>
          <w:color w:val="auto"/>
          <w:szCs w:val="21"/>
          <w:highlight w:val="none"/>
        </w:rPr>
      </w:pPr>
      <w:r>
        <w:rPr>
          <w:rFonts w:ascii="Times New Roman" w:hAnsi="Times New Roman" w:eastAsia="宋体"/>
          <w:color w:val="auto"/>
          <w:szCs w:val="21"/>
          <w:highlight w:val="none"/>
        </w:rPr>
        <w:t>例如：花岗岩残积土，若只根据室内试验判别，则结果五花八门，可能是粉质黏土、含砂粉质黏土、含砾粉质黏土，也可能是含黏性土的砂。但是，在野外判定其为花岗岩残积土后，结合室内试验，就可按花岗岩残积土定名系统判定其为黏性土、砂质黏性土、砾质黏性土了。再如：泥炭土和煤系地层残积土都含大量的有机质，单凭室内试验判别就是泥炭土；而在野外根据其所在层位，容易判定是沉积的软土还是残积的煤系地层残积土。</w:t>
      </w:r>
    </w:p>
    <w:p>
      <w:pPr>
        <w:spacing w:line="360" w:lineRule="auto"/>
        <w:ind w:firstLine="420" w:firstLineChars="200"/>
        <w:rPr>
          <w:rFonts w:ascii="Times New Roman" w:hAnsi="Times New Roman" w:eastAsia="宋体"/>
          <w:color w:val="auto"/>
          <w:szCs w:val="21"/>
          <w:highlight w:val="none"/>
        </w:rPr>
      </w:pPr>
      <w:r>
        <w:rPr>
          <w:rFonts w:ascii="Times New Roman" w:hAnsi="Times New Roman" w:eastAsia="宋体"/>
          <w:color w:val="auto"/>
          <w:szCs w:val="21"/>
          <w:highlight w:val="none"/>
        </w:rPr>
        <w:t>但是，野外定名也可能不够准确，甚至存在偏差，需室内试验进行验证和细化。还是前面两个例子：花岗岩残积土在野外可能黏性土或砾质黏性土也定成了砂质黏性土，通过室内试验则可准确辨别；有机质土和轻泥炭质土，野外可能都定名为淤泥，室内试验则可细分。</w:t>
      </w:r>
    </w:p>
    <w:p>
      <w:pPr>
        <w:spacing w:line="360" w:lineRule="auto"/>
        <w:rPr>
          <w:rFonts w:ascii="Times New Roman" w:hAnsi="Times New Roman" w:eastAsia="宋体"/>
          <w:color w:val="auto"/>
          <w:szCs w:val="21"/>
          <w:highlight w:val="none"/>
        </w:rPr>
      </w:pPr>
      <w:r>
        <w:rPr>
          <w:rFonts w:ascii="Times New Roman" w:hAnsi="Times New Roman" w:eastAsia="宋体"/>
          <w:b/>
          <w:bCs/>
          <w:color w:val="auto"/>
          <w:szCs w:val="21"/>
          <w:highlight w:val="none"/>
        </w:rPr>
        <w:t xml:space="preserve">4.3.2 </w:t>
      </w:r>
      <w:r>
        <w:rPr>
          <w:rFonts w:hint="eastAsia"/>
          <w:b/>
          <w:bCs/>
          <w:color w:val="auto"/>
          <w:szCs w:val="21"/>
          <w:highlight w:val="none"/>
          <w:lang w:val="en-US" w:eastAsia="zh-CN"/>
        </w:rPr>
        <w:t xml:space="preserve"> </w:t>
      </w:r>
      <w:r>
        <w:rPr>
          <w:rFonts w:ascii="Times New Roman" w:hAnsi="Times New Roman" w:eastAsia="宋体"/>
          <w:color w:val="auto"/>
          <w:szCs w:val="21"/>
          <w:highlight w:val="none"/>
        </w:rPr>
        <w:t>全新世大约从1.17万年前至今；全新世中、晚期一般对应人类文化期，大约4、5千年前至今。</w:t>
      </w:r>
    </w:p>
    <w:p>
      <w:pPr>
        <w:spacing w:line="360" w:lineRule="auto"/>
        <w:rPr>
          <w:rFonts w:ascii="Times New Roman" w:hAnsi="Times New Roman" w:eastAsia="宋体"/>
          <w:color w:val="auto"/>
          <w:szCs w:val="21"/>
          <w:highlight w:val="none"/>
        </w:rPr>
      </w:pPr>
      <w:r>
        <w:rPr>
          <w:rFonts w:ascii="Times New Roman" w:hAnsi="Times New Roman" w:eastAsia="宋体"/>
          <w:b/>
          <w:bCs/>
          <w:color w:val="auto"/>
          <w:szCs w:val="21"/>
          <w:highlight w:val="none"/>
        </w:rPr>
        <w:t xml:space="preserve">4.3.3 </w:t>
      </w:r>
      <w:r>
        <w:rPr>
          <w:rFonts w:hint="eastAsia"/>
          <w:b/>
          <w:bCs/>
          <w:color w:val="auto"/>
          <w:szCs w:val="21"/>
          <w:highlight w:val="none"/>
          <w:lang w:val="en-US" w:eastAsia="zh-CN"/>
        </w:rPr>
        <w:t xml:space="preserve"> </w:t>
      </w:r>
      <w:r>
        <w:rPr>
          <w:rFonts w:ascii="Times New Roman" w:hAnsi="Times New Roman" w:eastAsia="宋体"/>
          <w:color w:val="auto"/>
          <w:szCs w:val="21"/>
          <w:highlight w:val="none"/>
        </w:rPr>
        <w:t>在国标《岩土工程勘察规范》GB 50021-2001（2009版）中，提到了淤积土、冰积土和风积土。由于广东省不存在冰积土和风积土，故本条将两者删去。</w:t>
      </w:r>
    </w:p>
    <w:p>
      <w:pPr>
        <w:spacing w:line="360" w:lineRule="auto"/>
        <w:ind w:firstLine="420" w:firstLineChars="200"/>
        <w:rPr>
          <w:rFonts w:ascii="Times New Roman" w:hAnsi="Times New Roman" w:eastAsia="宋体"/>
          <w:color w:val="auto"/>
          <w:szCs w:val="21"/>
          <w:highlight w:val="none"/>
        </w:rPr>
      </w:pPr>
      <w:r>
        <w:rPr>
          <w:rFonts w:ascii="Times New Roman" w:hAnsi="Times New Roman" w:eastAsia="宋体"/>
          <w:color w:val="auto"/>
          <w:szCs w:val="21"/>
          <w:highlight w:val="none"/>
        </w:rPr>
        <w:t>与此同时，湖积土、海相沉积土和海陆交互相沉积土有各自的特点，不能归于淤积土或冲积土，又是广东地区常见的类别，故本条增加了这几类土。</w:t>
      </w:r>
    </w:p>
    <w:p>
      <w:pPr>
        <w:spacing w:line="360" w:lineRule="auto"/>
        <w:rPr>
          <w:rFonts w:ascii="Times New Roman" w:hAnsi="Times New Roman" w:eastAsia="宋体"/>
          <w:color w:val="auto"/>
          <w:szCs w:val="21"/>
          <w:highlight w:val="none"/>
        </w:rPr>
      </w:pPr>
      <w:r>
        <w:rPr>
          <w:rFonts w:ascii="Times New Roman" w:hAnsi="Times New Roman" w:eastAsia="宋体"/>
          <w:b/>
          <w:bCs/>
          <w:color w:val="auto"/>
          <w:szCs w:val="21"/>
          <w:highlight w:val="none"/>
        </w:rPr>
        <w:t>4.3.</w:t>
      </w:r>
      <w:r>
        <w:rPr>
          <w:rFonts w:hint="eastAsia" w:ascii="Times New Roman" w:hAnsi="Times New Roman" w:eastAsia="宋体"/>
          <w:b/>
          <w:bCs/>
          <w:color w:val="auto"/>
          <w:szCs w:val="21"/>
          <w:highlight w:val="none"/>
          <w:lang w:val="en-US" w:eastAsia="zh-CN"/>
        </w:rPr>
        <w:t>4</w:t>
      </w:r>
      <w:r>
        <w:rPr>
          <w:rFonts w:ascii="Times New Roman" w:hAnsi="Times New Roman" w:eastAsia="宋体"/>
          <w:b/>
          <w:bCs/>
          <w:color w:val="auto"/>
          <w:szCs w:val="21"/>
          <w:highlight w:val="none"/>
        </w:rPr>
        <w:t xml:space="preserve"> </w:t>
      </w:r>
      <w:r>
        <w:rPr>
          <w:rFonts w:hint="eastAsia"/>
          <w:b/>
          <w:bCs/>
          <w:color w:val="auto"/>
          <w:szCs w:val="21"/>
          <w:highlight w:val="none"/>
          <w:lang w:val="en-US" w:eastAsia="zh-CN"/>
        </w:rPr>
        <w:t xml:space="preserve"> </w:t>
      </w:r>
      <w:r>
        <w:rPr>
          <w:rFonts w:ascii="Times New Roman" w:hAnsi="Times New Roman" w:eastAsia="宋体"/>
          <w:color w:val="auto"/>
          <w:szCs w:val="21"/>
          <w:highlight w:val="none"/>
        </w:rPr>
        <w:t>本条以《土的工程分类标准》GB/T 50145-2007表3.0.2的粒组划分为基础</w:t>
      </w:r>
      <w:r>
        <w:rPr>
          <w:rFonts w:hint="eastAsia" w:ascii="Times New Roman" w:hAnsi="Times New Roman" w:eastAsia="宋体"/>
          <w:color w:val="auto"/>
          <w:szCs w:val="21"/>
          <w:highlight w:val="none"/>
          <w:lang w:val="en-US" w:eastAsia="zh-CN"/>
        </w:rPr>
        <w:t>编制</w:t>
      </w:r>
      <w:r>
        <w:rPr>
          <w:rFonts w:ascii="Times New Roman" w:hAnsi="Times New Roman" w:eastAsia="宋体"/>
          <w:color w:val="auto"/>
          <w:szCs w:val="21"/>
          <w:highlight w:val="none"/>
        </w:rPr>
        <w:t>。</w:t>
      </w:r>
    </w:p>
    <w:p>
      <w:pPr>
        <w:spacing w:line="360" w:lineRule="auto"/>
        <w:ind w:firstLine="420" w:firstLineChars="200"/>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为粒组名称表述的齐整和简洁考虑，将漂石（块石）粒组定为块粒，卵石（碎石）粒组定为卵粒。</w:t>
      </w:r>
    </w:p>
    <w:p>
      <w:pPr>
        <w:spacing w:line="360" w:lineRule="auto"/>
        <w:rPr>
          <w:rFonts w:hint="eastAsia" w:ascii="Times New Roman" w:hAnsi="Times New Roman" w:eastAsia="宋体"/>
          <w:color w:val="auto"/>
          <w:szCs w:val="18"/>
          <w:highlight w:val="none"/>
          <w:lang w:val="en-US" w:eastAsia="zh-CN"/>
        </w:rPr>
      </w:pPr>
      <w:r>
        <w:rPr>
          <w:rFonts w:hint="eastAsia" w:ascii="Times New Roman" w:hAnsi="Times New Roman" w:eastAsia="宋体"/>
          <w:b/>
          <w:bCs/>
          <w:color w:val="auto"/>
          <w:szCs w:val="21"/>
          <w:highlight w:val="none"/>
          <w:lang w:val="en-US" w:eastAsia="zh-CN"/>
        </w:rPr>
        <w:t xml:space="preserve">4.3.5 </w:t>
      </w:r>
      <w:r>
        <w:rPr>
          <w:rFonts w:hint="eastAsia"/>
          <w:b/>
          <w:bCs/>
          <w:color w:val="auto"/>
          <w:szCs w:val="21"/>
          <w:highlight w:val="none"/>
          <w:lang w:val="en-US" w:eastAsia="zh-CN"/>
        </w:rPr>
        <w:t xml:space="preserve"> </w:t>
      </w:r>
      <w:r>
        <w:rPr>
          <w:rFonts w:hint="eastAsia" w:ascii="Times New Roman" w:hAnsi="Times New Roman" w:eastAsia="宋体"/>
          <w:color w:val="auto"/>
          <w:szCs w:val="18"/>
          <w:highlight w:val="none"/>
          <w:lang w:val="en-US" w:eastAsia="zh-CN"/>
        </w:rPr>
        <w:t>粗粒土指</w:t>
      </w:r>
      <w:r>
        <w:rPr>
          <w:rFonts w:ascii="Times New Roman" w:hAnsi="Times New Roman" w:eastAsia="宋体"/>
          <w:color w:val="auto"/>
          <w:szCs w:val="18"/>
          <w:highlight w:val="none"/>
        </w:rPr>
        <w:t>粒径大于0.075mm颗粒</w:t>
      </w:r>
      <w:r>
        <w:rPr>
          <w:rFonts w:hint="eastAsia" w:ascii="Times New Roman" w:hAnsi="Times New Roman" w:eastAsia="宋体"/>
          <w:color w:val="auto"/>
          <w:szCs w:val="18"/>
          <w:highlight w:val="none"/>
          <w:lang w:eastAsia="zh-CN"/>
        </w:rPr>
        <w:t>（</w:t>
      </w:r>
      <w:r>
        <w:rPr>
          <w:rFonts w:hint="eastAsia" w:ascii="Times New Roman" w:hAnsi="Times New Roman" w:eastAsia="宋体"/>
          <w:color w:val="auto"/>
          <w:szCs w:val="18"/>
          <w:highlight w:val="none"/>
          <w:lang w:val="en-US" w:eastAsia="zh-CN"/>
        </w:rPr>
        <w:t>粗粒）</w:t>
      </w:r>
      <w:r>
        <w:rPr>
          <w:rFonts w:ascii="Times New Roman" w:hAnsi="Times New Roman" w:eastAsia="宋体"/>
          <w:color w:val="auto"/>
          <w:szCs w:val="18"/>
          <w:highlight w:val="none"/>
        </w:rPr>
        <w:t>的质量超过总质量50%</w:t>
      </w:r>
      <w:r>
        <w:rPr>
          <w:rFonts w:hint="eastAsia" w:ascii="Times New Roman" w:hAnsi="Times New Roman" w:eastAsia="宋体"/>
          <w:color w:val="auto"/>
          <w:szCs w:val="18"/>
          <w:highlight w:val="none"/>
          <w:lang w:val="en-US" w:eastAsia="zh-CN"/>
        </w:rPr>
        <w:t>的土；细粒土指</w:t>
      </w:r>
      <w:r>
        <w:rPr>
          <w:rFonts w:ascii="Times New Roman" w:hAnsi="Times New Roman" w:eastAsia="宋体"/>
          <w:color w:val="auto"/>
          <w:szCs w:val="18"/>
          <w:highlight w:val="none"/>
        </w:rPr>
        <w:t>粒径大于0.075mm颗粒</w:t>
      </w:r>
      <w:r>
        <w:rPr>
          <w:rFonts w:hint="eastAsia" w:ascii="Times New Roman" w:hAnsi="Times New Roman" w:eastAsia="宋体"/>
          <w:color w:val="auto"/>
          <w:szCs w:val="18"/>
          <w:highlight w:val="none"/>
          <w:lang w:eastAsia="zh-CN"/>
        </w:rPr>
        <w:t>（</w:t>
      </w:r>
      <w:r>
        <w:rPr>
          <w:rFonts w:hint="eastAsia" w:ascii="Times New Roman" w:hAnsi="Times New Roman" w:eastAsia="宋体"/>
          <w:color w:val="auto"/>
          <w:szCs w:val="18"/>
          <w:highlight w:val="none"/>
          <w:lang w:val="en-US" w:eastAsia="zh-CN"/>
        </w:rPr>
        <w:t>粗粒）</w:t>
      </w:r>
      <w:r>
        <w:rPr>
          <w:rFonts w:ascii="Times New Roman" w:hAnsi="Times New Roman" w:eastAsia="宋体"/>
          <w:color w:val="auto"/>
          <w:szCs w:val="18"/>
          <w:highlight w:val="none"/>
        </w:rPr>
        <w:t>的质量不超过总质量50%</w:t>
      </w:r>
      <w:r>
        <w:rPr>
          <w:rFonts w:hint="eastAsia" w:ascii="Times New Roman" w:hAnsi="Times New Roman" w:eastAsia="宋体"/>
          <w:color w:val="auto"/>
          <w:szCs w:val="18"/>
          <w:highlight w:val="none"/>
          <w:lang w:val="en-US" w:eastAsia="zh-CN"/>
        </w:rPr>
        <w:t>的土。</w:t>
      </w:r>
    </w:p>
    <w:p>
      <w:pPr>
        <w:spacing w:line="360" w:lineRule="auto"/>
        <w:rPr>
          <w:rFonts w:hint="default" w:ascii="Times New Roman" w:hAnsi="Times New Roman" w:eastAsia="宋体"/>
          <w:b/>
          <w:bCs/>
          <w:color w:val="auto"/>
          <w:szCs w:val="21"/>
          <w:highlight w:val="none"/>
          <w:lang w:val="en-US" w:eastAsia="zh-CN"/>
        </w:rPr>
      </w:pPr>
      <w:r>
        <w:rPr>
          <w:rFonts w:hint="eastAsia" w:ascii="Times New Roman" w:hAnsi="Times New Roman" w:eastAsia="宋体"/>
          <w:b/>
          <w:bCs/>
          <w:color w:val="auto"/>
          <w:szCs w:val="21"/>
          <w:highlight w:val="none"/>
          <w:lang w:val="en-US" w:eastAsia="zh-CN"/>
        </w:rPr>
        <w:t xml:space="preserve">4.3.7 </w:t>
      </w:r>
      <w:r>
        <w:rPr>
          <w:rFonts w:hint="eastAsia"/>
          <w:b/>
          <w:bCs/>
          <w:color w:val="auto"/>
          <w:szCs w:val="21"/>
          <w:highlight w:val="none"/>
          <w:lang w:val="en-US" w:eastAsia="zh-CN"/>
        </w:rPr>
        <w:t xml:space="preserve"> </w:t>
      </w:r>
      <w:r>
        <w:rPr>
          <w:rFonts w:ascii="Times New Roman" w:hAnsi="Times New Roman" w:eastAsia="宋体"/>
          <w:color w:val="auto"/>
          <w:szCs w:val="18"/>
          <w:highlight w:val="none"/>
        </w:rPr>
        <w:t>塑性指数</w:t>
      </w:r>
      <w:r>
        <w:rPr>
          <w:rFonts w:hint="eastAsia" w:ascii="Times New Roman" w:hAnsi="Times New Roman" w:eastAsia="宋体"/>
          <w:color w:val="auto"/>
          <w:szCs w:val="18"/>
          <w:highlight w:val="none"/>
          <w:lang w:val="en-US" w:eastAsia="zh-CN"/>
        </w:rPr>
        <w:t>是液限和塑限的差值。其中，液限是</w:t>
      </w:r>
      <w:r>
        <w:rPr>
          <w:rFonts w:ascii="Times New Roman" w:hAnsi="Times New Roman" w:eastAsia="宋体"/>
          <w:color w:val="auto"/>
          <w:szCs w:val="18"/>
          <w:highlight w:val="none"/>
        </w:rPr>
        <w:t>76g圆锥体沉入土样中深度为10mm时的</w:t>
      </w:r>
      <w:r>
        <w:rPr>
          <w:rFonts w:hint="eastAsia" w:ascii="Times New Roman" w:hAnsi="Times New Roman" w:eastAsia="宋体"/>
          <w:color w:val="auto"/>
          <w:szCs w:val="18"/>
          <w:highlight w:val="none"/>
          <w:lang w:val="en-US" w:eastAsia="zh-CN"/>
        </w:rPr>
        <w:t>含水率</w:t>
      </w:r>
      <w:r>
        <w:rPr>
          <w:rFonts w:ascii="Times New Roman" w:hAnsi="Times New Roman" w:eastAsia="宋体"/>
          <w:color w:val="auto"/>
          <w:szCs w:val="18"/>
          <w:highlight w:val="none"/>
        </w:rPr>
        <w:t>。</w:t>
      </w:r>
    </w:p>
    <w:p>
      <w:pPr>
        <w:spacing w:line="360" w:lineRule="auto"/>
        <w:rPr>
          <w:rFonts w:hint="eastAsia"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rPr>
        <w:t>4.3.</w:t>
      </w:r>
      <w:r>
        <w:rPr>
          <w:rFonts w:hint="eastAsia" w:ascii="Times New Roman" w:hAnsi="Times New Roman" w:eastAsia="宋体"/>
          <w:b/>
          <w:bCs/>
          <w:color w:val="auto"/>
          <w:szCs w:val="21"/>
          <w:highlight w:val="none"/>
          <w:lang w:val="en-US" w:eastAsia="zh-CN"/>
        </w:rPr>
        <w:t xml:space="preserve">9 </w:t>
      </w:r>
      <w:r>
        <w:rPr>
          <w:rFonts w:hint="eastAsia"/>
          <w:b/>
          <w:bCs/>
          <w:color w:val="auto"/>
          <w:szCs w:val="21"/>
          <w:highlight w:val="none"/>
          <w:lang w:val="en-US" w:eastAsia="zh-CN"/>
        </w:rPr>
        <w:t xml:space="preserve"> </w:t>
      </w:r>
      <w:r>
        <w:rPr>
          <w:rFonts w:hint="eastAsia" w:ascii="Times New Roman" w:hAnsi="Times New Roman" w:eastAsia="宋体"/>
          <w:b w:val="0"/>
          <w:bCs w:val="0"/>
          <w:color w:val="auto"/>
          <w:szCs w:val="21"/>
          <w:highlight w:val="none"/>
          <w:lang w:val="en-US" w:eastAsia="zh-CN"/>
        </w:rPr>
        <w:t>就本条第2至6款说明如下：</w:t>
      </w:r>
    </w:p>
    <w:p>
      <w:pPr>
        <w:spacing w:line="360" w:lineRule="auto"/>
        <w:ind w:firstLine="422" w:firstLineChars="200"/>
        <w:rPr>
          <w:rFonts w:hint="default" w:ascii="Times New Roman" w:hAnsi="Times New Roman" w:eastAsia="宋体"/>
          <w:b w:val="0"/>
          <w:bCs w:val="0"/>
          <w:color w:val="auto"/>
          <w:highlight w:val="none"/>
          <w:lang w:val="en-US" w:eastAsia="zh-CN"/>
        </w:rPr>
      </w:pPr>
      <w:r>
        <w:rPr>
          <w:rFonts w:hint="eastAsia" w:ascii="Times New Roman" w:hAnsi="Times New Roman" w:eastAsia="宋体"/>
          <w:b/>
          <w:bCs/>
          <w:color w:val="auto"/>
          <w:highlight w:val="none"/>
          <w:lang w:val="en-US" w:eastAsia="zh-CN"/>
        </w:rPr>
        <w:t xml:space="preserve">1 </w:t>
      </w:r>
      <w:r>
        <w:rPr>
          <w:rFonts w:hint="eastAsia"/>
          <w:b/>
          <w:bCs/>
          <w:color w:val="auto"/>
          <w:highlight w:val="none"/>
          <w:lang w:val="en-US" w:eastAsia="zh-CN"/>
        </w:rPr>
        <w:t xml:space="preserve"> </w:t>
      </w:r>
      <w:r>
        <w:rPr>
          <w:rFonts w:hint="eastAsia" w:ascii="Times New Roman" w:hAnsi="Times New Roman" w:eastAsia="宋体"/>
          <w:b w:val="0"/>
          <w:bCs w:val="0"/>
          <w:color w:val="auto"/>
          <w:highlight w:val="none"/>
          <w:lang w:val="en-US" w:eastAsia="zh-CN"/>
        </w:rPr>
        <w:t>根据《公路路基施工技术规范》JTG/T 3610-2019，填石路堤的定义为用粒径大于40mm且含量超过总质量70%的石料填筑的路基。填石的定义参照了该条文。</w:t>
      </w:r>
    </w:p>
    <w:p>
      <w:pPr>
        <w:spacing w:line="360" w:lineRule="auto"/>
        <w:ind w:firstLine="422" w:firstLineChars="200"/>
        <w:rPr>
          <w:rFonts w:ascii="Times New Roman" w:hAnsi="Times New Roman" w:eastAsia="宋体"/>
          <w:color w:val="auto"/>
          <w:szCs w:val="21"/>
          <w:highlight w:val="none"/>
        </w:rPr>
      </w:pPr>
      <w:r>
        <w:rPr>
          <w:rFonts w:hint="eastAsia" w:ascii="Times New Roman" w:hAnsi="Times New Roman" w:eastAsia="宋体"/>
          <w:b/>
          <w:bCs/>
          <w:color w:val="auto"/>
          <w:highlight w:val="none"/>
          <w:lang w:val="en-US" w:eastAsia="zh-CN"/>
        </w:rPr>
        <w:t xml:space="preserve">2 </w:t>
      </w:r>
      <w:r>
        <w:rPr>
          <w:rFonts w:hint="eastAsia"/>
          <w:b/>
          <w:bCs/>
          <w:color w:val="auto"/>
          <w:highlight w:val="none"/>
          <w:lang w:val="en-US" w:eastAsia="zh-CN"/>
        </w:rPr>
        <w:t xml:space="preserve"> </w:t>
      </w:r>
      <w:r>
        <w:rPr>
          <w:rFonts w:ascii="Times New Roman" w:hAnsi="Times New Roman" w:eastAsia="宋体"/>
          <w:color w:val="auto"/>
          <w:szCs w:val="21"/>
          <w:highlight w:val="none"/>
        </w:rPr>
        <w:t>国标《岩土工程勘察规范》GB 50021-2001（2009版）附表A.0.5中，只将有机质土区分为淤泥和淤泥质土。</w:t>
      </w:r>
      <w:r>
        <w:rPr>
          <w:rFonts w:hint="eastAsia" w:ascii="Times New Roman" w:hAnsi="Times New Roman" w:eastAsia="宋体"/>
          <w:color w:val="auto"/>
          <w:szCs w:val="21"/>
          <w:highlight w:val="none"/>
          <w:lang w:val="en-US" w:eastAsia="zh-CN"/>
        </w:rPr>
        <w:t>工程实践中</w:t>
      </w:r>
      <w:r>
        <w:rPr>
          <w:rFonts w:hint="eastAsia" w:ascii="Times New Roman" w:hAnsi="Times New Roman" w:eastAsia="宋体"/>
          <w:color w:val="auto"/>
          <w:szCs w:val="21"/>
          <w:highlight w:val="none"/>
          <w:lang w:eastAsia="zh-CN"/>
        </w:rPr>
        <w:t>，</w:t>
      </w:r>
      <w:r>
        <w:rPr>
          <w:rFonts w:hint="eastAsia" w:ascii="Times New Roman" w:hAnsi="Times New Roman" w:eastAsia="宋体"/>
          <w:color w:val="auto"/>
          <w:szCs w:val="21"/>
          <w:highlight w:val="none"/>
        </w:rPr>
        <w:t>一般将</w:t>
      </w:r>
      <w:r>
        <w:rPr>
          <w:rFonts w:hint="eastAsia" w:ascii="Times New Roman" w:hAnsi="Times New Roman" w:eastAsia="宋体"/>
          <w:color w:val="auto"/>
          <w:szCs w:val="18"/>
          <w:highlight w:val="none"/>
        </w:rPr>
        <w:t>静水或缓慢流水环境中沉积的</w:t>
      </w:r>
      <w:r>
        <w:rPr>
          <w:rFonts w:hint="eastAsia" w:ascii="Times New Roman" w:hAnsi="Times New Roman" w:eastAsia="宋体"/>
          <w:color w:val="auto"/>
          <w:szCs w:val="21"/>
          <w:highlight w:val="none"/>
        </w:rPr>
        <w:t>软土</w:t>
      </w:r>
      <w:r>
        <w:rPr>
          <w:rFonts w:hint="eastAsia" w:ascii="Times New Roman" w:hAnsi="Times New Roman" w:eastAsia="宋体"/>
          <w:color w:val="auto"/>
          <w:szCs w:val="21"/>
          <w:highlight w:val="none"/>
          <w:lang w:val="en-US" w:eastAsia="zh-CN"/>
        </w:rPr>
        <w:t>直接统</w:t>
      </w:r>
      <w:r>
        <w:rPr>
          <w:rFonts w:hint="eastAsia" w:ascii="Times New Roman" w:hAnsi="Times New Roman" w:eastAsia="宋体"/>
          <w:color w:val="auto"/>
          <w:szCs w:val="21"/>
          <w:highlight w:val="none"/>
        </w:rPr>
        <w:t>称为</w:t>
      </w:r>
      <w:r>
        <w:rPr>
          <w:rFonts w:ascii="Times New Roman" w:hAnsi="Times New Roman" w:eastAsia="宋体"/>
          <w:color w:val="auto"/>
          <w:szCs w:val="21"/>
          <w:highlight w:val="none"/>
        </w:rPr>
        <w:t>淤泥</w:t>
      </w:r>
      <w:r>
        <w:rPr>
          <w:rFonts w:hint="eastAsia" w:ascii="Times New Roman" w:hAnsi="Times New Roman" w:eastAsia="宋体"/>
          <w:color w:val="auto"/>
          <w:szCs w:val="21"/>
          <w:highlight w:val="none"/>
        </w:rPr>
        <w:t>或</w:t>
      </w:r>
      <w:r>
        <w:rPr>
          <w:rFonts w:ascii="Times New Roman" w:hAnsi="Times New Roman" w:eastAsia="宋体"/>
          <w:color w:val="auto"/>
          <w:szCs w:val="21"/>
          <w:highlight w:val="none"/>
        </w:rPr>
        <w:t>淤泥质土</w:t>
      </w:r>
      <w:r>
        <w:rPr>
          <w:rFonts w:hint="eastAsia" w:ascii="Times New Roman" w:hAnsi="Times New Roman" w:eastAsia="宋体"/>
          <w:color w:val="auto"/>
          <w:szCs w:val="21"/>
          <w:highlight w:val="none"/>
          <w:lang w:eastAsia="zh-CN"/>
        </w:rPr>
        <w:t>；</w:t>
      </w:r>
      <w:r>
        <w:rPr>
          <w:rFonts w:hint="eastAsia" w:ascii="Times New Roman" w:hAnsi="Times New Roman" w:eastAsia="宋体"/>
          <w:color w:val="auto"/>
          <w:szCs w:val="21"/>
          <w:highlight w:val="none"/>
          <w:lang w:val="en-US" w:eastAsia="zh-CN"/>
        </w:rPr>
        <w:t>淤泥或淤泥质土测试有机质含量后，又根据有机质含量进一步区分其属性</w:t>
      </w:r>
      <w:r>
        <w:rPr>
          <w:rFonts w:ascii="Times New Roman" w:hAnsi="Times New Roman" w:eastAsia="宋体"/>
          <w:color w:val="auto"/>
          <w:szCs w:val="21"/>
          <w:highlight w:val="none"/>
        </w:rPr>
        <w:t>。</w:t>
      </w:r>
      <w:r>
        <w:rPr>
          <w:rFonts w:hint="eastAsia" w:ascii="Times New Roman" w:hAnsi="Times New Roman" w:eastAsia="宋体"/>
          <w:color w:val="auto"/>
          <w:szCs w:val="21"/>
          <w:highlight w:val="none"/>
          <w:lang w:val="en-US" w:eastAsia="zh-CN"/>
        </w:rPr>
        <w:t>此时，</w:t>
      </w:r>
      <w:r>
        <w:rPr>
          <w:rFonts w:hint="eastAsia" w:ascii="Times New Roman" w:hAnsi="Times New Roman" w:eastAsia="宋体"/>
          <w:color w:val="auto"/>
          <w:szCs w:val="21"/>
          <w:highlight w:val="none"/>
        </w:rPr>
        <w:t>无机土</w:t>
      </w:r>
      <w:r>
        <w:rPr>
          <w:rFonts w:hint="eastAsia" w:ascii="Times New Roman" w:hAnsi="Times New Roman" w:eastAsia="宋体"/>
          <w:color w:val="auto"/>
          <w:szCs w:val="21"/>
          <w:highlight w:val="none"/>
          <w:lang w:val="en-US" w:eastAsia="zh-CN"/>
        </w:rPr>
        <w:t>、有机质土</w:t>
      </w:r>
      <w:r>
        <w:rPr>
          <w:rFonts w:hint="eastAsia" w:ascii="Times New Roman" w:hAnsi="Times New Roman" w:eastAsia="宋体"/>
          <w:color w:val="auto"/>
          <w:szCs w:val="21"/>
          <w:highlight w:val="none"/>
        </w:rPr>
        <w:t>通常</w:t>
      </w:r>
      <w:r>
        <w:rPr>
          <w:rFonts w:hint="eastAsia" w:ascii="Times New Roman" w:hAnsi="Times New Roman" w:eastAsia="宋体"/>
          <w:color w:val="auto"/>
          <w:szCs w:val="21"/>
          <w:highlight w:val="none"/>
          <w:lang w:val="en-US" w:eastAsia="zh-CN"/>
        </w:rPr>
        <w:t>还是</w:t>
      </w:r>
      <w:r>
        <w:rPr>
          <w:rFonts w:hint="eastAsia" w:ascii="Times New Roman" w:hAnsi="Times New Roman" w:eastAsia="宋体"/>
          <w:color w:val="auto"/>
          <w:szCs w:val="21"/>
          <w:highlight w:val="none"/>
        </w:rPr>
        <w:t>描述为</w:t>
      </w:r>
      <w:r>
        <w:rPr>
          <w:rFonts w:ascii="Times New Roman" w:hAnsi="Times New Roman" w:eastAsia="宋体"/>
          <w:color w:val="auto"/>
          <w:szCs w:val="21"/>
          <w:highlight w:val="none"/>
        </w:rPr>
        <w:t>淤泥</w:t>
      </w:r>
      <w:r>
        <w:rPr>
          <w:rFonts w:hint="eastAsia" w:ascii="Times New Roman" w:hAnsi="Times New Roman" w:eastAsia="宋体"/>
          <w:color w:val="auto"/>
          <w:szCs w:val="21"/>
          <w:highlight w:val="none"/>
        </w:rPr>
        <w:t>或</w:t>
      </w:r>
      <w:r>
        <w:rPr>
          <w:rFonts w:ascii="Times New Roman" w:hAnsi="Times New Roman" w:eastAsia="宋体"/>
          <w:color w:val="auto"/>
          <w:szCs w:val="21"/>
          <w:highlight w:val="none"/>
        </w:rPr>
        <w:t>淤泥质土。</w:t>
      </w:r>
    </w:p>
    <w:p>
      <w:pPr>
        <w:spacing w:line="360" w:lineRule="auto"/>
        <w:ind w:firstLine="420" w:firstLineChars="200"/>
        <w:rPr>
          <w:rFonts w:hint="default" w:ascii="Times New Roman" w:hAnsi="Times New Roman" w:eastAsia="宋体"/>
          <w:b w:val="0"/>
          <w:bCs w:val="0"/>
          <w:color w:val="auto"/>
          <w:highlight w:val="none"/>
          <w:lang w:val="en-US" w:eastAsia="zh-CN"/>
        </w:rPr>
      </w:pPr>
      <w:r>
        <w:rPr>
          <w:rFonts w:hint="eastAsia" w:ascii="Times New Roman" w:hAnsi="Times New Roman" w:eastAsia="宋体"/>
          <w:b w:val="0"/>
          <w:bCs w:val="0"/>
          <w:color w:val="auto"/>
          <w:highlight w:val="none"/>
          <w:lang w:val="en-US" w:eastAsia="zh-CN"/>
        </w:rPr>
        <w:t>软土的划分同时参照了《铁路工程岩土分类标准》TB 10077-2019。根据《水运工程岩土工程勘察规范》JTS 133-2013，淤泥中又区分出流泥，这在当前的沉管隧道项目中是必要的，其涉及到沉管隧道及浮运航道的回淤问题，影响到开挖坡率的设计。</w:t>
      </w:r>
    </w:p>
    <w:p>
      <w:pPr>
        <w:spacing w:line="360" w:lineRule="auto"/>
        <w:ind w:firstLine="422" w:firstLineChars="200"/>
        <w:rPr>
          <w:rFonts w:ascii="Times New Roman" w:hAnsi="Times New Roman" w:eastAsia="宋体"/>
          <w:color w:val="auto"/>
          <w:szCs w:val="21"/>
          <w:highlight w:val="none"/>
        </w:rPr>
      </w:pPr>
      <w:r>
        <w:rPr>
          <w:rFonts w:hint="eastAsia" w:ascii="Times New Roman" w:hAnsi="Times New Roman" w:eastAsia="宋体"/>
          <w:b/>
          <w:bCs/>
          <w:color w:val="auto"/>
          <w:highlight w:val="none"/>
          <w:lang w:val="en-US" w:eastAsia="zh-CN"/>
        </w:rPr>
        <w:t xml:space="preserve">3 </w:t>
      </w:r>
      <w:r>
        <w:rPr>
          <w:rFonts w:hint="eastAsia" w:ascii="Times New Roman" w:hAnsi="Times New Roman" w:eastAsia="宋体"/>
          <w:b w:val="0"/>
          <w:bCs w:val="0"/>
          <w:color w:val="auto"/>
          <w:highlight w:val="none"/>
          <w:lang w:val="en-US" w:eastAsia="zh-CN"/>
        </w:rPr>
        <w:t xml:space="preserve"> 残积土已完全风化，岩石的原生结构、成分和性质已经产生不同程度的变异，难以辨认。</w:t>
      </w:r>
      <w:r>
        <w:rPr>
          <w:rFonts w:ascii="Times New Roman" w:hAnsi="Times New Roman" w:eastAsia="宋体"/>
          <w:color w:val="auto"/>
          <w:szCs w:val="21"/>
          <w:highlight w:val="none"/>
        </w:rPr>
        <w:t>广东地区分布广泛的花岗岩</w:t>
      </w:r>
      <w:r>
        <w:rPr>
          <w:rFonts w:hint="eastAsia" w:ascii="Times New Roman" w:hAnsi="Times New Roman" w:eastAsia="宋体"/>
          <w:color w:val="auto"/>
          <w:szCs w:val="21"/>
          <w:highlight w:val="none"/>
          <w:lang w:val="en-US" w:eastAsia="zh-CN"/>
        </w:rPr>
        <w:t>残积土</w:t>
      </w:r>
      <w:r>
        <w:rPr>
          <w:rFonts w:ascii="Times New Roman" w:hAnsi="Times New Roman" w:eastAsia="宋体"/>
          <w:color w:val="auto"/>
          <w:szCs w:val="21"/>
          <w:highlight w:val="none"/>
        </w:rPr>
        <w:t>，以及</w:t>
      </w:r>
      <w:r>
        <w:rPr>
          <w:rFonts w:hint="eastAsia" w:ascii="Times New Roman" w:hAnsi="Times New Roman" w:eastAsia="宋体"/>
          <w:color w:val="auto"/>
          <w:szCs w:val="21"/>
          <w:highlight w:val="none"/>
          <w:lang w:val="en-US" w:eastAsia="zh-CN"/>
        </w:rPr>
        <w:t>由</w:t>
      </w:r>
      <w:r>
        <w:rPr>
          <w:rFonts w:ascii="Times New Roman" w:hAnsi="Times New Roman" w:eastAsia="宋体"/>
          <w:color w:val="auto"/>
          <w:szCs w:val="21"/>
          <w:highlight w:val="none"/>
        </w:rPr>
        <w:t>混合花岗岩、花岗片麻岩等</w:t>
      </w:r>
      <w:r>
        <w:rPr>
          <w:rFonts w:hint="eastAsia" w:ascii="Times New Roman" w:hAnsi="Times New Roman" w:eastAsia="宋体"/>
          <w:color w:val="auto"/>
          <w:szCs w:val="21"/>
          <w:highlight w:val="none"/>
          <w:lang w:val="en-US" w:eastAsia="zh-CN"/>
        </w:rPr>
        <w:t>风化而成的残积土</w:t>
      </w:r>
      <w:r>
        <w:rPr>
          <w:rFonts w:ascii="Times New Roman" w:hAnsi="Times New Roman" w:eastAsia="宋体"/>
          <w:color w:val="auto"/>
          <w:szCs w:val="21"/>
          <w:highlight w:val="none"/>
        </w:rPr>
        <w:t>，其颗粒组成和工程性质较为相似，统称为花岗岩类</w:t>
      </w:r>
      <w:r>
        <w:rPr>
          <w:rFonts w:hint="eastAsia" w:ascii="Times New Roman" w:hAnsi="Times New Roman" w:eastAsia="宋体"/>
          <w:color w:val="auto"/>
          <w:szCs w:val="21"/>
          <w:highlight w:val="none"/>
          <w:lang w:val="en-US" w:eastAsia="zh-CN"/>
        </w:rPr>
        <w:t>残积</w:t>
      </w:r>
      <w:r>
        <w:rPr>
          <w:rFonts w:ascii="Times New Roman" w:hAnsi="Times New Roman" w:eastAsia="宋体"/>
          <w:color w:val="auto"/>
          <w:szCs w:val="21"/>
          <w:highlight w:val="none"/>
        </w:rPr>
        <w:t>土。花岗岩残积土的定名</w:t>
      </w:r>
      <w:r>
        <w:rPr>
          <w:rFonts w:hint="eastAsia" w:ascii="Times New Roman" w:hAnsi="Times New Roman" w:eastAsia="宋体"/>
          <w:color w:val="auto"/>
          <w:szCs w:val="21"/>
          <w:highlight w:val="none"/>
          <w:lang w:val="en-US" w:eastAsia="zh-CN"/>
        </w:rPr>
        <w:t>依据</w:t>
      </w:r>
      <w:r>
        <w:rPr>
          <w:rFonts w:ascii="Times New Roman" w:hAnsi="Times New Roman" w:eastAsia="宋体"/>
          <w:color w:val="auto"/>
          <w:szCs w:val="21"/>
          <w:highlight w:val="none"/>
        </w:rPr>
        <w:t>《公路工程地质勘察规范》</w:t>
      </w:r>
      <w:r>
        <w:rPr>
          <w:rFonts w:ascii="Times New Roman" w:hAnsi="Times New Roman" w:eastAsia="宋体"/>
          <w:color w:val="auto"/>
          <w:highlight w:val="none"/>
        </w:rPr>
        <w:t>JTG C20-2011</w:t>
      </w:r>
      <w:r>
        <w:rPr>
          <w:rFonts w:hint="eastAsia" w:ascii="Times New Roman" w:hAnsi="Times New Roman" w:eastAsia="宋体"/>
          <w:color w:val="auto"/>
          <w:szCs w:val="21"/>
          <w:highlight w:val="none"/>
          <w:lang w:val="en-US" w:eastAsia="zh-CN"/>
        </w:rPr>
        <w:t>第</w:t>
      </w:r>
      <w:r>
        <w:rPr>
          <w:rFonts w:ascii="Times New Roman" w:hAnsi="Times New Roman" w:eastAsia="宋体"/>
          <w:color w:val="auto"/>
          <w:szCs w:val="21"/>
          <w:highlight w:val="none"/>
        </w:rPr>
        <w:t>8.6</w:t>
      </w:r>
      <w:r>
        <w:rPr>
          <w:rFonts w:hint="eastAsia" w:ascii="Times New Roman" w:hAnsi="Times New Roman" w:eastAsia="宋体"/>
          <w:color w:val="auto"/>
          <w:szCs w:val="21"/>
          <w:highlight w:val="none"/>
          <w:lang w:val="en-US" w:eastAsia="zh-CN"/>
        </w:rPr>
        <w:t>条及</w:t>
      </w:r>
      <w:r>
        <w:rPr>
          <w:rFonts w:ascii="Times New Roman" w:hAnsi="Times New Roman" w:eastAsia="宋体"/>
          <w:color w:val="auto"/>
          <w:highlight w:val="none"/>
        </w:rPr>
        <w:t>广东省标准《建筑地基基础设计规范》DBJ 15-31-2016</w:t>
      </w:r>
      <w:r>
        <w:rPr>
          <w:rFonts w:ascii="Times New Roman" w:hAnsi="Times New Roman" w:eastAsia="宋体"/>
          <w:color w:val="auto"/>
          <w:szCs w:val="21"/>
          <w:highlight w:val="none"/>
        </w:rPr>
        <w:t>。</w:t>
      </w:r>
    </w:p>
    <w:p>
      <w:pPr>
        <w:spacing w:line="360" w:lineRule="auto"/>
        <w:ind w:firstLine="422" w:firstLineChars="200"/>
        <w:rPr>
          <w:rFonts w:hint="default" w:ascii="Times New Roman" w:hAnsi="Times New Roman" w:eastAsia="宋体"/>
          <w:color w:val="auto"/>
          <w:szCs w:val="21"/>
          <w:highlight w:val="none"/>
          <w:lang w:val="en-US" w:eastAsia="zh-CN"/>
        </w:rPr>
      </w:pPr>
      <w:r>
        <w:rPr>
          <w:rFonts w:hint="eastAsia" w:ascii="Times New Roman" w:hAnsi="Times New Roman" w:eastAsia="宋体"/>
          <w:b/>
          <w:bCs/>
          <w:color w:val="auto"/>
          <w:szCs w:val="21"/>
          <w:highlight w:val="none"/>
          <w:lang w:val="en-US" w:eastAsia="zh-CN"/>
        </w:rPr>
        <w:t>4</w:t>
      </w:r>
      <w:r>
        <w:rPr>
          <w:rFonts w:hint="eastAsia" w:ascii="Times New Roman" w:hAnsi="Times New Roman" w:eastAsia="宋体"/>
          <w:color w:val="auto"/>
          <w:szCs w:val="21"/>
          <w:highlight w:val="none"/>
          <w:lang w:val="en-US" w:eastAsia="zh-CN"/>
        </w:rPr>
        <w:t xml:space="preserve"> </w:t>
      </w:r>
      <w:r>
        <w:rPr>
          <w:rFonts w:hint="eastAsia"/>
          <w:color w:val="auto"/>
          <w:szCs w:val="21"/>
          <w:highlight w:val="none"/>
          <w:lang w:val="en-US" w:eastAsia="zh-CN"/>
        </w:rPr>
        <w:t xml:space="preserve"> </w:t>
      </w:r>
      <w:r>
        <w:rPr>
          <w:rFonts w:hint="eastAsia" w:ascii="Times New Roman" w:hAnsi="Times New Roman" w:eastAsia="宋体"/>
          <w:color w:val="auto"/>
          <w:szCs w:val="21"/>
          <w:highlight w:val="none"/>
          <w:lang w:val="en-US" w:eastAsia="zh-CN"/>
        </w:rPr>
        <w:t>广东韶关、英德等碳酸盐岩发育地区分布有大量的红黏土。红黏土往往具有高液限、上硬下软、裂隙性、胀缩性等特性。</w:t>
      </w:r>
    </w:p>
    <w:p>
      <w:pPr>
        <w:spacing w:line="360" w:lineRule="auto"/>
        <w:ind w:firstLine="422" w:firstLineChars="200"/>
        <w:rPr>
          <w:rFonts w:ascii="Times New Roman" w:hAnsi="Times New Roman" w:eastAsia="宋体"/>
          <w:color w:val="auto"/>
          <w:highlight w:val="none"/>
        </w:rPr>
      </w:pPr>
      <w:r>
        <w:rPr>
          <w:rFonts w:hint="eastAsia" w:ascii="Times New Roman" w:hAnsi="Times New Roman" w:eastAsia="宋体"/>
          <w:b/>
          <w:bCs/>
          <w:color w:val="auto"/>
          <w:highlight w:val="none"/>
          <w:lang w:val="en-US" w:eastAsia="zh-CN"/>
        </w:rPr>
        <w:t>5</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ascii="Times New Roman" w:hAnsi="Times New Roman" w:eastAsia="宋体"/>
          <w:color w:val="auto"/>
          <w:highlight w:val="none"/>
        </w:rPr>
        <w:t>《岩土工程勘察规范》GB 50021-2001（2009版）及《工程地质手册》（第五版）仅定义了细粒混合土和粗粒混合土共两类混合土。但是，在广东地区这两类混合土分布较少，而分布较多的是类混合土，且具有其特殊的工程性质，划分及命名方式参考了《土的工程分类标准》GB/T 50145-2007。室内试验表明，细粒土含量超过总质量15%的砂土，一般可过0.5mm筛后做液塑限试验，满足混合</w:t>
      </w:r>
      <w:r>
        <w:rPr>
          <w:rFonts w:hint="eastAsia" w:ascii="Times New Roman" w:hAnsi="Times New Roman" w:eastAsia="宋体"/>
          <w:color w:val="auto"/>
          <w:highlight w:val="none"/>
          <w:lang w:val="en-US" w:eastAsia="zh-CN"/>
        </w:rPr>
        <w:t>类</w:t>
      </w:r>
      <w:r>
        <w:rPr>
          <w:rFonts w:ascii="Times New Roman" w:hAnsi="Times New Roman" w:eastAsia="宋体"/>
          <w:color w:val="auto"/>
          <w:highlight w:val="none"/>
        </w:rPr>
        <w:t>土的性质和定义。</w:t>
      </w:r>
    </w:p>
    <w:p>
      <w:pPr>
        <w:spacing w:line="360" w:lineRule="auto"/>
        <w:ind w:firstLine="420" w:firstLineChars="20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混合类土也可参照表4-3进行具体定名。</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b/>
          <w:bCs/>
          <w:color w:val="auto"/>
          <w:szCs w:val="18"/>
          <w:highlight w:val="none"/>
          <w:lang w:val="en-US" w:eastAsia="zh-CN"/>
        </w:rPr>
        <w:t>表4-3</w:t>
      </w:r>
      <w:r>
        <w:rPr>
          <w:rFonts w:hint="eastAsia"/>
          <w:b/>
          <w:bCs/>
          <w:color w:val="auto"/>
          <w:szCs w:val="18"/>
          <w:highlight w:val="none"/>
          <w:lang w:val="en-US" w:eastAsia="zh-CN"/>
        </w:rPr>
        <w:t xml:space="preserve"> </w:t>
      </w:r>
      <w:r>
        <w:rPr>
          <w:rFonts w:hint="eastAsia" w:ascii="Times New Roman" w:hAnsi="Times New Roman" w:eastAsia="宋体"/>
          <w:b/>
          <w:bCs/>
          <w:color w:val="auto"/>
          <w:szCs w:val="18"/>
          <w:highlight w:val="none"/>
          <w:lang w:val="en-US" w:eastAsia="zh-CN"/>
        </w:rPr>
        <w:t xml:space="preserve"> 混合类土分类表</w:t>
      </w:r>
    </w:p>
    <w:tbl>
      <w:tblPr>
        <w:tblStyle w:val="22"/>
        <w:tblW w:w="8303"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728"/>
        <w:gridCol w:w="1215"/>
        <w:gridCol w:w="570"/>
        <w:gridCol w:w="2265"/>
        <w:gridCol w:w="1590"/>
        <w:gridCol w:w="193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20" w:hRule="atLeast"/>
        </w:trPr>
        <w:tc>
          <w:tcPr>
            <w:tcW w:w="72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大类</w:t>
            </w:r>
          </w:p>
        </w:tc>
        <w:tc>
          <w:tcPr>
            <w:tcW w:w="1215"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小类</w:t>
            </w:r>
          </w:p>
        </w:tc>
        <w:tc>
          <w:tcPr>
            <w:tcW w:w="57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序号</w:t>
            </w:r>
          </w:p>
        </w:tc>
        <w:tc>
          <w:tcPr>
            <w:tcW w:w="5790" w:type="dxa"/>
            <w:gridSpan w:val="3"/>
            <w:tcBorders>
              <w:tl2br w:val="nil"/>
              <w:tr2bl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颗粒组成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2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121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57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22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&gt;2mm</w:t>
            </w:r>
          </w:p>
        </w:tc>
        <w:tc>
          <w:tcPr>
            <w:tcW w:w="15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2-0.075mm</w:t>
            </w:r>
          </w:p>
        </w:tc>
        <w:tc>
          <w:tcPr>
            <w:tcW w:w="19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&lt;0.075mm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2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121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57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3855"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粗粒</w:t>
            </w:r>
          </w:p>
        </w:tc>
        <w:tc>
          <w:tcPr>
            <w:tcW w:w="19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细粒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2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121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57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22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G</w:t>
            </w:r>
            <w:r>
              <w:rPr>
                <w:rFonts w:hint="eastAsia" w:ascii="Times New Roman" w:hAnsi="Times New Roman" w:eastAsia="宋体" w:cs="Times New Roman"/>
                <w:i w:val="0"/>
                <w:color w:val="auto"/>
                <w:kern w:val="0"/>
                <w:sz w:val="20"/>
                <w:szCs w:val="20"/>
                <w:highlight w:val="none"/>
                <w:u w:val="none"/>
                <w:lang w:val="en-US" w:eastAsia="zh-CN" w:bidi="ar"/>
              </w:rPr>
              <w:t>（</w:t>
            </w:r>
            <w:r>
              <w:rPr>
                <w:rFonts w:hint="default" w:ascii="Times New Roman" w:hAnsi="Times New Roman" w:eastAsia="宋体" w:cs="Times New Roman"/>
                <w:i w:val="0"/>
                <w:color w:val="auto"/>
                <w:kern w:val="0"/>
                <w:sz w:val="20"/>
                <w:szCs w:val="20"/>
                <w:highlight w:val="none"/>
                <w:u w:val="none"/>
                <w:lang w:val="en-US" w:eastAsia="zh-CN" w:bidi="ar"/>
              </w:rPr>
              <w:t>块粒、卵粒、砾粒</w:t>
            </w:r>
            <w:r>
              <w:rPr>
                <w:rFonts w:hint="eastAsia" w:ascii="Times New Roman" w:hAnsi="Times New Roman" w:eastAsia="宋体" w:cs="Times New Roman"/>
                <w:i w:val="0"/>
                <w:color w:val="auto"/>
                <w:kern w:val="0"/>
                <w:sz w:val="20"/>
                <w:szCs w:val="20"/>
                <w:highlight w:val="none"/>
                <w:u w:val="none"/>
                <w:lang w:val="en-US" w:eastAsia="zh-CN" w:bidi="ar"/>
              </w:rPr>
              <w:t>）</w:t>
            </w:r>
          </w:p>
        </w:tc>
        <w:tc>
          <w:tcPr>
            <w:tcW w:w="15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S</w:t>
            </w:r>
            <w:r>
              <w:rPr>
                <w:rFonts w:hint="eastAsia" w:ascii="Times New Roman" w:hAnsi="Times New Roman" w:eastAsia="宋体" w:cs="Times New Roman"/>
                <w:i w:val="0"/>
                <w:color w:val="auto"/>
                <w:kern w:val="0"/>
                <w:sz w:val="20"/>
                <w:szCs w:val="20"/>
                <w:highlight w:val="none"/>
                <w:u w:val="none"/>
                <w:lang w:val="en-US" w:eastAsia="zh-CN" w:bidi="ar"/>
              </w:rPr>
              <w:t>（</w:t>
            </w:r>
            <w:r>
              <w:rPr>
                <w:rFonts w:hint="default" w:ascii="Times New Roman" w:hAnsi="Times New Roman" w:eastAsia="宋体" w:cs="Times New Roman"/>
                <w:i w:val="0"/>
                <w:color w:val="auto"/>
                <w:kern w:val="0"/>
                <w:sz w:val="20"/>
                <w:szCs w:val="20"/>
                <w:highlight w:val="none"/>
                <w:u w:val="none"/>
                <w:lang w:val="en-US" w:eastAsia="zh-CN" w:bidi="ar"/>
              </w:rPr>
              <w:t>砂粒</w:t>
            </w:r>
            <w:r>
              <w:rPr>
                <w:rFonts w:hint="eastAsia" w:ascii="Times New Roman" w:hAnsi="Times New Roman" w:eastAsia="宋体" w:cs="Times New Roman"/>
                <w:i w:val="0"/>
                <w:color w:val="auto"/>
                <w:kern w:val="0"/>
                <w:sz w:val="20"/>
                <w:szCs w:val="20"/>
                <w:highlight w:val="none"/>
                <w:u w:val="none"/>
                <w:lang w:val="en-US" w:eastAsia="zh-CN" w:bidi="ar"/>
              </w:rPr>
              <w:t>）</w:t>
            </w:r>
          </w:p>
        </w:tc>
        <w:tc>
          <w:tcPr>
            <w:tcW w:w="19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F</w:t>
            </w:r>
            <w:r>
              <w:rPr>
                <w:rFonts w:hint="eastAsia" w:ascii="Times New Roman" w:hAnsi="Times New Roman" w:eastAsia="宋体" w:cs="Times New Roman"/>
                <w:i w:val="0"/>
                <w:color w:val="auto"/>
                <w:kern w:val="0"/>
                <w:sz w:val="20"/>
                <w:szCs w:val="20"/>
                <w:highlight w:val="none"/>
                <w:u w:val="none"/>
                <w:lang w:val="en-US" w:eastAsia="zh-CN" w:bidi="ar"/>
              </w:rPr>
              <w:t>（</w:t>
            </w:r>
            <w:r>
              <w:rPr>
                <w:rFonts w:hint="default" w:ascii="Times New Roman" w:hAnsi="Times New Roman" w:eastAsia="宋体" w:cs="Times New Roman"/>
                <w:i w:val="0"/>
                <w:color w:val="auto"/>
                <w:kern w:val="0"/>
                <w:sz w:val="20"/>
                <w:szCs w:val="20"/>
                <w:highlight w:val="none"/>
                <w:u w:val="none"/>
                <w:lang w:val="en-US" w:eastAsia="zh-CN" w:bidi="ar"/>
              </w:rPr>
              <w:t>粉粒、粘粒</w:t>
            </w:r>
            <w:r>
              <w:rPr>
                <w:rFonts w:hint="eastAsia" w:ascii="Times New Roman" w:hAnsi="Times New Roman" w:eastAsia="宋体" w:cs="Times New Roman"/>
                <w:i w:val="0"/>
                <w:color w:val="auto"/>
                <w:kern w:val="0"/>
                <w:sz w:val="20"/>
                <w:szCs w:val="20"/>
                <w:highlight w:val="none"/>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2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混合土</w:t>
            </w:r>
          </w:p>
        </w:tc>
        <w:tc>
          <w:tcPr>
            <w:tcW w:w="12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细粒混合土</w:t>
            </w:r>
          </w:p>
        </w:tc>
        <w:tc>
          <w:tcPr>
            <w:tcW w:w="5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1</w:t>
            </w:r>
          </w:p>
        </w:tc>
        <w:tc>
          <w:tcPr>
            <w:tcW w:w="22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&gt;25</w:t>
            </w:r>
          </w:p>
        </w:tc>
        <w:tc>
          <w:tcPr>
            <w:tcW w:w="159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19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宋体" w:hAnsi="宋体" w:eastAsia="宋体" w:cs="宋体"/>
                <w:i w:val="0"/>
                <w:color w:val="auto"/>
                <w:kern w:val="0"/>
                <w:sz w:val="20"/>
                <w:szCs w:val="20"/>
                <w:highlight w:val="none"/>
                <w:u w:val="none"/>
                <w:lang w:val="en-US" w:eastAsia="zh-CN" w:bidi="ar"/>
              </w:rPr>
              <w:t>≥</w:t>
            </w:r>
            <w:r>
              <w:rPr>
                <w:rFonts w:hint="default" w:ascii="Times New Roman" w:hAnsi="Times New Roman" w:eastAsia="宋体" w:cs="Times New Roman"/>
                <w:i w:val="0"/>
                <w:color w:val="auto"/>
                <w:kern w:val="0"/>
                <w:sz w:val="20"/>
                <w:szCs w:val="20"/>
                <w:highlight w:val="none"/>
                <w:u w:val="none"/>
                <w:lang w:val="en-US" w:eastAsia="zh-CN" w:bidi="ar"/>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72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12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粗粒混合土</w:t>
            </w:r>
          </w:p>
        </w:tc>
        <w:tc>
          <w:tcPr>
            <w:tcW w:w="5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2</w:t>
            </w:r>
          </w:p>
        </w:tc>
        <w:tc>
          <w:tcPr>
            <w:tcW w:w="22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&gt;50</w:t>
            </w:r>
          </w:p>
        </w:tc>
        <w:tc>
          <w:tcPr>
            <w:tcW w:w="159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19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&gt;25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72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类混合土</w:t>
            </w:r>
          </w:p>
        </w:tc>
        <w:tc>
          <w:tcPr>
            <w:tcW w:w="12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细粒土质砂</w:t>
            </w:r>
          </w:p>
        </w:tc>
        <w:tc>
          <w:tcPr>
            <w:tcW w:w="5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3</w:t>
            </w:r>
          </w:p>
        </w:tc>
        <w:tc>
          <w:tcPr>
            <w:tcW w:w="3855"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G</w:t>
            </w:r>
            <w:r>
              <w:rPr>
                <w:rFonts w:hint="default" w:ascii="宋体" w:hAnsi="宋体" w:eastAsia="宋体" w:cs="宋体"/>
                <w:i w:val="0"/>
                <w:color w:val="auto"/>
                <w:kern w:val="0"/>
                <w:sz w:val="20"/>
                <w:szCs w:val="20"/>
                <w:highlight w:val="none"/>
                <w:u w:val="none"/>
                <w:lang w:val="en-US" w:eastAsia="zh-CN" w:bidi="ar"/>
              </w:rPr>
              <w:t>≤</w:t>
            </w:r>
            <w:r>
              <w:rPr>
                <w:rFonts w:hint="default" w:ascii="Times New Roman" w:hAnsi="Times New Roman" w:eastAsia="宋体" w:cs="Times New Roman"/>
                <w:i w:val="0"/>
                <w:color w:val="auto"/>
                <w:kern w:val="0"/>
                <w:sz w:val="20"/>
                <w:szCs w:val="20"/>
                <w:highlight w:val="none"/>
                <w:u w:val="none"/>
                <w:lang w:val="en-US" w:eastAsia="zh-CN" w:bidi="ar"/>
              </w:rPr>
              <w:t>50</w:t>
            </w:r>
            <w:r>
              <w:rPr>
                <w:rFonts w:hint="eastAsia" w:ascii="Times New Roman" w:hAnsi="Times New Roman" w:eastAsia="宋体" w:cs="Times New Roman"/>
                <w:i w:val="0"/>
                <w:color w:val="auto"/>
                <w:kern w:val="0"/>
                <w:sz w:val="20"/>
                <w:szCs w:val="20"/>
                <w:highlight w:val="none"/>
                <w:u w:val="none"/>
                <w:lang w:val="en-US" w:eastAsia="zh-CN" w:bidi="ar"/>
              </w:rPr>
              <w:t>，</w:t>
            </w:r>
            <w:r>
              <w:rPr>
                <w:rStyle w:val="75"/>
                <w:rFonts w:hint="default" w:ascii="Times New Roman" w:hAnsi="Times New Roman" w:eastAsia="宋体" w:cs="Times New Roman"/>
                <w:color w:val="auto"/>
                <w:sz w:val="20"/>
                <w:szCs w:val="20"/>
                <w:highlight w:val="none"/>
                <w:lang w:val="en-US" w:eastAsia="zh-CN" w:bidi="ar"/>
              </w:rPr>
              <w:t>G+S</w:t>
            </w:r>
            <w:r>
              <w:rPr>
                <w:rFonts w:hint="default" w:ascii="Times New Roman" w:hAnsi="Times New Roman" w:eastAsia="宋体" w:cs="Times New Roman"/>
                <w:i w:val="0"/>
                <w:color w:val="auto"/>
                <w:kern w:val="0"/>
                <w:sz w:val="20"/>
                <w:szCs w:val="20"/>
                <w:highlight w:val="none"/>
                <w:u w:val="none"/>
                <w:lang w:val="en-US" w:eastAsia="zh-CN" w:bidi="ar"/>
              </w:rPr>
              <w:t>&gt;50</w:t>
            </w:r>
          </w:p>
        </w:tc>
        <w:tc>
          <w:tcPr>
            <w:tcW w:w="19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15</w:t>
            </w:r>
            <w:r>
              <w:rPr>
                <w:rFonts w:hint="default" w:ascii="宋体" w:hAnsi="宋体" w:eastAsia="宋体" w:cs="宋体"/>
                <w:i w:val="0"/>
                <w:color w:val="auto"/>
                <w:kern w:val="0"/>
                <w:sz w:val="20"/>
                <w:szCs w:val="20"/>
                <w:highlight w:val="none"/>
                <w:u w:val="none"/>
                <w:lang w:val="en-US" w:eastAsia="zh-CN" w:bidi="ar"/>
              </w:rPr>
              <w:t>≤</w:t>
            </w:r>
            <w:r>
              <w:rPr>
                <w:rFonts w:hint="default" w:ascii="Times New Roman" w:hAnsi="Times New Roman" w:eastAsia="宋体" w:cs="Times New Roman"/>
                <w:i w:val="0"/>
                <w:color w:val="auto"/>
                <w:kern w:val="0"/>
                <w:sz w:val="20"/>
                <w:szCs w:val="20"/>
                <w:highlight w:val="none"/>
                <w:u w:val="none"/>
                <w:lang w:val="en-US" w:eastAsia="zh-CN" w:bidi="ar"/>
              </w:rPr>
              <w:t>F&lt;50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12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细粒土质砾</w:t>
            </w:r>
          </w:p>
        </w:tc>
        <w:tc>
          <w:tcPr>
            <w:tcW w:w="5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4</w:t>
            </w:r>
          </w:p>
        </w:tc>
        <w:tc>
          <w:tcPr>
            <w:tcW w:w="22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&gt;50</w:t>
            </w:r>
          </w:p>
        </w:tc>
        <w:tc>
          <w:tcPr>
            <w:tcW w:w="159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19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15</w:t>
            </w:r>
            <w:r>
              <w:rPr>
                <w:rFonts w:hint="default" w:ascii="宋体" w:hAnsi="宋体" w:eastAsia="宋体" w:cs="宋体"/>
                <w:i w:val="0"/>
                <w:color w:val="auto"/>
                <w:kern w:val="0"/>
                <w:sz w:val="20"/>
                <w:szCs w:val="20"/>
                <w:highlight w:val="none"/>
                <w:u w:val="none"/>
                <w:lang w:val="en-US" w:eastAsia="zh-CN" w:bidi="ar"/>
              </w:rPr>
              <w:t>≤</w:t>
            </w:r>
            <w:r>
              <w:rPr>
                <w:rFonts w:hint="default" w:ascii="Times New Roman" w:hAnsi="Times New Roman" w:eastAsia="宋体" w:cs="Times New Roman"/>
                <w:i w:val="0"/>
                <w:color w:val="auto"/>
                <w:kern w:val="0"/>
                <w:sz w:val="20"/>
                <w:szCs w:val="20"/>
                <w:highlight w:val="none"/>
                <w:u w:val="none"/>
                <w:lang w:val="en-US" w:eastAsia="zh-CN" w:bidi="ar"/>
              </w:rPr>
              <w:t>F</w:t>
            </w:r>
            <w:r>
              <w:rPr>
                <w:rFonts w:hint="default" w:ascii="宋体" w:hAnsi="宋体" w:eastAsia="宋体" w:cs="宋体"/>
                <w:i w:val="0"/>
                <w:color w:val="auto"/>
                <w:kern w:val="0"/>
                <w:sz w:val="20"/>
                <w:szCs w:val="20"/>
                <w:highlight w:val="none"/>
                <w:u w:val="none"/>
                <w:lang w:val="en-US" w:eastAsia="zh-CN" w:bidi="ar"/>
              </w:rPr>
              <w:t>≤</w:t>
            </w:r>
            <w:r>
              <w:rPr>
                <w:rFonts w:hint="default" w:ascii="Times New Roman" w:hAnsi="Times New Roman" w:eastAsia="宋体" w:cs="Times New Roman"/>
                <w:i w:val="0"/>
                <w:color w:val="auto"/>
                <w:kern w:val="0"/>
                <w:sz w:val="20"/>
                <w:szCs w:val="20"/>
                <w:highlight w:val="none"/>
                <w:u w:val="none"/>
                <w:lang w:val="en-US" w:eastAsia="zh-CN" w:bidi="ar"/>
              </w:rPr>
              <w:t>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72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12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含砂细粒土</w:t>
            </w:r>
          </w:p>
        </w:tc>
        <w:tc>
          <w:tcPr>
            <w:tcW w:w="5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5</w:t>
            </w:r>
          </w:p>
        </w:tc>
        <w:tc>
          <w:tcPr>
            <w:tcW w:w="3855"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Style w:val="75"/>
                <w:rFonts w:hint="default" w:ascii="Times New Roman" w:hAnsi="Times New Roman" w:eastAsia="宋体" w:cs="Times New Roman"/>
                <w:color w:val="auto"/>
                <w:sz w:val="20"/>
                <w:szCs w:val="20"/>
                <w:highlight w:val="none"/>
                <w:lang w:val="en-US" w:eastAsia="zh-CN" w:bidi="ar"/>
              </w:rPr>
              <w:t>25&lt;G+S</w:t>
            </w:r>
            <w:r>
              <w:rPr>
                <w:rFonts w:hint="default" w:ascii="宋体" w:hAnsi="宋体" w:eastAsia="宋体" w:cs="宋体"/>
                <w:i w:val="0"/>
                <w:color w:val="auto"/>
                <w:kern w:val="0"/>
                <w:sz w:val="20"/>
                <w:szCs w:val="20"/>
                <w:highlight w:val="none"/>
                <w:u w:val="none"/>
                <w:lang w:val="en-US" w:eastAsia="zh-CN" w:bidi="ar"/>
              </w:rPr>
              <w:t>≤</w:t>
            </w:r>
            <w:r>
              <w:rPr>
                <w:rStyle w:val="75"/>
                <w:rFonts w:hint="default" w:ascii="Times New Roman" w:hAnsi="Times New Roman" w:eastAsia="宋体" w:cs="Times New Roman"/>
                <w:color w:val="auto"/>
                <w:sz w:val="20"/>
                <w:szCs w:val="20"/>
                <w:highlight w:val="none"/>
                <w:lang w:val="en-US" w:eastAsia="zh-CN" w:bidi="ar"/>
              </w:rPr>
              <w:t>50</w:t>
            </w:r>
            <w:r>
              <w:rPr>
                <w:rStyle w:val="76"/>
                <w:rFonts w:hint="default" w:ascii="Times New Roman" w:hAnsi="Times New Roman" w:eastAsia="宋体" w:cs="Times New Roman"/>
                <w:color w:val="auto"/>
                <w:sz w:val="20"/>
                <w:szCs w:val="20"/>
                <w:highlight w:val="none"/>
                <w:lang w:val="en-US" w:eastAsia="zh-CN" w:bidi="ar"/>
              </w:rPr>
              <w:t>，</w:t>
            </w:r>
            <w:r>
              <w:rPr>
                <w:rFonts w:hint="default" w:ascii="Times New Roman" w:hAnsi="Times New Roman" w:eastAsia="宋体" w:cs="Times New Roman"/>
                <w:i w:val="0"/>
                <w:color w:val="auto"/>
                <w:kern w:val="0"/>
                <w:sz w:val="20"/>
                <w:szCs w:val="20"/>
                <w:highlight w:val="none"/>
                <w:u w:val="none"/>
                <w:lang w:val="en-US" w:eastAsia="zh-CN" w:bidi="ar"/>
              </w:rPr>
              <w:t>G</w:t>
            </w:r>
            <w:r>
              <w:rPr>
                <w:rStyle w:val="75"/>
                <w:rFonts w:hint="default" w:ascii="Times New Roman" w:hAnsi="Times New Roman" w:eastAsia="宋体" w:cs="Times New Roman"/>
                <w:color w:val="auto"/>
                <w:sz w:val="20"/>
                <w:szCs w:val="20"/>
                <w:highlight w:val="none"/>
                <w:lang w:val="en-US" w:eastAsia="zh-CN" w:bidi="ar"/>
              </w:rPr>
              <w:t>&lt;</w:t>
            </w:r>
            <w:r>
              <w:rPr>
                <w:rFonts w:hint="default" w:ascii="Times New Roman" w:hAnsi="Times New Roman" w:eastAsia="宋体" w:cs="Times New Roman"/>
                <w:i w:val="0"/>
                <w:color w:val="auto"/>
                <w:kern w:val="0"/>
                <w:sz w:val="20"/>
                <w:szCs w:val="20"/>
                <w:highlight w:val="none"/>
                <w:u w:val="none"/>
                <w:lang w:val="en-US" w:eastAsia="zh-CN" w:bidi="ar"/>
              </w:rPr>
              <w:t>S</w:t>
            </w:r>
          </w:p>
        </w:tc>
        <w:tc>
          <w:tcPr>
            <w:tcW w:w="19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宋体" w:hAnsi="宋体" w:eastAsia="宋体" w:cs="宋体"/>
                <w:i w:val="0"/>
                <w:color w:val="auto"/>
                <w:kern w:val="0"/>
                <w:sz w:val="20"/>
                <w:szCs w:val="20"/>
                <w:highlight w:val="none"/>
                <w:u w:val="none"/>
                <w:lang w:val="en-US" w:eastAsia="zh-CN" w:bidi="ar"/>
              </w:rPr>
              <w:t>≥</w:t>
            </w:r>
            <w:r>
              <w:rPr>
                <w:rFonts w:hint="default" w:ascii="Times New Roman" w:hAnsi="Times New Roman" w:eastAsia="宋体" w:cs="Times New Roman"/>
                <w:i w:val="0"/>
                <w:color w:val="auto"/>
                <w:kern w:val="0"/>
                <w:sz w:val="20"/>
                <w:szCs w:val="20"/>
                <w:highlight w:val="none"/>
                <w:u w:val="none"/>
                <w:lang w:val="en-US" w:eastAsia="zh-CN" w:bidi="ar"/>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72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12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含砾细粒土</w:t>
            </w:r>
          </w:p>
        </w:tc>
        <w:tc>
          <w:tcPr>
            <w:tcW w:w="5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6</w:t>
            </w:r>
          </w:p>
        </w:tc>
        <w:tc>
          <w:tcPr>
            <w:tcW w:w="3855"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G</w:t>
            </w:r>
            <w:r>
              <w:rPr>
                <w:rFonts w:hint="default" w:ascii="宋体" w:hAnsi="宋体" w:eastAsia="宋体" w:cs="宋体"/>
                <w:i w:val="0"/>
                <w:color w:val="auto"/>
                <w:kern w:val="0"/>
                <w:sz w:val="20"/>
                <w:szCs w:val="20"/>
                <w:highlight w:val="none"/>
                <w:u w:val="none"/>
                <w:lang w:val="en-US" w:eastAsia="zh-CN" w:bidi="ar"/>
              </w:rPr>
              <w:t>≤</w:t>
            </w:r>
            <w:r>
              <w:rPr>
                <w:rFonts w:hint="default" w:ascii="Times New Roman" w:hAnsi="Times New Roman" w:eastAsia="宋体" w:cs="Times New Roman"/>
                <w:i w:val="0"/>
                <w:color w:val="auto"/>
                <w:kern w:val="0"/>
                <w:sz w:val="20"/>
                <w:szCs w:val="20"/>
                <w:highlight w:val="none"/>
                <w:u w:val="none"/>
                <w:lang w:val="en-US" w:eastAsia="zh-CN" w:bidi="ar"/>
              </w:rPr>
              <w:t>25</w:t>
            </w:r>
            <w:r>
              <w:rPr>
                <w:rStyle w:val="76"/>
                <w:rFonts w:hint="default" w:ascii="Times New Roman" w:hAnsi="Times New Roman" w:eastAsia="宋体" w:cs="Times New Roman"/>
                <w:color w:val="auto"/>
                <w:sz w:val="20"/>
                <w:szCs w:val="20"/>
                <w:highlight w:val="none"/>
                <w:lang w:val="en-US" w:eastAsia="zh-CN" w:bidi="ar"/>
              </w:rPr>
              <w:t>，</w:t>
            </w:r>
            <w:r>
              <w:rPr>
                <w:rFonts w:hint="default" w:ascii="Times New Roman" w:hAnsi="Times New Roman" w:eastAsia="宋体" w:cs="Times New Roman"/>
                <w:i w:val="0"/>
                <w:color w:val="auto"/>
                <w:kern w:val="0"/>
                <w:sz w:val="20"/>
                <w:szCs w:val="20"/>
                <w:highlight w:val="none"/>
                <w:u w:val="none"/>
                <w:lang w:val="en-US" w:eastAsia="zh-CN" w:bidi="ar"/>
              </w:rPr>
              <w:t>25&lt;G+S</w:t>
            </w:r>
            <w:r>
              <w:rPr>
                <w:rFonts w:hint="default" w:ascii="宋体" w:hAnsi="宋体" w:eastAsia="宋体" w:cs="宋体"/>
                <w:i w:val="0"/>
                <w:color w:val="auto"/>
                <w:kern w:val="0"/>
                <w:sz w:val="20"/>
                <w:szCs w:val="20"/>
                <w:highlight w:val="none"/>
                <w:u w:val="none"/>
                <w:lang w:val="en-US" w:eastAsia="zh-CN" w:bidi="ar"/>
              </w:rPr>
              <w:t>≤</w:t>
            </w:r>
            <w:r>
              <w:rPr>
                <w:rFonts w:hint="default" w:ascii="Times New Roman" w:hAnsi="Times New Roman" w:eastAsia="宋体" w:cs="Times New Roman"/>
                <w:i w:val="0"/>
                <w:color w:val="auto"/>
                <w:kern w:val="0"/>
                <w:sz w:val="20"/>
                <w:szCs w:val="20"/>
                <w:highlight w:val="none"/>
                <w:u w:val="none"/>
                <w:lang w:val="en-US" w:eastAsia="zh-CN" w:bidi="ar"/>
              </w:rPr>
              <w:t>50</w:t>
            </w:r>
            <w:r>
              <w:rPr>
                <w:rFonts w:hint="eastAsia" w:ascii="Times New Roman" w:hAnsi="Times New Roman" w:eastAsia="宋体" w:cs="Times New Roman"/>
                <w:i w:val="0"/>
                <w:color w:val="auto"/>
                <w:kern w:val="0"/>
                <w:sz w:val="20"/>
                <w:szCs w:val="20"/>
                <w:highlight w:val="none"/>
                <w:u w:val="none"/>
                <w:lang w:val="en-US" w:eastAsia="zh-CN" w:bidi="ar"/>
              </w:rPr>
              <w:t>，</w:t>
            </w:r>
            <w:r>
              <w:rPr>
                <w:rFonts w:hint="default" w:ascii="Times New Roman" w:hAnsi="Times New Roman" w:eastAsia="宋体" w:cs="Times New Roman"/>
                <w:i w:val="0"/>
                <w:color w:val="auto"/>
                <w:kern w:val="0"/>
                <w:sz w:val="20"/>
                <w:szCs w:val="20"/>
                <w:highlight w:val="none"/>
                <w:u w:val="none"/>
                <w:lang w:val="en-US" w:eastAsia="zh-CN" w:bidi="ar"/>
              </w:rPr>
              <w:t>G&gt;S</w:t>
            </w:r>
          </w:p>
        </w:tc>
        <w:tc>
          <w:tcPr>
            <w:tcW w:w="19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宋体" w:hAnsi="宋体" w:eastAsia="宋体" w:cs="宋体"/>
                <w:i w:val="0"/>
                <w:color w:val="auto"/>
                <w:kern w:val="0"/>
                <w:sz w:val="20"/>
                <w:szCs w:val="20"/>
                <w:highlight w:val="none"/>
                <w:u w:val="none"/>
                <w:lang w:val="en-US" w:eastAsia="zh-CN" w:bidi="ar"/>
              </w:rPr>
              <w:t>≥</w:t>
            </w:r>
            <w:r>
              <w:rPr>
                <w:rFonts w:hint="default" w:ascii="Times New Roman" w:hAnsi="Times New Roman" w:eastAsia="宋体" w:cs="Times New Roman"/>
                <w:i w:val="0"/>
                <w:color w:val="auto"/>
                <w:kern w:val="0"/>
                <w:sz w:val="20"/>
                <w:szCs w:val="20"/>
                <w:highlight w:val="none"/>
                <w:u w:val="none"/>
                <w:lang w:val="en-US" w:eastAsia="zh-CN" w:bidi="ar"/>
              </w:rPr>
              <w:t>50</w:t>
            </w:r>
          </w:p>
        </w:tc>
      </w:tr>
    </w:tbl>
    <w:p>
      <w:pPr>
        <w:pStyle w:val="77"/>
        <w:spacing w:line="360" w:lineRule="auto"/>
        <w:ind w:firstLine="420" w:firstLineChars="20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特别需要说明的是，在工程现场编录时经常出现的</w:t>
      </w:r>
      <w:r>
        <w:rPr>
          <w:rFonts w:hint="eastAsia" w:ascii="宋体" w:hAnsi="宋体" w:eastAsia="宋体" w:cs="宋体"/>
          <w:color w:val="auto"/>
          <w:sz w:val="21"/>
          <w:szCs w:val="21"/>
          <w:highlight w:val="none"/>
        </w:rPr>
        <w:t>“</w:t>
      </w:r>
      <w:r>
        <w:rPr>
          <w:rFonts w:ascii="Times New Roman" w:hAnsi="Times New Roman" w:cs="Times New Roman"/>
          <w:color w:val="auto"/>
          <w:sz w:val="21"/>
          <w:szCs w:val="21"/>
          <w:highlight w:val="none"/>
        </w:rPr>
        <w:t>淤泥质细砂</w:t>
      </w:r>
      <w:r>
        <w:rPr>
          <w:rFonts w:hint="eastAsia" w:ascii="宋体" w:hAnsi="宋体" w:eastAsia="宋体" w:cs="宋体"/>
          <w:color w:val="auto"/>
          <w:sz w:val="21"/>
          <w:szCs w:val="21"/>
          <w:highlight w:val="none"/>
        </w:rPr>
        <w:t>”</w:t>
      </w:r>
      <w:r>
        <w:rPr>
          <w:rFonts w:ascii="Times New Roman" w:hAnsi="Times New Roman" w:cs="Times New Roman"/>
          <w:color w:val="auto"/>
          <w:sz w:val="21"/>
          <w:szCs w:val="21"/>
          <w:highlight w:val="none"/>
        </w:rPr>
        <w:t>，从理论上说并不存在。因为，根据表4.3.6-2，作为</w:t>
      </w:r>
      <w:r>
        <w:rPr>
          <w:rFonts w:hint="eastAsia" w:ascii="宋体" w:hAnsi="宋体" w:eastAsia="宋体" w:cs="宋体"/>
          <w:color w:val="auto"/>
          <w:sz w:val="21"/>
          <w:szCs w:val="21"/>
          <w:highlight w:val="none"/>
        </w:rPr>
        <w:t>“</w:t>
      </w:r>
      <w:r>
        <w:rPr>
          <w:rFonts w:ascii="Times New Roman" w:hAnsi="Times New Roman" w:cs="Times New Roman"/>
          <w:color w:val="auto"/>
          <w:sz w:val="21"/>
          <w:szCs w:val="21"/>
          <w:highlight w:val="none"/>
        </w:rPr>
        <w:t>细砂</w:t>
      </w:r>
      <w:r>
        <w:rPr>
          <w:rFonts w:hint="eastAsia" w:ascii="宋体" w:hAnsi="宋体" w:eastAsia="宋体" w:cs="宋体"/>
          <w:color w:val="auto"/>
          <w:sz w:val="21"/>
          <w:szCs w:val="21"/>
          <w:highlight w:val="none"/>
        </w:rPr>
        <w:t>”</w:t>
      </w:r>
      <w:r>
        <w:rPr>
          <w:rFonts w:ascii="Times New Roman" w:hAnsi="Times New Roman" w:cs="Times New Roman"/>
          <w:color w:val="auto"/>
          <w:sz w:val="21"/>
          <w:szCs w:val="21"/>
          <w:highlight w:val="none"/>
        </w:rPr>
        <w:t>需满足</w:t>
      </w:r>
      <w:r>
        <w:rPr>
          <w:rFonts w:hint="eastAsia" w:ascii="宋体" w:hAnsi="宋体" w:eastAsia="宋体" w:cs="宋体"/>
          <w:color w:val="auto"/>
          <w:sz w:val="21"/>
          <w:szCs w:val="21"/>
          <w:highlight w:val="none"/>
        </w:rPr>
        <w:t>“</w:t>
      </w:r>
      <w:r>
        <w:rPr>
          <w:rFonts w:ascii="Times New Roman" w:hAnsi="Times New Roman" w:cs="Times New Roman"/>
          <w:i/>
          <w:iCs/>
          <w:color w:val="auto"/>
          <w:sz w:val="21"/>
          <w:szCs w:val="21"/>
          <w:highlight w:val="none"/>
        </w:rPr>
        <w:t>d</w:t>
      </w:r>
      <w:r>
        <w:rPr>
          <w:rFonts w:ascii="Times New Roman" w:hAnsi="Times New Roman" w:cs="Times New Roman"/>
          <w:color w:val="auto"/>
          <w:sz w:val="21"/>
          <w:szCs w:val="21"/>
          <w:highlight w:val="none"/>
        </w:rPr>
        <w:t>&gt;0.075mm颗粒超过总质量的85%</w:t>
      </w:r>
      <w:r>
        <w:rPr>
          <w:rFonts w:hint="eastAsia" w:ascii="宋体" w:hAnsi="宋体" w:eastAsia="宋体" w:cs="宋体"/>
          <w:color w:val="auto"/>
          <w:sz w:val="21"/>
          <w:szCs w:val="21"/>
          <w:highlight w:val="none"/>
        </w:rPr>
        <w:t>”</w:t>
      </w:r>
      <w:r>
        <w:rPr>
          <w:rFonts w:ascii="Times New Roman" w:hAnsi="Times New Roman" w:cs="Times New Roman"/>
          <w:color w:val="auto"/>
          <w:sz w:val="21"/>
          <w:szCs w:val="21"/>
          <w:highlight w:val="none"/>
        </w:rPr>
        <w:t>，而</w:t>
      </w:r>
      <w:r>
        <w:rPr>
          <w:rFonts w:hint="eastAsia" w:ascii="宋体" w:hAnsi="宋体" w:eastAsia="宋体" w:cs="宋体"/>
          <w:color w:val="auto"/>
          <w:sz w:val="21"/>
          <w:szCs w:val="21"/>
          <w:highlight w:val="none"/>
        </w:rPr>
        <w:t>“</w:t>
      </w:r>
      <w:r>
        <w:rPr>
          <w:rFonts w:ascii="Times New Roman" w:hAnsi="Times New Roman" w:cs="Times New Roman"/>
          <w:color w:val="auto"/>
          <w:sz w:val="21"/>
          <w:szCs w:val="21"/>
          <w:highlight w:val="none"/>
        </w:rPr>
        <w:t>淤泥质</w:t>
      </w:r>
      <w:r>
        <w:rPr>
          <w:rFonts w:hint="eastAsia" w:ascii="宋体" w:hAnsi="宋体" w:eastAsia="宋体" w:cs="宋体"/>
          <w:color w:val="auto"/>
          <w:sz w:val="21"/>
          <w:szCs w:val="21"/>
          <w:highlight w:val="none"/>
        </w:rPr>
        <w:t>”</w:t>
      </w:r>
      <w:r>
        <w:rPr>
          <w:rFonts w:ascii="Times New Roman" w:hAnsi="Times New Roman" w:cs="Times New Roman"/>
          <w:color w:val="auto"/>
          <w:sz w:val="21"/>
          <w:szCs w:val="21"/>
          <w:highlight w:val="none"/>
        </w:rPr>
        <w:t>又需要满足</w:t>
      </w:r>
      <w:r>
        <w:rPr>
          <w:rFonts w:hint="eastAsia" w:ascii="宋体" w:hAnsi="宋体" w:eastAsia="宋体" w:cs="宋体"/>
          <w:color w:val="auto"/>
          <w:sz w:val="21"/>
          <w:szCs w:val="21"/>
          <w:highlight w:val="none"/>
        </w:rPr>
        <w:t>“</w:t>
      </w:r>
      <w:r>
        <w:rPr>
          <w:rFonts w:ascii="Times New Roman" w:hAnsi="Times New Roman" w:cs="Times New Roman"/>
          <w:i/>
          <w:iCs/>
          <w:color w:val="auto"/>
          <w:sz w:val="21"/>
          <w:szCs w:val="21"/>
          <w:highlight w:val="none"/>
        </w:rPr>
        <w:t xml:space="preserve">d </w:t>
      </w:r>
      <w:r>
        <w:rPr>
          <w:rFonts w:ascii="Times New Roman" w:hAnsi="Times New Roman" w:cs="Times New Roman"/>
          <w:color w:val="auto"/>
          <w:sz w:val="21"/>
          <w:szCs w:val="21"/>
          <w:highlight w:val="none"/>
        </w:rPr>
        <w:t>&lt;0.075mm的细粒（淤泥质）质量超过总质量的15%</w:t>
      </w:r>
      <w:r>
        <w:rPr>
          <w:rFonts w:hint="eastAsia" w:ascii="宋体" w:hAnsi="宋体" w:eastAsia="宋体" w:cs="宋体"/>
          <w:color w:val="auto"/>
          <w:sz w:val="21"/>
          <w:szCs w:val="21"/>
          <w:highlight w:val="none"/>
        </w:rPr>
        <w:t>”</w:t>
      </w:r>
      <w:r>
        <w:rPr>
          <w:rFonts w:ascii="Times New Roman" w:hAnsi="Times New Roman" w:cs="Times New Roman"/>
          <w:color w:val="auto"/>
          <w:sz w:val="21"/>
          <w:szCs w:val="21"/>
          <w:highlight w:val="none"/>
        </w:rPr>
        <w:t>，这两者显然是矛盾的。</w:t>
      </w:r>
    </w:p>
    <w:p>
      <w:pPr>
        <w:spacing w:line="360" w:lineRule="auto"/>
        <w:ind w:firstLine="422" w:firstLineChars="200"/>
        <w:rPr>
          <w:rFonts w:hint="eastAsia" w:ascii="Times New Roman" w:hAnsi="Times New Roman" w:eastAsia="宋体"/>
          <w:color w:val="auto"/>
          <w:szCs w:val="21"/>
          <w:highlight w:val="none"/>
          <w:lang w:val="en-US" w:eastAsia="zh-CN"/>
        </w:rPr>
      </w:pPr>
      <w:r>
        <w:rPr>
          <w:rFonts w:hint="eastAsia" w:ascii="Times New Roman" w:hAnsi="Times New Roman" w:eastAsia="宋体"/>
          <w:b/>
          <w:bCs/>
          <w:color w:val="auto"/>
          <w:sz w:val="21"/>
          <w:szCs w:val="21"/>
          <w:highlight w:val="none"/>
          <w:lang w:val="en-US" w:eastAsia="zh-CN"/>
        </w:rPr>
        <w:t>6</w:t>
      </w:r>
      <w:r>
        <w:rPr>
          <w:rFonts w:ascii="Times New Roman" w:hAnsi="Times New Roman" w:eastAsia="宋体"/>
          <w:b/>
          <w:bCs/>
          <w:color w:val="auto"/>
          <w:sz w:val="21"/>
          <w:szCs w:val="21"/>
          <w:highlight w:val="none"/>
        </w:rPr>
        <w:t xml:space="preserve"> </w:t>
      </w:r>
      <w:r>
        <w:rPr>
          <w:rFonts w:hint="eastAsia"/>
          <w:b/>
          <w:bCs/>
          <w:color w:val="auto"/>
          <w:sz w:val="21"/>
          <w:szCs w:val="21"/>
          <w:highlight w:val="none"/>
          <w:lang w:val="en-US" w:eastAsia="zh-CN"/>
        </w:rPr>
        <w:t xml:space="preserve"> </w:t>
      </w:r>
      <w:r>
        <w:rPr>
          <w:rFonts w:hint="eastAsia" w:ascii="Times New Roman" w:hAnsi="Times New Roman" w:eastAsia="宋体"/>
          <w:b w:val="0"/>
          <w:bCs w:val="0"/>
          <w:color w:val="auto"/>
          <w:sz w:val="21"/>
          <w:szCs w:val="21"/>
          <w:highlight w:val="none"/>
          <w:lang w:val="en-US" w:eastAsia="zh-CN"/>
        </w:rPr>
        <w:t>本条的液限是指</w:t>
      </w:r>
      <w:r>
        <w:rPr>
          <w:rFonts w:ascii="Times New Roman" w:hAnsi="Times New Roman" w:eastAsia="宋体"/>
          <w:color w:val="auto"/>
          <w:highlight w:val="none"/>
        </w:rPr>
        <w:t>76g</w:t>
      </w:r>
      <w:r>
        <w:rPr>
          <w:rFonts w:ascii="Times New Roman" w:hAnsi="Times New Roman" w:eastAsia="宋体"/>
          <w:color w:val="auto"/>
          <w:szCs w:val="21"/>
          <w:highlight w:val="none"/>
        </w:rPr>
        <w:t>锥入土</w:t>
      </w:r>
      <w:r>
        <w:rPr>
          <w:rFonts w:ascii="Times New Roman" w:hAnsi="Times New Roman" w:eastAsia="宋体"/>
          <w:color w:val="auto"/>
          <w:highlight w:val="none"/>
        </w:rPr>
        <w:t>10mm</w:t>
      </w:r>
      <w:r>
        <w:rPr>
          <w:rFonts w:ascii="Times New Roman" w:hAnsi="Times New Roman" w:eastAsia="宋体"/>
          <w:color w:val="auto"/>
          <w:szCs w:val="21"/>
          <w:highlight w:val="none"/>
        </w:rPr>
        <w:t>时的</w:t>
      </w:r>
      <w:r>
        <w:rPr>
          <w:rFonts w:hint="eastAsia" w:ascii="Times New Roman" w:hAnsi="Times New Roman" w:eastAsia="宋体"/>
          <w:color w:val="auto"/>
          <w:szCs w:val="21"/>
          <w:highlight w:val="none"/>
          <w:lang w:val="en-US" w:eastAsia="zh-CN"/>
        </w:rPr>
        <w:t>含水量。</w:t>
      </w:r>
    </w:p>
    <w:p>
      <w:pPr>
        <w:spacing w:line="360" w:lineRule="auto"/>
        <w:ind w:firstLine="420" w:firstLineChars="20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本条在《膨胀土地区建筑技术规范》GB 50112-2013基础上，结合《岩土工程勘察规范》GB 50021-2001（2009版）</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b w:val="0"/>
          <w:bCs w:val="0"/>
          <w:color w:val="auto"/>
          <w:highlight w:val="none"/>
          <w:lang w:val="en-US" w:eastAsia="zh-CN"/>
        </w:rPr>
        <w:t>《铁路工程岩土分类标准》TB 10077-2019</w:t>
      </w:r>
      <w:r>
        <w:rPr>
          <w:rFonts w:ascii="Times New Roman" w:hAnsi="Times New Roman" w:eastAsia="宋体"/>
          <w:color w:val="auto"/>
          <w:sz w:val="21"/>
          <w:szCs w:val="21"/>
          <w:highlight w:val="none"/>
        </w:rPr>
        <w:t>编制。</w:t>
      </w:r>
    </w:p>
    <w:p>
      <w:pPr>
        <w:spacing w:line="360" w:lineRule="auto"/>
        <w:ind w:firstLine="432"/>
        <w:rPr>
          <w:rFonts w:ascii="Times New Roman" w:hAnsi="Times New Roman" w:eastAsia="宋体"/>
          <w:color w:val="auto"/>
          <w:highlight w:val="none"/>
        </w:rPr>
      </w:pPr>
      <w:r>
        <w:rPr>
          <w:rFonts w:hint="eastAsia" w:ascii="Times New Roman" w:hAnsi="Times New Roman" w:eastAsia="宋体"/>
          <w:color w:val="auto"/>
          <w:szCs w:val="21"/>
          <w:highlight w:val="none"/>
          <w:lang w:val="en-US" w:eastAsia="zh-CN"/>
        </w:rPr>
        <w:t>根据</w:t>
      </w:r>
      <w:r>
        <w:rPr>
          <w:rFonts w:hint="eastAsia" w:ascii="Times New Roman" w:hAnsi="Times New Roman" w:eastAsia="宋体"/>
          <w:b w:val="0"/>
          <w:bCs w:val="0"/>
          <w:color w:val="auto"/>
          <w:highlight w:val="none"/>
          <w:lang w:val="en-US" w:eastAsia="zh-CN"/>
        </w:rPr>
        <w:t>《铁路工程岩土分类标准》TB 10077-2019表4.3.4-3，</w:t>
      </w:r>
      <w:r>
        <w:rPr>
          <w:rFonts w:ascii="Times New Roman" w:hAnsi="Times New Roman" w:eastAsia="宋体"/>
          <w:color w:val="auto"/>
          <w:szCs w:val="21"/>
          <w:highlight w:val="none"/>
        </w:rPr>
        <w:t>膨胀土的膨胀潜势可</w:t>
      </w:r>
      <w:r>
        <w:rPr>
          <w:rFonts w:hint="eastAsia" w:ascii="Times New Roman" w:hAnsi="Times New Roman" w:eastAsia="宋体"/>
          <w:color w:val="auto"/>
          <w:szCs w:val="21"/>
          <w:highlight w:val="none"/>
          <w:lang w:val="en-US" w:eastAsia="zh-CN"/>
        </w:rPr>
        <w:t>按蒙脱石含量</w:t>
      </w:r>
      <w:r>
        <w:rPr>
          <w:rFonts w:hint="eastAsia" w:ascii="Times New Roman" w:hAnsi="Times New Roman" w:eastAsia="宋体"/>
          <w:i/>
          <w:iCs/>
          <w:color w:val="auto"/>
          <w:szCs w:val="21"/>
          <w:highlight w:val="none"/>
          <w:lang w:val="en-US" w:eastAsia="zh-CN"/>
        </w:rPr>
        <w:t>M</w:t>
      </w:r>
      <w:r>
        <w:rPr>
          <w:rFonts w:hint="eastAsia" w:ascii="Times New Roman" w:hAnsi="Times New Roman" w:eastAsia="宋体"/>
          <w:color w:val="auto"/>
          <w:szCs w:val="21"/>
          <w:highlight w:val="none"/>
          <w:lang w:val="en-US" w:eastAsia="zh-CN"/>
        </w:rPr>
        <w:t>及阳离子交换量</w:t>
      </w:r>
      <w:r>
        <w:rPr>
          <w:rFonts w:hint="eastAsia" w:ascii="Times New Roman" w:hAnsi="Times New Roman" w:eastAsia="宋体"/>
          <w:i/>
          <w:iCs/>
          <w:color w:val="auto"/>
          <w:szCs w:val="21"/>
          <w:highlight w:val="none"/>
          <w:lang w:val="en-US" w:eastAsia="zh-CN"/>
        </w:rPr>
        <w:t>CEC</w:t>
      </w:r>
      <w:r>
        <w:rPr>
          <w:rFonts w:hint="eastAsia" w:ascii="Times New Roman" w:hAnsi="Times New Roman" w:eastAsia="宋体"/>
          <w:color w:val="auto"/>
          <w:sz w:val="21"/>
          <w:szCs w:val="21"/>
          <w:highlight w:val="none"/>
          <w:lang w:val="en-US" w:eastAsia="zh-CN"/>
        </w:rPr>
        <w:t>（NH</w:t>
      </w:r>
      <w:r>
        <w:rPr>
          <w:rFonts w:hint="eastAsia" w:ascii="Times New Roman" w:hAnsi="Times New Roman" w:eastAsia="宋体"/>
          <w:color w:val="auto"/>
          <w:sz w:val="21"/>
          <w:szCs w:val="21"/>
          <w:highlight w:val="none"/>
          <w:vertAlign w:val="subscript"/>
          <w:lang w:val="en-US" w:eastAsia="zh-CN"/>
        </w:rPr>
        <w:t>4</w:t>
      </w:r>
      <w:r>
        <w:rPr>
          <w:rFonts w:hint="eastAsia" w:ascii="Times New Roman" w:hAnsi="Times New Roman" w:eastAsia="宋体"/>
          <w:color w:val="auto"/>
          <w:sz w:val="21"/>
          <w:szCs w:val="21"/>
          <w:highlight w:val="none"/>
          <w:vertAlign w:val="superscript"/>
          <w:lang w:val="en-US" w:eastAsia="zh-CN"/>
        </w:rPr>
        <w:t>+</w:t>
      </w:r>
      <w:r>
        <w:rPr>
          <w:rFonts w:hint="eastAsia" w:ascii="Times New Roman" w:hAnsi="Times New Roman" w:eastAsia="宋体"/>
          <w:color w:val="auto"/>
          <w:sz w:val="21"/>
          <w:szCs w:val="21"/>
          <w:highlight w:val="none"/>
          <w:lang w:val="en-US" w:eastAsia="zh-CN"/>
        </w:rPr>
        <w:t>）</w:t>
      </w:r>
      <w:r>
        <w:rPr>
          <w:rFonts w:ascii="Times New Roman" w:hAnsi="Times New Roman" w:eastAsia="宋体"/>
          <w:color w:val="auto"/>
          <w:szCs w:val="21"/>
          <w:highlight w:val="none"/>
        </w:rPr>
        <w:t>，按表</w:t>
      </w:r>
      <w:r>
        <w:rPr>
          <w:rFonts w:ascii="Times New Roman" w:hAnsi="Times New Roman" w:eastAsia="宋体"/>
          <w:color w:val="auto"/>
          <w:highlight w:val="none"/>
        </w:rPr>
        <w:t>4-</w:t>
      </w:r>
      <w:r>
        <w:rPr>
          <w:rFonts w:hint="eastAsia" w:ascii="Times New Roman" w:hAnsi="Times New Roman" w:eastAsia="宋体"/>
          <w:color w:val="auto"/>
          <w:highlight w:val="none"/>
          <w:lang w:val="en-US" w:eastAsia="zh-CN"/>
        </w:rPr>
        <w:t>4</w:t>
      </w:r>
      <w:r>
        <w:rPr>
          <w:rFonts w:ascii="Times New Roman" w:hAnsi="Times New Roman" w:eastAsia="宋体"/>
          <w:color w:val="auto"/>
          <w:szCs w:val="21"/>
          <w:highlight w:val="none"/>
        </w:rPr>
        <w:t>分类。</w:t>
      </w:r>
    </w:p>
    <w:p>
      <w:pPr>
        <w:spacing w:line="360" w:lineRule="auto"/>
        <w:ind w:firstLine="422" w:firstLineChars="200"/>
        <w:jc w:val="center"/>
        <w:rPr>
          <w:rFonts w:ascii="Times New Roman" w:hAnsi="Times New Roman" w:eastAsia="宋体"/>
          <w:color w:val="auto"/>
          <w:highlight w:val="none"/>
        </w:rPr>
      </w:pPr>
      <w:r>
        <w:rPr>
          <w:rFonts w:ascii="Times New Roman" w:hAnsi="Times New Roman" w:eastAsia="宋体"/>
          <w:b/>
          <w:bCs/>
          <w:color w:val="auto"/>
          <w:szCs w:val="18"/>
          <w:highlight w:val="none"/>
        </w:rPr>
        <w:t>表4-</w:t>
      </w:r>
      <w:r>
        <w:rPr>
          <w:rFonts w:hint="eastAsia" w:ascii="Times New Roman" w:hAnsi="Times New Roman" w:eastAsia="宋体"/>
          <w:b/>
          <w:bCs/>
          <w:color w:val="auto"/>
          <w:szCs w:val="18"/>
          <w:highlight w:val="none"/>
          <w:lang w:val="en-US" w:eastAsia="zh-CN"/>
        </w:rPr>
        <w:t>4</w:t>
      </w:r>
      <w:r>
        <w:rPr>
          <w:rFonts w:hint="eastAsia"/>
          <w:b/>
          <w:bCs/>
          <w:color w:val="auto"/>
          <w:szCs w:val="18"/>
          <w:highlight w:val="none"/>
          <w:lang w:val="en-US" w:eastAsia="zh-CN"/>
        </w:rPr>
        <w:t xml:space="preserve"> </w:t>
      </w:r>
      <w:r>
        <w:rPr>
          <w:rFonts w:ascii="Times New Roman" w:hAnsi="Times New Roman" w:eastAsia="宋体"/>
          <w:b/>
          <w:bCs/>
          <w:color w:val="auto"/>
          <w:szCs w:val="18"/>
          <w:highlight w:val="none"/>
        </w:rPr>
        <w:t xml:space="preserve"> 膨胀土的膨胀潜势分类</w:t>
      </w:r>
    </w:p>
    <w:tbl>
      <w:tblPr>
        <w:tblStyle w:val="22"/>
        <w:tblW w:w="82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77"/>
        <w:gridCol w:w="2277"/>
        <w:gridCol w:w="36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77" w:type="dxa"/>
            <w:tcBorders>
              <w:tl2br w:val="nil"/>
              <w:tr2bl w:val="nil"/>
            </w:tcBorders>
          </w:tcPr>
          <w:p>
            <w:pPr>
              <w:jc w:val="center"/>
              <w:rPr>
                <w:rFonts w:ascii="Times New Roman" w:hAnsi="Times New Roman" w:eastAsia="宋体" w:cs="Times New Roman"/>
                <w:color w:val="auto"/>
                <w:kern w:val="2"/>
                <w:sz w:val="20"/>
                <w:szCs w:val="20"/>
                <w:highlight w:val="none"/>
                <w:lang w:val="en-US" w:eastAsia="zh-CN" w:bidi="ar-SA"/>
              </w:rPr>
            </w:pPr>
            <w:r>
              <w:rPr>
                <w:rFonts w:ascii="Times New Roman" w:hAnsi="Times New Roman" w:eastAsia="宋体"/>
                <w:color w:val="auto"/>
                <w:sz w:val="20"/>
                <w:szCs w:val="20"/>
                <w:highlight w:val="none"/>
              </w:rPr>
              <w:t>膨胀潜势</w:t>
            </w:r>
          </w:p>
        </w:tc>
        <w:tc>
          <w:tcPr>
            <w:tcW w:w="2277" w:type="dxa"/>
            <w:tcBorders>
              <w:tl2br w:val="nil"/>
              <w:tr2bl w:val="nil"/>
            </w:tcBorders>
            <w:vAlign w:val="top"/>
          </w:tcPr>
          <w:p>
            <w:pPr>
              <w:jc w:val="center"/>
              <w:rPr>
                <w:rFonts w:ascii="Times New Roman" w:hAnsi="Times New Roman" w:eastAsia="宋体"/>
                <w:color w:val="auto"/>
                <w:sz w:val="20"/>
                <w:szCs w:val="20"/>
                <w:highlight w:val="none"/>
              </w:rPr>
            </w:pPr>
            <w:r>
              <w:rPr>
                <w:rFonts w:hint="eastAsia" w:ascii="Times New Roman" w:hAnsi="Times New Roman" w:eastAsia="宋体"/>
                <w:color w:val="auto"/>
                <w:sz w:val="20"/>
                <w:szCs w:val="20"/>
                <w:highlight w:val="none"/>
                <w:lang w:val="en-US" w:eastAsia="zh-CN"/>
              </w:rPr>
              <w:t>蒙脱石含量（%）</w:t>
            </w:r>
          </w:p>
        </w:tc>
        <w:tc>
          <w:tcPr>
            <w:tcW w:w="3684" w:type="dxa"/>
            <w:tcBorders>
              <w:tl2br w:val="nil"/>
              <w:tr2bl w:val="nil"/>
            </w:tcBorders>
          </w:tcPr>
          <w:p>
            <w:pPr>
              <w:jc w:val="center"/>
              <w:rPr>
                <w:rFonts w:hint="default" w:ascii="Times New Roman" w:hAnsi="Times New Roman" w:eastAsia="宋体"/>
                <w:color w:val="auto"/>
                <w:sz w:val="20"/>
                <w:szCs w:val="20"/>
                <w:highlight w:val="none"/>
                <w:lang w:val="en-US" w:eastAsia="zh-CN"/>
              </w:rPr>
            </w:pPr>
            <w:r>
              <w:rPr>
                <w:rFonts w:hint="eastAsia" w:ascii="Times New Roman" w:hAnsi="Times New Roman" w:eastAsia="宋体"/>
                <w:color w:val="auto"/>
                <w:sz w:val="20"/>
                <w:szCs w:val="20"/>
                <w:highlight w:val="none"/>
                <w:lang w:val="en-US" w:eastAsia="zh-CN"/>
              </w:rPr>
              <w:t>阳离子交换量</w:t>
            </w:r>
            <w:r>
              <w:rPr>
                <w:rFonts w:hint="eastAsia" w:ascii="Times New Roman" w:hAnsi="Times New Roman" w:eastAsia="宋体"/>
                <w:i/>
                <w:iCs/>
                <w:color w:val="auto"/>
                <w:sz w:val="20"/>
                <w:szCs w:val="20"/>
                <w:highlight w:val="none"/>
                <w:lang w:val="en-US" w:eastAsia="zh-CN"/>
              </w:rPr>
              <w:t>CEC</w:t>
            </w:r>
            <w:r>
              <w:rPr>
                <w:rFonts w:hint="eastAsia" w:ascii="Times New Roman" w:hAnsi="Times New Roman" w:eastAsia="宋体"/>
                <w:color w:val="auto"/>
                <w:sz w:val="20"/>
                <w:szCs w:val="20"/>
                <w:highlight w:val="none"/>
                <w:lang w:val="en-US" w:eastAsia="zh-CN"/>
              </w:rPr>
              <w:t>（NH</w:t>
            </w:r>
            <w:r>
              <w:rPr>
                <w:rFonts w:hint="eastAsia" w:ascii="Times New Roman" w:hAnsi="Times New Roman" w:eastAsia="宋体"/>
                <w:color w:val="auto"/>
                <w:sz w:val="20"/>
                <w:szCs w:val="20"/>
                <w:highlight w:val="none"/>
                <w:vertAlign w:val="subscript"/>
                <w:lang w:val="en-US" w:eastAsia="zh-CN"/>
              </w:rPr>
              <w:t>4</w:t>
            </w:r>
            <w:r>
              <w:rPr>
                <w:rFonts w:hint="eastAsia" w:ascii="Times New Roman" w:hAnsi="Times New Roman" w:eastAsia="宋体"/>
                <w:color w:val="auto"/>
                <w:sz w:val="20"/>
                <w:szCs w:val="20"/>
                <w:highlight w:val="none"/>
                <w:vertAlign w:val="superscript"/>
                <w:lang w:val="en-US" w:eastAsia="zh-CN"/>
              </w:rPr>
              <w:t>+</w:t>
            </w:r>
            <w:r>
              <w:rPr>
                <w:rFonts w:hint="eastAsia" w:ascii="Times New Roman" w:hAnsi="Times New Roman" w:eastAsia="宋体"/>
                <w:color w:val="auto"/>
                <w:sz w:val="20"/>
                <w:szCs w:val="20"/>
                <w:highlight w:val="none"/>
                <w:lang w:val="en-US" w:eastAsia="zh-CN"/>
              </w:rPr>
              <w:t>）（mmol/kg）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77" w:type="dxa"/>
            <w:tcBorders>
              <w:tl2br w:val="nil"/>
              <w:tr2bl w:val="nil"/>
            </w:tcBorders>
          </w:tcPr>
          <w:p>
            <w:pPr>
              <w:jc w:val="center"/>
              <w:rPr>
                <w:rFonts w:ascii="Times New Roman" w:hAnsi="Times New Roman" w:eastAsia="宋体" w:cs="Times New Roman"/>
                <w:color w:val="auto"/>
                <w:kern w:val="2"/>
                <w:sz w:val="20"/>
                <w:szCs w:val="20"/>
                <w:highlight w:val="none"/>
                <w:lang w:val="en-US" w:eastAsia="zh-CN" w:bidi="ar-SA"/>
              </w:rPr>
            </w:pPr>
            <w:r>
              <w:rPr>
                <w:rFonts w:ascii="Times New Roman" w:hAnsi="Times New Roman" w:eastAsia="宋体"/>
                <w:color w:val="auto"/>
                <w:sz w:val="20"/>
                <w:szCs w:val="20"/>
                <w:highlight w:val="none"/>
              </w:rPr>
              <w:t>弱</w:t>
            </w:r>
          </w:p>
        </w:tc>
        <w:tc>
          <w:tcPr>
            <w:tcW w:w="2277" w:type="dxa"/>
            <w:tcBorders>
              <w:tl2br w:val="nil"/>
              <w:tr2bl w:val="nil"/>
            </w:tcBorders>
            <w:vAlign w:val="top"/>
          </w:tcPr>
          <w:p>
            <w:pPr>
              <w:jc w:val="center"/>
              <w:rPr>
                <w:rFonts w:ascii="Times New Roman" w:hAnsi="Times New Roman" w:eastAsia="宋体"/>
                <w:color w:val="auto"/>
                <w:sz w:val="20"/>
                <w:szCs w:val="20"/>
                <w:highlight w:val="none"/>
              </w:rPr>
            </w:pPr>
            <w:r>
              <w:rPr>
                <w:rFonts w:hint="eastAsia" w:ascii="Times New Roman" w:hAnsi="Times New Roman" w:eastAsia="宋体"/>
                <w:color w:val="auto"/>
                <w:sz w:val="20"/>
                <w:szCs w:val="20"/>
                <w:highlight w:val="none"/>
                <w:lang w:val="en-US" w:eastAsia="zh-CN"/>
              </w:rPr>
              <w:t>7</w:t>
            </w:r>
            <w:r>
              <w:rPr>
                <w:rFonts w:hint="eastAsia" w:ascii="宋体" w:hAnsi="宋体" w:eastAsia="宋体" w:cs="宋体"/>
                <w:color w:val="auto"/>
                <w:kern w:val="0"/>
                <w:sz w:val="20"/>
                <w:szCs w:val="20"/>
                <w:highlight w:val="none"/>
              </w:rPr>
              <w:t>≤</w:t>
            </w:r>
            <w:r>
              <w:rPr>
                <w:rFonts w:hint="eastAsia" w:ascii="Times New Roman" w:hAnsi="Times New Roman" w:eastAsia="宋体"/>
                <w:color w:val="auto"/>
                <w:sz w:val="20"/>
                <w:szCs w:val="20"/>
                <w:highlight w:val="none"/>
                <w:lang w:val="en-US" w:eastAsia="zh-CN"/>
              </w:rPr>
              <w:t>M</w:t>
            </w:r>
            <w:r>
              <w:rPr>
                <w:rFonts w:ascii="Times New Roman" w:hAnsi="Times New Roman" w:eastAsia="宋体"/>
                <w:color w:val="auto"/>
                <w:sz w:val="20"/>
                <w:szCs w:val="20"/>
                <w:highlight w:val="none"/>
              </w:rPr>
              <w:t>＜</w:t>
            </w:r>
            <w:r>
              <w:rPr>
                <w:rFonts w:hint="eastAsia" w:ascii="Times New Roman" w:hAnsi="Times New Roman" w:eastAsia="宋体"/>
                <w:color w:val="auto"/>
                <w:sz w:val="20"/>
                <w:szCs w:val="20"/>
                <w:highlight w:val="none"/>
                <w:lang w:val="en-US" w:eastAsia="zh-CN"/>
              </w:rPr>
              <w:t>17</w:t>
            </w:r>
          </w:p>
        </w:tc>
        <w:tc>
          <w:tcPr>
            <w:tcW w:w="3684" w:type="dxa"/>
            <w:tcBorders>
              <w:tl2br w:val="nil"/>
              <w:tr2bl w:val="nil"/>
            </w:tcBorders>
            <w:vAlign w:val="top"/>
          </w:tcPr>
          <w:p>
            <w:pPr>
              <w:jc w:val="center"/>
              <w:rPr>
                <w:rFonts w:hint="default" w:ascii="Times New Roman" w:hAnsi="Times New Roman" w:eastAsia="宋体"/>
                <w:color w:val="auto"/>
                <w:sz w:val="20"/>
                <w:szCs w:val="20"/>
                <w:highlight w:val="none"/>
                <w:lang w:val="en-US" w:eastAsia="zh-CN"/>
              </w:rPr>
            </w:pPr>
            <w:r>
              <w:rPr>
                <w:rFonts w:hint="eastAsia" w:ascii="Times New Roman" w:hAnsi="Times New Roman" w:eastAsia="宋体"/>
                <w:color w:val="auto"/>
                <w:sz w:val="20"/>
                <w:szCs w:val="20"/>
                <w:highlight w:val="none"/>
                <w:lang w:val="en-US" w:eastAsia="zh-CN"/>
              </w:rPr>
              <w:t>170</w:t>
            </w:r>
            <w:r>
              <w:rPr>
                <w:rFonts w:hint="eastAsia" w:ascii="宋体" w:hAnsi="宋体" w:eastAsia="宋体" w:cs="宋体"/>
                <w:color w:val="auto"/>
                <w:kern w:val="0"/>
                <w:sz w:val="20"/>
                <w:szCs w:val="20"/>
                <w:highlight w:val="none"/>
              </w:rPr>
              <w:t>≤</w:t>
            </w:r>
            <w:r>
              <w:rPr>
                <w:rFonts w:hint="eastAsia" w:ascii="Times New Roman" w:hAnsi="Times New Roman" w:eastAsia="宋体"/>
                <w:i/>
                <w:iCs/>
                <w:color w:val="auto"/>
                <w:sz w:val="20"/>
                <w:szCs w:val="20"/>
                <w:highlight w:val="none"/>
                <w:lang w:val="en-US" w:eastAsia="zh-CN"/>
              </w:rPr>
              <w:t>CEC</w:t>
            </w:r>
            <w:r>
              <w:rPr>
                <w:rFonts w:hint="eastAsia" w:ascii="Times New Roman" w:hAnsi="Times New Roman" w:eastAsia="宋体"/>
                <w:color w:val="auto"/>
                <w:sz w:val="20"/>
                <w:szCs w:val="20"/>
                <w:highlight w:val="none"/>
                <w:lang w:val="en-US" w:eastAsia="zh-CN"/>
              </w:rPr>
              <w:t>（NH</w:t>
            </w:r>
            <w:r>
              <w:rPr>
                <w:rFonts w:hint="eastAsia" w:ascii="Times New Roman" w:hAnsi="Times New Roman" w:eastAsia="宋体"/>
                <w:color w:val="auto"/>
                <w:sz w:val="20"/>
                <w:szCs w:val="20"/>
                <w:highlight w:val="none"/>
                <w:vertAlign w:val="subscript"/>
                <w:lang w:val="en-US" w:eastAsia="zh-CN"/>
              </w:rPr>
              <w:t>4</w:t>
            </w:r>
            <w:r>
              <w:rPr>
                <w:rFonts w:hint="eastAsia" w:ascii="Times New Roman" w:hAnsi="Times New Roman" w:eastAsia="宋体"/>
                <w:color w:val="auto"/>
                <w:sz w:val="20"/>
                <w:szCs w:val="20"/>
                <w:highlight w:val="none"/>
                <w:vertAlign w:val="superscript"/>
                <w:lang w:val="en-US" w:eastAsia="zh-CN"/>
              </w:rPr>
              <w:t>+</w:t>
            </w:r>
            <w:r>
              <w:rPr>
                <w:rFonts w:hint="eastAsia" w:ascii="Times New Roman" w:hAnsi="Times New Roman" w:eastAsia="宋体"/>
                <w:color w:val="auto"/>
                <w:sz w:val="20"/>
                <w:szCs w:val="20"/>
                <w:highlight w:val="none"/>
                <w:lang w:val="en-US" w:eastAsia="zh-CN"/>
              </w:rPr>
              <w:t>）</w:t>
            </w:r>
            <w:r>
              <w:rPr>
                <w:rFonts w:ascii="Times New Roman" w:hAnsi="Times New Roman" w:eastAsia="宋体"/>
                <w:color w:val="auto"/>
                <w:sz w:val="20"/>
                <w:szCs w:val="20"/>
                <w:highlight w:val="none"/>
              </w:rPr>
              <w:t>＜</w:t>
            </w:r>
            <w:r>
              <w:rPr>
                <w:rFonts w:hint="eastAsia" w:ascii="Times New Roman" w:hAnsi="Times New Roman" w:eastAsia="宋体"/>
                <w:color w:val="auto"/>
                <w:sz w:val="20"/>
                <w:szCs w:val="20"/>
                <w:highlight w:val="none"/>
                <w:lang w:val="en-US" w:eastAsia="zh-CN"/>
              </w:rPr>
              <w:t>260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77" w:type="dxa"/>
            <w:tcBorders>
              <w:tl2br w:val="nil"/>
              <w:tr2bl w:val="nil"/>
            </w:tcBorders>
          </w:tcPr>
          <w:p>
            <w:pPr>
              <w:jc w:val="center"/>
              <w:rPr>
                <w:rFonts w:ascii="Times New Roman" w:hAnsi="Times New Roman" w:eastAsia="宋体" w:cs="Times New Roman"/>
                <w:color w:val="auto"/>
                <w:kern w:val="2"/>
                <w:sz w:val="20"/>
                <w:szCs w:val="20"/>
                <w:highlight w:val="none"/>
                <w:lang w:val="en-US" w:eastAsia="zh-CN" w:bidi="ar-SA"/>
              </w:rPr>
            </w:pPr>
            <w:r>
              <w:rPr>
                <w:rFonts w:ascii="Times New Roman" w:hAnsi="Times New Roman" w:eastAsia="宋体"/>
                <w:color w:val="auto"/>
                <w:sz w:val="20"/>
                <w:szCs w:val="20"/>
                <w:highlight w:val="none"/>
              </w:rPr>
              <w:t>中</w:t>
            </w:r>
          </w:p>
        </w:tc>
        <w:tc>
          <w:tcPr>
            <w:tcW w:w="2277" w:type="dxa"/>
            <w:tcBorders>
              <w:tl2br w:val="nil"/>
              <w:tr2bl w:val="nil"/>
            </w:tcBorders>
            <w:vAlign w:val="top"/>
          </w:tcPr>
          <w:p>
            <w:pPr>
              <w:jc w:val="center"/>
              <w:rPr>
                <w:rFonts w:ascii="Times New Roman" w:hAnsi="Times New Roman" w:eastAsia="宋体"/>
                <w:color w:val="auto"/>
                <w:sz w:val="20"/>
                <w:szCs w:val="20"/>
                <w:highlight w:val="none"/>
              </w:rPr>
            </w:pPr>
            <w:r>
              <w:rPr>
                <w:rFonts w:hint="eastAsia" w:ascii="Times New Roman" w:hAnsi="Times New Roman" w:eastAsia="宋体"/>
                <w:color w:val="auto"/>
                <w:sz w:val="20"/>
                <w:szCs w:val="20"/>
                <w:highlight w:val="none"/>
                <w:lang w:val="en-US" w:eastAsia="zh-CN"/>
              </w:rPr>
              <w:t>17</w:t>
            </w:r>
            <w:r>
              <w:rPr>
                <w:rFonts w:hint="eastAsia" w:ascii="宋体" w:hAnsi="宋体" w:eastAsia="宋体" w:cs="宋体"/>
                <w:color w:val="auto"/>
                <w:kern w:val="0"/>
                <w:sz w:val="20"/>
                <w:szCs w:val="20"/>
                <w:highlight w:val="none"/>
              </w:rPr>
              <w:t>≤</w:t>
            </w:r>
            <w:r>
              <w:rPr>
                <w:rFonts w:hint="eastAsia" w:ascii="Times New Roman" w:hAnsi="Times New Roman" w:eastAsia="宋体"/>
                <w:color w:val="auto"/>
                <w:sz w:val="20"/>
                <w:szCs w:val="20"/>
                <w:highlight w:val="none"/>
                <w:lang w:val="en-US" w:eastAsia="zh-CN"/>
              </w:rPr>
              <w:t>M</w:t>
            </w:r>
            <w:r>
              <w:rPr>
                <w:rFonts w:ascii="Times New Roman" w:hAnsi="Times New Roman" w:eastAsia="宋体"/>
                <w:color w:val="auto"/>
                <w:sz w:val="20"/>
                <w:szCs w:val="20"/>
                <w:highlight w:val="none"/>
              </w:rPr>
              <w:t>＜</w:t>
            </w:r>
            <w:r>
              <w:rPr>
                <w:rFonts w:hint="eastAsia" w:ascii="Times New Roman" w:hAnsi="Times New Roman" w:eastAsia="宋体"/>
                <w:color w:val="auto"/>
                <w:sz w:val="20"/>
                <w:szCs w:val="20"/>
                <w:highlight w:val="none"/>
                <w:lang w:val="en-US" w:eastAsia="zh-CN"/>
              </w:rPr>
              <w:t>27</w:t>
            </w:r>
          </w:p>
        </w:tc>
        <w:tc>
          <w:tcPr>
            <w:tcW w:w="3684" w:type="dxa"/>
            <w:tcBorders>
              <w:tl2br w:val="nil"/>
              <w:tr2bl w:val="nil"/>
            </w:tcBorders>
            <w:vAlign w:val="top"/>
          </w:tcPr>
          <w:p>
            <w:pPr>
              <w:jc w:val="center"/>
              <w:rPr>
                <w:rFonts w:hint="default" w:ascii="Times New Roman" w:hAnsi="Times New Roman" w:eastAsia="宋体"/>
                <w:color w:val="auto"/>
                <w:sz w:val="20"/>
                <w:szCs w:val="20"/>
                <w:highlight w:val="none"/>
                <w:lang w:val="en-US" w:eastAsia="zh-CN"/>
              </w:rPr>
            </w:pPr>
            <w:r>
              <w:rPr>
                <w:rFonts w:hint="eastAsia" w:ascii="Times New Roman" w:hAnsi="Times New Roman" w:eastAsia="宋体"/>
                <w:color w:val="auto"/>
                <w:sz w:val="20"/>
                <w:szCs w:val="20"/>
                <w:highlight w:val="none"/>
                <w:lang w:val="en-US" w:eastAsia="zh-CN"/>
              </w:rPr>
              <w:t>260</w:t>
            </w:r>
            <w:r>
              <w:rPr>
                <w:rFonts w:hint="eastAsia" w:ascii="宋体" w:hAnsi="宋体" w:eastAsia="宋体" w:cs="宋体"/>
                <w:color w:val="auto"/>
                <w:kern w:val="0"/>
                <w:sz w:val="20"/>
                <w:szCs w:val="20"/>
                <w:highlight w:val="none"/>
              </w:rPr>
              <w:t>≤</w:t>
            </w:r>
            <w:r>
              <w:rPr>
                <w:rFonts w:hint="eastAsia" w:ascii="Times New Roman" w:hAnsi="Times New Roman" w:eastAsia="宋体"/>
                <w:i/>
                <w:iCs/>
                <w:color w:val="auto"/>
                <w:sz w:val="20"/>
                <w:szCs w:val="20"/>
                <w:highlight w:val="none"/>
                <w:lang w:val="en-US" w:eastAsia="zh-CN"/>
              </w:rPr>
              <w:t>CEC</w:t>
            </w:r>
            <w:r>
              <w:rPr>
                <w:rFonts w:hint="eastAsia" w:ascii="Times New Roman" w:hAnsi="Times New Roman" w:eastAsia="宋体"/>
                <w:color w:val="auto"/>
                <w:sz w:val="20"/>
                <w:szCs w:val="20"/>
                <w:highlight w:val="none"/>
                <w:lang w:val="en-US" w:eastAsia="zh-CN"/>
              </w:rPr>
              <w:t>（NH</w:t>
            </w:r>
            <w:r>
              <w:rPr>
                <w:rFonts w:hint="eastAsia" w:ascii="Times New Roman" w:hAnsi="Times New Roman" w:eastAsia="宋体"/>
                <w:color w:val="auto"/>
                <w:sz w:val="20"/>
                <w:szCs w:val="20"/>
                <w:highlight w:val="none"/>
                <w:vertAlign w:val="subscript"/>
                <w:lang w:val="en-US" w:eastAsia="zh-CN"/>
              </w:rPr>
              <w:t>4</w:t>
            </w:r>
            <w:r>
              <w:rPr>
                <w:rFonts w:hint="eastAsia" w:ascii="Times New Roman" w:hAnsi="Times New Roman" w:eastAsia="宋体"/>
                <w:color w:val="auto"/>
                <w:sz w:val="20"/>
                <w:szCs w:val="20"/>
                <w:highlight w:val="none"/>
                <w:vertAlign w:val="superscript"/>
                <w:lang w:val="en-US" w:eastAsia="zh-CN"/>
              </w:rPr>
              <w:t>+</w:t>
            </w:r>
            <w:r>
              <w:rPr>
                <w:rFonts w:hint="eastAsia" w:ascii="Times New Roman" w:hAnsi="Times New Roman" w:eastAsia="宋体"/>
                <w:color w:val="auto"/>
                <w:sz w:val="20"/>
                <w:szCs w:val="20"/>
                <w:highlight w:val="none"/>
                <w:lang w:val="en-US" w:eastAsia="zh-CN"/>
              </w:rPr>
              <w:t>）</w:t>
            </w:r>
            <w:r>
              <w:rPr>
                <w:rFonts w:ascii="Times New Roman" w:hAnsi="Times New Roman" w:eastAsia="宋体"/>
                <w:color w:val="auto"/>
                <w:sz w:val="20"/>
                <w:szCs w:val="20"/>
                <w:highlight w:val="none"/>
              </w:rPr>
              <w:t>＜</w:t>
            </w:r>
            <w:r>
              <w:rPr>
                <w:rFonts w:hint="eastAsia" w:ascii="Times New Roman" w:hAnsi="Times New Roman" w:eastAsia="宋体"/>
                <w:color w:val="auto"/>
                <w:sz w:val="20"/>
                <w:szCs w:val="20"/>
                <w:highlight w:val="none"/>
                <w:lang w:val="en-US" w:eastAsia="zh-CN"/>
              </w:rPr>
              <w:t>360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77" w:type="dxa"/>
            <w:tcBorders>
              <w:tl2br w:val="nil"/>
              <w:tr2bl w:val="nil"/>
            </w:tcBorders>
          </w:tcPr>
          <w:p>
            <w:pPr>
              <w:jc w:val="center"/>
              <w:rPr>
                <w:rFonts w:ascii="Times New Roman" w:hAnsi="Times New Roman" w:eastAsia="宋体" w:cs="Times New Roman"/>
                <w:color w:val="auto"/>
                <w:kern w:val="2"/>
                <w:sz w:val="20"/>
                <w:szCs w:val="20"/>
                <w:highlight w:val="none"/>
                <w:lang w:val="en-US" w:eastAsia="zh-CN" w:bidi="ar-SA"/>
              </w:rPr>
            </w:pPr>
            <w:r>
              <w:rPr>
                <w:rFonts w:ascii="Times New Roman" w:hAnsi="Times New Roman" w:eastAsia="宋体"/>
                <w:color w:val="auto"/>
                <w:sz w:val="20"/>
                <w:szCs w:val="20"/>
                <w:highlight w:val="none"/>
              </w:rPr>
              <w:t>强</w:t>
            </w:r>
          </w:p>
        </w:tc>
        <w:tc>
          <w:tcPr>
            <w:tcW w:w="2277" w:type="dxa"/>
            <w:tcBorders>
              <w:tl2br w:val="nil"/>
              <w:tr2bl w:val="nil"/>
            </w:tcBorders>
            <w:vAlign w:val="top"/>
          </w:tcPr>
          <w:p>
            <w:pPr>
              <w:jc w:val="center"/>
              <w:rPr>
                <w:rFonts w:ascii="Times New Roman" w:hAnsi="Times New Roman" w:eastAsia="宋体"/>
                <w:color w:val="auto"/>
                <w:sz w:val="20"/>
                <w:szCs w:val="20"/>
                <w:highlight w:val="none"/>
              </w:rPr>
            </w:pPr>
            <w:r>
              <w:rPr>
                <w:rFonts w:hint="eastAsia" w:ascii="Times New Roman" w:hAnsi="Times New Roman" w:eastAsia="宋体"/>
                <w:color w:val="auto"/>
                <w:sz w:val="20"/>
                <w:szCs w:val="20"/>
                <w:highlight w:val="none"/>
                <w:lang w:val="en-US" w:eastAsia="zh-CN"/>
              </w:rPr>
              <w:t>M</w:t>
            </w:r>
            <w:r>
              <w:rPr>
                <w:rFonts w:hint="eastAsia" w:ascii="宋体" w:hAnsi="宋体" w:eastAsia="宋体" w:cs="宋体"/>
                <w:color w:val="auto"/>
                <w:sz w:val="20"/>
                <w:szCs w:val="20"/>
                <w:highlight w:val="none"/>
              </w:rPr>
              <w:t>≥</w:t>
            </w:r>
            <w:r>
              <w:rPr>
                <w:rFonts w:hint="default" w:ascii="Times New Roman" w:hAnsi="Times New Roman" w:eastAsia="宋体" w:cs="Times New Roman"/>
                <w:color w:val="auto"/>
                <w:sz w:val="20"/>
                <w:szCs w:val="20"/>
                <w:highlight w:val="none"/>
                <w:lang w:val="en-US" w:eastAsia="zh-CN"/>
              </w:rPr>
              <w:t>27</w:t>
            </w:r>
          </w:p>
        </w:tc>
        <w:tc>
          <w:tcPr>
            <w:tcW w:w="3684" w:type="dxa"/>
            <w:tcBorders>
              <w:tl2br w:val="nil"/>
              <w:tr2bl w:val="nil"/>
            </w:tcBorders>
            <w:vAlign w:val="top"/>
          </w:tcPr>
          <w:p>
            <w:pPr>
              <w:jc w:val="center"/>
              <w:rPr>
                <w:rFonts w:hint="default" w:ascii="Times New Roman" w:hAnsi="Times New Roman" w:eastAsia="宋体"/>
                <w:i/>
                <w:color w:val="auto"/>
                <w:sz w:val="20"/>
                <w:szCs w:val="20"/>
                <w:highlight w:val="none"/>
                <w:lang w:val="en-US" w:eastAsia="zh-CN"/>
              </w:rPr>
            </w:pPr>
            <w:r>
              <w:rPr>
                <w:rFonts w:hint="eastAsia" w:ascii="Times New Roman" w:hAnsi="Times New Roman" w:eastAsia="宋体"/>
                <w:i/>
                <w:iCs/>
                <w:color w:val="auto"/>
                <w:sz w:val="20"/>
                <w:szCs w:val="20"/>
                <w:highlight w:val="none"/>
                <w:lang w:val="en-US" w:eastAsia="zh-CN"/>
              </w:rPr>
              <w:t>CEC</w:t>
            </w:r>
            <w:r>
              <w:rPr>
                <w:rFonts w:hint="eastAsia" w:ascii="Times New Roman" w:hAnsi="Times New Roman" w:eastAsia="宋体"/>
                <w:color w:val="auto"/>
                <w:sz w:val="20"/>
                <w:szCs w:val="20"/>
                <w:highlight w:val="none"/>
                <w:lang w:val="en-US" w:eastAsia="zh-CN"/>
              </w:rPr>
              <w:t>（NH</w:t>
            </w:r>
            <w:r>
              <w:rPr>
                <w:rFonts w:hint="eastAsia" w:ascii="Times New Roman" w:hAnsi="Times New Roman" w:eastAsia="宋体"/>
                <w:color w:val="auto"/>
                <w:sz w:val="20"/>
                <w:szCs w:val="20"/>
                <w:highlight w:val="none"/>
                <w:vertAlign w:val="subscript"/>
                <w:lang w:val="en-US" w:eastAsia="zh-CN"/>
              </w:rPr>
              <w:t>4</w:t>
            </w:r>
            <w:r>
              <w:rPr>
                <w:rFonts w:hint="eastAsia" w:ascii="Times New Roman" w:hAnsi="Times New Roman" w:eastAsia="宋体"/>
                <w:color w:val="auto"/>
                <w:sz w:val="20"/>
                <w:szCs w:val="20"/>
                <w:highlight w:val="none"/>
                <w:vertAlign w:val="superscript"/>
                <w:lang w:val="en-US" w:eastAsia="zh-CN"/>
              </w:rPr>
              <w:t>+</w:t>
            </w:r>
            <w:r>
              <w:rPr>
                <w:rFonts w:hint="eastAsia" w:ascii="Times New Roman" w:hAnsi="Times New Roman" w:eastAsia="宋体"/>
                <w:color w:val="auto"/>
                <w:sz w:val="20"/>
                <w:szCs w:val="20"/>
                <w:highlight w:val="none"/>
                <w:lang w:val="en-US" w:eastAsia="zh-CN"/>
              </w:rPr>
              <w:t>）</w:t>
            </w:r>
            <w:r>
              <w:rPr>
                <w:rFonts w:hint="eastAsia" w:ascii="宋体" w:hAnsi="宋体" w:eastAsia="宋体" w:cs="宋体"/>
                <w:color w:val="auto"/>
                <w:sz w:val="20"/>
                <w:szCs w:val="20"/>
                <w:highlight w:val="none"/>
              </w:rPr>
              <w:t>≥</w:t>
            </w:r>
            <w:r>
              <w:rPr>
                <w:rFonts w:hint="eastAsia" w:ascii="Times New Roman" w:hAnsi="Times New Roman" w:eastAsia="宋体" w:cs="Times New Roman"/>
                <w:color w:val="auto"/>
                <w:sz w:val="20"/>
                <w:szCs w:val="20"/>
                <w:highlight w:val="none"/>
                <w:lang w:val="en-US" w:eastAsia="zh-CN"/>
              </w:rPr>
              <w:t>360</w:t>
            </w:r>
          </w:p>
        </w:tc>
      </w:tr>
    </w:tbl>
    <w:p>
      <w:pPr>
        <w:spacing w:line="360" w:lineRule="auto"/>
        <w:ind w:firstLine="420" w:firstLineChars="200"/>
        <w:rPr>
          <w:rFonts w:hint="eastAsia" w:ascii="Times New Roman" w:hAnsi="Times New Roman" w:eastAsia="宋体"/>
          <w:color w:val="auto"/>
          <w:sz w:val="21"/>
          <w:szCs w:val="21"/>
          <w:highlight w:val="none"/>
          <w:lang w:val="en-US" w:eastAsia="zh-CN"/>
        </w:rPr>
      </w:pPr>
      <w:r>
        <w:rPr>
          <w:rFonts w:hint="eastAsia" w:ascii="Times New Roman" w:hAnsi="Times New Roman" w:eastAsia="宋体"/>
          <w:b w:val="0"/>
          <w:bCs w:val="0"/>
          <w:color w:val="auto"/>
          <w:highlight w:val="none"/>
          <w:lang w:val="en-US" w:eastAsia="zh-CN"/>
        </w:rPr>
        <w:t>根据《铁路工程岩土分类标准》TB 10077-2019，</w:t>
      </w:r>
      <w:r>
        <w:rPr>
          <w:rFonts w:hint="eastAsia" w:ascii="Times New Roman" w:hAnsi="Times New Roman" w:eastAsia="宋体"/>
          <w:color w:val="auto"/>
          <w:sz w:val="21"/>
          <w:szCs w:val="21"/>
          <w:highlight w:val="none"/>
          <w:lang w:val="en-US" w:eastAsia="zh-CN"/>
        </w:rPr>
        <w:t>膨胀土在野外可根据地貌、土的颜色、结构、土质情况、自然地质现象等特征，按表4-5综合判定。</w:t>
      </w:r>
      <w:r>
        <w:rPr>
          <w:rFonts w:ascii="Times New Roman" w:hAnsi="Times New Roman" w:eastAsia="宋体"/>
          <w:color w:val="auto"/>
          <w:szCs w:val="21"/>
          <w:highlight w:val="none"/>
        </w:rPr>
        <w:t>广东地区的膨胀土常见于花岗岩类</w:t>
      </w:r>
      <w:r>
        <w:rPr>
          <w:rFonts w:hint="eastAsia" w:ascii="Times New Roman" w:hAnsi="Times New Roman" w:eastAsia="宋体"/>
          <w:color w:val="auto"/>
          <w:szCs w:val="21"/>
          <w:highlight w:val="none"/>
          <w:lang w:eastAsia="zh-CN"/>
        </w:rPr>
        <w:t>、</w:t>
      </w:r>
      <w:r>
        <w:rPr>
          <w:rFonts w:hint="eastAsia" w:ascii="Times New Roman" w:hAnsi="Times New Roman" w:eastAsia="宋体"/>
          <w:color w:val="auto"/>
          <w:szCs w:val="21"/>
          <w:highlight w:val="none"/>
          <w:lang w:val="en-US" w:eastAsia="zh-CN"/>
        </w:rPr>
        <w:t>石灰岩类</w:t>
      </w:r>
      <w:r>
        <w:rPr>
          <w:rFonts w:ascii="Times New Roman" w:hAnsi="Times New Roman" w:eastAsia="宋体"/>
          <w:color w:val="auto"/>
          <w:szCs w:val="21"/>
          <w:highlight w:val="none"/>
        </w:rPr>
        <w:t>坡积土和残积土</w:t>
      </w:r>
      <w:r>
        <w:rPr>
          <w:rFonts w:ascii="Times New Roman" w:hAnsi="Times New Roman" w:eastAsia="宋体"/>
          <w:color w:val="auto"/>
          <w:highlight w:val="none"/>
        </w:rPr>
        <w:t>。</w:t>
      </w:r>
    </w:p>
    <w:p>
      <w:pPr>
        <w:spacing w:line="360" w:lineRule="auto"/>
        <w:ind w:firstLine="422" w:firstLineChars="200"/>
        <w:jc w:val="center"/>
        <w:rPr>
          <w:rFonts w:hint="default" w:ascii="Times New Roman" w:hAnsi="Times New Roman" w:eastAsia="宋体"/>
          <w:b/>
          <w:bCs/>
          <w:color w:val="auto"/>
          <w:szCs w:val="18"/>
          <w:highlight w:val="none"/>
          <w:lang w:val="en-US" w:eastAsia="zh-CN"/>
        </w:rPr>
      </w:pPr>
      <w:r>
        <w:rPr>
          <w:rFonts w:ascii="Times New Roman" w:hAnsi="Times New Roman" w:eastAsia="宋体"/>
          <w:b/>
          <w:bCs/>
          <w:color w:val="auto"/>
          <w:szCs w:val="18"/>
          <w:highlight w:val="none"/>
        </w:rPr>
        <w:t>表4-</w:t>
      </w:r>
      <w:r>
        <w:rPr>
          <w:rFonts w:hint="eastAsia" w:ascii="Times New Roman" w:hAnsi="Times New Roman" w:eastAsia="宋体"/>
          <w:b/>
          <w:bCs/>
          <w:color w:val="auto"/>
          <w:szCs w:val="18"/>
          <w:highlight w:val="none"/>
          <w:lang w:val="en-US" w:eastAsia="zh-CN"/>
        </w:rPr>
        <w:t>5</w:t>
      </w:r>
      <w:r>
        <w:rPr>
          <w:rFonts w:ascii="Times New Roman" w:hAnsi="Times New Roman" w:eastAsia="宋体"/>
          <w:b/>
          <w:bCs/>
          <w:color w:val="auto"/>
          <w:szCs w:val="18"/>
          <w:highlight w:val="none"/>
        </w:rPr>
        <w:t xml:space="preserve"> </w:t>
      </w:r>
      <w:r>
        <w:rPr>
          <w:rFonts w:hint="eastAsia"/>
          <w:b/>
          <w:bCs/>
          <w:color w:val="auto"/>
          <w:szCs w:val="18"/>
          <w:highlight w:val="none"/>
          <w:lang w:val="en-US" w:eastAsia="zh-CN"/>
        </w:rPr>
        <w:t xml:space="preserve"> </w:t>
      </w:r>
      <w:r>
        <w:rPr>
          <w:rFonts w:hint="eastAsia" w:ascii="Times New Roman" w:hAnsi="Times New Roman" w:eastAsia="宋体"/>
          <w:b/>
          <w:bCs/>
          <w:color w:val="auto"/>
          <w:szCs w:val="18"/>
          <w:highlight w:val="none"/>
          <w:lang w:val="en-US" w:eastAsia="zh-CN"/>
        </w:rPr>
        <w:t>膨胀土初步判定条件</w:t>
      </w:r>
    </w:p>
    <w:tbl>
      <w:tblPr>
        <w:tblStyle w:val="2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720"/>
        <w:gridCol w:w="659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720" w:type="dxa"/>
            <w:tcBorders>
              <w:tl2br w:val="nil"/>
              <w:tr2bl w:val="nil"/>
            </w:tcBorders>
            <w:shd w:val="clear" w:color="auto" w:fill="auto"/>
            <w:vAlign w:val="center"/>
          </w:tcPr>
          <w:p>
            <w:pPr>
              <w:jc w:val="center"/>
              <w:rPr>
                <w:rFonts w:hint="eastAsia" w:ascii="Times New Roman" w:hAnsi="Times New Roman" w:eastAsia="宋体"/>
                <w:color w:val="auto"/>
                <w:kern w:val="0"/>
                <w:sz w:val="20"/>
                <w:szCs w:val="20"/>
                <w:highlight w:val="none"/>
                <w:lang w:eastAsia="zh-CN"/>
              </w:rPr>
            </w:pPr>
            <w:r>
              <w:rPr>
                <w:rFonts w:hint="eastAsia" w:ascii="Times New Roman" w:hAnsi="Times New Roman" w:eastAsia="宋体"/>
                <w:color w:val="auto"/>
                <w:kern w:val="0"/>
                <w:sz w:val="20"/>
                <w:szCs w:val="20"/>
                <w:highlight w:val="none"/>
                <w:lang w:val="en-US" w:eastAsia="zh-CN"/>
              </w:rPr>
              <w:t>地貌</w:t>
            </w:r>
          </w:p>
        </w:tc>
        <w:tc>
          <w:tcPr>
            <w:tcW w:w="6590" w:type="dxa"/>
            <w:tcBorders>
              <w:tl2br w:val="nil"/>
              <w:tr2bl w:val="nil"/>
            </w:tcBorders>
            <w:shd w:val="clear" w:color="auto" w:fill="auto"/>
            <w:vAlign w:val="center"/>
          </w:tcPr>
          <w:p>
            <w:pPr>
              <w:jc w:val="left"/>
              <w:rPr>
                <w:rFonts w:hint="default" w:ascii="Times New Roman" w:hAnsi="Times New Roman" w:eastAsia="宋体" w:cs="Times New Roman"/>
                <w:color w:val="auto"/>
                <w:kern w:val="0"/>
                <w:sz w:val="20"/>
                <w:szCs w:val="20"/>
                <w:highlight w:val="none"/>
                <w:lang w:val="en-US" w:eastAsia="zh-CN" w:bidi="ar-SA"/>
              </w:rPr>
            </w:pPr>
            <w:r>
              <w:rPr>
                <w:rFonts w:hint="eastAsia" w:ascii="Times New Roman" w:hAnsi="Times New Roman" w:eastAsia="宋体" w:cs="Times New Roman"/>
                <w:color w:val="auto"/>
                <w:kern w:val="0"/>
                <w:sz w:val="20"/>
                <w:szCs w:val="20"/>
                <w:highlight w:val="none"/>
                <w:lang w:val="en-US" w:eastAsia="zh-CN" w:bidi="ar-SA"/>
              </w:rPr>
              <w:t>具垄岗式地貌，地形平缓开阔，无自然陡坎，坡面沟槽发育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720" w:type="dxa"/>
            <w:tcBorders>
              <w:tl2br w:val="nil"/>
              <w:tr2bl w:val="nil"/>
            </w:tcBorders>
            <w:shd w:val="clear" w:color="auto" w:fill="auto"/>
            <w:vAlign w:val="center"/>
          </w:tcPr>
          <w:p>
            <w:pPr>
              <w:jc w:val="center"/>
              <w:rPr>
                <w:rFonts w:hint="eastAsia" w:ascii="Times New Roman" w:hAnsi="Times New Roman" w:eastAsia="宋体"/>
                <w:color w:val="auto"/>
                <w:kern w:val="0"/>
                <w:sz w:val="20"/>
                <w:szCs w:val="20"/>
                <w:highlight w:val="none"/>
                <w:lang w:val="en-US" w:eastAsia="zh-CN"/>
              </w:rPr>
            </w:pPr>
            <w:r>
              <w:rPr>
                <w:rFonts w:hint="eastAsia" w:ascii="Times New Roman" w:hAnsi="Times New Roman" w:eastAsia="宋体"/>
                <w:color w:val="auto"/>
                <w:kern w:val="0"/>
                <w:sz w:val="20"/>
                <w:szCs w:val="20"/>
                <w:highlight w:val="none"/>
                <w:lang w:val="en-US" w:eastAsia="zh-CN"/>
              </w:rPr>
              <w:t>颜色</w:t>
            </w:r>
          </w:p>
        </w:tc>
        <w:tc>
          <w:tcPr>
            <w:tcW w:w="6590" w:type="dxa"/>
            <w:tcBorders>
              <w:tl2br w:val="nil"/>
              <w:tr2bl w:val="nil"/>
            </w:tcBorders>
            <w:shd w:val="clear" w:color="auto" w:fill="auto"/>
            <w:vAlign w:val="center"/>
          </w:tcPr>
          <w:p>
            <w:pPr>
              <w:rPr>
                <w:rFonts w:hint="default" w:ascii="Times New Roman" w:hAnsi="Times New Roman" w:eastAsia="宋体" w:cs="Times New Roman"/>
                <w:color w:val="auto"/>
                <w:kern w:val="0"/>
                <w:sz w:val="20"/>
                <w:szCs w:val="20"/>
                <w:highlight w:val="none"/>
                <w:lang w:val="en-US" w:eastAsia="zh-CN" w:bidi="ar-SA"/>
              </w:rPr>
            </w:pPr>
            <w:r>
              <w:rPr>
                <w:rFonts w:hint="eastAsia" w:ascii="Times New Roman" w:hAnsi="Times New Roman" w:eastAsia="宋体" w:cs="Times New Roman"/>
                <w:color w:val="auto"/>
                <w:kern w:val="0"/>
                <w:sz w:val="20"/>
                <w:szCs w:val="20"/>
                <w:highlight w:val="none"/>
                <w:lang w:val="en-US" w:eastAsia="zh-CN" w:bidi="ar-SA"/>
              </w:rPr>
              <w:t>多呈棕色、黄色、褐色，间夹灰白色或灰绿色条带、薄膜、夹层、透镜体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720" w:type="dxa"/>
            <w:tcBorders>
              <w:tl2br w:val="nil"/>
              <w:tr2bl w:val="nil"/>
            </w:tcBorders>
            <w:shd w:val="clear" w:color="auto" w:fill="auto"/>
            <w:vAlign w:val="center"/>
          </w:tcPr>
          <w:p>
            <w:pPr>
              <w:jc w:val="center"/>
              <w:rPr>
                <w:rFonts w:hint="eastAsia" w:ascii="Times New Roman" w:hAnsi="Times New Roman" w:eastAsia="宋体"/>
                <w:color w:val="auto"/>
                <w:kern w:val="0"/>
                <w:sz w:val="20"/>
                <w:szCs w:val="20"/>
                <w:highlight w:val="none"/>
                <w:lang w:val="en-US" w:eastAsia="zh-CN"/>
              </w:rPr>
            </w:pPr>
            <w:r>
              <w:rPr>
                <w:rFonts w:hint="eastAsia" w:ascii="Times New Roman" w:hAnsi="Times New Roman" w:eastAsia="宋体"/>
                <w:color w:val="auto"/>
                <w:kern w:val="0"/>
                <w:sz w:val="20"/>
                <w:szCs w:val="20"/>
                <w:highlight w:val="none"/>
                <w:lang w:val="en-US" w:eastAsia="zh-CN"/>
              </w:rPr>
              <w:t>结构</w:t>
            </w:r>
          </w:p>
        </w:tc>
        <w:tc>
          <w:tcPr>
            <w:tcW w:w="6590" w:type="dxa"/>
            <w:tcBorders>
              <w:tl2br w:val="nil"/>
              <w:tr2bl w:val="nil"/>
            </w:tcBorders>
            <w:shd w:val="clear" w:color="auto" w:fill="auto"/>
            <w:vAlign w:val="center"/>
          </w:tcPr>
          <w:p>
            <w:pPr>
              <w:rPr>
                <w:rFonts w:hint="default" w:ascii="Times New Roman" w:hAnsi="Times New Roman" w:eastAsia="宋体" w:cs="Times New Roman"/>
                <w:color w:val="auto"/>
                <w:kern w:val="0"/>
                <w:sz w:val="20"/>
                <w:szCs w:val="20"/>
                <w:highlight w:val="none"/>
                <w:lang w:val="en-US" w:eastAsia="zh-CN" w:bidi="ar-SA"/>
              </w:rPr>
            </w:pPr>
            <w:r>
              <w:rPr>
                <w:rFonts w:hint="eastAsia" w:ascii="Times New Roman" w:hAnsi="Times New Roman" w:eastAsia="宋体" w:cs="Times New Roman"/>
                <w:color w:val="auto"/>
                <w:kern w:val="0"/>
                <w:sz w:val="20"/>
                <w:szCs w:val="20"/>
                <w:highlight w:val="none"/>
                <w:lang w:val="en-US" w:eastAsia="zh-CN" w:bidi="ar-SA"/>
              </w:rPr>
              <w:t>具不规则裂隙结构，裂面光滑，可见擦痕，常充填灰白色或灰绿色黏土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720" w:type="dxa"/>
            <w:tcBorders>
              <w:tl2br w:val="nil"/>
              <w:tr2bl w:val="nil"/>
            </w:tcBorders>
            <w:shd w:val="clear" w:color="auto" w:fill="auto"/>
            <w:vAlign w:val="center"/>
          </w:tcPr>
          <w:p>
            <w:pPr>
              <w:jc w:val="center"/>
              <w:rPr>
                <w:rFonts w:hint="eastAsia" w:ascii="Times New Roman" w:hAnsi="Times New Roman" w:eastAsia="宋体"/>
                <w:color w:val="auto"/>
                <w:kern w:val="0"/>
                <w:sz w:val="20"/>
                <w:szCs w:val="20"/>
                <w:highlight w:val="none"/>
                <w:lang w:val="en-US" w:eastAsia="zh-CN"/>
              </w:rPr>
            </w:pPr>
            <w:r>
              <w:rPr>
                <w:rFonts w:hint="eastAsia" w:ascii="Times New Roman" w:hAnsi="Times New Roman" w:eastAsia="宋体"/>
                <w:color w:val="auto"/>
                <w:kern w:val="0"/>
                <w:sz w:val="20"/>
                <w:szCs w:val="20"/>
                <w:highlight w:val="none"/>
                <w:lang w:val="en-US" w:eastAsia="zh-CN"/>
              </w:rPr>
              <w:t>土质</w:t>
            </w:r>
          </w:p>
        </w:tc>
        <w:tc>
          <w:tcPr>
            <w:tcW w:w="6590" w:type="dxa"/>
            <w:tcBorders>
              <w:tl2br w:val="nil"/>
              <w:tr2bl w:val="nil"/>
            </w:tcBorders>
            <w:shd w:val="clear" w:color="auto" w:fill="auto"/>
            <w:vAlign w:val="center"/>
          </w:tcPr>
          <w:p>
            <w:pPr>
              <w:rPr>
                <w:rFonts w:hint="default" w:ascii="Times New Roman" w:hAnsi="Times New Roman" w:eastAsia="宋体" w:cs="Times New Roman"/>
                <w:color w:val="auto"/>
                <w:kern w:val="0"/>
                <w:sz w:val="20"/>
                <w:szCs w:val="20"/>
                <w:highlight w:val="none"/>
                <w:lang w:val="en-US" w:eastAsia="zh-CN" w:bidi="ar-SA"/>
              </w:rPr>
            </w:pPr>
            <w:r>
              <w:rPr>
                <w:rFonts w:hint="eastAsia" w:ascii="Times New Roman" w:hAnsi="Times New Roman" w:eastAsia="宋体" w:cs="Times New Roman"/>
                <w:color w:val="auto"/>
                <w:kern w:val="0"/>
                <w:sz w:val="20"/>
                <w:szCs w:val="20"/>
                <w:highlight w:val="none"/>
                <w:lang w:val="en-US" w:eastAsia="zh-CN" w:bidi="ar-SA"/>
              </w:rPr>
              <w:t>土质细腻，手感滑，常含有钙质或铁锰质结核或豆石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720" w:type="dxa"/>
            <w:tcBorders>
              <w:tl2br w:val="nil"/>
              <w:tr2bl w:val="nil"/>
            </w:tcBorders>
            <w:shd w:val="clear" w:color="auto" w:fill="auto"/>
            <w:vAlign w:val="center"/>
          </w:tcPr>
          <w:p>
            <w:pPr>
              <w:jc w:val="center"/>
              <w:rPr>
                <w:rFonts w:hint="default" w:ascii="Times New Roman" w:hAnsi="Times New Roman" w:eastAsia="宋体"/>
                <w:color w:val="auto"/>
                <w:kern w:val="0"/>
                <w:sz w:val="20"/>
                <w:szCs w:val="20"/>
                <w:highlight w:val="none"/>
                <w:lang w:val="en-US" w:eastAsia="zh-CN"/>
              </w:rPr>
            </w:pPr>
            <w:r>
              <w:rPr>
                <w:rFonts w:hint="eastAsia" w:ascii="Times New Roman" w:hAnsi="Times New Roman" w:eastAsia="宋体"/>
                <w:color w:val="auto"/>
                <w:kern w:val="0"/>
                <w:sz w:val="20"/>
                <w:szCs w:val="20"/>
                <w:highlight w:val="none"/>
                <w:lang w:val="en-US" w:eastAsia="zh-CN"/>
              </w:rPr>
              <w:t>自然地质现象</w:t>
            </w:r>
          </w:p>
        </w:tc>
        <w:tc>
          <w:tcPr>
            <w:tcW w:w="6590" w:type="dxa"/>
            <w:tcBorders>
              <w:tl2br w:val="nil"/>
              <w:tr2bl w:val="nil"/>
            </w:tcBorders>
            <w:shd w:val="clear" w:color="auto" w:fill="auto"/>
            <w:vAlign w:val="center"/>
          </w:tcPr>
          <w:p>
            <w:pPr>
              <w:rPr>
                <w:rFonts w:hint="default" w:ascii="Times New Roman" w:hAnsi="Times New Roman" w:eastAsia="宋体" w:cs="Times New Roman"/>
                <w:color w:val="auto"/>
                <w:kern w:val="0"/>
                <w:sz w:val="20"/>
                <w:szCs w:val="20"/>
                <w:highlight w:val="none"/>
                <w:lang w:val="en-US" w:eastAsia="zh-CN" w:bidi="ar-SA"/>
              </w:rPr>
            </w:pPr>
            <w:r>
              <w:rPr>
                <w:rFonts w:hint="eastAsia" w:ascii="Times New Roman" w:hAnsi="Times New Roman" w:eastAsia="宋体" w:cs="Times New Roman"/>
                <w:color w:val="auto"/>
                <w:kern w:val="0"/>
                <w:sz w:val="20"/>
                <w:szCs w:val="20"/>
                <w:highlight w:val="none"/>
                <w:lang w:val="en-US" w:eastAsia="zh-CN" w:bidi="ar-SA"/>
              </w:rPr>
              <w:t>常见浅层溜坍、裂缝，见凹形坡，新开挖的坑壁易发生坍塌</w:t>
            </w:r>
          </w:p>
        </w:tc>
      </w:tr>
    </w:tbl>
    <w:p>
      <w:pPr>
        <w:spacing w:line="360" w:lineRule="auto"/>
        <w:ind w:firstLine="422" w:firstLineChars="200"/>
        <w:rPr>
          <w:rFonts w:hint="eastAsia" w:ascii="Times New Roman" w:hAnsi="Times New Roman" w:eastAsia="宋体"/>
          <w:color w:val="auto"/>
          <w:sz w:val="21"/>
          <w:szCs w:val="21"/>
          <w:highlight w:val="none"/>
          <w:lang w:eastAsia="zh-CN"/>
        </w:rPr>
      </w:pPr>
      <w:r>
        <w:rPr>
          <w:rFonts w:hint="eastAsia" w:ascii="Times New Roman" w:hAnsi="Times New Roman" w:eastAsia="宋体"/>
          <w:b/>
          <w:bCs/>
          <w:color w:val="auto"/>
          <w:sz w:val="21"/>
          <w:szCs w:val="21"/>
          <w:highlight w:val="none"/>
          <w:lang w:val="en-US" w:eastAsia="zh-CN"/>
        </w:rPr>
        <w:t>7</w:t>
      </w:r>
      <w:r>
        <w:rPr>
          <w:rFonts w:ascii="Times New Roman" w:hAnsi="Times New Roman" w:eastAsia="宋体"/>
          <w:b/>
          <w:bCs/>
          <w:color w:val="auto"/>
          <w:sz w:val="21"/>
          <w:szCs w:val="21"/>
          <w:highlight w:val="none"/>
        </w:rPr>
        <w:t xml:space="preserve"> </w:t>
      </w:r>
      <w:r>
        <w:rPr>
          <w:rFonts w:ascii="Times New Roman" w:hAnsi="Times New Roman" w:eastAsia="宋体"/>
          <w:color w:val="auto"/>
          <w:sz w:val="21"/>
          <w:szCs w:val="21"/>
          <w:highlight w:val="none"/>
        </w:rPr>
        <w:t>本条在《盐渍土地区建筑技术规范》GB/T 50942-2014基础上，结合《岩土工程勘察规范》GB 50021-2001（2009版）编制。</w:t>
      </w:r>
      <w:r>
        <w:rPr>
          <w:rFonts w:hint="eastAsia" w:ascii="Times New Roman" w:hAnsi="Times New Roman" w:eastAsia="宋体"/>
          <w:color w:val="auto"/>
          <w:sz w:val="21"/>
          <w:szCs w:val="21"/>
          <w:highlight w:val="none"/>
          <w:lang w:val="en-US" w:eastAsia="zh-CN"/>
        </w:rPr>
        <w:t>盐渍土</w:t>
      </w:r>
      <w:r>
        <w:rPr>
          <w:rFonts w:ascii="Times New Roman" w:hAnsi="Times New Roman" w:eastAsia="宋体"/>
          <w:color w:val="auto"/>
          <w:sz w:val="21"/>
          <w:szCs w:val="21"/>
          <w:highlight w:val="none"/>
        </w:rPr>
        <w:t>含盐矿物成分主要为石膏和芒硝</w:t>
      </w:r>
      <w:r>
        <w:rPr>
          <w:rFonts w:hint="eastAsia" w:ascii="Times New Roman" w:hAnsi="Times New Roman" w:eastAsia="宋体"/>
          <w:color w:val="auto"/>
          <w:sz w:val="21"/>
          <w:szCs w:val="21"/>
          <w:highlight w:val="none"/>
          <w:lang w:eastAsia="zh-CN"/>
        </w:rPr>
        <w:t>。</w:t>
      </w:r>
    </w:p>
    <w:p>
      <w:pPr>
        <w:pStyle w:val="3"/>
        <w:jc w:val="center"/>
        <w:rPr>
          <w:rFonts w:hint="eastAsia" w:ascii="Times New Roman" w:hAnsi="Times New Roman" w:eastAsia="宋体" w:cs="Times New Roman"/>
          <w:color w:val="auto"/>
          <w:sz w:val="24"/>
          <w:highlight w:val="none"/>
          <w:lang w:eastAsia="zh-CN"/>
        </w:rPr>
      </w:pPr>
      <w:bookmarkStart w:id="342" w:name="_Toc13129"/>
      <w:bookmarkStart w:id="343" w:name="_Toc7209"/>
      <w:r>
        <w:rPr>
          <w:rFonts w:ascii="Times New Roman" w:hAnsi="Times New Roman" w:eastAsia="宋体" w:cs="Times New Roman"/>
          <w:color w:val="auto"/>
          <w:sz w:val="24"/>
          <w:highlight w:val="none"/>
        </w:rPr>
        <w:t>4.</w:t>
      </w:r>
      <w:r>
        <w:rPr>
          <w:rFonts w:hint="eastAsia" w:ascii="Times New Roman" w:hAnsi="Times New Roman" w:eastAsia="宋体" w:cs="Times New Roman"/>
          <w:color w:val="auto"/>
          <w:sz w:val="24"/>
          <w:highlight w:val="none"/>
          <w:lang w:val="en-US" w:eastAsia="zh-CN"/>
        </w:rPr>
        <w:t>4</w:t>
      </w:r>
      <w:r>
        <w:rPr>
          <w:rFonts w:ascii="Times New Roman" w:hAnsi="Times New Roman" w:eastAsia="宋体" w:cs="Times New Roman"/>
          <w:color w:val="auto"/>
          <w:sz w:val="24"/>
          <w:highlight w:val="none"/>
        </w:rPr>
        <w:t xml:space="preserve">  土的</w:t>
      </w:r>
      <w:r>
        <w:rPr>
          <w:rFonts w:hint="eastAsia" w:ascii="Times New Roman" w:hAnsi="Times New Roman" w:eastAsia="宋体" w:cs="Times New Roman"/>
          <w:color w:val="auto"/>
          <w:sz w:val="24"/>
          <w:highlight w:val="none"/>
          <w:lang w:val="en-US" w:eastAsia="zh-CN"/>
        </w:rPr>
        <w:t>描述</w:t>
      </w:r>
      <w:bookmarkEnd w:id="342"/>
      <w:bookmarkEnd w:id="343"/>
    </w:p>
    <w:p>
      <w:pPr>
        <w:spacing w:line="360" w:lineRule="auto"/>
        <w:rPr>
          <w:rFonts w:ascii="Times New Roman" w:hAnsi="Times New Roman" w:eastAsia="宋体"/>
          <w:color w:val="auto"/>
          <w:highlight w:val="none"/>
        </w:rPr>
      </w:pPr>
      <w:r>
        <w:rPr>
          <w:rFonts w:ascii="Times New Roman" w:hAnsi="Times New Roman" w:eastAsia="宋体"/>
          <w:b/>
          <w:bCs/>
          <w:color w:val="auto"/>
          <w:szCs w:val="21"/>
          <w:highlight w:val="none"/>
        </w:rPr>
        <w:t>4.4.1</w:t>
      </w:r>
      <w:r>
        <w:rPr>
          <w:rFonts w:hint="eastAsia" w:ascii="Times New Roman" w:hAnsi="Times New Roman" w:eastAsia="宋体"/>
          <w:b/>
          <w:bCs/>
          <w:color w:val="auto"/>
          <w:szCs w:val="21"/>
          <w:highlight w:val="none"/>
          <w:lang w:val="en-US" w:eastAsia="zh-CN"/>
        </w:rPr>
        <w:t>~4.4.6</w:t>
      </w:r>
      <w:r>
        <w:rPr>
          <w:rFonts w:ascii="Times New Roman" w:hAnsi="Times New Roman" w:eastAsia="宋体"/>
          <w:b/>
          <w:bCs/>
          <w:color w:val="auto"/>
          <w:szCs w:val="21"/>
          <w:highlight w:val="none"/>
        </w:rPr>
        <w:t xml:space="preserve"> </w:t>
      </w:r>
      <w:r>
        <w:rPr>
          <w:rFonts w:hint="eastAsia"/>
          <w:b/>
          <w:bCs/>
          <w:color w:val="auto"/>
          <w:szCs w:val="21"/>
          <w:highlight w:val="none"/>
          <w:lang w:val="en-US" w:eastAsia="zh-CN"/>
        </w:rPr>
        <w:t xml:space="preserve"> </w:t>
      </w:r>
      <w:r>
        <w:rPr>
          <w:rFonts w:ascii="Times New Roman" w:hAnsi="Times New Roman" w:eastAsia="宋体"/>
          <w:color w:val="auto"/>
          <w:highlight w:val="none"/>
        </w:rPr>
        <w:t>主要依据《岩土工程勘察规范》GB 50021-2001（2009版）</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部分参照了</w:t>
      </w:r>
      <w:r>
        <w:rPr>
          <w:rFonts w:ascii="Times New Roman" w:hAnsi="Times New Roman" w:eastAsia="宋体"/>
          <w:color w:val="auto"/>
          <w:highlight w:val="none"/>
        </w:rPr>
        <w:t>《建筑地基基础设计规范》</w:t>
      </w:r>
      <w:r>
        <w:rPr>
          <w:rFonts w:ascii="Times New Roman" w:hAnsi="Times New Roman" w:eastAsia="宋体"/>
          <w:color w:val="auto"/>
          <w:szCs w:val="21"/>
          <w:highlight w:val="none"/>
        </w:rPr>
        <w:t>GB 50007-2011</w:t>
      </w:r>
      <w:r>
        <w:rPr>
          <w:rFonts w:hint="eastAsia" w:ascii="Times New Roman" w:hAnsi="Times New Roman" w:eastAsia="宋体"/>
          <w:color w:val="auto"/>
          <w:szCs w:val="21"/>
          <w:highlight w:val="none"/>
          <w:lang w:val="en-US" w:eastAsia="zh-CN"/>
        </w:rPr>
        <w:t>和</w:t>
      </w:r>
      <w:r>
        <w:rPr>
          <w:rFonts w:ascii="Times New Roman" w:hAnsi="Times New Roman" w:eastAsia="宋体"/>
          <w:color w:val="auto"/>
          <w:highlight w:val="none"/>
        </w:rPr>
        <w:t>广东省标准《建筑地基基础设计规范》DBJ 15-31-2016。</w:t>
      </w:r>
    </w:p>
    <w:p>
      <w:pPr>
        <w:spacing w:line="360" w:lineRule="auto"/>
        <w:ind w:firstLine="420" w:firstLineChars="200"/>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其中，表4.4.2的圆锥</w:t>
      </w:r>
      <w:r>
        <w:rPr>
          <w:rFonts w:hint="eastAsia" w:ascii="Times New Roman" w:hAnsi="Times New Roman" w:eastAsia="宋体"/>
          <w:color w:val="auto"/>
          <w:sz w:val="21"/>
          <w:szCs w:val="21"/>
          <w:highlight w:val="none"/>
          <w:lang w:val="en-US" w:eastAsia="zh-CN"/>
        </w:rPr>
        <w:t>动力</w:t>
      </w:r>
      <w:r>
        <w:rPr>
          <w:rFonts w:hint="eastAsia" w:ascii="Times New Roman" w:hAnsi="Times New Roman" w:eastAsia="宋体"/>
          <w:color w:val="auto"/>
          <w:highlight w:val="none"/>
          <w:lang w:val="en-US" w:eastAsia="zh-CN"/>
        </w:rPr>
        <w:t>触探锤击数</w:t>
      </w:r>
      <w:r>
        <w:rPr>
          <w:rFonts w:hint="eastAsia"/>
          <w:color w:val="auto"/>
          <w:highlight w:val="none"/>
          <w:lang w:val="en-US" w:eastAsia="zh-CN"/>
        </w:rPr>
        <w:t>需</w:t>
      </w:r>
      <w:r>
        <w:rPr>
          <w:rFonts w:hint="eastAsia" w:ascii="Times New Roman" w:hAnsi="Times New Roman" w:eastAsia="宋体"/>
          <w:color w:val="auto"/>
          <w:highlight w:val="none"/>
          <w:lang w:val="en-US" w:eastAsia="zh-CN"/>
        </w:rPr>
        <w:t>按</w:t>
      </w:r>
      <w:r>
        <w:rPr>
          <w:rFonts w:ascii="Times New Roman" w:hAnsi="Times New Roman" w:eastAsia="宋体"/>
          <w:color w:val="auto"/>
          <w:highlight w:val="none"/>
        </w:rPr>
        <w:t>《岩土工程勘察规范》GB 50021-2001（2009版）</w:t>
      </w:r>
      <w:r>
        <w:rPr>
          <w:rFonts w:hint="eastAsia" w:ascii="Times New Roman" w:hAnsi="Times New Roman" w:eastAsia="宋体"/>
          <w:color w:val="auto"/>
          <w:highlight w:val="none"/>
          <w:lang w:val="en-US" w:eastAsia="zh-CN"/>
        </w:rPr>
        <w:t>附录B修正；表4.4.6参照了</w:t>
      </w:r>
      <w:r>
        <w:rPr>
          <w:rFonts w:ascii="Times New Roman" w:hAnsi="Times New Roman" w:eastAsia="宋体"/>
          <w:color w:val="auto"/>
          <w:highlight w:val="none"/>
        </w:rPr>
        <w:t>《建筑地基基础设计规范》</w:t>
      </w:r>
      <w:r>
        <w:rPr>
          <w:rFonts w:ascii="Times New Roman" w:hAnsi="Times New Roman" w:eastAsia="宋体"/>
          <w:color w:val="auto"/>
          <w:szCs w:val="21"/>
          <w:highlight w:val="none"/>
        </w:rPr>
        <w:t>GB 50007-2011</w:t>
      </w:r>
      <w:r>
        <w:rPr>
          <w:rFonts w:hint="eastAsia" w:ascii="Times New Roman" w:hAnsi="Times New Roman" w:eastAsia="宋体"/>
          <w:color w:val="auto"/>
          <w:szCs w:val="21"/>
          <w:highlight w:val="none"/>
          <w:lang w:val="en-US" w:eastAsia="zh-CN"/>
        </w:rPr>
        <w:t>第4.2.6条</w:t>
      </w:r>
      <w:r>
        <w:rPr>
          <w:rFonts w:ascii="Times New Roman" w:hAnsi="Times New Roman" w:eastAsia="宋体"/>
          <w:color w:val="auto"/>
          <w:highlight w:val="none"/>
        </w:rPr>
        <w:t>。</w:t>
      </w:r>
    </w:p>
    <w:p>
      <w:pPr>
        <w:spacing w:line="360" w:lineRule="auto"/>
        <w:ind w:firstLine="420" w:firstLineChars="20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颗粒级配是土中所含各粒组的相对含量，以土粒总重的百分数表示</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级配良好的土，指粗细颗粒搭配较好，粗颗粒间的空隙由细颗粒填充，易被压实到较高的密度；反之则为级配不良的土。土颗粒级配好坏一般用不均匀系数</w:t>
      </w:r>
      <w:r>
        <w:rPr>
          <w:rFonts w:hint="eastAsia" w:ascii="Times New Roman" w:hAnsi="Times New Roman" w:eastAsia="宋体"/>
          <w:i/>
          <w:iCs/>
          <w:color w:val="auto"/>
          <w:highlight w:val="none"/>
          <w:lang w:val="en-US" w:eastAsia="zh-CN"/>
        </w:rPr>
        <w:t>C</w:t>
      </w:r>
      <w:r>
        <w:rPr>
          <w:rFonts w:hint="eastAsia" w:ascii="Times New Roman" w:hAnsi="Times New Roman" w:eastAsia="宋体"/>
          <w:color w:val="auto"/>
          <w:highlight w:val="none"/>
          <w:vertAlign w:val="subscript"/>
          <w:lang w:val="en-US" w:eastAsia="zh-CN"/>
        </w:rPr>
        <w:t>u</w:t>
      </w:r>
      <w:r>
        <w:rPr>
          <w:rFonts w:hint="eastAsia" w:ascii="Times New Roman" w:hAnsi="Times New Roman" w:eastAsia="宋体"/>
          <w:color w:val="auto"/>
          <w:highlight w:val="none"/>
          <w:lang w:val="en-US" w:eastAsia="zh-CN"/>
        </w:rPr>
        <w:t>和曲率系数</w:t>
      </w:r>
      <w:r>
        <w:rPr>
          <w:rFonts w:hint="eastAsia" w:ascii="Times New Roman" w:hAnsi="Times New Roman" w:eastAsia="宋体"/>
          <w:i/>
          <w:iCs/>
          <w:color w:val="auto"/>
          <w:highlight w:val="none"/>
          <w:lang w:val="en-US" w:eastAsia="zh-CN"/>
        </w:rPr>
        <w:t>C</w:t>
      </w:r>
      <w:r>
        <w:rPr>
          <w:rFonts w:hint="eastAsia" w:ascii="Times New Roman" w:hAnsi="Times New Roman" w:eastAsia="宋体"/>
          <w:color w:val="auto"/>
          <w:highlight w:val="none"/>
          <w:vertAlign w:val="subscript"/>
          <w:lang w:val="en-US" w:eastAsia="zh-CN"/>
        </w:rPr>
        <w:t>c</w:t>
      </w:r>
      <w:r>
        <w:rPr>
          <w:rFonts w:hint="eastAsia" w:ascii="Times New Roman" w:hAnsi="Times New Roman" w:eastAsia="宋体"/>
          <w:color w:val="auto"/>
          <w:highlight w:val="none"/>
          <w:lang w:val="en-US" w:eastAsia="zh-CN"/>
        </w:rPr>
        <w:t>两个指标进行判别，当</w:t>
      </w:r>
      <w:r>
        <w:rPr>
          <w:rFonts w:hint="eastAsia" w:ascii="Times New Roman" w:hAnsi="Times New Roman" w:eastAsia="宋体"/>
          <w:i/>
          <w:iCs/>
          <w:color w:val="auto"/>
          <w:highlight w:val="none"/>
          <w:lang w:val="en-US" w:eastAsia="zh-CN"/>
        </w:rPr>
        <w:t>C</w:t>
      </w:r>
      <w:r>
        <w:rPr>
          <w:rFonts w:hint="eastAsia" w:ascii="Times New Roman" w:hAnsi="Times New Roman" w:eastAsia="宋体"/>
          <w:color w:val="auto"/>
          <w:highlight w:val="none"/>
          <w:vertAlign w:val="subscript"/>
          <w:lang w:val="en-US" w:eastAsia="zh-CN"/>
        </w:rPr>
        <w:t>u</w:t>
      </w:r>
      <w:r>
        <w:rPr>
          <w:rFonts w:hint="default" w:ascii="宋体" w:hAnsi="宋体" w:eastAsia="宋体" w:cs="宋体"/>
          <w:i w:val="0"/>
          <w:color w:val="auto"/>
          <w:kern w:val="0"/>
          <w:sz w:val="20"/>
          <w:szCs w:val="20"/>
          <w:highlight w:val="none"/>
          <w:u w:val="none"/>
          <w:lang w:val="en-US" w:eastAsia="zh-CN" w:bidi="ar"/>
        </w:rPr>
        <w:t>≥</w:t>
      </w:r>
      <w:r>
        <w:rPr>
          <w:rFonts w:hint="eastAsia" w:ascii="Times New Roman" w:hAnsi="Times New Roman" w:eastAsia="宋体"/>
          <w:color w:val="auto"/>
          <w:szCs w:val="21"/>
          <w:highlight w:val="none"/>
          <w:lang w:val="en-US" w:eastAsia="zh-CN"/>
        </w:rPr>
        <w:t>5且</w:t>
      </w:r>
      <w:r>
        <w:rPr>
          <w:rFonts w:hint="eastAsia" w:ascii="Times New Roman" w:hAnsi="Times New Roman" w:eastAsia="宋体"/>
          <w:i/>
          <w:iCs/>
          <w:color w:val="auto"/>
          <w:highlight w:val="none"/>
          <w:lang w:val="en-US" w:eastAsia="zh-CN"/>
        </w:rPr>
        <w:t>C</w:t>
      </w:r>
      <w:r>
        <w:rPr>
          <w:rFonts w:hint="eastAsia" w:ascii="Times New Roman" w:hAnsi="Times New Roman" w:eastAsia="宋体"/>
          <w:color w:val="auto"/>
          <w:highlight w:val="none"/>
          <w:vertAlign w:val="subscript"/>
          <w:lang w:val="en-US" w:eastAsia="zh-CN"/>
        </w:rPr>
        <w:t>c</w:t>
      </w:r>
      <w:r>
        <w:rPr>
          <w:rFonts w:hint="eastAsia" w:ascii="Times New Roman" w:hAnsi="Times New Roman" w:eastAsia="宋体"/>
          <w:color w:val="auto"/>
          <w:szCs w:val="21"/>
          <w:highlight w:val="none"/>
          <w:lang w:val="en-US" w:eastAsia="zh-CN"/>
        </w:rPr>
        <w:t>=1~3时为级配良好的土，当</w:t>
      </w:r>
      <w:r>
        <w:rPr>
          <w:rFonts w:hint="eastAsia" w:ascii="Times New Roman" w:hAnsi="Times New Roman" w:eastAsia="宋体"/>
          <w:i/>
          <w:iCs/>
          <w:color w:val="auto"/>
          <w:highlight w:val="none"/>
          <w:lang w:val="en-US" w:eastAsia="zh-CN"/>
        </w:rPr>
        <w:t>C</w:t>
      </w:r>
      <w:r>
        <w:rPr>
          <w:rFonts w:hint="eastAsia" w:ascii="Times New Roman" w:hAnsi="Times New Roman" w:eastAsia="宋体"/>
          <w:color w:val="auto"/>
          <w:highlight w:val="none"/>
          <w:vertAlign w:val="subscript"/>
          <w:lang w:val="en-US" w:eastAsia="zh-CN"/>
        </w:rPr>
        <w:t>u</w:t>
      </w:r>
      <w:r>
        <w:rPr>
          <w:rFonts w:hint="default" w:ascii="Times New Roman" w:hAnsi="Times New Roman" w:eastAsia="宋体" w:cs="Times New Roman"/>
          <w:i w:val="0"/>
          <w:color w:val="auto"/>
          <w:kern w:val="0"/>
          <w:sz w:val="20"/>
          <w:szCs w:val="20"/>
          <w:highlight w:val="none"/>
          <w:u w:val="none"/>
          <w:lang w:val="en-US" w:eastAsia="zh-CN" w:bidi="ar"/>
        </w:rPr>
        <w:t>&lt;</w:t>
      </w:r>
      <w:r>
        <w:rPr>
          <w:rFonts w:hint="eastAsia" w:ascii="Times New Roman" w:hAnsi="Times New Roman" w:eastAsia="宋体"/>
          <w:color w:val="auto"/>
          <w:szCs w:val="21"/>
          <w:highlight w:val="none"/>
          <w:lang w:val="en-US" w:eastAsia="zh-CN"/>
        </w:rPr>
        <w:t>5或</w:t>
      </w:r>
      <w:r>
        <w:rPr>
          <w:rFonts w:hint="eastAsia" w:ascii="Times New Roman" w:hAnsi="Times New Roman" w:eastAsia="宋体"/>
          <w:i/>
          <w:iCs/>
          <w:color w:val="auto"/>
          <w:highlight w:val="none"/>
          <w:lang w:val="en-US" w:eastAsia="zh-CN"/>
        </w:rPr>
        <w:t>C</w:t>
      </w:r>
      <w:r>
        <w:rPr>
          <w:rFonts w:hint="eastAsia" w:ascii="Times New Roman" w:hAnsi="Times New Roman" w:eastAsia="宋体"/>
          <w:color w:val="auto"/>
          <w:highlight w:val="none"/>
          <w:vertAlign w:val="subscript"/>
          <w:lang w:val="en-US" w:eastAsia="zh-CN"/>
        </w:rPr>
        <w:t>c</w:t>
      </w:r>
      <w:r>
        <w:rPr>
          <w:rFonts w:hint="default" w:ascii="Times New Roman" w:hAnsi="Times New Roman" w:eastAsia="宋体" w:cs="Times New Roman"/>
          <w:i w:val="0"/>
          <w:color w:val="auto"/>
          <w:kern w:val="0"/>
          <w:sz w:val="20"/>
          <w:szCs w:val="20"/>
          <w:highlight w:val="none"/>
          <w:u w:val="none"/>
          <w:lang w:val="en-US" w:eastAsia="zh-CN" w:bidi="ar"/>
        </w:rPr>
        <w:t>&lt;</w:t>
      </w:r>
      <w:r>
        <w:rPr>
          <w:rFonts w:hint="eastAsia" w:ascii="Times New Roman" w:hAnsi="Times New Roman" w:eastAsia="宋体"/>
          <w:color w:val="auto"/>
          <w:szCs w:val="21"/>
          <w:highlight w:val="none"/>
          <w:lang w:val="en-US" w:eastAsia="zh-CN"/>
        </w:rPr>
        <w:t>1或</w:t>
      </w:r>
      <w:r>
        <w:rPr>
          <w:rFonts w:hint="eastAsia" w:ascii="Times New Roman" w:hAnsi="Times New Roman" w:eastAsia="宋体"/>
          <w:i/>
          <w:iCs/>
          <w:color w:val="auto"/>
          <w:highlight w:val="none"/>
          <w:lang w:val="en-US" w:eastAsia="zh-CN"/>
        </w:rPr>
        <w:t>C</w:t>
      </w:r>
      <w:r>
        <w:rPr>
          <w:rFonts w:hint="eastAsia" w:ascii="Times New Roman" w:hAnsi="Times New Roman" w:eastAsia="宋体"/>
          <w:color w:val="auto"/>
          <w:highlight w:val="none"/>
          <w:vertAlign w:val="subscript"/>
          <w:lang w:val="en-US" w:eastAsia="zh-CN"/>
        </w:rPr>
        <w:t>c</w:t>
      </w:r>
      <w:r>
        <w:rPr>
          <w:rFonts w:hint="eastAsia" w:ascii="Times New Roman" w:hAnsi="Times New Roman" w:eastAsia="宋体"/>
          <w:color w:val="auto"/>
          <w:szCs w:val="21"/>
          <w:highlight w:val="none"/>
          <w:lang w:val="en-US" w:eastAsia="zh-CN"/>
        </w:rPr>
        <w:t>&gt;3时为级配不良的土。其中，</w:t>
      </w:r>
      <w:r>
        <w:rPr>
          <w:rFonts w:hint="eastAsia" w:ascii="Times New Roman" w:hAnsi="Times New Roman" w:eastAsia="宋体"/>
          <w:color w:val="auto"/>
          <w:highlight w:val="none"/>
          <w:lang w:val="en-US" w:eastAsia="zh-CN"/>
        </w:rPr>
        <w:t>不均匀系数</w:t>
      </w:r>
      <w:r>
        <w:rPr>
          <w:rFonts w:hint="eastAsia" w:ascii="Times New Roman" w:hAnsi="Times New Roman" w:eastAsia="宋体"/>
          <w:i/>
          <w:iCs/>
          <w:color w:val="auto"/>
          <w:highlight w:val="none"/>
          <w:lang w:val="en-US" w:eastAsia="zh-CN"/>
        </w:rPr>
        <w:t>C</w:t>
      </w:r>
      <w:r>
        <w:rPr>
          <w:rFonts w:hint="eastAsia" w:ascii="Times New Roman" w:hAnsi="Times New Roman" w:eastAsia="宋体"/>
          <w:color w:val="auto"/>
          <w:highlight w:val="none"/>
          <w:vertAlign w:val="subscript"/>
          <w:lang w:val="en-US" w:eastAsia="zh-CN"/>
        </w:rPr>
        <w:t>u</w:t>
      </w:r>
      <w:r>
        <w:rPr>
          <w:rFonts w:hint="eastAsia" w:ascii="Times New Roman" w:hAnsi="Times New Roman" w:eastAsia="宋体"/>
          <w:color w:val="auto"/>
          <w:highlight w:val="none"/>
          <w:lang w:val="en-US" w:eastAsia="zh-CN"/>
        </w:rPr>
        <w:t>和曲率系数</w:t>
      </w:r>
      <w:r>
        <w:rPr>
          <w:rFonts w:hint="eastAsia" w:ascii="Times New Roman" w:hAnsi="Times New Roman" w:eastAsia="宋体"/>
          <w:i/>
          <w:iCs/>
          <w:color w:val="auto"/>
          <w:highlight w:val="none"/>
          <w:lang w:val="en-US" w:eastAsia="zh-CN"/>
        </w:rPr>
        <w:t>C</w:t>
      </w:r>
      <w:r>
        <w:rPr>
          <w:rFonts w:hint="eastAsia" w:ascii="Times New Roman" w:hAnsi="Times New Roman" w:eastAsia="宋体"/>
          <w:color w:val="auto"/>
          <w:highlight w:val="none"/>
          <w:vertAlign w:val="subscript"/>
          <w:lang w:val="en-US" w:eastAsia="zh-CN"/>
        </w:rPr>
        <w:t>c</w:t>
      </w:r>
      <w:r>
        <w:rPr>
          <w:rFonts w:hint="eastAsia" w:ascii="Times New Roman" w:hAnsi="Times New Roman" w:eastAsia="宋体"/>
          <w:color w:val="auto"/>
          <w:szCs w:val="21"/>
          <w:highlight w:val="none"/>
          <w:lang w:val="en-US" w:eastAsia="zh-CN"/>
        </w:rPr>
        <w:t>定义如下：</w:t>
      </w:r>
    </w:p>
    <w:p>
      <w:pPr>
        <w:widowControl/>
        <w:tabs>
          <w:tab w:val="center" w:pos="3990"/>
          <w:tab w:val="center" w:pos="7770"/>
        </w:tabs>
        <w:jc w:val="left"/>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ab/>
      </w:r>
      <w:r>
        <w:rPr>
          <w:rFonts w:hint="eastAsia" w:ascii="Times New Roman" w:hAnsi="Times New Roman" w:eastAsia="宋体"/>
          <w:color w:val="auto"/>
          <w:position w:val="-30"/>
          <w:highlight w:val="none"/>
          <w:lang w:val="en-US" w:eastAsia="zh-CN"/>
        </w:rPr>
        <w:object>
          <v:shape id="_x0000_i1106" o:spt="75" type="#_x0000_t75" style="height:34pt;width:46pt;" o:ole="t" filled="f" o:preferrelative="t" stroked="f" coordsize="21600,21600">
            <v:path/>
            <v:fill on="f" focussize="0,0"/>
            <v:stroke on="f"/>
            <v:imagedata r:id="rId66" o:title=""/>
            <o:lock v:ext="edit" aspectratio="t"/>
            <w10:wrap type="none"/>
            <w10:anchorlock/>
          </v:shape>
          <o:OLEObject Type="Embed" ProgID="Equation.KSEE3" ShapeID="_x0000_i1106" DrawAspect="Content" ObjectID="_1468075745" r:id="rId65">
            <o:LockedField>false</o:LockedField>
          </o:OLEObject>
        </w:object>
      </w:r>
      <w:r>
        <w:rPr>
          <w:rFonts w:hint="eastAsia" w:ascii="Times New Roman" w:hAnsi="Times New Roman" w:eastAsia="宋体"/>
          <w:color w:val="auto"/>
          <w:highlight w:val="none"/>
          <w:lang w:val="en-US" w:eastAsia="zh-CN"/>
        </w:rPr>
        <w:tab/>
      </w:r>
      <w:r>
        <w:rPr>
          <w:rFonts w:hint="eastAsia" w:ascii="Times New Roman" w:hAnsi="Times New Roman" w:eastAsia="宋体"/>
          <w:color w:val="auto"/>
          <w:highlight w:val="none"/>
          <w:lang w:val="en-US" w:eastAsia="zh-CN"/>
        </w:rPr>
        <w:t>（4-3）</w:t>
      </w:r>
    </w:p>
    <w:p>
      <w:pPr>
        <w:widowControl/>
        <w:tabs>
          <w:tab w:val="center" w:pos="3990"/>
          <w:tab w:val="center" w:pos="7770"/>
        </w:tabs>
        <w:jc w:val="left"/>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ab/>
      </w:r>
      <w:r>
        <w:rPr>
          <w:rFonts w:hint="eastAsia" w:ascii="Times New Roman" w:hAnsi="Times New Roman" w:eastAsia="宋体"/>
          <w:color w:val="auto"/>
          <w:position w:val="-30"/>
          <w:highlight w:val="none"/>
          <w:lang w:val="en-US" w:eastAsia="zh-CN"/>
        </w:rPr>
        <w:object>
          <v:shape id="_x0000_i1107" o:spt="75" type="#_x0000_t75" style="height:37pt;width:58pt;" o:ole="t" filled="f" o:preferrelative="t" stroked="f" coordsize="21600,21600">
            <v:path/>
            <v:fill on="f" focussize="0,0"/>
            <v:stroke on="f"/>
            <v:imagedata r:id="rId68" o:title=""/>
            <o:lock v:ext="edit" aspectratio="t"/>
            <w10:wrap type="none"/>
            <w10:anchorlock/>
          </v:shape>
          <o:OLEObject Type="Embed" ProgID="Equation.KSEE3" ShapeID="_x0000_i1107" DrawAspect="Content" ObjectID="_1468075746" r:id="rId67">
            <o:LockedField>false</o:LockedField>
          </o:OLEObject>
        </w:object>
      </w:r>
      <w:r>
        <w:rPr>
          <w:rFonts w:hint="eastAsia" w:ascii="Times New Roman" w:hAnsi="Times New Roman" w:eastAsia="宋体"/>
          <w:color w:val="auto"/>
          <w:highlight w:val="none"/>
          <w:lang w:val="en-US" w:eastAsia="zh-CN"/>
        </w:rPr>
        <w:tab/>
      </w:r>
      <w:r>
        <w:rPr>
          <w:rFonts w:hint="eastAsia" w:ascii="Times New Roman" w:hAnsi="Times New Roman" w:eastAsia="宋体"/>
          <w:color w:val="auto"/>
          <w:highlight w:val="none"/>
          <w:lang w:val="en-US" w:eastAsia="zh-CN"/>
        </w:rPr>
        <w:t>（4-4）</w:t>
      </w:r>
    </w:p>
    <w:p>
      <w:pPr>
        <w:widowControl/>
        <w:tabs>
          <w:tab w:val="center" w:pos="3990"/>
          <w:tab w:val="center" w:pos="7770"/>
        </w:tabs>
        <w:jc w:val="left"/>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式中，</w:t>
      </w:r>
      <w:r>
        <w:rPr>
          <w:rFonts w:hint="eastAsia" w:ascii="Times New Roman" w:hAnsi="Times New Roman" w:eastAsia="宋体"/>
          <w:i/>
          <w:iCs/>
          <w:color w:val="auto"/>
          <w:highlight w:val="none"/>
          <w:lang w:val="en-US" w:eastAsia="zh-CN"/>
        </w:rPr>
        <w:t>d</w:t>
      </w:r>
      <w:r>
        <w:rPr>
          <w:rFonts w:hint="eastAsia" w:ascii="Times New Roman" w:hAnsi="Times New Roman" w:eastAsia="宋体"/>
          <w:color w:val="auto"/>
          <w:highlight w:val="none"/>
          <w:vertAlign w:val="subscript"/>
          <w:lang w:val="en-US" w:eastAsia="zh-CN"/>
        </w:rPr>
        <w:t>60</w:t>
      </w:r>
      <w:r>
        <w:rPr>
          <w:rFonts w:hint="eastAsia" w:ascii="Times New Roman" w:hAnsi="Times New Roman" w:eastAsia="宋体"/>
          <w:color w:val="auto"/>
          <w:highlight w:val="none"/>
          <w:lang w:val="en-US" w:eastAsia="zh-CN"/>
        </w:rPr>
        <w:t>、</w:t>
      </w:r>
      <w:r>
        <w:rPr>
          <w:rFonts w:hint="eastAsia" w:ascii="Times New Roman" w:hAnsi="Times New Roman" w:eastAsia="宋体"/>
          <w:i/>
          <w:iCs/>
          <w:color w:val="auto"/>
          <w:highlight w:val="none"/>
          <w:lang w:val="en-US" w:eastAsia="zh-CN"/>
        </w:rPr>
        <w:t>d</w:t>
      </w:r>
      <w:r>
        <w:rPr>
          <w:rFonts w:hint="eastAsia" w:ascii="Times New Roman" w:hAnsi="Times New Roman" w:eastAsia="宋体"/>
          <w:color w:val="auto"/>
          <w:highlight w:val="none"/>
          <w:vertAlign w:val="subscript"/>
          <w:lang w:val="en-US" w:eastAsia="zh-CN"/>
        </w:rPr>
        <w:t>30</w:t>
      </w:r>
      <w:r>
        <w:rPr>
          <w:rFonts w:hint="eastAsia" w:ascii="Times New Roman" w:hAnsi="Times New Roman" w:eastAsia="宋体"/>
          <w:color w:val="auto"/>
          <w:highlight w:val="none"/>
          <w:lang w:val="en-US" w:eastAsia="zh-CN"/>
        </w:rPr>
        <w:t>、</w:t>
      </w:r>
      <w:r>
        <w:rPr>
          <w:rFonts w:hint="eastAsia" w:ascii="Times New Roman" w:hAnsi="Times New Roman" w:eastAsia="宋体"/>
          <w:i/>
          <w:iCs/>
          <w:color w:val="auto"/>
          <w:highlight w:val="none"/>
          <w:lang w:val="en-US" w:eastAsia="zh-CN"/>
        </w:rPr>
        <w:t>d</w:t>
      </w:r>
      <w:r>
        <w:rPr>
          <w:rFonts w:hint="eastAsia" w:ascii="Times New Roman" w:hAnsi="Times New Roman" w:eastAsia="宋体"/>
          <w:color w:val="auto"/>
          <w:highlight w:val="none"/>
          <w:vertAlign w:val="subscript"/>
          <w:lang w:val="en-US" w:eastAsia="zh-CN"/>
        </w:rPr>
        <w:t>10</w:t>
      </w:r>
      <w:r>
        <w:rPr>
          <w:rFonts w:hint="eastAsia" w:ascii="Times New Roman" w:hAnsi="Times New Roman" w:eastAsia="宋体"/>
          <w:color w:val="auto"/>
          <w:highlight w:val="none"/>
          <w:lang w:val="en-US" w:eastAsia="zh-CN"/>
        </w:rPr>
        <w:t>分别为颗粒级配曲线上纵坐标为60%、30%、10%时所对应的粒径。</w:t>
      </w:r>
      <w:r>
        <w:rPr>
          <w:rFonts w:ascii="Times New Roman" w:hAnsi="Times New Roman" w:eastAsia="宋体"/>
          <w:color w:val="auto"/>
          <w:highlight w:val="none"/>
        </w:rPr>
        <w:br w:type="page"/>
      </w:r>
    </w:p>
    <w:p>
      <w:pPr>
        <w:widowControl/>
        <w:jc w:val="left"/>
        <w:rPr>
          <w:rFonts w:ascii="Times New Roman" w:hAnsi="Times New Roman" w:eastAsia="宋体"/>
          <w:color w:val="auto"/>
          <w:sz w:val="10"/>
          <w:szCs w:val="10"/>
          <w:highlight w:val="none"/>
        </w:rPr>
      </w:pPr>
      <w:bookmarkStart w:id="344" w:name="_Toc76998263"/>
    </w:p>
    <w:p>
      <w:pPr>
        <w:pStyle w:val="2"/>
        <w:rPr>
          <w:rFonts w:ascii="Times New Roman" w:hAnsi="Times New Roman" w:eastAsia="宋体"/>
          <w:color w:val="auto"/>
          <w:highlight w:val="none"/>
        </w:rPr>
      </w:pPr>
      <w:bookmarkStart w:id="345" w:name="_Toc13806"/>
      <w:bookmarkStart w:id="346" w:name="_Toc27177"/>
      <w:r>
        <w:rPr>
          <w:rFonts w:ascii="Times New Roman" w:hAnsi="Times New Roman" w:eastAsia="宋体"/>
          <w:color w:val="auto"/>
          <w:highlight w:val="none"/>
        </w:rPr>
        <w:t>5</w:t>
      </w:r>
      <w:r>
        <w:rPr>
          <w:rFonts w:hint="eastAsia" w:ascii="Times New Roman" w:hAnsi="Times New Roman" w:eastAsia="宋体"/>
          <w:color w:val="auto"/>
          <w:highlight w:val="none"/>
        </w:rPr>
        <w:t xml:space="preserve">  </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道路工程</w:t>
      </w:r>
      <w:bookmarkEnd w:id="344"/>
      <w:bookmarkEnd w:id="345"/>
      <w:bookmarkEnd w:id="346"/>
    </w:p>
    <w:p>
      <w:pPr>
        <w:pStyle w:val="3"/>
        <w:jc w:val="center"/>
        <w:rPr>
          <w:rFonts w:ascii="Times New Roman" w:hAnsi="Times New Roman" w:eastAsia="宋体" w:cs="Times New Roman"/>
          <w:color w:val="auto"/>
          <w:sz w:val="24"/>
          <w:highlight w:val="none"/>
        </w:rPr>
      </w:pPr>
      <w:bookmarkStart w:id="347" w:name="_Toc23644"/>
      <w:bookmarkStart w:id="348" w:name="_Toc76998264"/>
      <w:bookmarkStart w:id="349" w:name="_Toc4110"/>
      <w:r>
        <w:rPr>
          <w:rFonts w:ascii="Times New Roman" w:hAnsi="Times New Roman" w:eastAsia="宋体" w:cs="Times New Roman"/>
          <w:color w:val="auto"/>
          <w:sz w:val="24"/>
          <w:highlight w:val="none"/>
        </w:rPr>
        <w:t>5.1</w:t>
      </w:r>
      <w:r>
        <w:rPr>
          <w:rFonts w:hint="eastAsia" w:ascii="Times New Roman" w:hAnsi="Times New Roman" w:eastAsia="宋体" w:cs="Times New Roman"/>
          <w:color w:val="auto"/>
          <w:sz w:val="24"/>
          <w:highlight w:val="none"/>
          <w:lang w:val="en-US" w:eastAsia="zh-CN"/>
        </w:rPr>
        <w:t xml:space="preserve"> </w:t>
      </w:r>
      <w:r>
        <w:rPr>
          <w:rFonts w:ascii="Times New Roman" w:hAnsi="Times New Roman" w:eastAsia="宋体" w:cs="Times New Roman"/>
          <w:color w:val="auto"/>
          <w:sz w:val="24"/>
          <w:highlight w:val="none"/>
        </w:rPr>
        <w:t xml:space="preserve"> 一般规定</w:t>
      </w:r>
      <w:bookmarkEnd w:id="347"/>
      <w:bookmarkEnd w:id="348"/>
      <w:bookmarkEnd w:id="349"/>
      <w:r>
        <w:rPr>
          <w:rFonts w:ascii="Times New Roman" w:hAnsi="Times New Roman" w:eastAsia="宋体" w:cs="Times New Roman"/>
          <w:color w:val="auto"/>
          <w:sz w:val="24"/>
          <w:highlight w:val="none"/>
        </w:rPr>
        <w:tab/>
      </w:r>
    </w:p>
    <w:p>
      <w:pPr>
        <w:spacing w:line="360" w:lineRule="auto"/>
        <w:rPr>
          <w:rFonts w:ascii="Times New Roman" w:hAnsi="Times New Roman" w:eastAsia="宋体"/>
          <w:color w:val="auto"/>
          <w:highlight w:val="none"/>
        </w:rPr>
      </w:pPr>
      <w:r>
        <w:rPr>
          <w:rFonts w:ascii="Times New Roman" w:hAnsi="Times New Roman" w:eastAsia="宋体"/>
          <w:b/>
          <w:bCs/>
          <w:color w:val="auto"/>
          <w:highlight w:val="none"/>
        </w:rPr>
        <w:t xml:space="preserve">5.1.1 </w:t>
      </w:r>
      <w:r>
        <w:rPr>
          <w:rFonts w:hint="eastAsia"/>
          <w:b/>
          <w:bCs/>
          <w:color w:val="auto"/>
          <w:highlight w:val="none"/>
          <w:lang w:val="en-US" w:eastAsia="zh-CN"/>
        </w:rPr>
        <w:t xml:space="preserve"> </w:t>
      </w:r>
      <w:r>
        <w:rPr>
          <w:rFonts w:ascii="Times New Roman" w:hAnsi="Times New Roman" w:eastAsia="宋体"/>
          <w:color w:val="auto"/>
          <w:highlight w:val="none"/>
        </w:rPr>
        <w:t>随着</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建设的发展，城市</w:t>
      </w:r>
      <w:r>
        <w:rPr>
          <w:rFonts w:hint="eastAsia" w:ascii="Times New Roman" w:hAnsi="Times New Roman" w:eastAsia="宋体"/>
          <w:color w:val="auto"/>
          <w:highlight w:val="none"/>
          <w:lang w:val="en-US" w:eastAsia="zh-CN"/>
        </w:rPr>
        <w:t>中出现了一些</w:t>
      </w:r>
      <w:r>
        <w:rPr>
          <w:rFonts w:ascii="Times New Roman" w:hAnsi="Times New Roman" w:eastAsia="宋体"/>
          <w:color w:val="auto"/>
          <w:highlight w:val="none"/>
        </w:rPr>
        <w:t>地下广场</w:t>
      </w:r>
      <w:r>
        <w:rPr>
          <w:rFonts w:hint="eastAsia" w:ascii="Times New Roman" w:hAnsi="Times New Roman" w:eastAsia="宋体"/>
          <w:color w:val="auto"/>
          <w:highlight w:val="none"/>
          <w:lang w:val="en-US" w:eastAsia="zh-CN"/>
        </w:rPr>
        <w:t>或</w:t>
      </w:r>
      <w:r>
        <w:rPr>
          <w:rFonts w:ascii="Times New Roman" w:hAnsi="Times New Roman" w:eastAsia="宋体"/>
          <w:color w:val="auto"/>
          <w:highlight w:val="none"/>
        </w:rPr>
        <w:t>呈多层建筑形式建于地</w:t>
      </w:r>
      <w:r>
        <w:rPr>
          <w:rFonts w:hint="eastAsia" w:ascii="Times New Roman" w:hAnsi="Times New Roman" w:eastAsia="宋体"/>
          <w:color w:val="auto"/>
          <w:highlight w:val="none"/>
          <w:lang w:val="en-US" w:eastAsia="zh-CN"/>
        </w:rPr>
        <w:t>上</w:t>
      </w:r>
      <w:r>
        <w:rPr>
          <w:rFonts w:ascii="Times New Roman" w:hAnsi="Times New Roman" w:eastAsia="宋体"/>
          <w:color w:val="auto"/>
          <w:highlight w:val="none"/>
        </w:rPr>
        <w:t>部分公交场站，目前《市政工程勘察规范》CJJ 56-2012未涵盖这类工程。这类工程荷载形式较为特别，但总体上</w:t>
      </w:r>
      <w:r>
        <w:rPr>
          <w:rFonts w:hint="eastAsia" w:ascii="Times New Roman" w:hAnsi="Times New Roman" w:eastAsia="宋体"/>
          <w:color w:val="auto"/>
          <w:highlight w:val="none"/>
          <w:lang w:val="en-US" w:eastAsia="zh-CN"/>
        </w:rPr>
        <w:t>可按</w:t>
      </w:r>
      <w:r>
        <w:rPr>
          <w:rFonts w:ascii="Times New Roman" w:hAnsi="Times New Roman" w:eastAsia="宋体"/>
          <w:color w:val="auto"/>
          <w:highlight w:val="none"/>
        </w:rPr>
        <w:t>房屋建筑</w:t>
      </w:r>
      <w:r>
        <w:rPr>
          <w:rFonts w:hint="eastAsia" w:ascii="Times New Roman" w:hAnsi="Times New Roman" w:eastAsia="宋体"/>
          <w:color w:val="auto"/>
          <w:highlight w:val="none"/>
          <w:lang w:val="en-US" w:eastAsia="zh-CN"/>
        </w:rPr>
        <w:t>考虑</w:t>
      </w:r>
      <w:r>
        <w:rPr>
          <w:rFonts w:ascii="Times New Roman" w:hAnsi="Times New Roman" w:eastAsia="宋体"/>
          <w:color w:val="auto"/>
          <w:highlight w:val="none"/>
        </w:rPr>
        <w:t>，故其勘察参照《岩土工程勘察规范》GB 50021及广东省建筑类的有关规范执行即可。</w:t>
      </w:r>
    </w:p>
    <w:p>
      <w:pPr>
        <w:spacing w:line="360" w:lineRule="auto"/>
        <w:rPr>
          <w:rFonts w:hint="eastAsia" w:ascii="Times New Roman" w:hAnsi="Times New Roman" w:eastAsia="宋体"/>
          <w:color w:val="auto"/>
          <w:highlight w:val="none"/>
          <w:lang w:val="en-US" w:eastAsia="zh-CN"/>
        </w:rPr>
      </w:pPr>
      <w:r>
        <w:rPr>
          <w:rFonts w:ascii="Times New Roman" w:hAnsi="Times New Roman" w:eastAsia="宋体"/>
          <w:b/>
          <w:bCs/>
          <w:color w:val="auto"/>
          <w:highlight w:val="none"/>
        </w:rPr>
        <w:t xml:space="preserve">5.1.2 </w:t>
      </w:r>
      <w:r>
        <w:rPr>
          <w:rFonts w:hint="eastAsia"/>
          <w:b/>
          <w:bCs/>
          <w:color w:val="auto"/>
          <w:highlight w:val="none"/>
          <w:lang w:val="en-US" w:eastAsia="zh-CN"/>
        </w:rPr>
        <w:t xml:space="preserve"> </w:t>
      </w:r>
      <w:r>
        <w:rPr>
          <w:rFonts w:hint="eastAsia" w:ascii="Times New Roman" w:hAnsi="Times New Roman" w:eastAsia="宋体"/>
          <w:b w:val="0"/>
          <w:bCs w:val="0"/>
          <w:color w:val="auto"/>
          <w:highlight w:val="none"/>
          <w:lang w:val="en-US" w:eastAsia="zh-CN"/>
        </w:rPr>
        <w:t>本条文在</w:t>
      </w:r>
      <w:r>
        <w:rPr>
          <w:rFonts w:ascii="Times New Roman" w:hAnsi="Times New Roman" w:eastAsia="宋体"/>
          <w:color w:val="auto"/>
          <w:highlight w:val="none"/>
        </w:rPr>
        <w:t>《市政工程勘察规范》CJJ 56-2012</w:t>
      </w:r>
      <w:r>
        <w:rPr>
          <w:rFonts w:hint="eastAsia" w:ascii="Times New Roman" w:hAnsi="Times New Roman" w:eastAsia="宋体"/>
          <w:color w:val="auto"/>
          <w:highlight w:val="none"/>
          <w:lang w:val="en-US" w:eastAsia="zh-CN"/>
        </w:rPr>
        <w:t>基础上，参考了</w:t>
      </w:r>
      <w:r>
        <w:rPr>
          <w:rFonts w:hint="default" w:ascii="Times New Roman" w:hAnsi="Times New Roman" w:eastAsia="宋体"/>
          <w:color w:val="auto"/>
          <w:highlight w:val="none"/>
          <w:lang w:val="en-US" w:eastAsia="zh-CN"/>
        </w:rPr>
        <w:t>《房屋建筑和市政基础设施工程勘察文件编制深度规定（2020版）》</w:t>
      </w:r>
      <w:r>
        <w:rPr>
          <w:rFonts w:hint="eastAsia" w:ascii="Times New Roman" w:hAnsi="Times New Roman" w:eastAsia="宋体"/>
          <w:color w:val="auto"/>
          <w:highlight w:val="none"/>
          <w:lang w:val="en-US" w:eastAsia="zh-CN"/>
        </w:rPr>
        <w:t>的相关要求。</w:t>
      </w:r>
    </w:p>
    <w:p>
      <w:pPr>
        <w:spacing w:line="360" w:lineRule="auto"/>
        <w:ind w:firstLine="420" w:firstLineChars="200"/>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在丘陵山地场地的道路勘察中，应注意路面设计标高的核对，避免勘探孔按现地面标高控制深度而出现孔深不足的情况。路</w:t>
      </w:r>
      <w:r>
        <w:rPr>
          <w:rFonts w:ascii="Times New Roman" w:hAnsi="Times New Roman" w:eastAsia="宋体"/>
          <w:color w:val="auto"/>
          <w:highlight w:val="none"/>
        </w:rPr>
        <w:t>基沉降控制指标牵涉到沉降计算深度，是控制勘探孔深度的重要依据</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勘察人员应注意收集</w:t>
      </w:r>
      <w:r>
        <w:rPr>
          <w:rFonts w:ascii="Times New Roman" w:hAnsi="Times New Roman" w:eastAsia="宋体"/>
          <w:color w:val="auto"/>
          <w:highlight w:val="none"/>
        </w:rPr>
        <w:t>。</w:t>
      </w:r>
    </w:p>
    <w:p>
      <w:pPr>
        <w:spacing w:line="360" w:lineRule="auto"/>
        <w:rPr>
          <w:rFonts w:ascii="Times New Roman" w:hAnsi="Times New Roman" w:eastAsia="宋体"/>
          <w:color w:val="auto"/>
          <w:highlight w:val="none"/>
        </w:rPr>
      </w:pPr>
      <w:r>
        <w:rPr>
          <w:color w:val="auto"/>
          <w:sz w:val="21"/>
          <w:highlight w:val="none"/>
        </w:rPr>
        <mc:AlternateContent>
          <mc:Choice Requires="wpg">
            <w:drawing>
              <wp:anchor distT="0" distB="0" distL="114300" distR="114300" simplePos="0" relativeHeight="251664384" behindDoc="0" locked="0" layoutInCell="1" allowOverlap="1">
                <wp:simplePos x="0" y="0"/>
                <wp:positionH relativeFrom="column">
                  <wp:posOffset>-108585</wp:posOffset>
                </wp:positionH>
                <wp:positionV relativeFrom="paragraph">
                  <wp:posOffset>1748790</wp:posOffset>
                </wp:positionV>
                <wp:extent cx="5380355" cy="684530"/>
                <wp:effectExtent l="0" t="0" r="10795" b="1270"/>
                <wp:wrapNone/>
                <wp:docPr id="35" name="组合 35"/>
                <wp:cNvGraphicFramePr/>
                <a:graphic xmlns:a="http://schemas.openxmlformats.org/drawingml/2006/main">
                  <a:graphicData uri="http://schemas.microsoft.com/office/word/2010/wordprocessingGroup">
                    <wpg:wgp>
                      <wpg:cNvGrpSpPr/>
                      <wpg:grpSpPr>
                        <a:xfrm>
                          <a:off x="0" y="0"/>
                          <a:ext cx="5380355" cy="684530"/>
                          <a:chOff x="4951" y="419613"/>
                          <a:chExt cx="8473" cy="1078"/>
                        </a:xfrm>
                      </wpg:grpSpPr>
                      <wps:wsp>
                        <wps:cNvPr id="30" name="文本框 30"/>
                        <wps:cNvSpPr txBox="1"/>
                        <wps:spPr>
                          <a:xfrm>
                            <a:off x="4966" y="419613"/>
                            <a:ext cx="719" cy="4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sz w:val="18"/>
                                  <w:szCs w:val="20"/>
                                  <w:lang w:val="en-US" w:eastAsia="zh-CN"/>
                                </w:rPr>
                              </w:pPr>
                              <w:r>
                                <w:rPr>
                                  <w:rFonts w:hint="eastAsia"/>
                                  <w:sz w:val="18"/>
                                  <w:szCs w:val="20"/>
                                  <w:lang w:val="en-US" w:eastAsia="zh-CN"/>
                                </w:rPr>
                                <w:t xml:space="preserve">边线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直接连接符 17"/>
                        <wps:cNvCnPr/>
                        <wps:spPr>
                          <a:xfrm flipV="1">
                            <a:off x="5609" y="419853"/>
                            <a:ext cx="5867" cy="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 name="直接连接符 21"/>
                        <wps:cNvCnPr/>
                        <wps:spPr>
                          <a:xfrm flipV="1">
                            <a:off x="5594" y="420498"/>
                            <a:ext cx="5896" cy="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直接连接符 25"/>
                        <wps:cNvCnPr/>
                        <wps:spPr>
                          <a:xfrm flipV="1">
                            <a:off x="5594" y="420183"/>
                            <a:ext cx="5867" cy="6"/>
                          </a:xfrm>
                          <a:prstGeom prst="line">
                            <a:avLst/>
                          </a:prstGeom>
                          <a:ln>
                            <a:prstDash val="lgDashDot"/>
                          </a:ln>
                        </wps:spPr>
                        <wps:style>
                          <a:lnRef idx="1">
                            <a:schemeClr val="accent1"/>
                          </a:lnRef>
                          <a:fillRef idx="0">
                            <a:schemeClr val="accent1"/>
                          </a:fillRef>
                          <a:effectRef idx="0">
                            <a:schemeClr val="accent1"/>
                          </a:effectRef>
                          <a:fontRef idx="minor">
                            <a:schemeClr val="tx1"/>
                          </a:fontRef>
                        </wps:style>
                        <wps:bodyPr/>
                      </wps:wsp>
                      <wps:wsp>
                        <wps:cNvPr id="31" name="文本框 31"/>
                        <wps:cNvSpPr txBox="1"/>
                        <wps:spPr>
                          <a:xfrm>
                            <a:off x="4951" y="420258"/>
                            <a:ext cx="719" cy="4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sz w:val="18"/>
                                  <w:szCs w:val="20"/>
                                  <w:lang w:val="en-US" w:eastAsia="zh-CN"/>
                                </w:rPr>
                              </w:pPr>
                              <w:r>
                                <w:rPr>
                                  <w:rFonts w:hint="eastAsia"/>
                                  <w:sz w:val="18"/>
                                  <w:szCs w:val="20"/>
                                  <w:lang w:val="en-US" w:eastAsia="zh-CN"/>
                                </w:rPr>
                                <w:t xml:space="preserve">边线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椭圆 23"/>
                        <wps:cNvSpPr/>
                        <wps:spPr>
                          <a:xfrm>
                            <a:off x="6015" y="420108"/>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椭圆 24"/>
                        <wps:cNvSpPr/>
                        <wps:spPr>
                          <a:xfrm>
                            <a:off x="8385" y="420108"/>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椭圆 26"/>
                        <wps:cNvSpPr/>
                        <wps:spPr>
                          <a:xfrm>
                            <a:off x="10740" y="420108"/>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文本框 34"/>
                        <wps:cNvSpPr txBox="1"/>
                        <wps:spPr>
                          <a:xfrm>
                            <a:off x="11446" y="419928"/>
                            <a:ext cx="1978" cy="4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sz w:val="18"/>
                                  <w:szCs w:val="20"/>
                                  <w:lang w:val="en-US" w:eastAsia="zh-CN"/>
                                </w:rPr>
                              </w:pPr>
                              <w:r>
                                <w:rPr>
                                  <w:rFonts w:hint="eastAsia"/>
                                  <w:sz w:val="18"/>
                                  <w:szCs w:val="20"/>
                                  <w:lang w:val="en-US" w:eastAsia="zh-CN"/>
                                </w:rPr>
                                <w:t xml:space="preserve">(a)沿中线布置勘探点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55pt;margin-top:137.7pt;height:53.9pt;width:423.65pt;z-index:251664384;mso-width-relative:page;mso-height-relative:page;" coordorigin="4951,419613" coordsize="8473,1078" o:gfxdata="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">
                <o:lock v:ext="edit" aspectratio="f"/>
                <v:shape id="_x0000_s1026" o:spid="_x0000_s1026" o:spt="202" type="#_x0000_t202" style="position:absolute;left:4966;top:419613;height:433;width:719;" fillcolor="#FFFFFF [3201]" filled="t"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rPr>
                            <w:rFonts w:hint="default" w:eastAsia="等线"/>
                            <w:sz w:val="18"/>
                            <w:szCs w:val="20"/>
                            <w:lang w:val="en-US" w:eastAsia="zh-CN"/>
                          </w:rPr>
                        </w:pPr>
                        <w:r>
                          <w:rPr>
                            <w:rFonts w:hint="eastAsia"/>
                            <w:sz w:val="18"/>
                            <w:szCs w:val="20"/>
                            <w:lang w:val="en-US" w:eastAsia="zh-CN"/>
                          </w:rPr>
                          <w:t xml:space="preserve">边线 </w:t>
                        </w:r>
                      </w:p>
                    </w:txbxContent>
                  </v:textbox>
                </v:shape>
                <v:line id="_x0000_s1026" o:spid="_x0000_s1026" o:spt="20" style="position:absolute;left:5609;top:419853;flip:y;height:6;width:5867;" filled="f" stroked="t" coordsize="21600,21600" o:gfxdata="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fTo7sAAADb&#10;AAAADwAAAAAAAAABACAAAAAiAAAAZHJzL2Rvd25yZXYueG1sUEsBAhQAFAAAAAgAh07iQDMvBZ47&#10;AAAAOQAAABAAAAAAAAAAAQAgAAAACgEAAGRycy9zaGFwZXhtbC54bWxQSwUGAAAAAAYABgBbAQAA&#10;tAMAAAAA&#10;">
                  <v:fill on="f" focussize="0,0"/>
                  <v:stroke weight="0.5pt" color="#4472C4 [3204]" miterlimit="8" joinstyle="miter"/>
                  <v:imagedata o:title=""/>
                  <o:lock v:ext="edit" aspectratio="f"/>
                </v:line>
                <v:line id="_x0000_s1026" o:spid="_x0000_s1026" o:spt="20" style="position:absolute;left:5594;top:420498;flip:y;height:6;width:5896;" filled="f" stroked="t" coordsize="21600,21600" o:gfxdata="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TxvQAA&#10;ANsAAAAPAAAAAAAAAAEAIAAAACIAAABkcnMvZG93bnJldi54bWxQSwECFAAUAAAACACHTuJAMy8F&#10;njsAAAA5AAAAEAAAAAAAAAABACAAAAAMAQAAZHJzL3NoYXBleG1sLnhtbFBLBQYAAAAABgAGAFsB&#10;AAC2AwAAAAA=&#10;">
                  <v:fill on="f" focussize="0,0"/>
                  <v:stroke weight="0.5pt" color="#4472C4 [3204]" miterlimit="8" joinstyle="miter"/>
                  <v:imagedata o:title=""/>
                  <o:lock v:ext="edit" aspectratio="f"/>
                </v:line>
                <v:line id="_x0000_s1026" o:spid="_x0000_s1026" o:spt="20" style="position:absolute;left:5594;top:420183;flip:y;height:6;width:5867;" filled="f" stroked="t" coordsize="21600,21600" o:gfxdata="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wuI/bsAAADb&#10;AAAADwAAAAAAAAABACAAAAAiAAAAZHJzL2Rvd25yZXYueG1sUEsBAhQAFAAAAAgAh07iQDMvBZ47&#10;AAAAOQAAABAAAAAAAAAAAQAgAAAACgEAAGRycy9zaGFwZXhtbC54bWxQSwUGAAAAAAYABgBbAQAA&#10;tAMAAAAA&#10;">
                  <v:fill on="f" focussize="0,0"/>
                  <v:stroke weight="0.5pt" color="#4472C4 [3204]" miterlimit="8" joinstyle="miter" dashstyle="longDashDot"/>
                  <v:imagedata o:title=""/>
                  <o:lock v:ext="edit" aspectratio="f"/>
                </v:line>
                <v:shape id="_x0000_s1026" o:spid="_x0000_s1026" o:spt="202" type="#_x0000_t202" style="position:absolute;left:4951;top:420258;height:433;width:719;" fillcolor="#FFFFFF [3201]" filled="t" stroked="f" coordsize="21600,21600" o:gfxdata="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0lTTbgAAADb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pPr>
                          <w:rPr>
                            <w:rFonts w:hint="default" w:eastAsia="等线"/>
                            <w:sz w:val="18"/>
                            <w:szCs w:val="20"/>
                            <w:lang w:val="en-US" w:eastAsia="zh-CN"/>
                          </w:rPr>
                        </w:pPr>
                        <w:r>
                          <w:rPr>
                            <w:rFonts w:hint="eastAsia"/>
                            <w:sz w:val="18"/>
                            <w:szCs w:val="20"/>
                            <w:lang w:val="en-US" w:eastAsia="zh-CN"/>
                          </w:rPr>
                          <w:t xml:space="preserve">边线 </w:t>
                        </w:r>
                      </w:p>
                    </w:txbxContent>
                  </v:textbox>
                </v:shape>
                <v:shape id="_x0000_s1026" o:spid="_x0000_s1026" o:spt="3" type="#_x0000_t3" style="position:absolute;left:6015;top:420108;height:150;width:150;v-text-anchor:middle;" fillcolor="#4472C4 [3204]" filled="t" stroked="t" coordsize="21600,21600" o:gfxdata="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DvZO8AAAA&#10;2wAAAA8AAAAAAAAAAQAgAAAAIgAAAGRycy9kb3ducmV2LnhtbFBLAQIUABQAAAAIAIdO4kAzLwWe&#10;OwAAADkAAAAQAAAAAAAAAAEAIAAAAAsBAABkcnMvc2hhcGV4bWwueG1sUEsFBgAAAAAGAAYAWwEA&#10;ALUDAAAAAA==&#10;">
                  <v:fill on="t" focussize="0,0"/>
                  <v:stroke weight="1pt" color="#2F528F [3204]" miterlimit="8" joinstyle="miter"/>
                  <v:imagedata o:title=""/>
                  <o:lock v:ext="edit" aspectratio="f"/>
                </v:shape>
                <v:shape id="_x0000_s1026" o:spid="_x0000_s1026" o:spt="3" type="#_x0000_t3" style="position:absolute;left:8385;top:420108;height:150;width:150;v-text-anchor:middle;" fillcolor="#4472C4 [3204]" filled="t" stroked="t" coordsize="21600,21600" o:gfxdata="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qJee8AAAA&#10;2wAAAA8AAAAAAAAAAQAgAAAAIgAAAGRycy9kb3ducmV2LnhtbFBLAQIUABQAAAAIAIdO4kAzLwWe&#10;OwAAADkAAAAQAAAAAAAAAAEAIAAAAAsBAABkcnMvc2hhcGV4bWwueG1sUEsFBgAAAAAGAAYAWwEA&#10;ALUDAAAAAA==&#10;">
                  <v:fill on="t" focussize="0,0"/>
                  <v:stroke weight="1pt" color="#2F528F [3204]" miterlimit="8" joinstyle="miter"/>
                  <v:imagedata o:title=""/>
                  <o:lock v:ext="edit" aspectratio="f"/>
                </v:shape>
                <v:shape id="_x0000_s1026" o:spid="_x0000_s1026" o:spt="3" type="#_x0000_t3" style="position:absolute;left:10740;top:420108;height:150;width:150;v-text-anchor:middle;" fillcolor="#4472C4 [3204]" filled="t" stroked="t" coordsize="21600,21600" o:gfxdata="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0Hgu8AAAA&#10;2wAAAA8AAAAAAAAAAQAgAAAAIgAAAGRycy9kb3ducmV2LnhtbFBLAQIUABQAAAAIAIdO4kAzLwWe&#10;OwAAADkAAAAQAAAAAAAAAAEAIAAAAAsBAABkcnMvc2hhcGV4bWwueG1sUEsFBgAAAAAGAAYAWwEA&#10;ALUDAAAAAA==&#10;">
                  <v:fill on="t" focussize="0,0"/>
                  <v:stroke weight="1pt" color="#2F528F [3204]" miterlimit="8" joinstyle="miter"/>
                  <v:imagedata o:title=""/>
                  <o:lock v:ext="edit" aspectratio="f"/>
                </v:shape>
                <v:shape id="_x0000_s1026" o:spid="_x0000_s1026" o:spt="202" type="#_x0000_t202" style="position:absolute;left:11446;top:419928;height:433;width:1978;" fillcolor="#FFFFFF [3201]" filled="t" stroked="f" coordsize="21600,21600" o:gfxdata="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8+8NW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rFonts w:hint="default" w:eastAsia="等线"/>
                            <w:sz w:val="18"/>
                            <w:szCs w:val="20"/>
                            <w:lang w:val="en-US" w:eastAsia="zh-CN"/>
                          </w:rPr>
                        </w:pPr>
                        <w:r>
                          <w:rPr>
                            <w:rFonts w:hint="eastAsia"/>
                            <w:sz w:val="18"/>
                            <w:szCs w:val="20"/>
                            <w:lang w:val="en-US" w:eastAsia="zh-CN"/>
                          </w:rPr>
                          <w:t xml:space="preserve">(a)沿中线布置勘探点 </w:t>
                        </w:r>
                      </w:p>
                    </w:txbxContent>
                  </v:textbox>
                </v:shape>
              </v:group>
            </w:pict>
          </mc:Fallback>
        </mc:AlternateContent>
      </w:r>
      <w:r>
        <w:rPr>
          <w:rFonts w:ascii="Times New Roman" w:hAnsi="Times New Roman" w:eastAsia="宋体"/>
          <w:b/>
          <w:bCs/>
          <w:color w:val="auto"/>
          <w:highlight w:val="none"/>
        </w:rPr>
        <w:t>5.1.</w:t>
      </w:r>
      <w:r>
        <w:rPr>
          <w:rFonts w:hint="eastAsia" w:ascii="Times New Roman" w:hAnsi="Times New Roman" w:eastAsia="宋体"/>
          <w:b/>
          <w:bCs/>
          <w:color w:val="auto"/>
          <w:highlight w:val="none"/>
          <w:lang w:val="en-US" w:eastAsia="zh-CN"/>
        </w:rPr>
        <w:t>3</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ascii="Times New Roman" w:hAnsi="Times New Roman" w:eastAsia="宋体"/>
          <w:color w:val="auto"/>
          <w:highlight w:val="none"/>
        </w:rPr>
        <w:t>道路勘探点布置</w:t>
      </w:r>
      <w:r>
        <w:rPr>
          <w:rFonts w:hint="eastAsia"/>
          <w:color w:val="auto"/>
          <w:highlight w:val="none"/>
          <w:lang w:val="en-US" w:eastAsia="zh-CN"/>
        </w:rPr>
        <w:t>需</w:t>
      </w:r>
      <w:r>
        <w:rPr>
          <w:rFonts w:hint="eastAsia" w:ascii="Times New Roman" w:hAnsi="Times New Roman" w:eastAsia="宋体"/>
          <w:color w:val="auto"/>
          <w:highlight w:val="none"/>
          <w:lang w:val="en-US" w:eastAsia="zh-CN"/>
        </w:rPr>
        <w:t>同时</w:t>
      </w:r>
      <w:r>
        <w:rPr>
          <w:rFonts w:ascii="Times New Roman" w:hAnsi="Times New Roman" w:eastAsia="宋体"/>
          <w:color w:val="auto"/>
          <w:highlight w:val="none"/>
        </w:rPr>
        <w:t>考虑地层沿道路纵向及横向的变化，</w:t>
      </w:r>
      <w:r>
        <w:rPr>
          <w:rFonts w:hint="eastAsia" w:ascii="Times New Roman" w:hAnsi="Times New Roman" w:eastAsia="宋体"/>
          <w:color w:val="auto"/>
          <w:highlight w:val="none"/>
          <w:lang w:val="en-US" w:eastAsia="zh-CN"/>
        </w:rPr>
        <w:t>并</w:t>
      </w:r>
      <w:r>
        <w:rPr>
          <w:rFonts w:ascii="Times New Roman" w:hAnsi="Times New Roman" w:eastAsia="宋体"/>
          <w:color w:val="auto"/>
          <w:highlight w:val="none"/>
        </w:rPr>
        <w:t>兼顾每个勘探点所有效代表的道路面积。因此，对较窄（宽度小于20m）的道路，沿道路中线布置勘探点</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如图5-1(a)）</w:t>
      </w:r>
      <w:r>
        <w:rPr>
          <w:rFonts w:ascii="Times New Roman" w:hAnsi="Times New Roman" w:eastAsia="宋体"/>
          <w:color w:val="auto"/>
          <w:highlight w:val="none"/>
        </w:rPr>
        <w:t>较合理</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也可</w:t>
      </w:r>
      <w:r>
        <w:rPr>
          <w:rFonts w:ascii="Times New Roman" w:hAnsi="Times New Roman" w:eastAsia="宋体"/>
          <w:color w:val="auto"/>
          <w:highlight w:val="none"/>
        </w:rPr>
        <w:t>呈左右交错</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之</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字形</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布置</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如图5-1(b)）</w:t>
      </w:r>
      <w:r>
        <w:rPr>
          <w:rFonts w:ascii="Times New Roman" w:hAnsi="Times New Roman" w:eastAsia="宋体"/>
          <w:color w:val="auto"/>
          <w:highlight w:val="none"/>
        </w:rPr>
        <w:t>；对较宽（宽度20~</w:t>
      </w:r>
      <w:r>
        <w:rPr>
          <w:rFonts w:hint="eastAsia"/>
          <w:color w:val="auto"/>
          <w:highlight w:val="none"/>
          <w:lang w:val="en-US" w:eastAsia="zh-CN"/>
        </w:rPr>
        <w:t xml:space="preserve"> </w:t>
      </w:r>
      <w:r>
        <w:rPr>
          <w:rFonts w:ascii="Times New Roman" w:hAnsi="Times New Roman" w:eastAsia="宋体"/>
          <w:color w:val="auto"/>
          <w:highlight w:val="none"/>
        </w:rPr>
        <w:t>50m）的道路，则宜呈左右交错布置；而对宽度很大（宽度大于50m）的道路，鉴于单个勘探点横向代表性不足，故宜</w:t>
      </w:r>
      <w:r>
        <w:rPr>
          <w:rFonts w:hint="eastAsia" w:ascii="Times New Roman" w:hAnsi="Times New Roman" w:eastAsia="宋体"/>
          <w:color w:val="auto"/>
          <w:highlight w:val="none"/>
          <w:lang w:val="en-US" w:eastAsia="zh-CN"/>
        </w:rPr>
        <w:t>分左右幅分别布置，一般可呈梅花型</w:t>
      </w:r>
      <w:r>
        <w:rPr>
          <w:rFonts w:ascii="Times New Roman" w:hAnsi="Times New Roman" w:eastAsia="宋体"/>
          <w:color w:val="auto"/>
          <w:highlight w:val="none"/>
        </w:rPr>
        <w:t>布置勘探</w:t>
      </w:r>
      <w:r>
        <w:rPr>
          <w:rFonts w:hint="eastAsia" w:ascii="Times New Roman" w:hAnsi="Times New Roman" w:eastAsia="宋体"/>
          <w:color w:val="auto"/>
          <w:highlight w:val="none"/>
          <w:lang w:val="en-US" w:eastAsia="zh-CN"/>
        </w:rPr>
        <w:t>点，</w:t>
      </w:r>
      <w:r>
        <w:rPr>
          <w:rFonts w:ascii="Times New Roman" w:hAnsi="Times New Roman" w:eastAsia="宋体"/>
          <w:color w:val="auto"/>
          <w:highlight w:val="none"/>
        </w:rPr>
        <w:t>分左右幅道路</w:t>
      </w:r>
      <w:r>
        <w:rPr>
          <w:rFonts w:hint="eastAsia" w:ascii="Times New Roman" w:hAnsi="Times New Roman" w:eastAsia="宋体"/>
          <w:color w:val="auto"/>
          <w:highlight w:val="none"/>
          <w:lang w:val="en-US" w:eastAsia="zh-CN"/>
        </w:rPr>
        <w:t>分别做纵勘探线</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如图5-1(c)）；拓宽车道布置可参考图5-1(d)沿中线布置</w:t>
      </w:r>
      <w:r>
        <w:rPr>
          <w:rFonts w:ascii="Times New Roman" w:hAnsi="Times New Roman" w:eastAsia="宋体"/>
          <w:color w:val="auto"/>
          <w:highlight w:val="none"/>
        </w:rPr>
        <w:t>勘探</w:t>
      </w:r>
      <w:r>
        <w:rPr>
          <w:rFonts w:hint="eastAsia" w:ascii="Times New Roman" w:hAnsi="Times New Roman" w:eastAsia="宋体"/>
          <w:color w:val="auto"/>
          <w:highlight w:val="none"/>
          <w:lang w:val="en-US" w:eastAsia="zh-CN"/>
        </w:rPr>
        <w:t>点</w:t>
      </w:r>
      <w:r>
        <w:rPr>
          <w:rFonts w:ascii="Times New Roman" w:hAnsi="Times New Roman" w:eastAsia="宋体"/>
          <w:color w:val="auto"/>
          <w:highlight w:val="none"/>
        </w:rPr>
        <w:t>。</w:t>
      </w:r>
    </w:p>
    <w:p>
      <w:pPr>
        <w:spacing w:line="360" w:lineRule="auto"/>
        <w:rPr>
          <w:rFonts w:ascii="Times New Roman" w:hAnsi="Times New Roman" w:eastAsia="宋体"/>
          <w:color w:val="auto"/>
          <w:highlight w:val="none"/>
        </w:rPr>
      </w:pPr>
      <w:r>
        <w:rPr>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-105410</wp:posOffset>
                </wp:positionH>
                <wp:positionV relativeFrom="paragraph">
                  <wp:posOffset>173990</wp:posOffset>
                </wp:positionV>
                <wp:extent cx="456565" cy="274955"/>
                <wp:effectExtent l="0" t="0" r="635" b="10795"/>
                <wp:wrapNone/>
                <wp:docPr id="33" name="文本框 33"/>
                <wp:cNvGraphicFramePr/>
                <a:graphic xmlns:a="http://schemas.openxmlformats.org/drawingml/2006/main">
                  <a:graphicData uri="http://schemas.microsoft.com/office/word/2010/wordprocessingShape">
                    <wps:wsp>
                      <wps:cNvSpPr txBox="1"/>
                      <wps:spPr>
                        <a:xfrm>
                          <a:off x="0" y="0"/>
                          <a:ext cx="456565" cy="2749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sz w:val="18"/>
                                <w:szCs w:val="20"/>
                                <w:lang w:val="en-US" w:eastAsia="zh-CN"/>
                              </w:rPr>
                            </w:pPr>
                            <w:r>
                              <w:rPr>
                                <w:rFonts w:hint="eastAsia"/>
                                <w:sz w:val="18"/>
                                <w:szCs w:val="20"/>
                                <w:lang w:val="en-US" w:eastAsia="zh-CN"/>
                              </w:rPr>
                              <w:t xml:space="preserve">中线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pt;margin-top:13.7pt;height:21.65pt;width:35.95pt;z-index:251665408;mso-width-relative:page;mso-height-relative:page;" fillcolor="#FFFFFF [3201]" filled="t" stroked="f" coordsize="21600,21600" o:gfxdata="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PsqxdUAAAAIAQAADwAAAAAA&#10;AAABACAAAAAiAAAAZHJzL2Rvd25yZXYueG1sUEsBAhQAFAAAAAgAh07iQJiSc1NPAgAAkAQAAA4A&#10;AAAAAAAAAQAgAAAAJAEAAGRycy9lMm9Eb2MueG1sUEsFBgAAAAAGAAYAWQEAAOUFAAAAAA==&#10;">
                <v:fill on="t" focussize="0,0"/>
                <v:stroke on="f" weight="0.5pt"/>
                <v:imagedata o:title=""/>
                <o:lock v:ext="edit" aspectratio="f"/>
                <v:textbox>
                  <w:txbxContent>
                    <w:p>
                      <w:pPr>
                        <w:rPr>
                          <w:rFonts w:hint="default" w:eastAsia="等线"/>
                          <w:sz w:val="18"/>
                          <w:szCs w:val="20"/>
                          <w:lang w:val="en-US" w:eastAsia="zh-CN"/>
                        </w:rPr>
                      </w:pPr>
                      <w:r>
                        <w:rPr>
                          <w:rFonts w:hint="eastAsia"/>
                          <w:sz w:val="18"/>
                          <w:szCs w:val="20"/>
                          <w:lang w:val="en-US" w:eastAsia="zh-CN"/>
                        </w:rPr>
                        <w:t xml:space="preserve">中线 </w:t>
                      </w:r>
                    </w:p>
                  </w:txbxContent>
                </v:textbox>
              </v:shape>
            </w:pict>
          </mc:Fallback>
        </mc:AlternateContent>
      </w:r>
      <w:r>
        <w:rPr>
          <w:color w:val="auto"/>
          <w:sz w:val="21"/>
          <w:highlight w:val="none"/>
        </w:rPr>
        <mc:AlternateContent>
          <mc:Choice Requires="wps">
            <w:drawing>
              <wp:anchor distT="0" distB="0" distL="114300" distR="114300" simplePos="0" relativeHeight="251678720" behindDoc="0" locked="0" layoutInCell="1" allowOverlap="1">
                <wp:simplePos x="0" y="0"/>
                <wp:positionH relativeFrom="column">
                  <wp:posOffset>1348105</wp:posOffset>
                </wp:positionH>
                <wp:positionV relativeFrom="paragraph">
                  <wp:posOffset>288290</wp:posOffset>
                </wp:positionV>
                <wp:extent cx="95250" cy="95250"/>
                <wp:effectExtent l="6350" t="6350" r="12700" b="12700"/>
                <wp:wrapNone/>
                <wp:docPr id="50" name="椭圆 24"/>
                <wp:cNvGraphicFramePr/>
                <a:graphic xmlns:a="http://schemas.openxmlformats.org/drawingml/2006/main">
                  <a:graphicData uri="http://schemas.microsoft.com/office/word/2010/wordprocessingShape">
                    <wps:wsp>
                      <wps:cNvSpPr/>
                      <wps:spPr>
                        <a:xfrm>
                          <a:off x="0" y="0"/>
                          <a:ext cx="9525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24" o:spid="_x0000_s1026" o:spt="3" type="#_x0000_t3" style="position:absolute;left:0pt;margin-left:106.15pt;margin-top:22.7pt;height:7.5pt;width:7.5pt;z-index:251678720;v-text-anchor:middle;mso-width-relative:page;mso-height-relative:page;" fillcolor="#4472C4 [3204]" filled="t" stroked="t" coordsize="21600,21600" o:gfxdata="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znpkC9YAAAAJAQAADwAAAAAAAAABACAA&#10;AAAiAAAAZHJzL2Rvd25yZXYueG1sUEsBAhQAFAAAAAgAh07iQJX0M0GBAgAAFwUAAA4AAAAAAAAA&#10;AQAgAAAAJQEAAGRycy9lMm9Eb2MueG1sUEsFBgAAAAAGAAYAWQEAABgGAAAAAA==&#10;">
                <v:fill on="t" focussize="0,0"/>
                <v:stroke weight="1pt" color="#2F528F [3204]" miterlimit="8" joinstyle="miter"/>
                <v:imagedata o:title=""/>
                <o:lock v:ext="edit" aspectratio="f"/>
              </v:shape>
            </w:pict>
          </mc:Fallback>
        </mc:AlternateContent>
      </w:r>
      <w:r>
        <w:rPr>
          <w:color w:val="auto"/>
          <w:sz w:val="21"/>
          <w:highlight w:val="none"/>
        </w:rPr>
        <mc:AlternateContent>
          <mc:Choice Requires="wps">
            <w:drawing>
              <wp:anchor distT="0" distB="0" distL="114300" distR="114300" simplePos="0" relativeHeight="251679744" behindDoc="0" locked="0" layoutInCell="1" allowOverlap="1">
                <wp:simplePos x="0" y="0"/>
                <wp:positionH relativeFrom="column">
                  <wp:posOffset>2843530</wp:posOffset>
                </wp:positionH>
                <wp:positionV relativeFrom="paragraph">
                  <wp:posOffset>288290</wp:posOffset>
                </wp:positionV>
                <wp:extent cx="95250" cy="95250"/>
                <wp:effectExtent l="6350" t="6350" r="12700" b="12700"/>
                <wp:wrapNone/>
                <wp:docPr id="49" name="椭圆 26"/>
                <wp:cNvGraphicFramePr/>
                <a:graphic xmlns:a="http://schemas.openxmlformats.org/drawingml/2006/main">
                  <a:graphicData uri="http://schemas.microsoft.com/office/word/2010/wordprocessingShape">
                    <wps:wsp>
                      <wps:cNvSpPr/>
                      <wps:spPr>
                        <a:xfrm>
                          <a:off x="0" y="0"/>
                          <a:ext cx="9525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26" o:spid="_x0000_s1026" o:spt="3" type="#_x0000_t3" style="position:absolute;left:0pt;margin-left:223.9pt;margin-top:22.7pt;height:7.5pt;width:7.5pt;z-index:251679744;v-text-anchor:middle;mso-width-relative:page;mso-height-relative:page;" fillcolor="#4472C4 [3204]" filled="t" stroked="t" coordsize="21600,21600" o:gfxdata="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MZg0ODWAAAACQEAAA8AAAAAAAAAAQAg&#10;AAAAIgAAAGRycy9kb3ducmV2LnhtbFBLAQIUABQAAAAIAIdO4kCFcAgoggIAABcFAAAOAAAAAAAA&#10;AAEAIAAAACUBAABkcnMvZTJvRG9jLnhtbFBLBQYAAAAABgAGAFkBAAAZBgAAAAA=&#10;">
                <v:fill on="t" focussize="0,0"/>
                <v:stroke weight="1pt" color="#2F528F [3204]" miterlimit="8" joinstyle="miter"/>
                <v:imagedata o:title=""/>
                <o:lock v:ext="edit" aspectratio="f"/>
              </v:shape>
            </w:pict>
          </mc:Fallback>
        </mc:AlternateContent>
      </w:r>
    </w:p>
    <w:p>
      <w:pPr>
        <w:spacing w:line="360" w:lineRule="auto"/>
        <w:rPr>
          <w:rFonts w:ascii="Times New Roman" w:hAnsi="Times New Roman" w:eastAsia="宋体"/>
          <w:color w:val="auto"/>
          <w:highlight w:val="none"/>
        </w:rPr>
      </w:pPr>
    </w:p>
    <w:p>
      <w:pPr>
        <w:spacing w:line="360" w:lineRule="auto"/>
        <w:rPr>
          <w:rFonts w:ascii="Times New Roman" w:hAnsi="Times New Roman" w:eastAsia="宋体"/>
          <w:color w:val="auto"/>
          <w:highlight w:val="none"/>
        </w:rPr>
      </w:pPr>
      <w:r>
        <w:rPr>
          <w:color w:val="auto"/>
          <w:sz w:val="21"/>
          <w:highlight w:val="none"/>
        </w:rPr>
        <mc:AlternateContent>
          <mc:Choice Requires="wps">
            <w:drawing>
              <wp:anchor distT="0" distB="0" distL="114300" distR="114300" simplePos="0" relativeHeight="251667456" behindDoc="0" locked="0" layoutInCell="1" allowOverlap="1">
                <wp:simplePos x="0" y="0"/>
                <wp:positionH relativeFrom="column">
                  <wp:posOffset>-83185</wp:posOffset>
                </wp:positionH>
                <wp:positionV relativeFrom="paragraph">
                  <wp:posOffset>122555</wp:posOffset>
                </wp:positionV>
                <wp:extent cx="456565" cy="274955"/>
                <wp:effectExtent l="0" t="0" r="635" b="10795"/>
                <wp:wrapNone/>
                <wp:docPr id="37" name="文本框 30"/>
                <wp:cNvGraphicFramePr/>
                <a:graphic xmlns:a="http://schemas.openxmlformats.org/drawingml/2006/main">
                  <a:graphicData uri="http://schemas.microsoft.com/office/word/2010/wordprocessingShape">
                    <wps:wsp>
                      <wps:cNvSpPr txBox="1"/>
                      <wps:spPr>
                        <a:xfrm>
                          <a:off x="1072515" y="6093460"/>
                          <a:ext cx="456565" cy="2749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sz w:val="18"/>
                                <w:szCs w:val="20"/>
                                <w:lang w:val="en-US" w:eastAsia="zh-CN"/>
                              </w:rPr>
                            </w:pPr>
                            <w:r>
                              <w:rPr>
                                <w:rFonts w:hint="eastAsia"/>
                                <w:sz w:val="18"/>
                                <w:szCs w:val="20"/>
                                <w:lang w:val="en-US" w:eastAsia="zh-CN"/>
                              </w:rPr>
                              <w:t xml:space="preserve">边线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6.55pt;margin-top:9.65pt;height:21.65pt;width:35.95pt;z-index:251667456;mso-width-relative:page;mso-height-relative:page;" fillcolor="#FFFFFF [3201]" filled="t" stroked="f" coordsize="21600,21600" o:gfxdata="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Bn81Q1AAA&#10;AAgBAAAPAAAAAAAAAAEAIAAAACIAAABkcnMvZG93bnJldi54bWxQSwECFAAUAAAACACHTuJAJW2x&#10;61sCAACcBAAADgAAAAAAAAABACAAAAAjAQAAZHJzL2Uyb0RvYy54bWxQSwUGAAAAAAYABgBZAQAA&#10;8AUAAAAA&#10;">
                <v:fill on="t" focussize="0,0"/>
                <v:stroke on="f" weight="0.5pt"/>
                <v:imagedata o:title=""/>
                <o:lock v:ext="edit" aspectratio="f"/>
                <v:textbox>
                  <w:txbxContent>
                    <w:p>
                      <w:pPr>
                        <w:rPr>
                          <w:rFonts w:hint="default" w:eastAsia="等线"/>
                          <w:sz w:val="18"/>
                          <w:szCs w:val="20"/>
                          <w:lang w:val="en-US" w:eastAsia="zh-CN"/>
                        </w:rPr>
                      </w:pPr>
                      <w:r>
                        <w:rPr>
                          <w:rFonts w:hint="eastAsia"/>
                          <w:sz w:val="18"/>
                          <w:szCs w:val="20"/>
                          <w:lang w:val="en-US" w:eastAsia="zh-CN"/>
                        </w:rPr>
                        <w:t xml:space="preserve">边线 </w:t>
                      </w:r>
                    </w:p>
                  </w:txbxContent>
                </v:textbox>
              </v:shape>
            </w:pict>
          </mc:Fallback>
        </mc:AlternateContent>
      </w:r>
      <w:r>
        <w:rPr>
          <w:color w:val="auto"/>
          <w:sz w:val="21"/>
          <w:highlight w:val="none"/>
        </w:rPr>
        <mc:AlternateContent>
          <mc:Choice Requires="wps">
            <w:drawing>
              <wp:anchor distT="0" distB="0" distL="114300" distR="114300" simplePos="0" relativeHeight="251675648" behindDoc="0" locked="0" layoutInCell="1" allowOverlap="1">
                <wp:simplePos x="0" y="0"/>
                <wp:positionH relativeFrom="column">
                  <wp:posOffset>4044315</wp:posOffset>
                </wp:positionH>
                <wp:positionV relativeFrom="paragraph">
                  <wp:posOffset>227965</wp:posOffset>
                </wp:positionV>
                <wp:extent cx="1142365" cy="502285"/>
                <wp:effectExtent l="0" t="0" r="635" b="12065"/>
                <wp:wrapNone/>
                <wp:docPr id="45" name="文本框 34"/>
                <wp:cNvGraphicFramePr/>
                <a:graphic xmlns:a="http://schemas.openxmlformats.org/drawingml/2006/main">
                  <a:graphicData uri="http://schemas.microsoft.com/office/word/2010/wordprocessingShape">
                    <wps:wsp>
                      <wps:cNvSpPr txBox="1"/>
                      <wps:spPr>
                        <a:xfrm>
                          <a:off x="5187315" y="6293485"/>
                          <a:ext cx="1142365" cy="5022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sz w:val="18"/>
                                <w:szCs w:val="20"/>
                                <w:lang w:val="en-US" w:eastAsia="zh-CN"/>
                              </w:rPr>
                            </w:pPr>
                            <w:r>
                              <w:rPr>
                                <w:rFonts w:hint="eastAsia"/>
                                <w:sz w:val="18"/>
                                <w:szCs w:val="20"/>
                                <w:lang w:val="en-US" w:eastAsia="zh-CN"/>
                              </w:rPr>
                              <w:t xml:space="preserve">(b)左右交错呈“之”字形布置勘探点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26" o:spt="202" type="#_x0000_t202" style="position:absolute;left:0pt;margin-left:318.45pt;margin-top:17.95pt;height:39.55pt;width:89.95pt;z-index:251675648;mso-width-relative:page;mso-height-relative:page;" fillcolor="#FFFFFF [3201]" filled="t" stroked="f" coordsize="21600,21600" o:gfxdata="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08qs&#10;IdUAAAAKAQAADwAAAAAAAAABACAAAAAiAAAAZHJzL2Rvd25yZXYueG1sUEsBAhQAFAAAAAgAh07i&#10;QAUsWENeAgAAnQQAAA4AAAAAAAAAAQAgAAAAJAEAAGRycy9lMm9Eb2MueG1sUEsFBgAAAAAGAAYA&#10;WQEAAPQFAAAAAA==&#10;">
                <v:fill on="t" focussize="0,0"/>
                <v:stroke on="f" weight="0.5pt"/>
                <v:imagedata o:title=""/>
                <o:lock v:ext="edit" aspectratio="f"/>
                <v:textbox>
                  <w:txbxContent>
                    <w:p>
                      <w:pPr>
                        <w:rPr>
                          <w:rFonts w:hint="default" w:eastAsia="等线"/>
                          <w:sz w:val="18"/>
                          <w:szCs w:val="20"/>
                          <w:lang w:val="en-US" w:eastAsia="zh-CN"/>
                        </w:rPr>
                      </w:pPr>
                      <w:r>
                        <w:rPr>
                          <w:rFonts w:hint="eastAsia"/>
                          <w:sz w:val="18"/>
                          <w:szCs w:val="20"/>
                          <w:lang w:val="en-US" w:eastAsia="zh-CN"/>
                        </w:rPr>
                        <w:t xml:space="preserve">(b)左右交错呈“之”字形布置勘探点 </w:t>
                      </w:r>
                    </w:p>
                  </w:txbxContent>
                </v:textbox>
              </v:shape>
            </w:pict>
          </mc:Fallback>
        </mc:AlternateContent>
      </w:r>
      <w:r>
        <w:rPr>
          <w:color w:val="auto"/>
          <w:sz w:val="21"/>
          <w:highlight w:val="none"/>
        </w:rPr>
        <mc:AlternateContent>
          <mc:Choice Requires="wps">
            <w:drawing>
              <wp:anchor distT="0" distB="0" distL="114300" distR="114300" simplePos="0" relativeHeight="251673600" behindDoc="0" locked="0" layoutInCell="1" allowOverlap="1">
                <wp:simplePos x="0" y="0"/>
                <wp:positionH relativeFrom="column">
                  <wp:posOffset>2100580</wp:posOffset>
                </wp:positionH>
                <wp:positionV relativeFrom="paragraph">
                  <wp:posOffset>179705</wp:posOffset>
                </wp:positionV>
                <wp:extent cx="95250" cy="95250"/>
                <wp:effectExtent l="6350" t="6350" r="12700" b="12700"/>
                <wp:wrapNone/>
                <wp:docPr id="43" name="椭圆 24"/>
                <wp:cNvGraphicFramePr/>
                <a:graphic xmlns:a="http://schemas.openxmlformats.org/drawingml/2006/main">
                  <a:graphicData uri="http://schemas.microsoft.com/office/word/2010/wordprocessingShape">
                    <wps:wsp>
                      <wps:cNvSpPr/>
                      <wps:spPr>
                        <a:xfrm>
                          <a:off x="3243580" y="6407785"/>
                          <a:ext cx="9525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24" o:spid="_x0000_s1026" o:spt="3" type="#_x0000_t3" style="position:absolute;left:0pt;margin-left:165.4pt;margin-top:14.15pt;height:7.5pt;width:7.5pt;z-index:251673600;v-text-anchor:middle;mso-width-relative:page;mso-height-relative:page;" fillcolor="#4472C4 [3204]" filled="t" stroked="t" coordsize="21600,21600" o:gfxdata="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Sn&#10;0d7WAAAACQEAAA8AAAAAAAAAAQAgAAAAIgAAAGRycy9kb3ducmV2LnhtbFBLAQIUABQAAAAIAIdO&#10;4kAD4eL1lwIAAC4FAAAOAAAAAAAAAAEAIAAAACUBAABkcnMvZTJvRG9jLnhtbFBLBQYAAAAABgAG&#10;AFkBAAAuBgAAAAA=&#10;">
                <v:fill on="t" focussize="0,0"/>
                <v:stroke weight="1pt" color="#2F528F [3204]" miterlimit="8" joinstyle="miter"/>
                <v:imagedata o:title=""/>
                <o:lock v:ext="edit" aspectratio="f"/>
                <v:textbox>
                  <w:txbxContent>
                    <w:p>
                      <w:pPr>
                        <w:jc w:val="center"/>
                      </w:pPr>
                    </w:p>
                  </w:txbxContent>
                </v:textbox>
              </v:shape>
            </w:pict>
          </mc:Fallback>
        </mc:AlternateContent>
      </w:r>
      <w:r>
        <w:rPr>
          <w:color w:val="auto"/>
          <w:sz w:val="21"/>
          <w:highlight w:val="none"/>
        </w:rPr>
        <mc:AlternateContent>
          <mc:Choice Requires="wps">
            <w:drawing>
              <wp:anchor distT="0" distB="0" distL="114300" distR="114300" simplePos="0" relativeHeight="251672576" behindDoc="0" locked="0" layoutInCell="1" allowOverlap="1">
                <wp:simplePos x="0" y="0"/>
                <wp:positionH relativeFrom="column">
                  <wp:posOffset>595630</wp:posOffset>
                </wp:positionH>
                <wp:positionV relativeFrom="paragraph">
                  <wp:posOffset>179705</wp:posOffset>
                </wp:positionV>
                <wp:extent cx="95250" cy="95250"/>
                <wp:effectExtent l="6350" t="6350" r="12700" b="12700"/>
                <wp:wrapNone/>
                <wp:docPr id="42" name="椭圆 23"/>
                <wp:cNvGraphicFramePr/>
                <a:graphic xmlns:a="http://schemas.openxmlformats.org/drawingml/2006/main">
                  <a:graphicData uri="http://schemas.microsoft.com/office/word/2010/wordprocessingShape">
                    <wps:wsp>
                      <wps:cNvSpPr/>
                      <wps:spPr>
                        <a:xfrm>
                          <a:off x="1738630" y="6407785"/>
                          <a:ext cx="9525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23" o:spid="_x0000_s1026" o:spt="3" type="#_x0000_t3" style="position:absolute;left:0pt;margin-left:46.9pt;margin-top:14.15pt;height:7.5pt;width:7.5pt;z-index:251672576;v-text-anchor:middle;mso-width-relative:page;mso-height-relative:page;" fillcolor="#4472C4 [3204]" filled="t" stroked="t" coordsize="21600,21600" o:gfxdata="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7oH49NUA&#10;AAAIAQAADwAAAAAAAAABACAAAAAiAAAAZHJzL2Rvd25yZXYueG1sUEsBAhQAFAAAAAgAh07iQN3I&#10;gwGUAgAALgUAAA4AAAAAAAAAAQAgAAAAJAEAAGRycy9lMm9Eb2MueG1sUEsFBgAAAAAGAAYAWQEA&#10;ACoGAAAAAA==&#10;">
                <v:fill on="t" focussize="0,0"/>
                <v:stroke weight="1pt" color="#2F528F [3204]" miterlimit="8" joinstyle="miter"/>
                <v:imagedata o:title=""/>
                <o:lock v:ext="edit" aspectratio="f"/>
                <v:textbox>
                  <w:txbxContent>
                    <w:p>
                      <w:pPr>
                        <w:jc w:val="center"/>
                      </w:pPr>
                    </w:p>
                  </w:txbxContent>
                </v:textbox>
              </v:shape>
            </w:pict>
          </mc:Fallback>
        </mc:AlternateContent>
      </w:r>
      <w:r>
        <w:rPr>
          <w:color w:val="auto"/>
          <w:sz w:val="21"/>
          <w:highlight w:val="none"/>
        </w:rPr>
        <mc:AlternateContent>
          <mc:Choice Requires="wps">
            <w:drawing>
              <wp:anchor distT="0" distB="0" distL="114300" distR="114300" simplePos="0" relativeHeight="251674624" behindDoc="0" locked="0" layoutInCell="1" allowOverlap="1">
                <wp:simplePos x="0" y="0"/>
                <wp:positionH relativeFrom="column">
                  <wp:posOffset>3596005</wp:posOffset>
                </wp:positionH>
                <wp:positionV relativeFrom="paragraph">
                  <wp:posOffset>179705</wp:posOffset>
                </wp:positionV>
                <wp:extent cx="95250" cy="95250"/>
                <wp:effectExtent l="6350" t="6350" r="12700" b="12700"/>
                <wp:wrapNone/>
                <wp:docPr id="44" name="椭圆 26"/>
                <wp:cNvGraphicFramePr/>
                <a:graphic xmlns:a="http://schemas.openxmlformats.org/drawingml/2006/main">
                  <a:graphicData uri="http://schemas.microsoft.com/office/word/2010/wordprocessingShape">
                    <wps:wsp>
                      <wps:cNvSpPr/>
                      <wps:spPr>
                        <a:xfrm>
                          <a:off x="4739005" y="6407785"/>
                          <a:ext cx="9525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26" o:spid="_x0000_s1026" o:spt="3" type="#_x0000_t3" style="position:absolute;left:0pt;margin-left:283.15pt;margin-top:14.15pt;height:7.5pt;width:7.5pt;z-index:251674624;v-text-anchor:middle;mso-width-relative:page;mso-height-relative:page;" fillcolor="#4472C4 [3204]" filled="t" stroked="t" coordsize="21600,21600" o:gfxdata="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m+8el&#10;1QAAAAkBAAAPAAAAAAAAAAEAIAAAACIAAABkcnMvZG93bnJldi54bWxQSwECFAAUAAAACACHTuJA&#10;AxPQwpYCAAAuBQAADgAAAAAAAAABACAAAAAkAQAAZHJzL2Uyb0RvYy54bWxQSwUGAAAAAAYABgBZ&#10;AQAALAYAAAAA&#10;">
                <v:fill on="t" focussize="0,0"/>
                <v:stroke weight="1pt" color="#2F528F [3204]" miterlimit="8" joinstyle="miter"/>
                <v:imagedata o:title=""/>
                <o:lock v:ext="edit" aspectratio="f"/>
                <v:textbox>
                  <w:txbxContent>
                    <w:p>
                      <w:pPr>
                        <w:jc w:val="center"/>
                      </w:pPr>
                    </w:p>
                  </w:txbxContent>
                </v:textbox>
              </v:shape>
            </w:pict>
          </mc:Fallback>
        </mc:AlternateContent>
      </w:r>
      <w:r>
        <w:rPr>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337820</wp:posOffset>
                </wp:positionH>
                <wp:positionV relativeFrom="paragraph">
                  <wp:posOffset>274955</wp:posOffset>
                </wp:positionV>
                <wp:extent cx="3725545" cy="3810"/>
                <wp:effectExtent l="0" t="0" r="0" b="0"/>
                <wp:wrapNone/>
                <wp:docPr id="38" name="直接连接符 17"/>
                <wp:cNvGraphicFramePr/>
                <a:graphic xmlns:a="http://schemas.openxmlformats.org/drawingml/2006/main">
                  <a:graphicData uri="http://schemas.microsoft.com/office/word/2010/wordprocessingShape">
                    <wps:wsp>
                      <wps:cNvCnPr/>
                      <wps:spPr>
                        <a:xfrm flipV="1">
                          <a:off x="1480820" y="6245860"/>
                          <a:ext cx="3725545" cy="38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7" o:spid="_x0000_s1026" o:spt="20" style="position:absolute;left:0pt;flip:y;margin-left:26.6pt;margin-top:21.65pt;height:0.3pt;width:293.35pt;z-index:251668480;mso-width-relative:page;mso-height-relative:page;" filled="f" stroked="t" coordsize="21600,21600" o:gfxdata="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3vdDtcAAAAIAQAADwAAAAAAAAABACAAAAAiAAAAZHJzL2Rv&#10;d25yZXYueG1sUEsBAhQAFAAAAAgAh07iQII1dmQCAgAAzAMAAA4AAAAAAAAAAQAgAAAAJgEAAGRy&#10;cy9lMm9Eb2MueG1sUEsFBgAAAAAGAAYAWQEAAJoFAAAAAA==&#10;">
                <v:fill on="f" focussize="0,0"/>
                <v:stroke weight="0.5pt" color="#4472C4 [3204]" miterlimit="8" joinstyle="miter"/>
                <v:imagedata o:title=""/>
                <o:lock v:ext="edit" aspectratio="f"/>
              </v:line>
            </w:pict>
          </mc:Fallback>
        </mc:AlternateContent>
      </w:r>
    </w:p>
    <w:p>
      <w:pPr>
        <w:spacing w:line="360" w:lineRule="auto"/>
        <w:rPr>
          <w:rFonts w:ascii="Times New Roman" w:hAnsi="Times New Roman" w:eastAsia="宋体"/>
          <w:color w:val="auto"/>
          <w:highlight w:val="none"/>
        </w:rPr>
      </w:pPr>
      <w:r>
        <w:rPr>
          <w:color w:val="auto"/>
          <w:sz w:val="21"/>
          <w:highlight w:val="none"/>
        </w:rPr>
        <mc:AlternateContent>
          <mc:Choice Requires="wps">
            <w:drawing>
              <wp:anchor distT="0" distB="0" distL="114300" distR="114300" simplePos="0" relativeHeight="251671552" behindDoc="0" locked="0" layoutInCell="1" allowOverlap="1">
                <wp:simplePos x="0" y="0"/>
                <wp:positionH relativeFrom="column">
                  <wp:posOffset>-80010</wp:posOffset>
                </wp:positionH>
                <wp:positionV relativeFrom="paragraph">
                  <wp:posOffset>234950</wp:posOffset>
                </wp:positionV>
                <wp:extent cx="456565" cy="274955"/>
                <wp:effectExtent l="0" t="0" r="635" b="10795"/>
                <wp:wrapNone/>
                <wp:docPr id="41" name="文本框 31"/>
                <wp:cNvGraphicFramePr/>
                <a:graphic xmlns:a="http://schemas.openxmlformats.org/drawingml/2006/main">
                  <a:graphicData uri="http://schemas.microsoft.com/office/word/2010/wordprocessingShape">
                    <wps:wsp>
                      <wps:cNvSpPr txBox="1"/>
                      <wps:spPr>
                        <a:xfrm>
                          <a:off x="1043940" y="6503035"/>
                          <a:ext cx="456565" cy="2749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sz w:val="18"/>
                                <w:szCs w:val="20"/>
                                <w:lang w:val="en-US" w:eastAsia="zh-CN"/>
                              </w:rPr>
                            </w:pPr>
                            <w:r>
                              <w:rPr>
                                <w:rFonts w:hint="eastAsia"/>
                                <w:sz w:val="18"/>
                                <w:szCs w:val="20"/>
                                <w:lang w:val="en-US" w:eastAsia="zh-CN"/>
                              </w:rPr>
                              <w:t xml:space="preserve">边线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6.3pt;margin-top:18.5pt;height:21.65pt;width:35.95pt;z-index:251671552;mso-width-relative:page;mso-height-relative:page;" fillcolor="#FFFFFF [3201]" filled="t" stroked="f" coordsize="21600,21600" o:gfxdata="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XA5cvV&#10;AAAACAEAAA8AAAAAAAAAAQAgAAAAIgAAAGRycy9kb3ducmV2LnhtbFBLAQIUABQAAAAIAIdO4kAO&#10;zNlhXAIAAJwEAAAOAAAAAAAAAAEAIAAAACQBAABkcnMvZTJvRG9jLnhtbFBLBQYAAAAABgAGAFkB&#10;AADyBQAAAAA=&#10;">
                <v:fill on="t" focussize="0,0"/>
                <v:stroke on="f" weight="0.5pt"/>
                <v:imagedata o:title=""/>
                <o:lock v:ext="edit" aspectratio="f"/>
                <v:textbox>
                  <w:txbxContent>
                    <w:p>
                      <w:pPr>
                        <w:rPr>
                          <w:rFonts w:hint="default" w:eastAsia="等线"/>
                          <w:sz w:val="18"/>
                          <w:szCs w:val="20"/>
                          <w:lang w:val="en-US" w:eastAsia="zh-CN"/>
                        </w:rPr>
                      </w:pPr>
                      <w:r>
                        <w:rPr>
                          <w:rFonts w:hint="eastAsia"/>
                          <w:sz w:val="18"/>
                          <w:szCs w:val="20"/>
                          <w:lang w:val="en-US" w:eastAsia="zh-CN"/>
                        </w:rPr>
                        <w:t xml:space="preserve">边线 </w:t>
                      </w:r>
                    </w:p>
                  </w:txbxContent>
                </v:textbox>
              </v:shape>
            </w:pict>
          </mc:Fallback>
        </mc:AlternateContent>
      </w:r>
      <w:r>
        <w:rPr>
          <w:color w:val="auto"/>
          <w:sz w:val="21"/>
          <w:highlight w:val="none"/>
        </w:rPr>
        <mc:AlternateContent>
          <mc:Choice Requires="wps">
            <w:drawing>
              <wp:anchor distT="0" distB="0" distL="114300" distR="114300" simplePos="0" relativeHeight="251670528" behindDoc="0" locked="0" layoutInCell="1" allowOverlap="1">
                <wp:simplePos x="0" y="0"/>
                <wp:positionH relativeFrom="column">
                  <wp:posOffset>328295</wp:posOffset>
                </wp:positionH>
                <wp:positionV relativeFrom="paragraph">
                  <wp:posOffset>187325</wp:posOffset>
                </wp:positionV>
                <wp:extent cx="3725545" cy="3810"/>
                <wp:effectExtent l="0" t="0" r="0" b="0"/>
                <wp:wrapNone/>
                <wp:docPr id="40" name="直接连接符 25"/>
                <wp:cNvGraphicFramePr/>
                <a:graphic xmlns:a="http://schemas.openxmlformats.org/drawingml/2006/main">
                  <a:graphicData uri="http://schemas.microsoft.com/office/word/2010/wordprocessingShape">
                    <wps:wsp>
                      <wps:cNvCnPr/>
                      <wps:spPr>
                        <a:xfrm flipV="1">
                          <a:off x="1471295" y="6455410"/>
                          <a:ext cx="3725545" cy="3810"/>
                        </a:xfrm>
                        <a:prstGeom prst="line">
                          <a:avLst/>
                        </a:prstGeom>
                        <a:ln>
                          <a:prstDash val="lg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5" o:spid="_x0000_s1026" o:spt="20" style="position:absolute;left:0pt;flip:y;margin-left:25.85pt;margin-top:14.75pt;height:0.3pt;width:293.35pt;z-index:251670528;mso-width-relative:page;mso-height-relative:page;" filled="f" stroked="t" coordsize="21600,21600" o:gfxdata="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lYgbjXAAAACAEAAA8AAAAAAAAAAQAgAAAAIgAAAGRycy9k&#10;b3ducmV2LnhtbFBLAQIUABQAAAAIAIdO4kAA77cdAwIAANADAAAOAAAAAAAAAAEAIAAAACYBAABk&#10;cnMvZTJvRG9jLnhtbFBLBQYAAAAABgAGAFkBAACbBQAAAAA=&#10;">
                <v:fill on="f" focussize="0,0"/>
                <v:stroke weight="0.5pt" color="#4472C4 [3204]" miterlimit="8" joinstyle="miter" dashstyle="longDashDot"/>
                <v:imagedata o:title=""/>
                <o:lock v:ext="edit" aspectratio="f"/>
              </v:line>
            </w:pict>
          </mc:Fallback>
        </mc:AlternateContent>
      </w:r>
      <w:r>
        <w:rPr>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-80010</wp:posOffset>
                </wp:positionH>
                <wp:positionV relativeFrom="paragraph">
                  <wp:posOffset>34925</wp:posOffset>
                </wp:positionV>
                <wp:extent cx="456565" cy="274955"/>
                <wp:effectExtent l="0" t="0" r="635" b="10795"/>
                <wp:wrapNone/>
                <wp:docPr id="46" name="文本框 46"/>
                <wp:cNvGraphicFramePr/>
                <a:graphic xmlns:a="http://schemas.openxmlformats.org/drawingml/2006/main">
                  <a:graphicData uri="http://schemas.microsoft.com/office/word/2010/wordprocessingShape">
                    <wps:wsp>
                      <wps:cNvSpPr txBox="1"/>
                      <wps:spPr>
                        <a:xfrm>
                          <a:off x="0" y="0"/>
                          <a:ext cx="456565" cy="2749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sz w:val="18"/>
                                <w:szCs w:val="20"/>
                                <w:lang w:val="en-US" w:eastAsia="zh-CN"/>
                              </w:rPr>
                            </w:pPr>
                            <w:r>
                              <w:rPr>
                                <w:rFonts w:hint="eastAsia"/>
                                <w:sz w:val="18"/>
                                <w:szCs w:val="20"/>
                                <w:lang w:val="en-US" w:eastAsia="zh-CN"/>
                              </w:rPr>
                              <w:t xml:space="preserve">中线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pt;margin-top:2.75pt;height:21.65pt;width:35.95pt;z-index:251666432;mso-width-relative:page;mso-height-relative:page;" fillcolor="#FFFFFF [3201]" filled="t" stroked="f" coordsize="21600,21600" o:gfxdata="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H7ZAbTAAAABwEAAA8AAAAAAAAA&#10;AQAgAAAAIgAAAGRycy9kb3ducmV2LnhtbFBLAQIUABQAAAAIAIdO4kBQvnitTwIAAJAEAAAOAAAA&#10;AAAAAAEAIAAAACIBAABkcnMvZTJvRG9jLnhtbFBLBQYAAAAABgAGAFkBAADjBQAAAAA=&#10;">
                <v:fill on="t" focussize="0,0"/>
                <v:stroke on="f" weight="0.5pt"/>
                <v:imagedata o:title=""/>
                <o:lock v:ext="edit" aspectratio="f"/>
                <v:textbox>
                  <w:txbxContent>
                    <w:p>
                      <w:pPr>
                        <w:rPr>
                          <w:rFonts w:hint="default" w:eastAsia="等线"/>
                          <w:sz w:val="18"/>
                          <w:szCs w:val="20"/>
                          <w:lang w:val="en-US" w:eastAsia="zh-CN"/>
                        </w:rPr>
                      </w:pPr>
                      <w:r>
                        <w:rPr>
                          <w:rFonts w:hint="eastAsia"/>
                          <w:sz w:val="18"/>
                          <w:szCs w:val="20"/>
                          <w:lang w:val="en-US" w:eastAsia="zh-CN"/>
                        </w:rPr>
                        <w:t xml:space="preserve">中线 </w:t>
                      </w:r>
                    </w:p>
                  </w:txbxContent>
                </v:textbox>
              </v:shape>
            </w:pict>
          </mc:Fallback>
        </mc:AlternateContent>
      </w:r>
    </w:p>
    <w:p>
      <w:pPr>
        <w:spacing w:line="360" w:lineRule="auto"/>
        <w:rPr>
          <w:rFonts w:ascii="Times New Roman" w:hAnsi="Times New Roman" w:eastAsia="宋体"/>
          <w:color w:val="auto"/>
          <w:highlight w:val="none"/>
        </w:rPr>
      </w:pPr>
      <w:r>
        <w:rPr>
          <w:color w:val="auto"/>
          <w:sz w:val="21"/>
          <w:highlight w:val="none"/>
        </w:rPr>
        <mc:AlternateContent>
          <mc:Choice Requires="wps">
            <w:drawing>
              <wp:anchor distT="0" distB="0" distL="114300" distR="114300" simplePos="0" relativeHeight="251677696" behindDoc="0" locked="0" layoutInCell="1" allowOverlap="1">
                <wp:simplePos x="0" y="0"/>
                <wp:positionH relativeFrom="column">
                  <wp:posOffset>2843530</wp:posOffset>
                </wp:positionH>
                <wp:positionV relativeFrom="paragraph">
                  <wp:posOffset>99695</wp:posOffset>
                </wp:positionV>
                <wp:extent cx="95250" cy="95250"/>
                <wp:effectExtent l="6350" t="6350" r="12700" b="12700"/>
                <wp:wrapNone/>
                <wp:docPr id="47" name="椭圆 26"/>
                <wp:cNvGraphicFramePr/>
                <a:graphic xmlns:a="http://schemas.openxmlformats.org/drawingml/2006/main">
                  <a:graphicData uri="http://schemas.microsoft.com/office/word/2010/wordprocessingShape">
                    <wps:wsp>
                      <wps:cNvSpPr/>
                      <wps:spPr>
                        <a:xfrm>
                          <a:off x="0" y="0"/>
                          <a:ext cx="9525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26" o:spid="_x0000_s1026" o:spt="3" type="#_x0000_t3" style="position:absolute;left:0pt;margin-left:223.9pt;margin-top:7.85pt;height:7.5pt;width:7.5pt;z-index:251677696;v-text-anchor:middle;mso-width-relative:page;mso-height-relative:page;" fillcolor="#4472C4 [3204]" filled="t" stroked="t" coordsize="21600,21600" o:gfxdata="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0afXzWAAAACQEAAA8AAAAAAAAAAQAg&#10;AAAAIgAAAGRycy9kb3ducmV2LnhtbFBLAQIUABQAAAAIAIdO4kAFUGIAggIAABcFAAAOAAAAAAAA&#10;AAEAIAAAACUBAABkcnMvZTJvRG9jLnhtbFBLBQYAAAAABgAGAFkBAAAZBgAAAAA=&#10;">
                <v:fill on="t" focussize="0,0"/>
                <v:stroke weight="1pt" color="#2F528F [3204]" miterlimit="8" joinstyle="miter"/>
                <v:imagedata o:title=""/>
                <o:lock v:ext="edit" aspectratio="f"/>
              </v:shape>
            </w:pict>
          </mc:Fallback>
        </mc:AlternateContent>
      </w:r>
      <w:r>
        <w:rPr>
          <w:color w:val="auto"/>
          <w:sz w:val="21"/>
          <w:highlight w:val="none"/>
        </w:rPr>
        <mc:AlternateContent>
          <mc:Choice Requires="wps">
            <w:drawing>
              <wp:anchor distT="0" distB="0" distL="114300" distR="114300" simplePos="0" relativeHeight="251676672" behindDoc="0" locked="0" layoutInCell="1" allowOverlap="1">
                <wp:simplePos x="0" y="0"/>
                <wp:positionH relativeFrom="column">
                  <wp:posOffset>1348105</wp:posOffset>
                </wp:positionH>
                <wp:positionV relativeFrom="paragraph">
                  <wp:posOffset>99695</wp:posOffset>
                </wp:positionV>
                <wp:extent cx="95250" cy="95250"/>
                <wp:effectExtent l="6350" t="6350" r="12700" b="12700"/>
                <wp:wrapNone/>
                <wp:docPr id="48" name="椭圆 24"/>
                <wp:cNvGraphicFramePr/>
                <a:graphic xmlns:a="http://schemas.openxmlformats.org/drawingml/2006/main">
                  <a:graphicData uri="http://schemas.microsoft.com/office/word/2010/wordprocessingShape">
                    <wps:wsp>
                      <wps:cNvSpPr/>
                      <wps:spPr>
                        <a:xfrm>
                          <a:off x="0" y="0"/>
                          <a:ext cx="9525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24" o:spid="_x0000_s1026" o:spt="3" type="#_x0000_t3" style="position:absolute;left:0pt;margin-left:106.15pt;margin-top:7.85pt;height:7.5pt;width:7.5pt;z-index:251676672;v-text-anchor:middle;mso-width-relative:page;mso-height-relative:page;" fillcolor="#4472C4 [3204]" filled="t" stroked="t" coordsize="21600,21600" o:gfxdata="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VAMmX1QAAAAkBAAAPAAAA&#10;AAAAAAEAIAAAACIAAABkcnMvZG93bnJldi54bWxQSwECFAAUAAAACACHTuJACUKvAIoCAAAiBQAA&#10;DgAAAAAAAAABACAAAAAkAQAAZHJzL2Uyb0RvYy54bWxQSwUGAAAAAAYABgBZAQAAIAYAAAAA&#10;">
                <v:fill on="t" focussize="0,0"/>
                <v:stroke weight="1pt" color="#2F528F [3204]" miterlimit="8" joinstyle="miter"/>
                <v:imagedata o:title=""/>
                <o:lock v:ext="edit" aspectratio="f"/>
                <v:textbox>
                  <w:txbxContent>
                    <w:p>
                      <w:pPr>
                        <w:jc w:val="center"/>
                      </w:pPr>
                    </w:p>
                  </w:txbxContent>
                </v:textbox>
              </v:shape>
            </w:pict>
          </mc:Fallback>
        </mc:AlternateContent>
      </w:r>
      <w:r>
        <w:rPr>
          <w:color w:val="auto"/>
          <w:sz w:val="21"/>
          <w:highlight w:val="none"/>
        </w:rPr>
        <mc:AlternateContent>
          <mc:Choice Requires="wps">
            <w:drawing>
              <wp:anchor distT="0" distB="0" distL="114300" distR="114300" simplePos="0" relativeHeight="251669504" behindDoc="0" locked="0" layoutInCell="1" allowOverlap="1">
                <wp:simplePos x="0" y="0"/>
                <wp:positionH relativeFrom="column">
                  <wp:posOffset>328295</wp:posOffset>
                </wp:positionH>
                <wp:positionV relativeFrom="paragraph">
                  <wp:posOffset>90170</wp:posOffset>
                </wp:positionV>
                <wp:extent cx="3743960" cy="3810"/>
                <wp:effectExtent l="0" t="0" r="0" b="0"/>
                <wp:wrapNone/>
                <wp:docPr id="39" name="直接连接符 21"/>
                <wp:cNvGraphicFramePr/>
                <a:graphic xmlns:a="http://schemas.openxmlformats.org/drawingml/2006/main">
                  <a:graphicData uri="http://schemas.microsoft.com/office/word/2010/wordprocessingShape">
                    <wps:wsp>
                      <wps:cNvCnPr/>
                      <wps:spPr>
                        <a:xfrm flipV="1">
                          <a:off x="1471295" y="6655435"/>
                          <a:ext cx="3743960" cy="38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1" o:spid="_x0000_s1026" o:spt="20" style="position:absolute;left:0pt;flip:y;margin-left:25.85pt;margin-top:7.1pt;height:0.3pt;width:294.8pt;z-index:251669504;mso-width-relative:page;mso-height-relative:page;" filled="f" stroked="t" coordsize="21600,21600" o:gfxdata="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OmkPNYAAAAIAQAADwAAAAAAAAABACAAAAAiAAAAZHJzL2Rv&#10;d25yZXYueG1sUEsBAhQAFAAAAAgAh07iQNxGsfwDAgAAzAMAAA4AAAAAAAAAAQAgAAAAJQEAAGRy&#10;cy9lMm9Eb2MueG1sUEsFBgAAAAAGAAYAWQEAAJoFAAAAAA==&#10;">
                <v:fill on="f" focussize="0,0"/>
                <v:stroke weight="0.5pt" color="#4472C4 [3204]" miterlimit="8" joinstyle="miter"/>
                <v:imagedata o:title=""/>
                <o:lock v:ext="edit" aspectratio="f"/>
              </v:line>
            </w:pict>
          </mc:Fallback>
        </mc:AlternateContent>
      </w:r>
    </w:p>
    <w:p>
      <w:pPr>
        <w:spacing w:line="360" w:lineRule="auto"/>
        <w:rPr>
          <w:rFonts w:ascii="Times New Roman" w:hAnsi="Times New Roman" w:eastAsia="宋体"/>
          <w:color w:val="auto"/>
          <w:highlight w:val="none"/>
        </w:rPr>
      </w:pPr>
      <w:r>
        <w:rPr>
          <w:color w:val="auto"/>
          <w:sz w:val="21"/>
          <w:highlight w:val="none"/>
        </w:rPr>
        <mc:AlternateContent>
          <mc:Choice Requires="wpg">
            <w:drawing>
              <wp:anchor distT="0" distB="0" distL="114300" distR="114300" simplePos="0" relativeHeight="251681792" behindDoc="0" locked="0" layoutInCell="1" allowOverlap="1">
                <wp:simplePos x="0" y="0"/>
                <wp:positionH relativeFrom="column">
                  <wp:posOffset>-105410</wp:posOffset>
                </wp:positionH>
                <wp:positionV relativeFrom="paragraph">
                  <wp:posOffset>12065</wp:posOffset>
                </wp:positionV>
                <wp:extent cx="4149090" cy="1065530"/>
                <wp:effectExtent l="0" t="0" r="3810" b="1270"/>
                <wp:wrapNone/>
                <wp:docPr id="67" name="组合 67"/>
                <wp:cNvGraphicFramePr/>
                <a:graphic xmlns:a="http://schemas.openxmlformats.org/drawingml/2006/main">
                  <a:graphicData uri="http://schemas.microsoft.com/office/word/2010/wordprocessingGroup">
                    <wpg:wgp>
                      <wpg:cNvGrpSpPr/>
                      <wpg:grpSpPr>
                        <a:xfrm>
                          <a:off x="0" y="0"/>
                          <a:ext cx="4149090" cy="1065530"/>
                          <a:chOff x="3359" y="421938"/>
                          <a:chExt cx="6534" cy="1678"/>
                        </a:xfrm>
                      </wpg:grpSpPr>
                      <wps:wsp>
                        <wps:cNvPr id="53" name="文本框 30"/>
                        <wps:cNvSpPr txBox="1"/>
                        <wps:spPr>
                          <a:xfrm>
                            <a:off x="3369" y="421938"/>
                            <a:ext cx="719" cy="4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sz w:val="18"/>
                                  <w:szCs w:val="20"/>
                                  <w:lang w:val="en-US" w:eastAsia="zh-CN"/>
                                </w:rPr>
                              </w:pPr>
                              <w:r>
                                <w:rPr>
                                  <w:rFonts w:hint="eastAsia"/>
                                  <w:sz w:val="18"/>
                                  <w:szCs w:val="20"/>
                                  <w:lang w:val="en-US" w:eastAsia="zh-CN"/>
                                </w:rPr>
                                <w:t xml:space="preserve">边线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直接连接符 17"/>
                        <wps:cNvCnPr/>
                        <wps:spPr>
                          <a:xfrm flipV="1">
                            <a:off x="4012" y="422178"/>
                            <a:ext cx="5867" cy="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 name="直接连接符 21"/>
                        <wps:cNvCnPr/>
                        <wps:spPr>
                          <a:xfrm flipV="1">
                            <a:off x="3997" y="423423"/>
                            <a:ext cx="5896" cy="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 name="直接连接符 25"/>
                        <wps:cNvCnPr/>
                        <wps:spPr>
                          <a:xfrm flipV="1">
                            <a:off x="3997" y="422808"/>
                            <a:ext cx="5867" cy="6"/>
                          </a:xfrm>
                          <a:prstGeom prst="line">
                            <a:avLst/>
                          </a:prstGeom>
                          <a:ln>
                            <a:prstDash val="lgDashDot"/>
                          </a:ln>
                        </wps:spPr>
                        <wps:style>
                          <a:lnRef idx="1">
                            <a:schemeClr val="accent1"/>
                          </a:lnRef>
                          <a:fillRef idx="0">
                            <a:schemeClr val="accent1"/>
                          </a:fillRef>
                          <a:effectRef idx="0">
                            <a:schemeClr val="accent1"/>
                          </a:effectRef>
                          <a:fontRef idx="minor">
                            <a:schemeClr val="tx1"/>
                          </a:fontRef>
                        </wps:style>
                        <wps:bodyPr/>
                      </wps:wsp>
                      <wps:wsp>
                        <wps:cNvPr id="57" name="文本框 31"/>
                        <wps:cNvSpPr txBox="1"/>
                        <wps:spPr>
                          <a:xfrm>
                            <a:off x="3364" y="423183"/>
                            <a:ext cx="719" cy="4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sz w:val="18"/>
                                  <w:szCs w:val="20"/>
                                  <w:lang w:val="en-US" w:eastAsia="zh-CN"/>
                                </w:rPr>
                              </w:pPr>
                              <w:r>
                                <w:rPr>
                                  <w:rFonts w:hint="eastAsia"/>
                                  <w:sz w:val="18"/>
                                  <w:szCs w:val="20"/>
                                  <w:lang w:val="en-US" w:eastAsia="zh-CN"/>
                                </w:rPr>
                                <w:t xml:space="preserve">边线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椭圆 23"/>
                        <wps:cNvSpPr/>
                        <wps:spPr>
                          <a:xfrm>
                            <a:off x="4418" y="422733"/>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椭圆 24"/>
                        <wps:cNvSpPr/>
                        <wps:spPr>
                          <a:xfrm>
                            <a:off x="6788" y="422733"/>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椭圆 26"/>
                        <wps:cNvSpPr/>
                        <wps:spPr>
                          <a:xfrm>
                            <a:off x="9143" y="422733"/>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文本框 62"/>
                        <wps:cNvSpPr txBox="1"/>
                        <wps:spPr>
                          <a:xfrm>
                            <a:off x="3359" y="422553"/>
                            <a:ext cx="719" cy="4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sz w:val="18"/>
                                  <w:szCs w:val="20"/>
                                  <w:lang w:val="en-US" w:eastAsia="zh-CN"/>
                                </w:rPr>
                              </w:pPr>
                              <w:r>
                                <w:rPr>
                                  <w:rFonts w:hint="eastAsia"/>
                                  <w:sz w:val="18"/>
                                  <w:szCs w:val="20"/>
                                  <w:lang w:val="en-US" w:eastAsia="zh-CN"/>
                                </w:rPr>
                                <w:t xml:space="preserve">中线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椭圆 24"/>
                        <wps:cNvSpPr/>
                        <wps:spPr>
                          <a:xfrm>
                            <a:off x="5648" y="422028"/>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椭圆 26"/>
                        <wps:cNvSpPr/>
                        <wps:spPr>
                          <a:xfrm>
                            <a:off x="8003" y="422028"/>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椭圆 24"/>
                        <wps:cNvSpPr/>
                        <wps:spPr>
                          <a:xfrm>
                            <a:off x="5633" y="423438"/>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5" name="椭圆 26"/>
                        <wps:cNvSpPr/>
                        <wps:spPr>
                          <a:xfrm>
                            <a:off x="7988" y="423438"/>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3pt;margin-top:0.95pt;height:83.9pt;width:326.7pt;z-index:251681792;mso-width-relative:page;mso-height-relative:page;" coordorigin="3359,421938" coordsize="6534,1678" o:gfxdata="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">
                <o:lock v:ext="edit" aspectratio="f"/>
                <v:shape id="文本框 30" o:spid="_x0000_s1026" o:spt="202" type="#_x0000_t202" style="position:absolute;left:3369;top:421938;height:433;width:719;" fillcolor="#FFFFFF [3201]" filled="t" stroked="f" coordsize="21600,21600" o:gfxdata="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iNAb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rPr>
                            <w:rFonts w:hint="default" w:eastAsia="等线"/>
                            <w:sz w:val="18"/>
                            <w:szCs w:val="20"/>
                            <w:lang w:val="en-US" w:eastAsia="zh-CN"/>
                          </w:rPr>
                        </w:pPr>
                        <w:r>
                          <w:rPr>
                            <w:rFonts w:hint="eastAsia"/>
                            <w:sz w:val="18"/>
                            <w:szCs w:val="20"/>
                            <w:lang w:val="en-US" w:eastAsia="zh-CN"/>
                          </w:rPr>
                          <w:t xml:space="preserve">边线 </w:t>
                        </w:r>
                      </w:p>
                    </w:txbxContent>
                  </v:textbox>
                </v:shape>
                <v:line id="直接连接符 17" o:spid="_x0000_s1026" o:spt="20" style="position:absolute;left:4012;top:422178;flip:y;height:6;width:5867;" filled="f" stroked="t" coordsize="21600,21600" o:gfxdata="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0FL4A&#10;AADbAAAADwAAAAAAAAABACAAAAAiAAAAZHJzL2Rvd25yZXYueG1sUEsBAhQAFAAAAAgAh07iQDMv&#10;BZ47AAAAOQAAABAAAAAAAAAAAQAgAAAADQEAAGRycy9zaGFwZXhtbC54bWxQSwUGAAAAAAYABgBb&#10;AQAAtwMAAAAA&#10;">
                  <v:fill on="f" focussize="0,0"/>
                  <v:stroke weight="0.5pt" color="#4472C4 [3204]" miterlimit="8" joinstyle="miter"/>
                  <v:imagedata o:title=""/>
                  <o:lock v:ext="edit" aspectratio="f"/>
                </v:line>
                <v:line id="直接连接符 21" o:spid="_x0000_s1026" o:spt="20" style="position:absolute;left:3997;top:423423;flip:y;height:6;width:5896;" filled="f" stroked="t" coordsize="21600,21600" o:gfxdata="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Q1GPvQAA&#10;ANsAAAAPAAAAAAAAAAEAIAAAACIAAABkcnMvZG93bnJldi54bWxQSwECFAAUAAAACACHTuJAMy8F&#10;njsAAAA5AAAAEAAAAAAAAAABACAAAAAMAQAAZHJzL3NoYXBleG1sLnhtbFBLBQYAAAAABgAGAFsB&#10;AAC2AwAAAAA=&#10;">
                  <v:fill on="f" focussize="0,0"/>
                  <v:stroke weight="0.5pt" color="#4472C4 [3204]" miterlimit="8" joinstyle="miter"/>
                  <v:imagedata o:title=""/>
                  <o:lock v:ext="edit" aspectratio="f"/>
                </v:line>
                <v:line id="直接连接符 25" o:spid="_x0000_s1026" o:spt="20" style="position:absolute;left:3997;top:422808;flip:y;height:6;width:5867;" filled="f" stroked="t" coordsize="21600,21600" o:gfxdata="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32X3vQAA&#10;ANsAAAAPAAAAAAAAAAEAIAAAACIAAABkcnMvZG93bnJldi54bWxQSwECFAAUAAAACACHTuJAMy8F&#10;njsAAAA5AAAAEAAAAAAAAAABACAAAAAMAQAAZHJzL3NoYXBleG1sLnhtbFBLBQYAAAAABgAGAFsB&#10;AAC2AwAAAAA=&#10;">
                  <v:fill on="f" focussize="0,0"/>
                  <v:stroke weight="0.5pt" color="#4472C4 [3204]" miterlimit="8" joinstyle="miter" dashstyle="longDashDot"/>
                  <v:imagedata o:title=""/>
                  <o:lock v:ext="edit" aspectratio="f"/>
                </v:line>
                <v:shape id="文本框 31" o:spid="_x0000_s1026" o:spt="202" type="#_x0000_t202" style="position:absolute;left:3364;top:423183;height:433;width:719;" fillcolor="#FFFFFF [3201]" filled="t" stroked="f" coordsize="21600,21600" o:gfxdata="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OLAr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rPr>
                            <w:rFonts w:hint="default" w:eastAsia="等线"/>
                            <w:sz w:val="18"/>
                            <w:szCs w:val="20"/>
                            <w:lang w:val="en-US" w:eastAsia="zh-CN"/>
                          </w:rPr>
                        </w:pPr>
                        <w:r>
                          <w:rPr>
                            <w:rFonts w:hint="eastAsia"/>
                            <w:sz w:val="18"/>
                            <w:szCs w:val="20"/>
                            <w:lang w:val="en-US" w:eastAsia="zh-CN"/>
                          </w:rPr>
                          <w:t xml:space="preserve">边线 </w:t>
                        </w:r>
                      </w:p>
                    </w:txbxContent>
                  </v:textbox>
                </v:shape>
                <v:shape id="椭圆 23" o:spid="_x0000_s1026" o:spt="3" type="#_x0000_t3" style="position:absolute;left:4418;top:422733;height:150;width:150;v-text-anchor:middle;" fillcolor="#4472C4 [3204]" filled="t" stroked="t" coordsize="21600,21600" o:gfxdata="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ThXJ+5AAAA2wAA&#10;AA8AAAAAAAAAAQAgAAAAIgAAAGRycy9kb3ducmV2LnhtbFBLAQIUABQAAAAIAIdO4kAzLwWeOwAA&#10;ADkAAAAQAAAAAAAAAAEAIAAAAAgBAABkcnMvc2hhcGV4bWwueG1sUEsFBgAAAAAGAAYAWwEAALID&#10;AAAAAA==&#10;">
                  <v:fill on="t" focussize="0,0"/>
                  <v:stroke weight="1pt" color="#2F528F [3204]" miterlimit="8" joinstyle="miter"/>
                  <v:imagedata o:title=""/>
                  <o:lock v:ext="edit" aspectratio="f"/>
                </v:shape>
                <v:shape id="椭圆 24" o:spid="_x0000_s1026" o:spt="3" type="#_x0000_t3" style="position:absolute;left:6788;top:422733;height:150;width:150;v-text-anchor:middle;" fillcolor="#4472C4 [3204]" filled="t" stroked="t" coordsize="21600,21600" o:gfxdata="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t+QS8AAAA&#10;2wAAAA8AAAAAAAAAAQAgAAAAIgAAAGRycy9kb3ducmV2LnhtbFBLAQIUABQAAAAIAIdO4kAzLwWe&#10;OwAAADkAAAAQAAAAAAAAAAEAIAAAAAsBAABkcnMvc2hhcGV4bWwueG1sUEsFBgAAAAAGAAYAWwEA&#10;ALUDAAAAAA==&#10;">
                  <v:fill on="t" focussize="0,0"/>
                  <v:stroke weight="1pt" color="#2F528F [3204]" miterlimit="8" joinstyle="miter"/>
                  <v:imagedata o:title=""/>
                  <o:lock v:ext="edit" aspectratio="f"/>
                </v:shape>
                <v:shape id="椭圆 26" o:spid="_x0000_s1026" o:spt="3" type="#_x0000_t3" style="position:absolute;left:9143;top:422733;height:150;width:150;v-text-anchor:middle;" fillcolor="#4472C4 [3204]" filled="t" stroked="t" coordsize="21600,21600" o:gfxdata="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T7miS5AAAA2wAA&#10;AA8AAAAAAAAAAQAgAAAAIgAAAGRycy9kb3ducmV2LnhtbFBLAQIUABQAAAAIAIdO4kAzLwWeOwAA&#10;ADkAAAAQAAAAAAAAAAEAIAAAAAgBAABkcnMvc2hhcGV4bWwueG1sUEsFBgAAAAAGAAYAWwEAALID&#10;AAAAAA==&#10;">
                  <v:fill on="t" focussize="0,0"/>
                  <v:stroke weight="1pt" color="#2F528F [3204]" miterlimit="8" joinstyle="miter"/>
                  <v:imagedata o:title=""/>
                  <o:lock v:ext="edit" aspectratio="f"/>
                </v:shape>
                <v:shape id="_x0000_s1026" o:spid="_x0000_s1026" o:spt="202" type="#_x0000_t202" style="position:absolute;left:3359;top:422553;height:433;width:719;" fillcolor="#FFFFFF [3201]" filled="t" stroked="f" coordsize="21600,21600" o:gfxdata="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wo4ie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rPr>
                            <w:rFonts w:hint="default" w:eastAsia="等线"/>
                            <w:sz w:val="18"/>
                            <w:szCs w:val="20"/>
                            <w:lang w:val="en-US" w:eastAsia="zh-CN"/>
                          </w:rPr>
                        </w:pPr>
                        <w:r>
                          <w:rPr>
                            <w:rFonts w:hint="eastAsia"/>
                            <w:sz w:val="18"/>
                            <w:szCs w:val="20"/>
                            <w:lang w:val="en-US" w:eastAsia="zh-CN"/>
                          </w:rPr>
                          <w:t xml:space="preserve">中线 </w:t>
                        </w:r>
                      </w:p>
                    </w:txbxContent>
                  </v:textbox>
                </v:shape>
                <v:shape id="椭圆 24" o:spid="_x0000_s1026" o:spt="3" type="#_x0000_t3" style="position:absolute;left:5648;top:422028;height:150;width:150;v-text-anchor:middle;" fillcolor="#4472C4 [3204]" filled="t" stroked="t" coordsize="21600,21600" o:gfxdata="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AnCe8AAAA&#10;2wAAAA8AAAAAAAAAAQAgAAAAIgAAAGRycy9kb3ducmV2LnhtbFBLAQIUABQAAAAIAIdO4kAzLwWe&#10;OwAAADkAAAAQAAAAAAAAAAEAIAAAAAsBAABkcnMvc2hhcGV4bWwueG1sUEsFBgAAAAAGAAYAWwEA&#10;ALUDAAAAAA==&#10;">
                  <v:fill on="t" focussize="0,0"/>
                  <v:stroke weight="1pt" color="#2F528F [3204]" miterlimit="8" joinstyle="miter"/>
                  <v:imagedata o:title=""/>
                  <o:lock v:ext="edit" aspectratio="f"/>
                </v:shape>
                <v:shape id="椭圆 26" o:spid="_x0000_s1026" o:spt="3" type="#_x0000_t3" style="position:absolute;left:8003;top:422028;height:150;width:150;v-text-anchor:middle;" fillcolor="#4472C4 [3204]" filled="t" stroked="t" coordsize="21600,21600" o:gfxdata="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pBFO8AAAA&#10;2wAAAA8AAAAAAAAAAQAgAAAAIgAAAGRycy9kb3ducmV2LnhtbFBLAQIUABQAAAAIAIdO4kAzLwWe&#10;OwAAADkAAAAQAAAAAAAAAAEAIAAAAAsBAABkcnMvc2hhcGV4bWwueG1sUEsFBgAAAAAGAAYAWwEA&#10;ALUDAAAAAA==&#10;">
                  <v:fill on="t" focussize="0,0"/>
                  <v:stroke weight="1pt" color="#2F528F [3204]" miterlimit="8" joinstyle="miter"/>
                  <v:imagedata o:title=""/>
                  <o:lock v:ext="edit" aspectratio="f"/>
                </v:shape>
                <v:shape id="椭圆 24" o:spid="_x0000_s1026" o:spt="3" type="#_x0000_t3" style="position:absolute;left:5633;top:423438;height:150;width:150;v-text-anchor:middle;" fillcolor="#4472C4 [3204]" filled="t" stroked="t" coordsize="21600,21600" o:gfxdata="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F6ny7sAAADb&#10;AAAADwAAAAAAAAABACAAAAAiAAAAZHJzL2Rvd25yZXYueG1sUEsBAhQAFAAAAAgAh07iQDMvBZ47&#10;AAAAOQAAABAAAAAAAAAAAQAgAAAACgEAAGRycy9zaGFwZXhtbC54bWxQSwUGAAAAAAYABgBbAQAA&#10;tAMAAAAA&#10;">
                  <v:fill on="t" focussize="0,0"/>
                  <v:stroke weight="1pt" color="#2F528F [3204]" miterlimit="8" joinstyle="miter"/>
                  <v:imagedata o:title=""/>
                  <o:lock v:ext="edit" aspectratio="f"/>
                </v:shape>
                <v:shape id="椭圆 26" o:spid="_x0000_s1026" o:spt="3" type="#_x0000_t3" style="position:absolute;left:7988;top:423438;height:150;width:150;v-text-anchor:middle;" fillcolor="#4472C4 [3204]" filled="t" stroked="t" coordsize="21600,21600" o:gfxdata="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Iw5vLsAAADb&#10;AAAADwAAAAAAAAABACAAAAAiAAAAZHJzL2Rvd25yZXYueG1sUEsBAhQAFAAAAAgAh07iQDMvBZ47&#10;AAAAOQAAABAAAAAAAAAAAQAgAAAACgEAAGRycy9zaGFwZXhtbC54bWxQSwUGAAAAAAYABgBbAQAA&#10;tAMAAAAA&#10;">
                  <v:fill on="t" focussize="0,0"/>
                  <v:stroke weight="1pt" color="#2F528F [3204]" miterlimit="8" joinstyle="miter"/>
                  <v:imagedata o:title=""/>
                  <o:lock v:ext="edit" aspectratio="f"/>
                </v:shape>
              </v:group>
            </w:pict>
          </mc:Fallback>
        </mc:AlternateContent>
      </w:r>
      <w:r>
        <w:rPr>
          <w:color w:val="auto"/>
          <w:sz w:val="21"/>
          <w:highlight w:val="none"/>
        </w:rPr>
        <mc:AlternateContent>
          <mc:Choice Requires="wps">
            <w:drawing>
              <wp:anchor distT="0" distB="0" distL="114300" distR="114300" simplePos="0" relativeHeight="251680768" behindDoc="0" locked="0" layoutInCell="1" allowOverlap="1">
                <wp:simplePos x="0" y="0"/>
                <wp:positionH relativeFrom="column">
                  <wp:posOffset>4015740</wp:posOffset>
                </wp:positionH>
                <wp:positionV relativeFrom="paragraph">
                  <wp:posOffset>221615</wp:posOffset>
                </wp:positionV>
                <wp:extent cx="1142365" cy="750570"/>
                <wp:effectExtent l="0" t="0" r="635" b="11430"/>
                <wp:wrapNone/>
                <wp:docPr id="61" name="文本框 34"/>
                <wp:cNvGraphicFramePr/>
                <a:graphic xmlns:a="http://schemas.openxmlformats.org/drawingml/2006/main">
                  <a:graphicData uri="http://schemas.microsoft.com/office/word/2010/wordprocessingShape">
                    <wps:wsp>
                      <wps:cNvSpPr txBox="1"/>
                      <wps:spPr>
                        <a:xfrm>
                          <a:off x="5158740" y="7026910"/>
                          <a:ext cx="1142365" cy="7505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20"/>
                                <w:lang w:val="en-US" w:eastAsia="zh-CN"/>
                              </w:rPr>
                            </w:pPr>
                            <w:r>
                              <w:rPr>
                                <w:rFonts w:hint="eastAsia"/>
                                <w:sz w:val="18"/>
                                <w:szCs w:val="20"/>
                                <w:lang w:val="en-US" w:eastAsia="zh-CN"/>
                              </w:rPr>
                              <w:t xml:space="preserve">(c)呈梅花型布置勘探点，分左右幅道路布置纵勘探线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26" o:spt="202" type="#_x0000_t202" style="position:absolute;left:0pt;margin-left:316.2pt;margin-top:17.45pt;height:59.1pt;width:89.95pt;z-index:251680768;mso-width-relative:page;mso-height-relative:page;" fillcolor="#FFFFFF [3201]" filled="t" stroked="f" coordsize="21600,21600" o:gfxdata="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MGe/N&#10;1QAAAAoBAAAPAAAAAAAAAAEAIAAAACIAAABkcnMvZG93bnJldi54bWxQSwECFAAUAAAACACHTuJA&#10;nRYC9F0CAACdBAAADgAAAAAAAAABACAAAAAkAQAAZHJzL2Uyb0RvYy54bWxQSwUGAAAAAAYABgBZ&#10;AQAA8wUAAAAA&#10;">
                <v:fill on="t" focussize="0,0"/>
                <v:stroke on="f" weight="0.5pt"/>
                <v:imagedata o:title=""/>
                <o:lock v:ext="edit" aspectratio="f"/>
                <v:textbox>
                  <w:txbxContent>
                    <w:p>
                      <w:pPr>
                        <w:rPr>
                          <w:rFonts w:hint="default"/>
                          <w:sz w:val="18"/>
                          <w:szCs w:val="20"/>
                          <w:lang w:val="en-US" w:eastAsia="zh-CN"/>
                        </w:rPr>
                      </w:pPr>
                      <w:r>
                        <w:rPr>
                          <w:rFonts w:hint="eastAsia"/>
                          <w:sz w:val="18"/>
                          <w:szCs w:val="20"/>
                          <w:lang w:val="en-US" w:eastAsia="zh-CN"/>
                        </w:rPr>
                        <w:t xml:space="preserve">(c)呈梅花型布置勘探点，分左右幅道路布置纵勘探线 </w:t>
                      </w:r>
                    </w:p>
                  </w:txbxContent>
                </v:textbox>
              </v:shape>
            </w:pict>
          </mc:Fallback>
        </mc:AlternateContent>
      </w:r>
    </w:p>
    <w:p>
      <w:pPr>
        <w:spacing w:line="360" w:lineRule="auto"/>
        <w:rPr>
          <w:rFonts w:ascii="Times New Roman" w:hAnsi="Times New Roman" w:eastAsia="宋体"/>
          <w:color w:val="auto"/>
          <w:highlight w:val="none"/>
        </w:rPr>
      </w:pPr>
    </w:p>
    <w:p>
      <w:pPr>
        <w:spacing w:line="360" w:lineRule="auto"/>
        <w:rPr>
          <w:rFonts w:ascii="Times New Roman" w:hAnsi="Times New Roman" w:eastAsia="宋体"/>
          <w:color w:val="auto"/>
          <w:highlight w:val="none"/>
        </w:rPr>
      </w:pPr>
    </w:p>
    <w:p>
      <w:pPr>
        <w:spacing w:line="360" w:lineRule="auto"/>
        <w:rPr>
          <w:rFonts w:ascii="Times New Roman" w:hAnsi="Times New Roman" w:eastAsia="宋体"/>
          <w:color w:val="auto"/>
          <w:highlight w:val="none"/>
        </w:rPr>
      </w:pPr>
    </w:p>
    <w:p>
      <w:pPr>
        <w:spacing w:line="360" w:lineRule="auto"/>
        <w:jc w:val="center"/>
        <w:rPr>
          <w:rFonts w:hint="eastAsia" w:ascii="Times New Roman" w:hAnsi="Times New Roman" w:eastAsia="宋体"/>
          <w:b/>
          <w:bCs/>
          <w:color w:val="auto"/>
          <w:highlight w:val="none"/>
          <w:lang w:val="en-US" w:eastAsia="zh-CN"/>
        </w:rPr>
      </w:pPr>
      <w:r>
        <w:rPr>
          <w:color w:val="auto"/>
          <w:sz w:val="21"/>
          <w:highlight w:val="none"/>
        </w:rPr>
        <mc:AlternateContent>
          <mc:Choice Requires="wps">
            <w:drawing>
              <wp:anchor distT="0" distB="0" distL="114300" distR="114300" simplePos="0" relativeHeight="251683840" behindDoc="0" locked="0" layoutInCell="1" allowOverlap="1">
                <wp:simplePos x="0" y="0"/>
                <wp:positionH relativeFrom="column">
                  <wp:posOffset>-137160</wp:posOffset>
                </wp:positionH>
                <wp:positionV relativeFrom="paragraph">
                  <wp:posOffset>15240</wp:posOffset>
                </wp:positionV>
                <wp:extent cx="456565" cy="274955"/>
                <wp:effectExtent l="0" t="0" r="635" b="10795"/>
                <wp:wrapNone/>
                <wp:docPr id="70" name="文本框 30"/>
                <wp:cNvGraphicFramePr/>
                <a:graphic xmlns:a="http://schemas.openxmlformats.org/drawingml/2006/main">
                  <a:graphicData uri="http://schemas.microsoft.com/office/word/2010/wordprocessingShape">
                    <wps:wsp>
                      <wps:cNvSpPr txBox="1"/>
                      <wps:spPr>
                        <a:xfrm>
                          <a:off x="1034415" y="8027035"/>
                          <a:ext cx="456565" cy="2749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sz w:val="18"/>
                                <w:szCs w:val="20"/>
                                <w:lang w:val="en-US" w:eastAsia="zh-CN"/>
                              </w:rPr>
                            </w:pPr>
                            <w:r>
                              <w:rPr>
                                <w:rFonts w:hint="eastAsia"/>
                                <w:sz w:val="18"/>
                                <w:szCs w:val="20"/>
                                <w:lang w:val="en-US" w:eastAsia="zh-CN"/>
                              </w:rPr>
                              <w:t xml:space="preserve">边线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0.8pt;margin-top:1.2pt;height:21.65pt;width:35.95pt;z-index:251683840;mso-width-relative:page;mso-height-relative:page;" fillcolor="#FFFFFF [3201]" filled="t" stroked="f" coordsize="21600,21600" o:gfxdata="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nS29MA&#10;AAAHAQAADwAAAAAAAAABACAAAAAiAAAAZHJzL2Rvd25yZXYueG1sUEsBAhQAFAAAAAgAh07iQGjZ&#10;bThdAgAAnAQAAA4AAAAAAAAAAQAgAAAAIgEAAGRycy9lMm9Eb2MueG1sUEsFBgAAAAAGAAYAWQEA&#10;APEFAAAAAA==&#10;">
                <v:fill on="t" focussize="0,0"/>
                <v:stroke on="f" weight="0.5pt"/>
                <v:imagedata o:title=""/>
                <o:lock v:ext="edit" aspectratio="f"/>
                <v:textbox>
                  <w:txbxContent>
                    <w:p>
                      <w:pPr>
                        <w:rPr>
                          <w:rFonts w:hint="default" w:eastAsia="等线"/>
                          <w:sz w:val="18"/>
                          <w:szCs w:val="20"/>
                          <w:lang w:val="en-US" w:eastAsia="zh-CN"/>
                        </w:rPr>
                      </w:pPr>
                      <w:r>
                        <w:rPr>
                          <w:rFonts w:hint="eastAsia"/>
                          <w:sz w:val="18"/>
                          <w:szCs w:val="20"/>
                          <w:lang w:val="en-US" w:eastAsia="zh-CN"/>
                        </w:rPr>
                        <w:t xml:space="preserve">边线 </w:t>
                      </w:r>
                    </w:p>
                  </w:txbxContent>
                </v:textbox>
              </v:shape>
            </w:pict>
          </mc:Fallback>
        </mc:AlternateContent>
      </w:r>
      <w:r>
        <w:rPr>
          <w:color w:val="auto"/>
          <w:sz w:val="21"/>
          <w:highlight w:val="none"/>
        </w:rPr>
        <mc:AlternateContent>
          <mc:Choice Requires="wps">
            <w:drawing>
              <wp:anchor distT="0" distB="0" distL="114300" distR="114300" simplePos="0" relativeHeight="251682816" behindDoc="0" locked="0" layoutInCell="1" allowOverlap="1">
                <wp:simplePos x="0" y="0"/>
                <wp:positionH relativeFrom="column">
                  <wp:posOffset>3996690</wp:posOffset>
                </wp:positionH>
                <wp:positionV relativeFrom="paragraph">
                  <wp:posOffset>290195</wp:posOffset>
                </wp:positionV>
                <wp:extent cx="1142365" cy="454660"/>
                <wp:effectExtent l="0" t="0" r="635" b="2540"/>
                <wp:wrapNone/>
                <wp:docPr id="68" name="文本框 34"/>
                <wp:cNvGraphicFramePr/>
                <a:graphic xmlns:a="http://schemas.openxmlformats.org/drawingml/2006/main">
                  <a:graphicData uri="http://schemas.microsoft.com/office/word/2010/wordprocessingShape">
                    <wps:wsp>
                      <wps:cNvSpPr txBox="1"/>
                      <wps:spPr>
                        <a:xfrm>
                          <a:off x="0" y="0"/>
                          <a:ext cx="1142365" cy="4546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20"/>
                                <w:lang w:val="en-US" w:eastAsia="zh-CN"/>
                              </w:rPr>
                            </w:pPr>
                            <w:r>
                              <w:rPr>
                                <w:rFonts w:hint="eastAsia"/>
                                <w:sz w:val="18"/>
                                <w:szCs w:val="20"/>
                                <w:lang w:val="en-US" w:eastAsia="zh-CN"/>
                              </w:rPr>
                              <w:t xml:space="preserve">(d)拓宽车道勘探点布置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26" o:spt="202" type="#_x0000_t202" style="position:absolute;left:0pt;margin-left:314.7pt;margin-top:22.85pt;height:35.8pt;width:89.95pt;z-index:251682816;mso-width-relative:page;mso-height-relative:page;" fillcolor="#FFFFFF [3201]" filled="t" stroked="f" coordsize="21600,21600" o:gfxdata="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HQVKTWAAAACgEAAA8A&#10;AAAAAAAAAQAgAAAAIgAAAGRycy9kb3ducmV2LnhtbFBLAQIUABQAAAAIAIdO4kCKIGpYUgIAAJEE&#10;AAAOAAAAAAAAAAEAIAAAACUBAABkcnMvZTJvRG9jLnhtbFBLBQYAAAAABgAGAFkBAADpBQAAAAA=&#10;">
                <v:fill on="t" focussize="0,0"/>
                <v:stroke on="f" weight="0.5pt"/>
                <v:imagedata o:title=""/>
                <o:lock v:ext="edit" aspectratio="f"/>
                <v:textbox>
                  <w:txbxContent>
                    <w:p>
                      <w:pPr>
                        <w:rPr>
                          <w:rFonts w:hint="default"/>
                          <w:sz w:val="18"/>
                          <w:szCs w:val="20"/>
                          <w:lang w:val="en-US" w:eastAsia="zh-CN"/>
                        </w:rPr>
                      </w:pPr>
                      <w:r>
                        <w:rPr>
                          <w:rFonts w:hint="eastAsia"/>
                          <w:sz w:val="18"/>
                          <w:szCs w:val="20"/>
                          <w:lang w:val="en-US" w:eastAsia="zh-CN"/>
                        </w:rPr>
                        <w:t xml:space="preserve">(d)拓宽车道勘探点布置 </w:t>
                      </w:r>
                    </w:p>
                  </w:txbxContent>
                </v:textbox>
              </v:shape>
            </w:pict>
          </mc:Fallback>
        </mc:AlternateContent>
      </w:r>
      <w:r>
        <w:rPr>
          <w:color w:val="auto"/>
          <w:sz w:val="21"/>
          <w:highlight w:val="none"/>
        </w:rPr>
        <mc:AlternateContent>
          <mc:Choice Requires="wps">
            <w:drawing>
              <wp:anchor distT="0" distB="0" distL="114300" distR="114300" simplePos="0" relativeHeight="251687936" behindDoc="0" locked="0" layoutInCell="1" allowOverlap="1">
                <wp:simplePos x="0" y="0"/>
                <wp:positionH relativeFrom="column">
                  <wp:posOffset>1920240</wp:posOffset>
                </wp:positionH>
                <wp:positionV relativeFrom="paragraph">
                  <wp:posOffset>242570</wp:posOffset>
                </wp:positionV>
                <wp:extent cx="551815" cy="274955"/>
                <wp:effectExtent l="0" t="0" r="635" b="10795"/>
                <wp:wrapNone/>
                <wp:docPr id="78" name="文本框 62"/>
                <wp:cNvGraphicFramePr/>
                <a:graphic xmlns:a="http://schemas.openxmlformats.org/drawingml/2006/main">
                  <a:graphicData uri="http://schemas.microsoft.com/office/word/2010/wordprocessingShape">
                    <wps:wsp>
                      <wps:cNvSpPr txBox="1"/>
                      <wps:spPr>
                        <a:xfrm>
                          <a:off x="1015365" y="8417560"/>
                          <a:ext cx="551815" cy="2749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sz w:val="18"/>
                                <w:szCs w:val="20"/>
                                <w:lang w:val="en-US" w:eastAsia="zh-CN"/>
                              </w:rPr>
                            </w:pPr>
                            <w:r>
                              <w:rPr>
                                <w:rFonts w:hint="eastAsia"/>
                                <w:sz w:val="18"/>
                                <w:szCs w:val="20"/>
                                <w:lang w:val="en-US" w:eastAsia="zh-CN"/>
                              </w:rPr>
                              <w:t xml:space="preserve">原车道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2" o:spid="_x0000_s1026" o:spt="202" type="#_x0000_t202" style="position:absolute;left:0pt;margin-left:151.2pt;margin-top:19.1pt;height:21.65pt;width:43.45pt;z-index:251687936;mso-width-relative:page;mso-height-relative:page;" fillcolor="#FFFFFF [3201]" filled="t" stroked="f" coordsize="21600,21600" o:gfxdata="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XDn9nV&#10;AAAACQEAAA8AAAAAAAAAAQAgAAAAIgAAAGRycy9kb3ducmV2LnhtbFBLAQIUABQAAAAIAIdO4kCy&#10;IPdvXAIAAJwEAAAOAAAAAAAAAAEAIAAAACQBAABkcnMvZTJvRG9jLnhtbFBLBQYAAAAABgAGAFkB&#10;AADyBQAAAAA=&#10;">
                <v:fill on="t" focussize="0,0"/>
                <v:stroke on="f" weight="0.5pt"/>
                <v:imagedata o:title=""/>
                <o:lock v:ext="edit" aspectratio="f"/>
                <v:textbox>
                  <w:txbxContent>
                    <w:p>
                      <w:pPr>
                        <w:rPr>
                          <w:rFonts w:hint="default" w:eastAsia="等线"/>
                          <w:sz w:val="18"/>
                          <w:szCs w:val="20"/>
                          <w:lang w:val="en-US" w:eastAsia="zh-CN"/>
                        </w:rPr>
                      </w:pPr>
                      <w:r>
                        <w:rPr>
                          <w:rFonts w:hint="eastAsia"/>
                          <w:sz w:val="18"/>
                          <w:szCs w:val="20"/>
                          <w:lang w:val="en-US" w:eastAsia="zh-CN"/>
                        </w:rPr>
                        <w:t xml:space="preserve">原车道 </w:t>
                      </w:r>
                    </w:p>
                  </w:txbxContent>
                </v:textbox>
              </v:shape>
            </w:pict>
          </mc:Fallback>
        </mc:AlternateContent>
      </w:r>
      <w:r>
        <w:rPr>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352425</wp:posOffset>
                </wp:positionH>
                <wp:positionV relativeFrom="paragraph">
                  <wp:posOffset>130175</wp:posOffset>
                </wp:positionV>
                <wp:extent cx="3629025" cy="495300"/>
                <wp:effectExtent l="0" t="0" r="9525" b="0"/>
                <wp:wrapNone/>
                <wp:docPr id="83" name="矩形 83"/>
                <wp:cNvGraphicFramePr/>
                <a:graphic xmlns:a="http://schemas.openxmlformats.org/drawingml/2006/main">
                  <a:graphicData uri="http://schemas.microsoft.com/office/word/2010/wordprocessingShape">
                    <wps:wsp>
                      <wps:cNvSpPr/>
                      <wps:spPr>
                        <a:xfrm>
                          <a:off x="1447800" y="8181340"/>
                          <a:ext cx="3629025" cy="495300"/>
                        </a:xfrm>
                        <a:prstGeom prst="rect">
                          <a:avLst/>
                        </a:prstGeom>
                        <a:pattFill prst="ltUpDiag">
                          <a:fgClr>
                            <a:schemeClr val="tx1"/>
                          </a:fgClr>
                          <a:bgClr>
                            <a:srgbClr val="FFFFFF"/>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75pt;margin-top:10.25pt;height:39pt;width:285.75pt;z-index:251663360;v-text-anchor:middle;mso-width-relative:page;mso-height-relative:page;" fillcolor="#000000 [3213]" filled="t" stroked="f" coordsize="21600,21600" o:gfxdata="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5I0RHNgAAAAIAQAADwAAAAAAAAABACAAAAAiAAAAZHJzL2Rvd25yZXYueG1sUEsBAhQAFAAAAAgA&#10;h07iQKANKS+XAgAAMQUAAA4AAAAAAAAAAQAgAAAAJwEAAGRycy9lMm9Eb2MueG1sUEsFBgAAAAAG&#10;AAYAWQEAADAGAAAAAA==&#10;">
                <v:fill type="pattern" on="t" color2="#FFFFFF" o:title="浅色上对角线" focussize="0,0" r:id="rId69"/>
                <v:stroke on="f" weight="1pt" miterlimit="8" joinstyle="miter"/>
                <v:imagedata o:title=""/>
                <o:lock v:ext="edit" aspectratio="f"/>
                <v:textbox>
                  <w:txbxContent>
                    <w:p>
                      <w:pPr>
                        <w:jc w:val="center"/>
                      </w:pPr>
                    </w:p>
                  </w:txbxContent>
                </v:textbox>
              </v:rect>
            </w:pict>
          </mc:Fallback>
        </mc:AlternateContent>
      </w:r>
      <w:r>
        <w:rPr>
          <w:color w:val="auto"/>
          <w:sz w:val="21"/>
          <w:highlight w:val="none"/>
        </w:rPr>
        <mc:AlternateContent>
          <mc:Choice Requires="wps">
            <w:drawing>
              <wp:anchor distT="0" distB="0" distL="114300" distR="114300" simplePos="0" relativeHeight="251684864" behindDoc="0" locked="0" layoutInCell="1" allowOverlap="1">
                <wp:simplePos x="0" y="0"/>
                <wp:positionH relativeFrom="column">
                  <wp:posOffset>299720</wp:posOffset>
                </wp:positionH>
                <wp:positionV relativeFrom="paragraph">
                  <wp:posOffset>128270</wp:posOffset>
                </wp:positionV>
                <wp:extent cx="3725545" cy="3810"/>
                <wp:effectExtent l="0" t="0" r="0" b="0"/>
                <wp:wrapNone/>
                <wp:docPr id="71" name="直接连接符 17"/>
                <wp:cNvGraphicFramePr/>
                <a:graphic xmlns:a="http://schemas.openxmlformats.org/drawingml/2006/main">
                  <a:graphicData uri="http://schemas.microsoft.com/office/word/2010/wordprocessingShape">
                    <wps:wsp>
                      <wps:cNvCnPr/>
                      <wps:spPr>
                        <a:xfrm flipV="1">
                          <a:off x="1442720" y="8179435"/>
                          <a:ext cx="3725545" cy="38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7" o:spid="_x0000_s1026" o:spt="20" style="position:absolute;left:0pt;flip:y;margin-left:23.6pt;margin-top:10.1pt;height:0.3pt;width:293.35pt;z-index:251684864;mso-width-relative:page;mso-height-relative:page;" filled="f" stroked="t" coordsize="21600,21600" o:gfxdata="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Z6rEbXAAAACAEAAA8AAAAAAAAAAQAgAAAAIgAAAGRycy9k&#10;b3ducmV2LnhtbFBLAQIUABQAAAAIAIdO4kCkPncPAwIAAMwDAAAOAAAAAAAAAAEAIAAAACYBAABk&#10;cnMvZTJvRG9jLnhtbFBLBQYAAAAABgAGAFkBAACbBQAAAAA=&#10;">
                <v:fill on="f" focussize="0,0"/>
                <v:stroke weight="0.5pt" color="#4472C4 [3204]" miterlimit="8" joinstyle="miter"/>
                <v:imagedata o:title=""/>
                <o:lock v:ext="edit" aspectratio="f"/>
              </v:line>
            </w:pict>
          </mc:Fallback>
        </mc:AlternateContent>
      </w:r>
    </w:p>
    <w:p>
      <w:pPr>
        <w:spacing w:line="360" w:lineRule="auto"/>
        <w:jc w:val="center"/>
        <w:rPr>
          <w:rFonts w:hint="eastAsia" w:ascii="Times New Roman" w:hAnsi="Times New Roman" w:eastAsia="宋体"/>
          <w:b/>
          <w:bCs/>
          <w:color w:val="auto"/>
          <w:highlight w:val="none"/>
          <w:lang w:val="en-US" w:eastAsia="zh-CN"/>
        </w:rPr>
      </w:pPr>
    </w:p>
    <w:p>
      <w:pPr>
        <w:spacing w:line="360" w:lineRule="auto"/>
        <w:jc w:val="center"/>
        <w:rPr>
          <w:rFonts w:hint="eastAsia" w:ascii="Times New Roman" w:hAnsi="Times New Roman" w:eastAsia="宋体"/>
          <w:b/>
          <w:bCs/>
          <w:color w:val="auto"/>
          <w:highlight w:val="none"/>
          <w:lang w:val="en-US" w:eastAsia="zh-CN"/>
        </w:rPr>
      </w:pPr>
      <w:r>
        <w:rPr>
          <w:color w:val="auto"/>
          <w:sz w:val="21"/>
          <w:highlight w:val="none"/>
        </w:rPr>
        <mc:AlternateContent>
          <mc:Choice Requires="wps">
            <w:drawing>
              <wp:anchor distT="0" distB="0" distL="114300" distR="114300" simplePos="0" relativeHeight="251692032" behindDoc="0" locked="0" layoutInCell="1" allowOverlap="1">
                <wp:simplePos x="0" y="0"/>
                <wp:positionH relativeFrom="column">
                  <wp:posOffset>2167890</wp:posOffset>
                </wp:positionH>
                <wp:positionV relativeFrom="paragraph">
                  <wp:posOffset>48260</wp:posOffset>
                </wp:positionV>
                <wp:extent cx="656590" cy="265430"/>
                <wp:effectExtent l="0" t="0" r="10160" b="1270"/>
                <wp:wrapNone/>
                <wp:docPr id="87" name="文本框 62"/>
                <wp:cNvGraphicFramePr/>
                <a:graphic xmlns:a="http://schemas.openxmlformats.org/drawingml/2006/main">
                  <a:graphicData uri="http://schemas.microsoft.com/office/word/2010/wordprocessingShape">
                    <wps:wsp>
                      <wps:cNvSpPr txBox="1"/>
                      <wps:spPr>
                        <a:xfrm>
                          <a:off x="0" y="0"/>
                          <a:ext cx="656590" cy="2654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sz w:val="18"/>
                                <w:szCs w:val="20"/>
                                <w:lang w:val="en-US" w:eastAsia="zh-CN"/>
                              </w:rPr>
                            </w:pPr>
                            <w:r>
                              <w:rPr>
                                <w:rFonts w:hint="eastAsia"/>
                                <w:sz w:val="18"/>
                                <w:szCs w:val="20"/>
                                <w:lang w:val="en-US" w:eastAsia="zh-CN"/>
                              </w:rPr>
                              <w:t xml:space="preserve">拓宽车道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2" o:spid="_x0000_s1026" o:spt="202" type="#_x0000_t202" style="position:absolute;left:0pt;margin-left:170.7pt;margin-top:3.8pt;height:20.9pt;width:51.7pt;z-index:251692032;mso-width-relative:page;mso-height-relative:page;" fillcolor="#FFFFFF [3201]" filled="t" stroked="f" coordsize="21600,21600" o:gfxdata="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tkle0wAAAAgBAAAPAAAA&#10;AAAAAAEAIAAAACIAAABkcnMvZG93bnJldi54bWxQSwECFAAUAAAACACHTuJAA4lJuVMCAACQBAAA&#10;DgAAAAAAAAABACAAAAAiAQAAZHJzL2Uyb0RvYy54bWxQSwUGAAAAAAYABgBZAQAA5wUAAAAA&#10;">
                <v:fill on="t" focussize="0,0"/>
                <v:stroke on="f" weight="0.5pt"/>
                <v:imagedata o:title=""/>
                <o:lock v:ext="edit" aspectratio="f"/>
                <v:textbox>
                  <w:txbxContent>
                    <w:p>
                      <w:pPr>
                        <w:rPr>
                          <w:rFonts w:hint="default" w:eastAsia="等线"/>
                          <w:sz w:val="18"/>
                          <w:szCs w:val="20"/>
                          <w:lang w:val="en-US" w:eastAsia="zh-CN"/>
                        </w:rPr>
                      </w:pPr>
                      <w:r>
                        <w:rPr>
                          <w:rFonts w:hint="eastAsia"/>
                          <w:sz w:val="18"/>
                          <w:szCs w:val="20"/>
                          <w:lang w:val="en-US" w:eastAsia="zh-CN"/>
                        </w:rPr>
                        <w:t xml:space="preserve">拓宽车道 </w:t>
                      </w:r>
                    </w:p>
                  </w:txbxContent>
                </v:textbox>
              </v:shape>
            </w:pict>
          </mc:Fallback>
        </mc:AlternateContent>
      </w:r>
      <w:r>
        <w:rPr>
          <w:color w:val="auto"/>
          <w:sz w:val="21"/>
          <w:highlight w:val="none"/>
        </w:rPr>
        <mc:AlternateContent>
          <mc:Choice Requires="wps">
            <w:drawing>
              <wp:anchor distT="0" distB="0" distL="114300" distR="114300" simplePos="0" relativeHeight="251693056" behindDoc="0" locked="0" layoutInCell="1" allowOverlap="1">
                <wp:simplePos x="0" y="0"/>
                <wp:positionH relativeFrom="column">
                  <wp:posOffset>1348105</wp:posOffset>
                </wp:positionH>
                <wp:positionV relativeFrom="paragraph">
                  <wp:posOffset>133985</wp:posOffset>
                </wp:positionV>
                <wp:extent cx="95250" cy="95250"/>
                <wp:effectExtent l="6350" t="6350" r="12700" b="12700"/>
                <wp:wrapNone/>
                <wp:docPr id="89" name="椭圆 24"/>
                <wp:cNvGraphicFramePr/>
                <a:graphic xmlns:a="http://schemas.openxmlformats.org/drawingml/2006/main">
                  <a:graphicData uri="http://schemas.microsoft.com/office/word/2010/wordprocessingShape">
                    <wps:wsp>
                      <wps:cNvSpPr/>
                      <wps:spPr>
                        <a:xfrm>
                          <a:off x="0" y="0"/>
                          <a:ext cx="9525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24" o:spid="_x0000_s1026" o:spt="3" type="#_x0000_t3" style="position:absolute;left:0pt;margin-left:106.15pt;margin-top:10.55pt;height:7.5pt;width:7.5pt;z-index:251693056;v-text-anchor:middle;mso-width-relative:page;mso-height-relative:page;" fillcolor="#4472C4 [3204]" filled="t" stroked="t" coordsize="21600,21600" o:gfxdata="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3N01k1AAAAAkBAAAPAAAAAAAAAAEAIAAA&#10;ACIAAABkcnMvZG93bnJldi54bWxQSwECFAAUAAAACACHTuJAzsUp5oICAAAXBQAADgAAAAAAAAAB&#10;ACAAAAAjAQAAZHJzL2Uyb0RvYy54bWxQSwUGAAAAAAYABgBZAQAAFwYAAAAA&#10;">
                <v:fill on="t" focussize="0,0"/>
                <v:stroke weight="1pt" color="#2F528F [3204]" miterlimit="8" joinstyle="miter"/>
                <v:imagedata o:title=""/>
                <o:lock v:ext="edit" aspectratio="f"/>
              </v:shape>
            </w:pict>
          </mc:Fallback>
        </mc:AlternateContent>
      </w:r>
      <w:r>
        <w:rPr>
          <w:color w:val="auto"/>
          <w:sz w:val="21"/>
          <w:highlight w:val="none"/>
        </w:rPr>
        <mc:AlternateContent>
          <mc:Choice Requires="wps">
            <w:drawing>
              <wp:anchor distT="0" distB="0" distL="114300" distR="114300" simplePos="0" relativeHeight="251694080" behindDoc="0" locked="0" layoutInCell="1" allowOverlap="1">
                <wp:simplePos x="0" y="0"/>
                <wp:positionH relativeFrom="column">
                  <wp:posOffset>2843530</wp:posOffset>
                </wp:positionH>
                <wp:positionV relativeFrom="paragraph">
                  <wp:posOffset>133985</wp:posOffset>
                </wp:positionV>
                <wp:extent cx="95250" cy="95250"/>
                <wp:effectExtent l="6350" t="6350" r="12700" b="12700"/>
                <wp:wrapNone/>
                <wp:docPr id="88" name="椭圆 26"/>
                <wp:cNvGraphicFramePr/>
                <a:graphic xmlns:a="http://schemas.openxmlformats.org/drawingml/2006/main">
                  <a:graphicData uri="http://schemas.microsoft.com/office/word/2010/wordprocessingShape">
                    <wps:wsp>
                      <wps:cNvSpPr/>
                      <wps:spPr>
                        <a:xfrm>
                          <a:off x="0" y="0"/>
                          <a:ext cx="9525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26" o:spid="_x0000_s1026" o:spt="3" type="#_x0000_t3" style="position:absolute;left:0pt;margin-left:223.9pt;margin-top:10.55pt;height:7.5pt;width:7.5pt;z-index:251694080;v-text-anchor:middle;mso-width-relative:page;mso-height-relative:page;" fillcolor="#4472C4 [3204]" filled="t" stroked="t" coordsize="21600,21600" o:gfxdata="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y35j9YAAAAJAQAADwAAAAAAAAABACAA&#10;AAAiAAAAZHJzL2Rvd25yZXYueG1sUEsBAhQAFAAAAAgAh07iQGjSSS+BAgAAFwUAAA4AAAAAAAAA&#10;AQAgAAAAJQEAAGRycy9lMm9Eb2MueG1sUEsFBgAAAAAGAAYAWQEAABgGAAAAAA==&#10;">
                <v:fill on="t" focussize="0,0"/>
                <v:stroke weight="1pt" color="#2F528F [3204]" miterlimit="8" joinstyle="miter"/>
                <v:imagedata o:title=""/>
                <o:lock v:ext="edit" aspectratio="f"/>
              </v:shape>
            </w:pict>
          </mc:Fallback>
        </mc:AlternateContent>
      </w:r>
      <w:r>
        <w:rPr>
          <w:color w:val="auto"/>
          <w:sz w:val="21"/>
          <w:highlight w:val="none"/>
        </w:rPr>
        <mc:AlternateContent>
          <mc:Choice Requires="wps">
            <w:drawing>
              <wp:anchor distT="0" distB="0" distL="114300" distR="114300" simplePos="0" relativeHeight="251691008" behindDoc="0" locked="0" layoutInCell="1" allowOverlap="1">
                <wp:simplePos x="0" y="0"/>
                <wp:positionH relativeFrom="column">
                  <wp:posOffset>290195</wp:posOffset>
                </wp:positionH>
                <wp:positionV relativeFrom="paragraph">
                  <wp:posOffset>181610</wp:posOffset>
                </wp:positionV>
                <wp:extent cx="3725545" cy="3810"/>
                <wp:effectExtent l="0" t="0" r="0" b="0"/>
                <wp:wrapNone/>
                <wp:docPr id="86" name="直接连接符 25"/>
                <wp:cNvGraphicFramePr/>
                <a:graphic xmlns:a="http://schemas.openxmlformats.org/drawingml/2006/main">
                  <a:graphicData uri="http://schemas.microsoft.com/office/word/2010/wordprocessingShape">
                    <wps:wsp>
                      <wps:cNvCnPr/>
                      <wps:spPr>
                        <a:xfrm flipV="1">
                          <a:off x="0" y="0"/>
                          <a:ext cx="3725545" cy="3810"/>
                        </a:xfrm>
                        <a:prstGeom prst="line">
                          <a:avLst/>
                        </a:prstGeom>
                        <a:ln>
                          <a:prstDash val="lg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5" o:spid="_x0000_s1026" o:spt="20" style="position:absolute;left:0pt;flip:y;margin-left:22.85pt;margin-top:14.3pt;height:0.3pt;width:293.35pt;z-index:251691008;mso-width-relative:page;mso-height-relative:page;" filled="f" stroked="t" coordsize="21600,21600" o:gfxdata="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f5nCtcAAAAIAQAADwAAAAAAAAABACAAAAAiAAAAZHJzL2Rvd25yZXYueG1s&#10;UEsBAhQAFAAAAAgAh07iQHsmCvT5AQAAxAMAAA4AAAAAAAAAAQAgAAAAJgEAAGRycy9lMm9Eb2Mu&#10;eG1sUEsFBgAAAAAGAAYAWQEAAJEFAAAAAA==&#10;">
                <v:fill on="f" focussize="0,0"/>
                <v:stroke weight="0.5pt" color="#4472C4 [3204]" miterlimit="8" joinstyle="miter" dashstyle="longDashDot"/>
                <v:imagedata o:title=""/>
                <o:lock v:ext="edit" aspectratio="f"/>
              </v:line>
            </w:pict>
          </mc:Fallback>
        </mc:AlternateContent>
      </w:r>
      <w:r>
        <w:rPr>
          <w:color w:val="auto"/>
          <w:sz w:val="21"/>
          <w:highlight w:val="none"/>
        </w:rPr>
        <mc:AlternateContent>
          <mc:Choice Requires="wps">
            <w:drawing>
              <wp:anchor distT="0" distB="0" distL="114300" distR="114300" simplePos="0" relativeHeight="251689984" behindDoc="0" locked="0" layoutInCell="1" allowOverlap="1">
                <wp:simplePos x="0" y="0"/>
                <wp:positionH relativeFrom="column">
                  <wp:posOffset>299720</wp:posOffset>
                </wp:positionH>
                <wp:positionV relativeFrom="paragraph">
                  <wp:posOffset>29210</wp:posOffset>
                </wp:positionV>
                <wp:extent cx="3725545" cy="3810"/>
                <wp:effectExtent l="0" t="0" r="0" b="0"/>
                <wp:wrapNone/>
                <wp:docPr id="85" name="直接连接符 17"/>
                <wp:cNvGraphicFramePr/>
                <a:graphic xmlns:a="http://schemas.openxmlformats.org/drawingml/2006/main">
                  <a:graphicData uri="http://schemas.microsoft.com/office/word/2010/wordprocessingShape">
                    <wps:wsp>
                      <wps:cNvCnPr/>
                      <wps:spPr>
                        <a:xfrm flipV="1">
                          <a:off x="0" y="0"/>
                          <a:ext cx="3725545" cy="38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7" o:spid="_x0000_s1026" o:spt="20" style="position:absolute;left:0pt;flip:y;margin-left:23.6pt;margin-top:2.3pt;height:0.3pt;width:293.35pt;z-index:251689984;mso-width-relative:page;mso-height-relative:page;" filled="f" stroked="t" coordsize="21600,21600" o:gfxdata="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IoNJLVAAAABgEAAA8AAAAAAAAAAQAgAAAAIgAAAGRycy9kb3ducmV2LnhtbFBLAQIU&#10;ABQAAAAIAIdO4kD2Yteg9gEAAMADAAAOAAAAAAAAAAEAIAAAACQBAABkcnMvZTJvRG9jLnhtbFBL&#10;BQYAAAAABgAGAFkBAACMBQAAAAA=&#10;">
                <v:fill on="f" focussize="0,0"/>
                <v:stroke weight="0.5pt" color="#4472C4 [3204]" miterlimit="8" joinstyle="miter"/>
                <v:imagedata o:title=""/>
                <o:lock v:ext="edit" aspectratio="f"/>
              </v:line>
            </w:pict>
          </mc:Fallback>
        </mc:AlternateContent>
      </w:r>
      <w:r>
        <w:rPr>
          <w:color w:val="auto"/>
          <w:sz w:val="21"/>
          <w:highlight w:val="none"/>
        </w:rPr>
        <mc:AlternateContent>
          <mc:Choice Requires="wpg">
            <w:drawing>
              <wp:anchor distT="0" distB="0" distL="114300" distR="114300" simplePos="0" relativeHeight="251688960" behindDoc="0" locked="0" layoutInCell="1" allowOverlap="1">
                <wp:simplePos x="0" y="0"/>
                <wp:positionH relativeFrom="column">
                  <wp:posOffset>557530</wp:posOffset>
                </wp:positionH>
                <wp:positionV relativeFrom="paragraph">
                  <wp:posOffset>143510</wp:posOffset>
                </wp:positionV>
                <wp:extent cx="3095625" cy="95250"/>
                <wp:effectExtent l="6350" t="6350" r="22225" b="12700"/>
                <wp:wrapNone/>
                <wp:docPr id="84" name="组合 84"/>
                <wp:cNvGraphicFramePr/>
                <a:graphic xmlns:a="http://schemas.openxmlformats.org/drawingml/2006/main">
                  <a:graphicData uri="http://schemas.microsoft.com/office/word/2010/wordprocessingGroup">
                    <wpg:wgp>
                      <wpg:cNvGrpSpPr/>
                      <wpg:grpSpPr>
                        <a:xfrm>
                          <a:off x="0" y="0"/>
                          <a:ext cx="3095625" cy="95250"/>
                          <a:chOff x="4403" y="424623"/>
                          <a:chExt cx="4875" cy="150"/>
                        </a:xfrm>
                      </wpg:grpSpPr>
                      <wps:wsp>
                        <wps:cNvPr id="75" name="椭圆 23"/>
                        <wps:cNvSpPr/>
                        <wps:spPr>
                          <a:xfrm>
                            <a:off x="4403" y="424623"/>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 name="椭圆 24"/>
                        <wps:cNvSpPr/>
                        <wps:spPr>
                          <a:xfrm>
                            <a:off x="6773" y="424623"/>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 name="椭圆 26"/>
                        <wps:cNvSpPr/>
                        <wps:spPr>
                          <a:xfrm>
                            <a:off x="9128" y="424623"/>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3.9pt;margin-top:11.3pt;height:7.5pt;width:243.75pt;z-index:251688960;mso-width-relative:page;mso-height-relative:page;" coordorigin="4403,424623" coordsize="4875,150" o:gfxdata="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81FcN9kAAAAIAQAADwAAAAAAAAABACAAAAAiAAAAZHJzL2Rvd25yZXYueG1sUEsBAhQA&#10;FAAAAAgAh07iQP6TzOVHAwAAxQwAAA4AAAAAAAAAAQAgAAAAKAEAAGRycy9lMm9Eb2MueG1sUEsF&#10;BgAAAAAGAAYAWQEAAOEGAAAAAA==&#10;">
                <o:lock v:ext="edit" aspectratio="f"/>
                <v:shape id="椭圆 23" o:spid="_x0000_s1026" o:spt="3" type="#_x0000_t3" style="position:absolute;left:4403;top:424623;height:150;width:150;v-text-anchor:middle;" fillcolor="#4472C4 [3204]" filled="t" stroked="t" coordsize="21600,21600" o:gfxdata="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WvYbsAAADb&#10;AAAADwAAAAAAAAABACAAAAAiAAAAZHJzL2Rvd25yZXYueG1sUEsBAhQAFAAAAAgAh07iQDMvBZ47&#10;AAAAOQAAABAAAAAAAAAAAQAgAAAACgEAAGRycy9zaGFwZXhtbC54bWxQSwUGAAAAAAYABgBbAQAA&#10;tAMAAAAA&#10;">
                  <v:fill on="t" focussize="0,0"/>
                  <v:stroke weight="1pt" color="#2F528F [3204]" miterlimit="8" joinstyle="miter"/>
                  <v:imagedata o:title=""/>
                  <o:lock v:ext="edit" aspectratio="f"/>
                </v:shape>
                <v:shape id="椭圆 24" o:spid="_x0000_s1026" o:spt="3" type="#_x0000_t3" style="position:absolute;left:6773;top:424623;height:150;width:150;v-text-anchor:middle;" fillcolor="#4472C4 [3204]" filled="t" stroked="t" coordsize="21600,21600" o:gfxdata="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imsabgAAADaAAAA&#10;DwAAAAAAAAABACAAAAAiAAAAZHJzL2Rvd25yZXYueG1sUEsBAhQAFAAAAAgAh07iQDMvBZ47AAAA&#10;OQAAABAAAAAAAAAAAQAgAAAABwEAAGRycy9zaGFwZXhtbC54bWxQSwUGAAAAAAYABgBbAQAAsQMA&#10;AAAA&#10;">
                  <v:fill on="t" focussize="0,0"/>
                  <v:stroke weight="1pt" color="#2F528F [3204]" miterlimit="8" joinstyle="miter"/>
                  <v:imagedata o:title=""/>
                  <o:lock v:ext="edit" aspectratio="f"/>
                </v:shape>
                <v:shape id="椭圆 26" o:spid="_x0000_s1026" o:spt="3" type="#_x0000_t3" style="position:absolute;left:9128;top:424623;height:150;width:150;v-text-anchor:middle;" fillcolor="#4472C4 [3204]" filled="t" stroked="t" coordsize="21600,21600" o:gfxdata="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t5eFugAAANoA&#10;AAAPAAAAAAAAAAEAIAAAACIAAABkcnMvZG93bnJldi54bWxQSwECFAAUAAAACACHTuJAMy8FnjsA&#10;AAA5AAAAEAAAAAAAAAABACAAAAAJAQAAZHJzL3NoYXBleG1sLnhtbFBLBQYAAAAABgAGAFsBAACz&#10;AwAAAAA=&#10;">
                  <v:fill on="t" focussize="0,0"/>
                  <v:stroke weight="1pt" color="#2F528F [3204]" miterlimit="8" joinstyle="miter"/>
                  <v:imagedata o:title=""/>
                  <o:lock v:ext="edit" aspectratio="f"/>
                </v:shape>
              </v:group>
            </w:pict>
          </mc:Fallback>
        </mc:AlternateContent>
      </w:r>
      <w:r>
        <w:rPr>
          <w:color w:val="auto"/>
          <w:sz w:val="21"/>
          <w:highlight w:val="none"/>
        </w:rPr>
        <mc:AlternateContent>
          <mc:Choice Requires="wps">
            <w:drawing>
              <wp:anchor distT="0" distB="0" distL="114300" distR="114300" simplePos="0" relativeHeight="251686912" behindDoc="0" locked="0" layoutInCell="1" allowOverlap="1">
                <wp:simplePos x="0" y="0"/>
                <wp:positionH relativeFrom="column">
                  <wp:posOffset>-137160</wp:posOffset>
                </wp:positionH>
                <wp:positionV relativeFrom="paragraph">
                  <wp:posOffset>172085</wp:posOffset>
                </wp:positionV>
                <wp:extent cx="456565" cy="274955"/>
                <wp:effectExtent l="0" t="0" r="635" b="10795"/>
                <wp:wrapNone/>
                <wp:docPr id="74" name="文本框 31"/>
                <wp:cNvGraphicFramePr/>
                <a:graphic xmlns:a="http://schemas.openxmlformats.org/drawingml/2006/main">
                  <a:graphicData uri="http://schemas.microsoft.com/office/word/2010/wordprocessingShape">
                    <wps:wsp>
                      <wps:cNvSpPr txBox="1"/>
                      <wps:spPr>
                        <a:xfrm>
                          <a:off x="1005840" y="8817610"/>
                          <a:ext cx="456565" cy="2749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sz w:val="18"/>
                                <w:szCs w:val="20"/>
                                <w:lang w:val="en-US" w:eastAsia="zh-CN"/>
                              </w:rPr>
                            </w:pPr>
                            <w:r>
                              <w:rPr>
                                <w:rFonts w:hint="eastAsia"/>
                                <w:sz w:val="18"/>
                                <w:szCs w:val="20"/>
                                <w:lang w:val="en-US" w:eastAsia="zh-CN"/>
                              </w:rPr>
                              <w:t xml:space="preserve">边线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10.8pt;margin-top:13.55pt;height:21.65pt;width:35.95pt;z-index:251686912;mso-width-relative:page;mso-height-relative:page;" fillcolor="#FFFFFF [3201]" filled="t" stroked="f" coordsize="21600,21600" o:gfxdata="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R5wnP1AAA&#10;AAgBAAAPAAAAAAAAAAEAIAAAACIAAABkcnMvZG93bnJldi54bWxQSwECFAAUAAAACACHTuJAhuSA&#10;OlsCAACcBAAADgAAAAAAAAABACAAAAAjAQAAZHJzL2Uyb0RvYy54bWxQSwUGAAAAAAYABgBZAQAA&#10;8AUAAAAA&#10;">
                <v:fill on="t" focussize="0,0"/>
                <v:stroke on="f" weight="0.5pt"/>
                <v:imagedata o:title=""/>
                <o:lock v:ext="edit" aspectratio="f"/>
                <v:textbox>
                  <w:txbxContent>
                    <w:p>
                      <w:pPr>
                        <w:rPr>
                          <w:rFonts w:hint="default" w:eastAsia="等线"/>
                          <w:sz w:val="18"/>
                          <w:szCs w:val="20"/>
                          <w:lang w:val="en-US" w:eastAsia="zh-CN"/>
                        </w:rPr>
                      </w:pPr>
                      <w:r>
                        <w:rPr>
                          <w:rFonts w:hint="eastAsia"/>
                          <w:sz w:val="18"/>
                          <w:szCs w:val="20"/>
                          <w:lang w:val="en-US" w:eastAsia="zh-CN"/>
                        </w:rPr>
                        <w:t xml:space="preserve">边线 </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bCs/>
          <w:color w:val="auto"/>
          <w:highlight w:val="none"/>
          <w:lang w:val="en-US" w:eastAsia="zh-CN"/>
        </w:rPr>
      </w:pPr>
      <w:r>
        <w:rPr>
          <w:color w:val="auto"/>
          <w:sz w:val="21"/>
          <w:highlight w:val="none"/>
        </w:rPr>
        <mc:AlternateContent>
          <mc:Choice Requires="wps">
            <w:drawing>
              <wp:anchor distT="0" distB="0" distL="114300" distR="114300" simplePos="0" relativeHeight="251685888" behindDoc="0" locked="0" layoutInCell="1" allowOverlap="1">
                <wp:simplePos x="0" y="0"/>
                <wp:positionH relativeFrom="column">
                  <wp:posOffset>290195</wp:posOffset>
                </wp:positionH>
                <wp:positionV relativeFrom="paragraph">
                  <wp:posOffset>27305</wp:posOffset>
                </wp:positionV>
                <wp:extent cx="3743960" cy="3810"/>
                <wp:effectExtent l="0" t="0" r="0" b="0"/>
                <wp:wrapNone/>
                <wp:docPr id="72" name="直接连接符 21"/>
                <wp:cNvGraphicFramePr/>
                <a:graphic xmlns:a="http://schemas.openxmlformats.org/drawingml/2006/main">
                  <a:graphicData uri="http://schemas.microsoft.com/office/word/2010/wordprocessingShape">
                    <wps:wsp>
                      <wps:cNvCnPr/>
                      <wps:spPr>
                        <a:xfrm flipV="1">
                          <a:off x="1433195" y="8970010"/>
                          <a:ext cx="3743960" cy="38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1" o:spid="_x0000_s1026" o:spt="20" style="position:absolute;left:0pt;flip:y;margin-left:22.85pt;margin-top:2.15pt;height:0.3pt;width:294.8pt;z-index:251685888;mso-width-relative:page;mso-height-relative:page;" filled="f" stroked="t" coordsize="21600,21600" o:gfxdata="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Vh/Eg1AAAAAYBAAAPAAAAAAAAAAEAIAAAACIAAABkcnMvZG93bnJl&#10;di54bWxQSwECFAAUAAAACACHTuJAzo9RuwECAADMAwAADgAAAAAAAAABACAAAAAjAQAAZHJzL2Uy&#10;b0RvYy54bWxQSwUGAAAAAAYABgBZAQAAlgUAAAAA&#10;">
                <v:fill on="f" focussize="0,0"/>
                <v:stroke weight="0.5pt" color="#4472C4 [3204]" miterlimit="8" joinstyle="miter"/>
                <v:imagedata o:title=""/>
                <o:lock v:ext="edit" aspectratio="f"/>
              </v:line>
            </w:pict>
          </mc:Fallback>
        </mc:AlternateContent>
      </w:r>
    </w:p>
    <w:p>
      <w:pPr>
        <w:spacing w:line="360" w:lineRule="auto"/>
        <w:jc w:val="center"/>
        <w:rPr>
          <w:rFonts w:hint="default"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图5-1 城市道路工程勘探点几种布置形式示意图</w:t>
      </w:r>
    </w:p>
    <w:p>
      <w:pPr>
        <w:spacing w:line="360" w:lineRule="auto"/>
        <w:rPr>
          <w:rFonts w:ascii="Times New Roman" w:hAnsi="Times New Roman" w:eastAsia="宋体"/>
          <w:color w:val="auto"/>
          <w:highlight w:val="none"/>
        </w:rPr>
      </w:pPr>
      <w:r>
        <w:rPr>
          <w:rFonts w:ascii="Times New Roman" w:hAnsi="Times New Roman" w:eastAsia="宋体"/>
          <w:b/>
          <w:bCs/>
          <w:color w:val="auto"/>
          <w:highlight w:val="none"/>
        </w:rPr>
        <w:t xml:space="preserve">5.1.4 </w:t>
      </w:r>
      <w:r>
        <w:rPr>
          <w:rFonts w:hint="eastAsia"/>
          <w:b/>
          <w:bCs/>
          <w:color w:val="auto"/>
          <w:highlight w:val="none"/>
          <w:lang w:val="en-US" w:eastAsia="zh-CN"/>
        </w:rPr>
        <w:t xml:space="preserve"> </w:t>
      </w:r>
      <w:r>
        <w:rPr>
          <w:rFonts w:ascii="Times New Roman" w:hAnsi="Times New Roman" w:eastAsia="宋体"/>
          <w:color w:val="auto"/>
          <w:highlight w:val="none"/>
        </w:rPr>
        <w:t>道路可能保持现状地面标高，也可能存在填方段和挖方段，路面设计标高以下表层的土体是主要的持力层，需要重点关注。研究表明，道路路基沉降主要受浅部软弱地层控制，尤其是深度3.0m以内的松散土或软土，故在此深度范围宜加强取样。但是，杂填土和耕土一般不宜作为路基土，需要开挖换填，取样意义不大</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故</w:t>
      </w:r>
      <w:r>
        <w:rPr>
          <w:rFonts w:ascii="Times New Roman" w:hAnsi="Times New Roman" w:eastAsia="宋体"/>
          <w:color w:val="auto"/>
          <w:highlight w:val="none"/>
        </w:rPr>
        <w:t>明确判断需要换填处理的杂填土和耕土层可不取样。</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取样测试孔的原位测试可结合采取土样进行，即每取一组试样后随即进行原位测试，这样有利于室内试验和原位测试结果的相互对比验证。由于取样测试孔已有部分原位测试数据，单纯的原位测试钻孔的原位测试竖向间距可不要求加密。</w:t>
      </w:r>
    </w:p>
    <w:p>
      <w:pPr>
        <w:spacing w:line="360" w:lineRule="auto"/>
        <w:ind w:firstLine="420" w:firstLineChars="200"/>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主要土层取样组数可适当多于6组，确保有效的物理力学指标不少于6个</w:t>
      </w:r>
      <w:r>
        <w:rPr>
          <w:rFonts w:ascii="Times New Roman" w:hAnsi="Times New Roman" w:eastAsia="宋体"/>
          <w:color w:val="auto"/>
          <w:highlight w:val="none"/>
        </w:rPr>
        <w:t>。</w:t>
      </w:r>
    </w:p>
    <w:p>
      <w:pPr>
        <w:spacing w:line="360" w:lineRule="auto"/>
        <w:ind w:firstLine="420" w:firstLineChars="20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软土标准固结试验宜测试先期固结压力。</w:t>
      </w:r>
    </w:p>
    <w:p>
      <w:pPr>
        <w:spacing w:line="360" w:lineRule="auto"/>
        <w:rPr>
          <w:rFonts w:hint="default" w:ascii="Times New Roman" w:hAnsi="Times New Roman" w:eastAsia="宋体"/>
          <w:b/>
          <w:bCs/>
          <w:color w:val="auto"/>
          <w:highlight w:val="none"/>
          <w:lang w:val="en-US" w:eastAsia="zh-CN"/>
        </w:rPr>
      </w:pPr>
      <w:r>
        <w:rPr>
          <w:rFonts w:ascii="Times New Roman" w:hAnsi="Times New Roman" w:eastAsia="宋体"/>
          <w:b/>
          <w:bCs/>
          <w:color w:val="auto"/>
          <w:highlight w:val="none"/>
        </w:rPr>
        <w:t>5.1.</w:t>
      </w:r>
      <w:r>
        <w:rPr>
          <w:rFonts w:hint="eastAsia" w:ascii="Times New Roman" w:hAnsi="Times New Roman" w:eastAsia="宋体"/>
          <w:b/>
          <w:bCs/>
          <w:color w:val="auto"/>
          <w:highlight w:val="none"/>
          <w:lang w:val="en-US" w:eastAsia="zh-CN"/>
        </w:rPr>
        <w:t>5</w:t>
      </w:r>
      <w:r>
        <w:rPr>
          <w:rFonts w:ascii="Times New Roman" w:hAnsi="Times New Roman" w:eastAsia="宋体"/>
          <w:color w:val="auto"/>
          <w:highlight w:val="none"/>
        </w:rPr>
        <w:t xml:space="preserve"> </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目前，城市存在大量的旧路需要拓宽或改造，包括道路修复、道路拓宽、快速化改造等，设计、施工前需要开展相应的岩土工程勘察工作。</w:t>
      </w:r>
    </w:p>
    <w:p>
      <w:pPr>
        <w:spacing w:line="360" w:lineRule="auto"/>
        <w:rPr>
          <w:rFonts w:hint="eastAsia" w:ascii="Times New Roman" w:hAnsi="Times New Roman" w:eastAsia="宋体"/>
          <w:b/>
          <w:bCs/>
          <w:color w:val="auto"/>
          <w:highlight w:val="none"/>
          <w:lang w:val="en-US" w:eastAsia="zh-CN"/>
        </w:rPr>
      </w:pPr>
      <w:bookmarkStart w:id="350" w:name="_Toc76998266"/>
      <w:r>
        <w:rPr>
          <w:rFonts w:ascii="Times New Roman" w:hAnsi="Times New Roman" w:eastAsia="宋体"/>
          <w:b/>
          <w:bCs/>
          <w:color w:val="auto"/>
          <w:highlight w:val="none"/>
        </w:rPr>
        <w:t>5.</w:t>
      </w:r>
      <w:r>
        <w:rPr>
          <w:rFonts w:hint="eastAsia" w:ascii="Times New Roman" w:hAnsi="Times New Roman" w:eastAsia="宋体"/>
          <w:b/>
          <w:bCs/>
          <w:color w:val="auto"/>
          <w:highlight w:val="none"/>
          <w:lang w:val="en-US" w:eastAsia="zh-CN"/>
        </w:rPr>
        <w:t xml:space="preserve">1.6 </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就本条第1~4款说明如下：</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 xml:space="preserve">1~2 </w:t>
      </w:r>
      <w:r>
        <w:rPr>
          <w:rFonts w:hint="eastAsia"/>
          <w:b/>
          <w:bCs/>
          <w:color w:val="auto"/>
          <w:highlight w:val="none"/>
          <w:lang w:val="en-US" w:eastAsia="zh-CN"/>
        </w:rPr>
        <w:t xml:space="preserve"> </w:t>
      </w:r>
      <w:r>
        <w:rPr>
          <w:rFonts w:ascii="Times New Roman" w:hAnsi="Times New Roman" w:eastAsia="宋体"/>
          <w:color w:val="auto"/>
          <w:highlight w:val="none"/>
        </w:rPr>
        <w:t>这些地下的</w:t>
      </w:r>
      <w:r>
        <w:rPr>
          <w:rFonts w:hint="eastAsia" w:ascii="宋体" w:hAnsi="宋体" w:eastAsia="宋体" w:cs="宋体"/>
          <w:color w:val="auto"/>
          <w:highlight w:val="none"/>
        </w:rPr>
        <w:t>“空域”</w:t>
      </w:r>
      <w:r>
        <w:rPr>
          <w:rFonts w:ascii="Times New Roman" w:hAnsi="Times New Roman" w:eastAsia="宋体"/>
          <w:color w:val="auto"/>
          <w:highlight w:val="none"/>
        </w:rPr>
        <w:t>的空间分布和形态没有显著的规律，很难单纯通过</w:t>
      </w:r>
      <w:r>
        <w:rPr>
          <w:rFonts w:hint="eastAsia" w:ascii="Times New Roman" w:hAnsi="Times New Roman" w:eastAsia="宋体"/>
          <w:color w:val="auto"/>
          <w:highlight w:val="none"/>
          <w:lang w:eastAsia="zh-CN"/>
        </w:rPr>
        <w:t>勘探</w:t>
      </w:r>
      <w:r>
        <w:rPr>
          <w:rFonts w:ascii="Times New Roman" w:hAnsi="Times New Roman" w:eastAsia="宋体"/>
          <w:color w:val="auto"/>
          <w:highlight w:val="none"/>
        </w:rPr>
        <w:t>来查明，一般需要结合物探手段。</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对于道路工程而言，其荷载影响范围主要在覆盖层，非特殊情况一般不考虑做物探工作。对于岩溶区、采空区，若埋藏很深或规模较小，对路基稳定性一般没影响，或者即便局部有影响，但在建设阶段处理的经济性不合理，则无需特别查明。</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埋藏深浅、规模大小是相对的，主要在于岩溶区、采空区是否影响路基的稳定性。例如：</w:t>
      </w:r>
      <w:r>
        <w:rPr>
          <w:rFonts w:hint="eastAsia" w:ascii="Times New Roman" w:hAnsi="Times New Roman" w:eastAsia="宋体"/>
          <w:color w:val="auto"/>
          <w:highlight w:val="none"/>
          <w:lang w:eastAsia="zh-CN"/>
        </w:rPr>
        <w:t>勘探</w:t>
      </w:r>
      <w:r>
        <w:rPr>
          <w:rFonts w:ascii="Times New Roman" w:hAnsi="Times New Roman" w:eastAsia="宋体"/>
          <w:color w:val="auto"/>
          <w:highlight w:val="none"/>
        </w:rPr>
        <w:t>揭示，路段A的岩溶埋深10~15m，顶板厚度一般大于3m，溶洞规模一般不超过2m，且覆盖层以软塑以上黏性土为主，初步判断对路基稳定性影响不大，那么可以认为路段A的岩溶埋藏较深、规模较小，无需增加物探手段；而路段B的岩溶埋深也是10~15m，但顶板厚度一般较薄，有的仅0.2~0.5m，溶洞规模一般2~3m，且覆盖层以砂层为主，初步判断对路基稳定性影响较大，那么可以认为路段B的岩溶埋藏较浅、规模较大，宜增加物探手段来查明溶洞的空间分布形态。</w:t>
      </w:r>
    </w:p>
    <w:p>
      <w:pPr>
        <w:spacing w:line="360" w:lineRule="auto"/>
        <w:ind w:firstLine="420" w:firstLineChars="20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脱空区是指道路因基层材料损失而形成的地下空洞。</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 xml:space="preserve">3 </w:t>
      </w:r>
      <w:r>
        <w:rPr>
          <w:rFonts w:hint="eastAsia"/>
          <w:b/>
          <w:bCs/>
          <w:color w:val="auto"/>
          <w:highlight w:val="none"/>
          <w:lang w:val="en-US" w:eastAsia="zh-CN"/>
        </w:rPr>
        <w:t xml:space="preserve"> </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中，往往存在大面积或较长线路没有条件</w:t>
      </w:r>
      <w:r>
        <w:rPr>
          <w:rFonts w:hint="eastAsia" w:ascii="Times New Roman" w:hAnsi="Times New Roman" w:eastAsia="宋体"/>
          <w:color w:val="auto"/>
          <w:highlight w:val="none"/>
          <w:lang w:eastAsia="zh-CN"/>
        </w:rPr>
        <w:t>勘探</w:t>
      </w:r>
      <w:r>
        <w:rPr>
          <w:rFonts w:ascii="Times New Roman" w:hAnsi="Times New Roman" w:eastAsia="宋体"/>
          <w:color w:val="auto"/>
          <w:highlight w:val="none"/>
        </w:rPr>
        <w:t>的情况，借助恰当的物探手段进行辅助勘探工作，为设计提供本阶段基本可用的地质资料，待场地满足</w:t>
      </w:r>
      <w:r>
        <w:rPr>
          <w:rFonts w:hint="eastAsia" w:ascii="Times New Roman" w:hAnsi="Times New Roman" w:eastAsia="宋体"/>
          <w:color w:val="auto"/>
          <w:highlight w:val="none"/>
          <w:lang w:eastAsia="zh-CN"/>
        </w:rPr>
        <w:t>勘探</w:t>
      </w:r>
      <w:r>
        <w:rPr>
          <w:rFonts w:ascii="Times New Roman" w:hAnsi="Times New Roman" w:eastAsia="宋体"/>
          <w:color w:val="auto"/>
          <w:highlight w:val="none"/>
        </w:rPr>
        <w:t>进场条件后在进场勘探，完成相应的阶段性勘察任务。</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 xml:space="preserve">4 </w:t>
      </w:r>
      <w:r>
        <w:rPr>
          <w:rFonts w:hint="eastAsia"/>
          <w:b/>
          <w:bCs/>
          <w:color w:val="auto"/>
          <w:highlight w:val="none"/>
          <w:lang w:val="en-US" w:eastAsia="zh-CN"/>
        </w:rPr>
        <w:t xml:space="preserve"> </w:t>
      </w:r>
      <w:r>
        <w:rPr>
          <w:rFonts w:ascii="Times New Roman" w:hAnsi="Times New Roman" w:eastAsia="宋体"/>
          <w:color w:val="auto"/>
          <w:highlight w:val="none"/>
        </w:rPr>
        <w:t>此处物探的主要目的是找到软弱接触面或地下水富集带，从而协助判断可能的滑移面。</w:t>
      </w:r>
    </w:p>
    <w:p>
      <w:pPr>
        <w:pStyle w:val="3"/>
        <w:jc w:val="center"/>
        <w:rPr>
          <w:rFonts w:ascii="Times New Roman" w:hAnsi="Times New Roman" w:eastAsia="宋体" w:cs="Times New Roman"/>
          <w:color w:val="auto"/>
          <w:sz w:val="24"/>
          <w:highlight w:val="none"/>
        </w:rPr>
      </w:pPr>
      <w:bookmarkStart w:id="351" w:name="_Toc3066"/>
      <w:bookmarkStart w:id="352" w:name="_Toc27983"/>
      <w:r>
        <w:rPr>
          <w:rFonts w:ascii="Times New Roman" w:hAnsi="Times New Roman" w:eastAsia="宋体" w:cs="Times New Roman"/>
          <w:color w:val="auto"/>
          <w:sz w:val="24"/>
          <w:highlight w:val="none"/>
        </w:rPr>
        <w:t xml:space="preserve">5.3 </w:t>
      </w:r>
      <w:r>
        <w:rPr>
          <w:rFonts w:hint="eastAsia" w:ascii="Times New Roman" w:hAnsi="Times New Roman" w:eastAsia="宋体" w:cs="Times New Roman"/>
          <w:color w:val="auto"/>
          <w:sz w:val="24"/>
          <w:highlight w:val="none"/>
          <w:lang w:val="en-US" w:eastAsia="zh-CN"/>
        </w:rPr>
        <w:t xml:space="preserve"> </w:t>
      </w:r>
      <w:r>
        <w:rPr>
          <w:rFonts w:ascii="Times New Roman" w:hAnsi="Times New Roman" w:eastAsia="宋体" w:cs="Times New Roman"/>
          <w:color w:val="auto"/>
          <w:sz w:val="24"/>
          <w:highlight w:val="none"/>
        </w:rPr>
        <w:t>初步勘察</w:t>
      </w:r>
      <w:bookmarkEnd w:id="350"/>
      <w:bookmarkEnd w:id="351"/>
      <w:bookmarkEnd w:id="352"/>
      <w:r>
        <w:rPr>
          <w:rFonts w:ascii="Times New Roman" w:hAnsi="Times New Roman" w:eastAsia="宋体" w:cs="Times New Roman"/>
          <w:color w:val="auto"/>
          <w:sz w:val="24"/>
          <w:highlight w:val="none"/>
        </w:rPr>
        <w:tab/>
      </w:r>
    </w:p>
    <w:p>
      <w:pPr>
        <w:spacing w:line="360" w:lineRule="auto"/>
        <w:rPr>
          <w:rFonts w:ascii="Times New Roman" w:hAnsi="Times New Roman" w:eastAsia="宋体"/>
          <w:color w:val="auto"/>
          <w:highlight w:val="none"/>
        </w:rPr>
      </w:pPr>
      <w:r>
        <w:rPr>
          <w:rFonts w:ascii="Times New Roman" w:hAnsi="Times New Roman" w:eastAsia="宋体"/>
          <w:b/>
          <w:bCs/>
          <w:color w:val="auto"/>
          <w:highlight w:val="none"/>
        </w:rPr>
        <w:t>5.3.</w:t>
      </w:r>
      <w:r>
        <w:rPr>
          <w:rFonts w:hint="eastAsia" w:ascii="Times New Roman" w:hAnsi="Times New Roman" w:eastAsia="宋体"/>
          <w:b/>
          <w:bCs/>
          <w:color w:val="auto"/>
          <w:highlight w:val="none"/>
          <w:lang w:val="en-US" w:eastAsia="zh-CN"/>
        </w:rPr>
        <w:t>1</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hint="eastAsia" w:ascii="Times New Roman" w:hAnsi="Times New Roman" w:eastAsia="宋体"/>
          <w:b w:val="0"/>
          <w:bCs w:val="0"/>
          <w:color w:val="auto"/>
          <w:highlight w:val="none"/>
          <w:lang w:val="en-US" w:eastAsia="zh-CN"/>
        </w:rPr>
        <w:t>路堑边坡改造了自然坡体，其影响范围往往不局限于坡体本身，需要适当扩大调绘范围，并且要重视水文地质调绘。</w:t>
      </w:r>
      <w:r>
        <w:rPr>
          <w:rFonts w:ascii="Times New Roman" w:hAnsi="Times New Roman" w:eastAsia="宋体"/>
          <w:color w:val="auto"/>
          <w:highlight w:val="none"/>
        </w:rPr>
        <w:t>对地质构造复杂、岩土破碎、风化严重、有外倾结构面或堆积层发育、上方汇水区域较大以及地下水发育的边坡，调绘范围</w:t>
      </w:r>
      <w:r>
        <w:rPr>
          <w:rFonts w:hint="eastAsia" w:ascii="Times New Roman" w:hAnsi="Times New Roman" w:eastAsia="宋体"/>
          <w:color w:val="auto"/>
          <w:highlight w:val="none"/>
          <w:lang w:val="en-US" w:eastAsia="zh-CN"/>
        </w:rPr>
        <w:t>根据需要进一步</w:t>
      </w:r>
      <w:r>
        <w:rPr>
          <w:rFonts w:ascii="Times New Roman" w:hAnsi="Times New Roman" w:eastAsia="宋体"/>
          <w:color w:val="auto"/>
          <w:highlight w:val="none"/>
        </w:rPr>
        <w:t>扩大。</w:t>
      </w:r>
    </w:p>
    <w:p>
      <w:pPr>
        <w:spacing w:line="360" w:lineRule="auto"/>
        <w:rPr>
          <w:rFonts w:hint="default" w:ascii="Times New Roman" w:hAnsi="Times New Roman" w:eastAsia="宋体"/>
          <w:b/>
          <w:bCs/>
          <w:color w:val="auto"/>
          <w:highlight w:val="none"/>
          <w:lang w:val="en-US" w:eastAsia="zh-CN"/>
        </w:rPr>
      </w:pPr>
      <w:r>
        <w:rPr>
          <w:rFonts w:ascii="Times New Roman" w:hAnsi="Times New Roman" w:eastAsia="宋体"/>
          <w:b/>
          <w:bCs/>
          <w:color w:val="auto"/>
          <w:highlight w:val="none"/>
        </w:rPr>
        <w:t>5.3.</w:t>
      </w:r>
      <w:r>
        <w:rPr>
          <w:rFonts w:hint="eastAsia" w:ascii="Times New Roman" w:hAnsi="Times New Roman" w:eastAsia="宋体"/>
          <w:b/>
          <w:bCs/>
          <w:color w:val="auto"/>
          <w:highlight w:val="none"/>
          <w:lang w:val="en-US" w:eastAsia="zh-CN"/>
        </w:rPr>
        <w:t xml:space="preserve">2 </w:t>
      </w:r>
      <w:r>
        <w:rPr>
          <w:rFonts w:hint="eastAsia"/>
          <w:b/>
          <w:bCs/>
          <w:color w:val="auto"/>
          <w:highlight w:val="none"/>
          <w:lang w:val="en-US" w:eastAsia="zh-CN"/>
        </w:rPr>
        <w:t xml:space="preserve"> </w:t>
      </w:r>
      <w:r>
        <w:rPr>
          <w:rFonts w:hint="eastAsia" w:ascii="Times New Roman" w:hAnsi="Times New Roman" w:eastAsia="宋体"/>
          <w:b w:val="0"/>
          <w:bCs w:val="0"/>
          <w:color w:val="auto"/>
          <w:highlight w:val="none"/>
          <w:lang w:val="en-US" w:eastAsia="zh-CN"/>
        </w:rPr>
        <w:t>对于道路工程，</w:t>
      </w:r>
      <w:r>
        <w:rPr>
          <w:rFonts w:hint="eastAsia" w:ascii="Times New Roman" w:hAnsi="Times New Roman" w:eastAsia="宋体"/>
          <w:color w:val="auto"/>
          <w:highlight w:val="none"/>
          <w:lang w:val="en-US" w:eastAsia="zh-CN"/>
        </w:rPr>
        <w:t>主要控制性地层是指对路基的稳定、沉降和承载力起到控制性作用的地层，包括填土、软土、地基持力层、地基软弱下卧层等。</w:t>
      </w:r>
    </w:p>
    <w:p>
      <w:pPr>
        <w:spacing w:line="360" w:lineRule="auto"/>
        <w:rPr>
          <w:rFonts w:hint="eastAsia" w:ascii="Times New Roman" w:hAnsi="Times New Roman" w:eastAsia="宋体"/>
          <w:b/>
          <w:bCs/>
          <w:color w:val="auto"/>
          <w:highlight w:val="none"/>
          <w:lang w:val="en-US" w:eastAsia="zh-CN"/>
        </w:rPr>
      </w:pPr>
      <w:r>
        <w:rPr>
          <w:rFonts w:ascii="Times New Roman" w:hAnsi="Times New Roman" w:eastAsia="宋体"/>
          <w:b/>
          <w:bCs/>
          <w:color w:val="auto"/>
          <w:highlight w:val="none"/>
        </w:rPr>
        <w:t>5.3.</w:t>
      </w:r>
      <w:r>
        <w:rPr>
          <w:rFonts w:hint="eastAsia" w:ascii="Times New Roman" w:hAnsi="Times New Roman" w:eastAsia="宋体"/>
          <w:b/>
          <w:bCs/>
          <w:color w:val="auto"/>
          <w:highlight w:val="none"/>
          <w:lang w:val="en-US" w:eastAsia="zh-CN"/>
        </w:rPr>
        <w:t>3</w:t>
      </w:r>
      <w:r>
        <w:rPr>
          <w:rFonts w:hint="eastAsia"/>
          <w:b/>
          <w:bCs/>
          <w:color w:val="auto"/>
          <w:highlight w:val="none"/>
          <w:lang w:val="en-US" w:eastAsia="zh-CN"/>
        </w:rPr>
        <w:t xml:space="preserve"> </w:t>
      </w:r>
      <w:r>
        <w:rPr>
          <w:rFonts w:hint="eastAsia" w:ascii="Times New Roman" w:hAnsi="Times New Roman" w:eastAsia="宋体"/>
          <w:b/>
          <w:bCs/>
          <w:color w:val="auto"/>
          <w:highlight w:val="none"/>
          <w:lang w:val="en-US" w:eastAsia="zh-CN"/>
        </w:rPr>
        <w:t xml:space="preserve"> </w:t>
      </w:r>
      <w:r>
        <w:rPr>
          <w:rFonts w:hint="eastAsia" w:ascii="Times New Roman" w:hAnsi="Times New Roman" w:eastAsia="宋体"/>
          <w:color w:val="auto"/>
          <w:highlight w:val="none"/>
          <w:lang w:val="en-US" w:eastAsia="zh-CN"/>
        </w:rPr>
        <w:t>就本条第2款说明如下：</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 xml:space="preserve">2 </w:t>
      </w:r>
      <w:r>
        <w:rPr>
          <w:rFonts w:hint="eastAsia"/>
          <w:b/>
          <w:bCs/>
          <w:color w:val="auto"/>
          <w:highlight w:val="none"/>
          <w:lang w:val="en-US" w:eastAsia="zh-CN"/>
        </w:rPr>
        <w:t xml:space="preserve"> </w:t>
      </w:r>
      <w:r>
        <w:rPr>
          <w:rFonts w:ascii="Times New Roman" w:hAnsi="Times New Roman" w:eastAsia="宋体"/>
          <w:color w:val="auto"/>
          <w:highlight w:val="none"/>
        </w:rPr>
        <w:t>地貌单元变化往往意味着地质条件的变化。勘探点若跨过某些地貌单元或地质单元，可能导致设计遗漏一些必要的地基处理内容，对设计方案及概预算的合理性产生影响。</w:t>
      </w:r>
    </w:p>
    <w:p>
      <w:pPr>
        <w:pStyle w:val="3"/>
        <w:jc w:val="center"/>
        <w:rPr>
          <w:rFonts w:ascii="Times New Roman" w:hAnsi="Times New Roman" w:eastAsia="宋体" w:cs="Times New Roman"/>
          <w:color w:val="auto"/>
          <w:sz w:val="24"/>
          <w:highlight w:val="none"/>
        </w:rPr>
      </w:pPr>
      <w:bookmarkStart w:id="353" w:name="_Toc11482"/>
      <w:bookmarkStart w:id="354" w:name="_Toc19052"/>
      <w:bookmarkStart w:id="355" w:name="_Toc76998267"/>
      <w:r>
        <w:rPr>
          <w:rFonts w:ascii="Times New Roman" w:hAnsi="Times New Roman" w:eastAsia="宋体" w:cs="Times New Roman"/>
          <w:color w:val="auto"/>
          <w:sz w:val="24"/>
          <w:highlight w:val="none"/>
        </w:rPr>
        <w:t xml:space="preserve">5.4 </w:t>
      </w:r>
      <w:r>
        <w:rPr>
          <w:rFonts w:hint="eastAsia" w:ascii="Times New Roman" w:hAnsi="Times New Roman" w:eastAsia="宋体" w:cs="Times New Roman"/>
          <w:color w:val="auto"/>
          <w:sz w:val="24"/>
          <w:highlight w:val="none"/>
          <w:lang w:val="en-US" w:eastAsia="zh-CN"/>
        </w:rPr>
        <w:t xml:space="preserve"> </w:t>
      </w:r>
      <w:r>
        <w:rPr>
          <w:rFonts w:ascii="Times New Roman" w:hAnsi="Times New Roman" w:eastAsia="宋体" w:cs="Times New Roman"/>
          <w:color w:val="auto"/>
          <w:sz w:val="24"/>
          <w:highlight w:val="none"/>
        </w:rPr>
        <w:t>详细勘察</w:t>
      </w:r>
      <w:bookmarkEnd w:id="353"/>
      <w:bookmarkEnd w:id="354"/>
      <w:bookmarkEnd w:id="355"/>
      <w:r>
        <w:rPr>
          <w:rFonts w:ascii="Times New Roman" w:hAnsi="Times New Roman" w:eastAsia="宋体" w:cs="Times New Roman"/>
          <w:color w:val="auto"/>
          <w:sz w:val="24"/>
          <w:highlight w:val="none"/>
        </w:rPr>
        <w:tab/>
      </w:r>
    </w:p>
    <w:p>
      <w:pPr>
        <w:spacing w:line="360" w:lineRule="auto"/>
        <w:rPr>
          <w:rFonts w:hint="default" w:ascii="Times New Roman" w:hAnsi="Times New Roman" w:eastAsia="宋体"/>
          <w:color w:val="auto"/>
          <w:highlight w:val="none"/>
          <w:lang w:val="en-US" w:eastAsia="zh-CN"/>
        </w:rPr>
      </w:pPr>
      <w:r>
        <w:rPr>
          <w:rFonts w:ascii="Times New Roman" w:hAnsi="Times New Roman" w:eastAsia="宋体"/>
          <w:b/>
          <w:bCs/>
          <w:color w:val="auto"/>
          <w:highlight w:val="none"/>
        </w:rPr>
        <w:t>5.4.</w:t>
      </w:r>
      <w:r>
        <w:rPr>
          <w:rFonts w:hint="eastAsia" w:ascii="Times New Roman" w:hAnsi="Times New Roman" w:eastAsia="宋体"/>
          <w:b/>
          <w:bCs/>
          <w:color w:val="auto"/>
          <w:highlight w:val="none"/>
          <w:lang w:val="en-US" w:eastAsia="zh-CN"/>
        </w:rPr>
        <w:t>3</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考虑到广东省的总体地质条件较为复杂，过大的间距往往出现遗漏微地貌、误判地层变化等情况，进而导致设计变更，故勘探点间距比行标《市政工程勘察规范》CJJ 56-2012略为加密。同时，路基类型按基本规定的工程重要性等级进行划分。</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不同地质单元主要指土层堆积相不同的区域，如厚层填土区与其它区之间，沉积相与坡残积相之间，湖积相与冲积相之间，分属不同地质单元，各自都应当布置勘探点；初勘揭示微地貌和地层变化剧烈的，详勘阶段加密勘探点予以查明。</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静力触探可以连续贯入地层，并同时获得所贯入土层的锥尖阻力、侧摩阻力和孔隙水压力等数据，可结合工程经验进行全孔深土层划分、获取土层的力学参数，其成果受操作人员操作水平的影响较小，可靠度高。近年来随着设备自动化水平的提高，三桥静力触探在国际上已作为一种标准勘探模式，宜推动三桥静力触探在我国工程勘探中的应用。</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由于</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建设区多为人类密集活动区，地貌改造剧烈而频繁，沟、浜、湮埋的沟坑和古河道等旧地貌往往需要通过调查旧地形或其它相关资料来获得。因此，除加密钻孔外，还</w:t>
      </w:r>
      <w:r>
        <w:rPr>
          <w:rFonts w:hint="eastAsia"/>
          <w:color w:val="auto"/>
          <w:highlight w:val="none"/>
          <w:lang w:val="en-US" w:eastAsia="zh-CN"/>
        </w:rPr>
        <w:t>当</w:t>
      </w:r>
      <w:r>
        <w:rPr>
          <w:rFonts w:ascii="Times New Roman" w:hAnsi="Times New Roman" w:eastAsia="宋体"/>
          <w:color w:val="auto"/>
          <w:highlight w:val="none"/>
        </w:rPr>
        <w:t>加强实地调查和资料收集工作。</w:t>
      </w:r>
    </w:p>
    <w:p>
      <w:pPr>
        <w:spacing w:line="360" w:lineRule="auto"/>
        <w:rPr>
          <w:rFonts w:ascii="Times New Roman" w:hAnsi="Times New Roman" w:eastAsia="宋体"/>
          <w:color w:val="auto"/>
          <w:highlight w:val="none"/>
        </w:rPr>
      </w:pPr>
      <w:r>
        <w:rPr>
          <w:rFonts w:ascii="Times New Roman" w:hAnsi="Times New Roman" w:eastAsia="宋体"/>
          <w:b/>
          <w:bCs/>
          <w:color w:val="auto"/>
          <w:highlight w:val="none"/>
        </w:rPr>
        <w:t>5.</w:t>
      </w:r>
      <w:r>
        <w:rPr>
          <w:rFonts w:hint="eastAsia" w:ascii="Times New Roman" w:hAnsi="Times New Roman" w:eastAsia="宋体"/>
          <w:b/>
          <w:bCs/>
          <w:color w:val="auto"/>
          <w:highlight w:val="none"/>
          <w:lang w:val="en-US" w:eastAsia="zh-CN"/>
        </w:rPr>
        <w:t>4.4</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本条文基本参照行标《市政工程勘察规范》CJJ 56-2012。变化主要有两点：1）关于拟定勘探深度遇基岩的情况，行标要求“入基岩适当深度”，此处则根据岩体风化强度作了入岩深度的具体要求。对于道路，基岩的承载力或变形要求都是足够的，只是全、强风化岩相对中、微风化岩更加难以判定，故入岩深度的要求适当放宽。2）把高路堤、陡坡路堤的条款合并了，且要求高路堤孔的深度都应</w:t>
      </w:r>
      <w:r>
        <w:rPr>
          <w:rFonts w:hint="eastAsia"/>
          <w:color w:val="auto"/>
          <w:highlight w:val="none"/>
          <w:lang w:val="en-US" w:eastAsia="zh-CN"/>
        </w:rPr>
        <w:t>当</w:t>
      </w:r>
      <w:r>
        <w:rPr>
          <w:rFonts w:hint="eastAsia" w:ascii="Times New Roman" w:hAnsi="Times New Roman" w:eastAsia="宋体"/>
          <w:color w:val="auto"/>
          <w:highlight w:val="none"/>
          <w:lang w:val="en-US" w:eastAsia="zh-CN"/>
        </w:rPr>
        <w:t>满足变形计算的要求，以达到精细化勘察设计的目的。</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拟定</w:t>
      </w:r>
      <w:r>
        <w:rPr>
          <w:rFonts w:hint="eastAsia" w:ascii="Times New Roman" w:hAnsi="Times New Roman" w:eastAsia="宋体"/>
          <w:b w:val="0"/>
          <w:bCs w:val="0"/>
          <w:color w:val="auto"/>
          <w:highlight w:val="none"/>
          <w:lang w:val="en-US" w:eastAsia="zh-CN"/>
        </w:rPr>
        <w:t>勘探</w:t>
      </w:r>
      <w:r>
        <w:rPr>
          <w:rFonts w:ascii="Times New Roman" w:hAnsi="Times New Roman" w:eastAsia="宋体"/>
          <w:color w:val="auto"/>
          <w:highlight w:val="none"/>
        </w:rPr>
        <w:t>深度范围内的</w:t>
      </w:r>
      <w:r>
        <w:rPr>
          <w:rFonts w:hint="eastAsia" w:ascii="Times New Roman" w:hAnsi="Times New Roman" w:eastAsia="宋体"/>
          <w:color w:val="auto"/>
          <w:highlight w:val="none"/>
          <w:lang w:val="en-US" w:eastAsia="zh-CN"/>
        </w:rPr>
        <w:t>填土、</w:t>
      </w:r>
      <w:r>
        <w:rPr>
          <w:rFonts w:ascii="Times New Roman" w:hAnsi="Times New Roman" w:eastAsia="宋体"/>
          <w:color w:val="auto"/>
          <w:highlight w:val="none"/>
        </w:rPr>
        <w:t>软</w:t>
      </w:r>
      <w:r>
        <w:rPr>
          <w:rFonts w:hint="eastAsia" w:ascii="Times New Roman" w:hAnsi="Times New Roman" w:eastAsia="宋体"/>
          <w:color w:val="auto"/>
          <w:highlight w:val="none"/>
          <w:lang w:val="en-US" w:eastAsia="zh-CN"/>
        </w:rPr>
        <w:t>土若</w:t>
      </w:r>
      <w:r>
        <w:rPr>
          <w:rFonts w:ascii="Times New Roman" w:hAnsi="Times New Roman" w:eastAsia="宋体"/>
          <w:color w:val="auto"/>
          <w:highlight w:val="none"/>
        </w:rPr>
        <w:t>经有效处理</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可不用钻穿</w:t>
      </w:r>
      <w:r>
        <w:rPr>
          <w:rFonts w:ascii="Times New Roman" w:hAnsi="Times New Roman" w:eastAsia="宋体"/>
          <w:color w:val="auto"/>
          <w:highlight w:val="none"/>
        </w:rPr>
        <w:t>，技术人员</w:t>
      </w:r>
      <w:r>
        <w:rPr>
          <w:rFonts w:hint="eastAsia"/>
          <w:color w:val="auto"/>
          <w:highlight w:val="none"/>
          <w:lang w:val="en-US" w:eastAsia="zh-CN"/>
        </w:rPr>
        <w:t>要</w:t>
      </w:r>
      <w:r>
        <w:rPr>
          <w:rFonts w:ascii="Times New Roman" w:hAnsi="Times New Roman" w:eastAsia="宋体"/>
          <w:color w:val="auto"/>
          <w:highlight w:val="none"/>
        </w:rPr>
        <w:t>根据具体情况自行判断。</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目前，强夯的有效处理深度一般不超过15m，搅拌桩的有效处理深度一般不超过20m，因此，对于道路而言，一般孔按25m深度控制已经足够，无需全部钻穿软弱土层；但控制性钻孔要求宜钻穿软弱土层，以便于道路沉降量的计算。</w:t>
      </w:r>
    </w:p>
    <w:p>
      <w:pPr>
        <w:spacing w:line="360" w:lineRule="auto"/>
        <w:rPr>
          <w:rFonts w:hint="default" w:ascii="Times New Roman" w:hAnsi="Times New Roman" w:eastAsia="宋体"/>
          <w:b w:val="0"/>
          <w:bCs w:val="0"/>
          <w:color w:val="auto"/>
          <w:highlight w:val="none"/>
          <w:lang w:val="en-US" w:eastAsia="zh-CN"/>
        </w:rPr>
      </w:pPr>
      <w:r>
        <w:rPr>
          <w:rFonts w:hint="eastAsia" w:ascii="Times New Roman" w:hAnsi="Times New Roman" w:eastAsia="宋体"/>
          <w:b/>
          <w:bCs/>
          <w:color w:val="auto"/>
          <w:highlight w:val="none"/>
          <w:lang w:val="en-US" w:eastAsia="zh-CN"/>
        </w:rPr>
        <w:t xml:space="preserve">5.4.5 </w:t>
      </w:r>
      <w:r>
        <w:rPr>
          <w:rFonts w:hint="eastAsia"/>
          <w:b/>
          <w:bCs/>
          <w:color w:val="auto"/>
          <w:highlight w:val="none"/>
          <w:lang w:val="en-US" w:eastAsia="zh-CN"/>
        </w:rPr>
        <w:t xml:space="preserve"> </w:t>
      </w:r>
      <w:r>
        <w:rPr>
          <w:rFonts w:hint="eastAsia" w:ascii="Times New Roman" w:hAnsi="Times New Roman" w:eastAsia="宋体"/>
          <w:b w:val="0"/>
          <w:bCs w:val="0"/>
          <w:color w:val="auto"/>
          <w:highlight w:val="none"/>
          <w:lang w:val="en-US" w:eastAsia="zh-CN"/>
        </w:rPr>
        <w:t>经研究，道路工程软基的固结最主要发生在浅部3m范围，因此，查明这3m深度软土的工程性质非常重要。</w:t>
      </w:r>
    </w:p>
    <w:p>
      <w:pPr>
        <w:spacing w:line="360" w:lineRule="auto"/>
        <w:rPr>
          <w:rFonts w:ascii="Times New Roman" w:hAnsi="Times New Roman" w:eastAsia="宋体"/>
          <w:color w:val="auto"/>
          <w:highlight w:val="none"/>
        </w:rPr>
      </w:pPr>
      <w:r>
        <w:rPr>
          <w:rFonts w:ascii="Times New Roman" w:hAnsi="Times New Roman" w:eastAsia="宋体"/>
          <w:b/>
          <w:bCs/>
          <w:color w:val="auto"/>
          <w:highlight w:val="none"/>
        </w:rPr>
        <w:t>5.4.</w:t>
      </w:r>
      <w:r>
        <w:rPr>
          <w:rFonts w:hint="eastAsia" w:ascii="Times New Roman" w:hAnsi="Times New Roman" w:eastAsia="宋体"/>
          <w:b/>
          <w:bCs/>
          <w:color w:val="auto"/>
          <w:highlight w:val="none"/>
          <w:lang w:val="en-US" w:eastAsia="zh-CN"/>
        </w:rPr>
        <w:t xml:space="preserve">6 </w:t>
      </w:r>
      <w:r>
        <w:rPr>
          <w:rFonts w:hint="eastAsia"/>
          <w:b/>
          <w:bCs/>
          <w:color w:val="auto"/>
          <w:highlight w:val="none"/>
          <w:lang w:val="en-US" w:eastAsia="zh-CN"/>
        </w:rPr>
        <w:t xml:space="preserve"> </w:t>
      </w:r>
      <w:r>
        <w:rPr>
          <w:rFonts w:ascii="Times New Roman" w:hAnsi="Times New Roman" w:eastAsia="宋体"/>
          <w:color w:val="auto"/>
          <w:highlight w:val="none"/>
        </w:rPr>
        <w:t>除提供土常规项目和地基承载力特征值的建议值外，</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道路工程勘察报告还</w:t>
      </w:r>
      <w:r>
        <w:rPr>
          <w:rFonts w:hint="eastAsia"/>
          <w:color w:val="auto"/>
          <w:highlight w:val="none"/>
          <w:lang w:val="en-US" w:eastAsia="zh-CN"/>
        </w:rPr>
        <w:t>可</w:t>
      </w:r>
      <w:r>
        <w:rPr>
          <w:rFonts w:ascii="Times New Roman" w:hAnsi="Times New Roman" w:eastAsia="宋体"/>
          <w:color w:val="auto"/>
          <w:highlight w:val="none"/>
        </w:rPr>
        <w:t>根据具体情况提供表5</w:t>
      </w:r>
      <w:r>
        <w:rPr>
          <w:rFonts w:hint="eastAsia" w:ascii="Times New Roman" w:hAnsi="Times New Roman" w:eastAsia="宋体"/>
          <w:color w:val="auto"/>
          <w:highlight w:val="none"/>
          <w:lang w:val="en-US" w:eastAsia="zh-CN"/>
        </w:rPr>
        <w:t>-1</w:t>
      </w:r>
      <w:r>
        <w:rPr>
          <w:rFonts w:ascii="Times New Roman" w:hAnsi="Times New Roman" w:eastAsia="宋体"/>
          <w:color w:val="auto"/>
          <w:highlight w:val="none"/>
        </w:rPr>
        <w:t>所示的岩土参数建议值。</w:t>
      </w:r>
    </w:p>
    <w:p>
      <w:pPr>
        <w:spacing w:line="360" w:lineRule="auto"/>
        <w:jc w:val="center"/>
        <w:rPr>
          <w:rFonts w:ascii="Times New Roman" w:hAnsi="Times New Roman" w:eastAsia="宋体"/>
          <w:b/>
          <w:bCs/>
          <w:color w:val="auto"/>
          <w:highlight w:val="none"/>
        </w:rPr>
      </w:pPr>
      <w:r>
        <w:rPr>
          <w:rFonts w:ascii="Times New Roman" w:hAnsi="Times New Roman" w:eastAsia="宋体"/>
          <w:b/>
          <w:bCs/>
          <w:color w:val="auto"/>
          <w:highlight w:val="none"/>
        </w:rPr>
        <w:t>表5</w:t>
      </w:r>
      <w:r>
        <w:rPr>
          <w:rFonts w:hint="eastAsia" w:ascii="Times New Roman" w:hAnsi="Times New Roman" w:eastAsia="宋体"/>
          <w:b/>
          <w:bCs/>
          <w:color w:val="auto"/>
          <w:highlight w:val="none"/>
          <w:lang w:val="en-US" w:eastAsia="zh-CN"/>
        </w:rPr>
        <w:t xml:space="preserve">-1 </w:t>
      </w:r>
      <w:r>
        <w:rPr>
          <w:rFonts w:hint="eastAsia"/>
          <w:b/>
          <w:bCs/>
          <w:color w:val="auto"/>
          <w:highlight w:val="none"/>
          <w:lang w:val="en-US" w:eastAsia="zh-CN"/>
        </w:rPr>
        <w:t xml:space="preserve"> </w:t>
      </w:r>
      <w:r>
        <w:rPr>
          <w:rFonts w:hint="eastAsia" w:ascii="Times New Roman" w:hAnsi="Times New Roman" w:eastAsia="宋体"/>
          <w:b/>
          <w:bCs/>
          <w:color w:val="auto"/>
          <w:highlight w:val="none"/>
          <w:lang w:eastAsia="zh-CN"/>
        </w:rPr>
        <w:t>城市</w:t>
      </w:r>
      <w:r>
        <w:rPr>
          <w:rFonts w:ascii="Times New Roman" w:hAnsi="Times New Roman" w:eastAsia="宋体"/>
          <w:b/>
          <w:bCs/>
          <w:color w:val="auto"/>
          <w:highlight w:val="none"/>
        </w:rPr>
        <w:t>道路勘察提供的岩土参数建议值</w:t>
      </w:r>
    </w:p>
    <w:tbl>
      <w:tblPr>
        <w:tblStyle w:val="22"/>
        <w:tblW w:w="82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2283"/>
        <w:gridCol w:w="2283"/>
        <w:gridCol w:w="22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413" w:type="dxa"/>
            <w:tcBorders>
              <w:tl2br w:val="nil"/>
              <w:tr2bl w:val="nil"/>
            </w:tcBorders>
          </w:tcPr>
          <w:p>
            <w:pPr>
              <w:widowControl/>
              <w:spacing w:before="93" w:beforeLines="30" w:after="93" w:afterLines="30"/>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类型</w:t>
            </w:r>
          </w:p>
        </w:tc>
        <w:tc>
          <w:tcPr>
            <w:tcW w:w="2283" w:type="dxa"/>
            <w:tcBorders>
              <w:tl2br w:val="nil"/>
              <w:tr2bl w:val="nil"/>
            </w:tcBorders>
          </w:tcPr>
          <w:p>
            <w:pPr>
              <w:widowControl/>
              <w:spacing w:before="93" w:beforeLines="30" w:after="93" w:afterLines="30"/>
              <w:jc w:val="center"/>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lang w:val="en-US" w:eastAsia="zh-CN"/>
              </w:rPr>
              <w:t>高填方</w:t>
            </w:r>
            <w:r>
              <w:rPr>
                <w:rFonts w:ascii="Times New Roman" w:hAnsi="Times New Roman" w:eastAsia="宋体"/>
                <w:color w:val="auto"/>
                <w:sz w:val="18"/>
                <w:szCs w:val="18"/>
                <w:highlight w:val="none"/>
              </w:rPr>
              <w:t>路基</w:t>
            </w:r>
          </w:p>
        </w:tc>
        <w:tc>
          <w:tcPr>
            <w:tcW w:w="2283" w:type="dxa"/>
            <w:tcBorders>
              <w:tl2br w:val="nil"/>
              <w:tr2bl w:val="nil"/>
            </w:tcBorders>
          </w:tcPr>
          <w:p>
            <w:pPr>
              <w:widowControl/>
              <w:spacing w:before="93" w:beforeLines="30" w:after="93" w:afterLines="30"/>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路堑边坡</w:t>
            </w:r>
          </w:p>
        </w:tc>
        <w:tc>
          <w:tcPr>
            <w:tcW w:w="2283" w:type="dxa"/>
            <w:tcBorders>
              <w:tl2br w:val="nil"/>
              <w:tr2bl w:val="nil"/>
            </w:tcBorders>
          </w:tcPr>
          <w:p>
            <w:pPr>
              <w:widowControl/>
              <w:spacing w:before="93" w:beforeLines="30" w:after="93" w:afterLines="30"/>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支挡结构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413" w:type="dxa"/>
            <w:tcBorders>
              <w:tl2br w:val="nil"/>
              <w:tr2bl w:val="nil"/>
            </w:tcBorders>
            <w:vAlign w:val="center"/>
          </w:tcPr>
          <w:p>
            <w:pPr>
              <w:widowControl/>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提供建议值的岩土参数</w:t>
            </w:r>
          </w:p>
        </w:tc>
        <w:tc>
          <w:tcPr>
            <w:tcW w:w="2283" w:type="dxa"/>
            <w:tcBorders>
              <w:tl2br w:val="nil"/>
              <w:tr2bl w:val="nil"/>
            </w:tcBorders>
            <w:vAlign w:val="center"/>
          </w:tcPr>
          <w:p>
            <w:pPr>
              <w:widowControl/>
              <w:spacing w:before="93" w:beforeLines="30"/>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 软土的有机质含量</w:t>
            </w:r>
          </w:p>
          <w:p>
            <w:pPr>
              <w:widowControl/>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2 软土的pH值</w:t>
            </w:r>
          </w:p>
          <w:p>
            <w:pPr>
              <w:widowControl/>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3 复合地基增强体的侧阻力和端阻力</w:t>
            </w:r>
          </w:p>
          <w:p>
            <w:pPr>
              <w:widowControl/>
              <w:jc w:val="left"/>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4 黏性土固结快剪或固结不排水剪指标</w:t>
            </w:r>
          </w:p>
        </w:tc>
        <w:tc>
          <w:tcPr>
            <w:tcW w:w="2283" w:type="dxa"/>
            <w:tcBorders>
              <w:tl2br w:val="nil"/>
              <w:tr2bl w:val="nil"/>
            </w:tcBorders>
            <w:vAlign w:val="center"/>
          </w:tcPr>
          <w:p>
            <w:pPr>
              <w:widowControl/>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 边坡坡率</w:t>
            </w:r>
          </w:p>
          <w:p>
            <w:pPr>
              <w:widowControl/>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2 土体与锚固体粘结强度</w:t>
            </w:r>
          </w:p>
          <w:p>
            <w:pPr>
              <w:widowControl/>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3 水文地质参数</w:t>
            </w:r>
          </w:p>
        </w:tc>
        <w:tc>
          <w:tcPr>
            <w:tcW w:w="2283" w:type="dxa"/>
            <w:tcBorders>
              <w:tl2br w:val="nil"/>
              <w:tr2bl w:val="nil"/>
            </w:tcBorders>
            <w:vAlign w:val="center"/>
          </w:tcPr>
          <w:p>
            <w:pP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 土体与锚固体粘结强度</w:t>
            </w:r>
          </w:p>
          <w:p>
            <w:pP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2 岩土对挡墙基底摩擦系数</w:t>
            </w:r>
          </w:p>
        </w:tc>
      </w:tr>
    </w:tbl>
    <w:p>
      <w:pPr>
        <w:spacing w:line="360" w:lineRule="auto"/>
        <w:ind w:firstLine="420" w:firstLineChars="200"/>
        <w:rPr>
          <w:rFonts w:hint="eastAsia" w:ascii="Times New Roman" w:hAnsi="Times New Roman" w:eastAsia="宋体"/>
          <w:b w:val="0"/>
          <w:bCs w:val="0"/>
          <w:color w:val="auto"/>
          <w:highlight w:val="none"/>
          <w:lang w:val="en-US" w:eastAsia="zh-CN"/>
        </w:rPr>
      </w:pPr>
      <w:r>
        <w:rPr>
          <w:rFonts w:hint="eastAsia" w:ascii="Times New Roman" w:hAnsi="Times New Roman" w:eastAsia="宋体"/>
          <w:b w:val="0"/>
          <w:bCs w:val="0"/>
          <w:color w:val="auto"/>
          <w:highlight w:val="none"/>
          <w:lang w:val="en-US" w:eastAsia="zh-CN"/>
        </w:rPr>
        <w:t>道路工程岩土参数</w:t>
      </w:r>
      <w:r>
        <w:rPr>
          <w:rFonts w:hint="eastAsia"/>
          <w:b w:val="0"/>
          <w:bCs w:val="0"/>
          <w:color w:val="auto"/>
          <w:highlight w:val="none"/>
          <w:lang w:val="en-US" w:eastAsia="zh-CN"/>
        </w:rPr>
        <w:t>需</w:t>
      </w:r>
      <w:r>
        <w:rPr>
          <w:rFonts w:hint="eastAsia" w:ascii="Times New Roman" w:hAnsi="Times New Roman" w:eastAsia="宋体"/>
          <w:b w:val="0"/>
          <w:bCs w:val="0"/>
          <w:color w:val="auto"/>
          <w:highlight w:val="none"/>
          <w:lang w:val="en-US" w:eastAsia="zh-CN"/>
        </w:rPr>
        <w:t>根据当地经验和相关试验选取。无相关经验时，可参考下列相关参数经验值选取。</w:t>
      </w:r>
    </w:p>
    <w:p>
      <w:pPr>
        <w:spacing w:line="360" w:lineRule="auto"/>
        <w:ind w:firstLine="420" w:firstLineChars="200"/>
        <w:rPr>
          <w:rFonts w:hint="default" w:ascii="Times New Roman" w:hAnsi="Times New Roman" w:eastAsia="宋体"/>
          <w:b w:val="0"/>
          <w:bCs w:val="0"/>
          <w:color w:val="auto"/>
          <w:highlight w:val="none"/>
          <w:lang w:val="en-US" w:eastAsia="zh-CN"/>
        </w:rPr>
      </w:pPr>
      <w:r>
        <w:rPr>
          <w:rFonts w:hint="eastAsia" w:ascii="Times New Roman" w:hAnsi="Times New Roman" w:eastAsia="宋体"/>
          <w:b w:val="0"/>
          <w:bCs w:val="0"/>
          <w:color w:val="auto"/>
          <w:highlight w:val="none"/>
          <w:lang w:val="en-US" w:eastAsia="zh-CN"/>
        </w:rPr>
        <w:t>路基回弹模量可参考表5-2取值。</w:t>
      </w:r>
    </w:p>
    <w:p>
      <w:pPr>
        <w:spacing w:line="360" w:lineRule="auto"/>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5-2</w:t>
      </w:r>
      <w:r>
        <w:rPr>
          <w:rFonts w:ascii="Times New Roman" w:hAnsi="Times New Roman" w:eastAsia="宋体"/>
          <w:b/>
          <w:bCs/>
          <w:color w:val="auto"/>
          <w:szCs w:val="21"/>
          <w:highlight w:val="none"/>
        </w:rPr>
        <w:t xml:space="preserve">  路基回弹模量</w:t>
      </w:r>
      <w:r>
        <w:rPr>
          <w:rFonts w:ascii="Times New Roman" w:hAnsi="Times New Roman" w:eastAsia="宋体"/>
          <w:b/>
          <w:bCs/>
          <w:i/>
          <w:iCs/>
          <w:color w:val="auto"/>
          <w:szCs w:val="21"/>
          <w:highlight w:val="none"/>
        </w:rPr>
        <w:t>E</w:t>
      </w:r>
      <w:r>
        <w:rPr>
          <w:rFonts w:ascii="Times New Roman" w:hAnsi="Times New Roman" w:eastAsia="宋体"/>
          <w:b/>
          <w:bCs/>
          <w:color w:val="auto"/>
          <w:szCs w:val="21"/>
          <w:highlight w:val="none"/>
          <w:vertAlign w:val="subscript"/>
        </w:rPr>
        <w:t>0</w:t>
      </w:r>
      <w:r>
        <w:rPr>
          <w:rFonts w:hint="eastAsia" w:ascii="Times New Roman" w:hAnsi="Times New Roman" w:eastAsia="宋体"/>
          <w:b/>
          <w:bCs/>
          <w:color w:val="auto"/>
          <w:szCs w:val="21"/>
          <w:highlight w:val="none"/>
          <w:vertAlign w:val="subscript"/>
          <w:lang w:val="en-US" w:eastAsia="zh-CN"/>
        </w:rPr>
        <w:t>R</w:t>
      </w:r>
      <w:r>
        <w:rPr>
          <w:rFonts w:ascii="Times New Roman" w:hAnsi="Times New Roman" w:eastAsia="宋体"/>
          <w:b/>
          <w:bCs/>
          <w:color w:val="auto"/>
          <w:szCs w:val="21"/>
          <w:highlight w:val="none"/>
        </w:rPr>
        <w:t>（MPa）参考值</w:t>
      </w:r>
    </w:p>
    <w:tbl>
      <w:tblPr>
        <w:tblStyle w:val="22"/>
        <w:tblW w:w="8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945"/>
        <w:gridCol w:w="795"/>
        <w:gridCol w:w="555"/>
        <w:gridCol w:w="555"/>
        <w:gridCol w:w="555"/>
        <w:gridCol w:w="555"/>
        <w:gridCol w:w="555"/>
        <w:gridCol w:w="555"/>
        <w:gridCol w:w="555"/>
        <w:gridCol w:w="555"/>
        <w:gridCol w:w="555"/>
        <w:gridCol w:w="555"/>
        <w:gridCol w:w="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466" w:type="dxa"/>
            <w:gridSpan w:val="2"/>
            <w:tcBorders>
              <w:top w:val="single" w:color="auto" w:sz="12" w:space="0"/>
              <w:lef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二级自然区划</w:t>
            </w:r>
          </w:p>
        </w:tc>
        <w:tc>
          <w:tcPr>
            <w:tcW w:w="795"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right="-105" w:rightChars="-50"/>
              <w:jc w:val="right"/>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稠度</w:t>
            </w:r>
          </w:p>
          <w:p>
            <w:pPr>
              <w:keepNext w:val="0"/>
              <w:keepLines w:val="0"/>
              <w:pageBreakBefore w:val="0"/>
              <w:widowControl w:val="0"/>
              <w:kinsoku/>
              <w:wordWrap/>
              <w:overflowPunct/>
              <w:topLinePunct w:val="0"/>
              <w:autoSpaceDE/>
              <w:autoSpaceDN/>
              <w:bidi w:val="0"/>
              <w:adjustRightInd/>
              <w:snapToGrid w:val="0"/>
              <w:ind w:left="-105" w:leftChars="-50"/>
              <w:jc w:val="left"/>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土组</w:t>
            </w:r>
          </w:p>
        </w:tc>
        <w:tc>
          <w:tcPr>
            <w:tcW w:w="555"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0.80</w:t>
            </w:r>
          </w:p>
        </w:tc>
        <w:tc>
          <w:tcPr>
            <w:tcW w:w="555"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0.90</w:t>
            </w:r>
          </w:p>
        </w:tc>
        <w:tc>
          <w:tcPr>
            <w:tcW w:w="555"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1.00</w:t>
            </w:r>
          </w:p>
        </w:tc>
        <w:tc>
          <w:tcPr>
            <w:tcW w:w="555"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1.05</w:t>
            </w:r>
          </w:p>
        </w:tc>
        <w:tc>
          <w:tcPr>
            <w:tcW w:w="555"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1.10</w:t>
            </w:r>
          </w:p>
        </w:tc>
        <w:tc>
          <w:tcPr>
            <w:tcW w:w="555"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1.15</w:t>
            </w:r>
          </w:p>
        </w:tc>
        <w:tc>
          <w:tcPr>
            <w:tcW w:w="555"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1.20</w:t>
            </w:r>
          </w:p>
        </w:tc>
        <w:tc>
          <w:tcPr>
            <w:tcW w:w="555"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1.30</w:t>
            </w:r>
          </w:p>
        </w:tc>
        <w:tc>
          <w:tcPr>
            <w:tcW w:w="555"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1.40</w:t>
            </w:r>
          </w:p>
        </w:tc>
        <w:tc>
          <w:tcPr>
            <w:tcW w:w="555"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1.70</w:t>
            </w:r>
          </w:p>
        </w:tc>
        <w:tc>
          <w:tcPr>
            <w:tcW w:w="555" w:type="dxa"/>
            <w:vMerge w:val="restart"/>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tcBorders>
              <w:left w:val="single" w:color="auto" w:sz="12" w:space="0"/>
            </w:tcBorders>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编号</w:t>
            </w:r>
          </w:p>
        </w:tc>
        <w:tc>
          <w:tcPr>
            <w:tcW w:w="94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类型</w:t>
            </w:r>
          </w:p>
        </w:tc>
        <w:tc>
          <w:tcPr>
            <w:tcW w:w="795" w:type="dxa"/>
            <w:vMerge w:val="continue"/>
          </w:tcPr>
          <w:p>
            <w:pPr>
              <w:jc w:val="center"/>
              <w:rPr>
                <w:rFonts w:ascii="Times New Roman" w:hAnsi="Times New Roman" w:eastAsia="宋体"/>
                <w:color w:val="auto"/>
                <w:sz w:val="20"/>
                <w:szCs w:val="20"/>
                <w:highlight w:val="none"/>
              </w:rPr>
            </w:pPr>
          </w:p>
        </w:tc>
        <w:tc>
          <w:tcPr>
            <w:tcW w:w="555" w:type="dxa"/>
            <w:vMerge w:val="continue"/>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p>
        </w:tc>
        <w:tc>
          <w:tcPr>
            <w:tcW w:w="555" w:type="dxa"/>
            <w:vMerge w:val="continue"/>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p>
        </w:tc>
        <w:tc>
          <w:tcPr>
            <w:tcW w:w="555" w:type="dxa"/>
            <w:vMerge w:val="continue"/>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p>
        </w:tc>
        <w:tc>
          <w:tcPr>
            <w:tcW w:w="555" w:type="dxa"/>
            <w:vMerge w:val="continue"/>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p>
        </w:tc>
        <w:tc>
          <w:tcPr>
            <w:tcW w:w="555" w:type="dxa"/>
            <w:vMerge w:val="continue"/>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p>
        </w:tc>
        <w:tc>
          <w:tcPr>
            <w:tcW w:w="555" w:type="dxa"/>
            <w:vMerge w:val="continue"/>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p>
        </w:tc>
        <w:tc>
          <w:tcPr>
            <w:tcW w:w="555" w:type="dxa"/>
            <w:vMerge w:val="continue"/>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p>
        </w:tc>
        <w:tc>
          <w:tcPr>
            <w:tcW w:w="555" w:type="dxa"/>
            <w:vMerge w:val="continue"/>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p>
        </w:tc>
        <w:tc>
          <w:tcPr>
            <w:tcW w:w="555" w:type="dxa"/>
            <w:vMerge w:val="continue"/>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p>
        </w:tc>
        <w:tc>
          <w:tcPr>
            <w:tcW w:w="555" w:type="dxa"/>
            <w:vMerge w:val="continue"/>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p>
        </w:tc>
        <w:tc>
          <w:tcPr>
            <w:tcW w:w="555" w:type="dxa"/>
            <w:vMerge w:val="continue"/>
            <w:tcBorders>
              <w:right w:val="single" w:color="auto" w:sz="12" w:space="0"/>
            </w:tcBorders>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restart"/>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Ⅳ</w:t>
            </w:r>
            <w:r>
              <w:rPr>
                <w:rFonts w:ascii="Times New Roman" w:hAnsi="Times New Roman" w:eastAsia="宋体"/>
                <w:color w:val="auto"/>
                <w:sz w:val="20"/>
                <w:szCs w:val="20"/>
                <w:highlight w:val="none"/>
                <w:vertAlign w:val="subscript"/>
              </w:rPr>
              <w:t>6</w:t>
            </w:r>
          </w:p>
        </w:tc>
        <w:tc>
          <w:tcPr>
            <w:tcW w:w="945" w:type="dxa"/>
            <w:vMerge w:val="restart"/>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color w:val="auto"/>
                <w:sz w:val="20"/>
                <w:szCs w:val="20"/>
                <w:highlight w:val="none"/>
                <w:lang w:eastAsia="zh-CN"/>
              </w:rPr>
            </w:pPr>
            <w:r>
              <w:rPr>
                <w:rFonts w:ascii="Times New Roman" w:hAnsi="Times New Roman" w:eastAsia="宋体"/>
                <w:color w:val="auto"/>
                <w:sz w:val="20"/>
                <w:szCs w:val="20"/>
                <w:highlight w:val="none"/>
              </w:rPr>
              <w:t>南岭山地过湿区</w:t>
            </w:r>
            <w:r>
              <w:rPr>
                <w:rFonts w:hint="eastAsia" w:ascii="Times New Roman" w:hAnsi="Times New Roman" w:eastAsia="宋体"/>
                <w:color w:val="auto"/>
                <w:sz w:val="20"/>
                <w:szCs w:val="20"/>
                <w:highlight w:val="none"/>
                <w:lang w:val="en-US" w:eastAsia="zh-CN"/>
              </w:rPr>
              <w:t>(</w:t>
            </w:r>
            <w:r>
              <w:rPr>
                <w:rFonts w:ascii="Times New Roman" w:hAnsi="Times New Roman" w:eastAsia="宋体"/>
                <w:color w:val="auto"/>
                <w:sz w:val="20"/>
                <w:szCs w:val="20"/>
                <w:highlight w:val="none"/>
              </w:rPr>
              <w:t>内陆</w:t>
            </w:r>
            <w:r>
              <w:rPr>
                <w:rFonts w:hint="eastAsia" w:ascii="Times New Roman" w:hAnsi="Times New Roman" w:eastAsia="宋体"/>
                <w:color w:val="auto"/>
                <w:sz w:val="20"/>
                <w:szCs w:val="20"/>
                <w:highlight w:val="none"/>
                <w:lang w:eastAsia="zh-CN"/>
              </w:rPr>
              <w:t>城市</w:t>
            </w:r>
            <w:r>
              <w:rPr>
                <w:rFonts w:hint="eastAsia" w:ascii="Times New Roman" w:hAnsi="Times New Roman" w:eastAsia="宋体"/>
                <w:color w:val="auto"/>
                <w:sz w:val="20"/>
                <w:szCs w:val="20"/>
                <w:highlight w:val="none"/>
                <w:lang w:val="en-US" w:eastAsia="zh-CN"/>
              </w:rPr>
              <w:t>)</w:t>
            </w:r>
          </w:p>
        </w:tc>
        <w:tc>
          <w:tcPr>
            <w:tcW w:w="79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砂土</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33.5</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37.0</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41.0</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43.0</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44.5</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46.5</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48.5</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52.0</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55.5</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66.5</w:t>
            </w:r>
          </w:p>
        </w:tc>
        <w:tc>
          <w:tcPr>
            <w:tcW w:w="555" w:type="dxa"/>
            <w:tcBorders>
              <w:right w:val="single" w:color="auto" w:sz="12" w:space="0"/>
            </w:tcBorders>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945" w:type="dxa"/>
            <w:vMerge w:val="continue"/>
            <w:vAlign w:val="center"/>
          </w:tcPr>
          <w:p>
            <w:pPr>
              <w:jc w:val="center"/>
              <w:rPr>
                <w:rFonts w:ascii="Times New Roman" w:hAnsi="Times New Roman" w:eastAsia="宋体"/>
                <w:color w:val="auto"/>
                <w:sz w:val="20"/>
                <w:szCs w:val="20"/>
                <w:highlight w:val="none"/>
              </w:rPr>
            </w:pPr>
          </w:p>
        </w:tc>
        <w:tc>
          <w:tcPr>
            <w:tcW w:w="795" w:type="dxa"/>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黏性土</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27.5</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33.0</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38.0</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41.0</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44.0</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46.5</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50.5</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555" w:type="dxa"/>
            <w:tcBorders>
              <w:right w:val="single" w:color="auto" w:sz="12" w:space="0"/>
            </w:tcBorders>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945" w:type="dxa"/>
            <w:vMerge w:val="continue"/>
            <w:vAlign w:val="center"/>
          </w:tcPr>
          <w:p>
            <w:pPr>
              <w:jc w:val="center"/>
              <w:rPr>
                <w:rFonts w:ascii="Times New Roman" w:hAnsi="Times New Roman" w:eastAsia="宋体"/>
                <w:color w:val="auto"/>
                <w:sz w:val="20"/>
                <w:szCs w:val="20"/>
                <w:highlight w:val="none"/>
              </w:rPr>
            </w:pPr>
          </w:p>
        </w:tc>
        <w:tc>
          <w:tcPr>
            <w:tcW w:w="79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粉土</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26.5</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31.5</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36.5</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39.0</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42.0</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45.0</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555" w:type="dxa"/>
            <w:tcBorders>
              <w:right w:val="single" w:color="auto" w:sz="12" w:space="0"/>
            </w:tcBorders>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restart"/>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Ⅳ</w:t>
            </w:r>
            <w:r>
              <w:rPr>
                <w:rFonts w:ascii="Times New Roman" w:hAnsi="Times New Roman" w:eastAsia="宋体"/>
                <w:color w:val="auto"/>
                <w:sz w:val="20"/>
                <w:szCs w:val="20"/>
                <w:highlight w:val="none"/>
                <w:vertAlign w:val="subscript"/>
              </w:rPr>
              <w:t>7</w:t>
            </w:r>
          </w:p>
        </w:tc>
        <w:tc>
          <w:tcPr>
            <w:tcW w:w="945" w:type="dxa"/>
            <w:vMerge w:val="restart"/>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color w:val="auto"/>
                <w:sz w:val="20"/>
                <w:szCs w:val="20"/>
                <w:highlight w:val="none"/>
                <w:lang w:eastAsia="zh-CN"/>
              </w:rPr>
            </w:pPr>
            <w:r>
              <w:rPr>
                <w:rFonts w:ascii="Times New Roman" w:hAnsi="Times New Roman" w:eastAsia="宋体"/>
                <w:color w:val="auto"/>
                <w:sz w:val="20"/>
                <w:szCs w:val="20"/>
                <w:highlight w:val="none"/>
              </w:rPr>
              <w:t>华南沿海台风区</w:t>
            </w:r>
            <w:r>
              <w:rPr>
                <w:rFonts w:hint="eastAsia" w:ascii="Times New Roman" w:hAnsi="Times New Roman" w:eastAsia="宋体"/>
                <w:color w:val="auto"/>
                <w:sz w:val="20"/>
                <w:szCs w:val="20"/>
                <w:highlight w:val="none"/>
                <w:lang w:val="en-US" w:eastAsia="zh-CN"/>
              </w:rPr>
              <w:t>(</w:t>
            </w:r>
            <w:r>
              <w:rPr>
                <w:rFonts w:ascii="Times New Roman" w:hAnsi="Times New Roman" w:eastAsia="宋体"/>
                <w:color w:val="auto"/>
                <w:sz w:val="20"/>
                <w:szCs w:val="20"/>
                <w:highlight w:val="none"/>
              </w:rPr>
              <w:t>沿海</w:t>
            </w:r>
            <w:r>
              <w:rPr>
                <w:rFonts w:hint="eastAsia" w:ascii="Times New Roman" w:hAnsi="Times New Roman" w:eastAsia="宋体"/>
                <w:color w:val="auto"/>
                <w:sz w:val="20"/>
                <w:szCs w:val="20"/>
                <w:highlight w:val="none"/>
                <w:lang w:eastAsia="zh-CN"/>
              </w:rPr>
              <w:t>城市</w:t>
            </w:r>
            <w:r>
              <w:rPr>
                <w:rFonts w:hint="eastAsia" w:ascii="Times New Roman" w:hAnsi="Times New Roman" w:eastAsia="宋体"/>
                <w:color w:val="auto"/>
                <w:sz w:val="20"/>
                <w:szCs w:val="20"/>
                <w:highlight w:val="none"/>
                <w:lang w:val="en-US" w:eastAsia="zh-CN"/>
              </w:rPr>
              <w:t>)</w:t>
            </w:r>
          </w:p>
        </w:tc>
        <w:tc>
          <w:tcPr>
            <w:tcW w:w="79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砂土</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35.0</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39.0</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43.0</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45.0</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47.0</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49.0</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51.0</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55.0</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59.0</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70.5</w:t>
            </w:r>
          </w:p>
        </w:tc>
        <w:tc>
          <w:tcPr>
            <w:tcW w:w="555" w:type="dxa"/>
            <w:tcBorders>
              <w:right w:val="single" w:color="auto" w:sz="12" w:space="0"/>
            </w:tcBorders>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Borders>
              <w:left w:val="single" w:color="auto" w:sz="12" w:space="0"/>
            </w:tcBorders>
          </w:tcPr>
          <w:p>
            <w:pPr>
              <w:jc w:val="center"/>
              <w:rPr>
                <w:rFonts w:ascii="Times New Roman" w:hAnsi="Times New Roman" w:eastAsia="宋体"/>
                <w:color w:val="auto"/>
                <w:sz w:val="20"/>
                <w:szCs w:val="20"/>
                <w:highlight w:val="none"/>
              </w:rPr>
            </w:pPr>
          </w:p>
        </w:tc>
        <w:tc>
          <w:tcPr>
            <w:tcW w:w="945" w:type="dxa"/>
            <w:vMerge w:val="continue"/>
          </w:tcPr>
          <w:p>
            <w:pPr>
              <w:jc w:val="center"/>
              <w:rPr>
                <w:rFonts w:ascii="Times New Roman" w:hAnsi="Times New Roman" w:eastAsia="宋体"/>
                <w:color w:val="auto"/>
                <w:sz w:val="20"/>
                <w:szCs w:val="20"/>
                <w:highlight w:val="none"/>
              </w:rPr>
            </w:pPr>
          </w:p>
        </w:tc>
        <w:tc>
          <w:tcPr>
            <w:tcW w:w="795" w:type="dxa"/>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黏性土</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24.5</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29.5</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34.5</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37.0</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40.0</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42.5</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44.5</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555" w:type="dxa"/>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555" w:type="dxa"/>
            <w:tcBorders>
              <w:right w:val="single" w:color="auto" w:sz="12" w:space="0"/>
            </w:tcBorders>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Borders>
              <w:left w:val="single" w:color="auto" w:sz="12" w:space="0"/>
              <w:bottom w:val="single" w:color="auto" w:sz="12" w:space="0"/>
            </w:tcBorders>
          </w:tcPr>
          <w:p>
            <w:pPr>
              <w:jc w:val="center"/>
              <w:rPr>
                <w:rFonts w:ascii="Times New Roman" w:hAnsi="Times New Roman" w:eastAsia="宋体"/>
                <w:color w:val="auto"/>
                <w:sz w:val="20"/>
                <w:szCs w:val="20"/>
                <w:highlight w:val="none"/>
              </w:rPr>
            </w:pPr>
          </w:p>
        </w:tc>
        <w:tc>
          <w:tcPr>
            <w:tcW w:w="945" w:type="dxa"/>
            <w:vMerge w:val="continue"/>
            <w:tcBorders>
              <w:bottom w:val="single" w:color="auto" w:sz="12" w:space="0"/>
            </w:tcBorders>
          </w:tcPr>
          <w:p>
            <w:pPr>
              <w:jc w:val="center"/>
              <w:rPr>
                <w:rFonts w:ascii="Times New Roman" w:hAnsi="Times New Roman" w:eastAsia="宋体"/>
                <w:color w:val="auto"/>
                <w:sz w:val="20"/>
                <w:szCs w:val="20"/>
                <w:highlight w:val="none"/>
              </w:rPr>
            </w:pPr>
          </w:p>
        </w:tc>
        <w:tc>
          <w:tcPr>
            <w:tcW w:w="795" w:type="dxa"/>
            <w:tcBorders>
              <w:bottom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粉土</w:t>
            </w:r>
          </w:p>
        </w:tc>
        <w:tc>
          <w:tcPr>
            <w:tcW w:w="555" w:type="dxa"/>
            <w:tcBorders>
              <w:bottom w:val="single" w:color="auto" w:sz="12" w:space="0"/>
            </w:tcBorders>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27.5</w:t>
            </w:r>
          </w:p>
        </w:tc>
        <w:tc>
          <w:tcPr>
            <w:tcW w:w="555" w:type="dxa"/>
            <w:tcBorders>
              <w:bottom w:val="single" w:color="auto" w:sz="12" w:space="0"/>
            </w:tcBorders>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33.5</w:t>
            </w:r>
          </w:p>
        </w:tc>
        <w:tc>
          <w:tcPr>
            <w:tcW w:w="555" w:type="dxa"/>
            <w:tcBorders>
              <w:bottom w:val="single" w:color="auto" w:sz="12" w:space="0"/>
            </w:tcBorders>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40.0</w:t>
            </w:r>
          </w:p>
        </w:tc>
        <w:tc>
          <w:tcPr>
            <w:tcW w:w="555" w:type="dxa"/>
            <w:tcBorders>
              <w:bottom w:val="single" w:color="auto" w:sz="12" w:space="0"/>
            </w:tcBorders>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43.5</w:t>
            </w:r>
          </w:p>
        </w:tc>
        <w:tc>
          <w:tcPr>
            <w:tcW w:w="555" w:type="dxa"/>
            <w:tcBorders>
              <w:bottom w:val="single" w:color="auto" w:sz="12" w:space="0"/>
            </w:tcBorders>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47.5</w:t>
            </w:r>
          </w:p>
        </w:tc>
        <w:tc>
          <w:tcPr>
            <w:tcW w:w="555" w:type="dxa"/>
            <w:tcBorders>
              <w:bottom w:val="single" w:color="auto" w:sz="12" w:space="0"/>
            </w:tcBorders>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51.0</w:t>
            </w:r>
          </w:p>
        </w:tc>
        <w:tc>
          <w:tcPr>
            <w:tcW w:w="555" w:type="dxa"/>
            <w:tcBorders>
              <w:bottom w:val="single" w:color="auto" w:sz="12" w:space="0"/>
            </w:tcBorders>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555" w:type="dxa"/>
            <w:tcBorders>
              <w:bottom w:val="single" w:color="auto" w:sz="12" w:space="0"/>
            </w:tcBorders>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555" w:type="dxa"/>
            <w:tcBorders>
              <w:bottom w:val="single" w:color="auto" w:sz="12" w:space="0"/>
            </w:tcBorders>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555" w:type="dxa"/>
            <w:tcBorders>
              <w:bottom w:val="single" w:color="auto" w:sz="12" w:space="0"/>
            </w:tcBorders>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555" w:type="dxa"/>
            <w:tcBorders>
              <w:bottom w:val="single" w:color="auto" w:sz="12" w:space="0"/>
              <w:right w:val="single" w:color="auto" w:sz="12" w:space="0"/>
            </w:tcBorders>
          </w:tcPr>
          <w:p>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r>
    </w:tbl>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注：稠度</w:t>
      </w:r>
      <w:r>
        <w:rPr>
          <w:rFonts w:ascii="Times New Roman" w:hAnsi="Times New Roman" w:eastAsia="宋体"/>
          <w:color w:val="auto"/>
          <w:position w:val="-12"/>
          <w:sz w:val="18"/>
          <w:szCs w:val="18"/>
          <w:highlight w:val="none"/>
        </w:rPr>
        <w:object>
          <v:shape id="_x0000_i1108" o:spt="75" type="#_x0000_t75" style="height:17.25pt;width:14.25pt;" o:ole="t" filled="f" o:preferrelative="t" stroked="f" coordsize="21600,21600">
            <v:path/>
            <v:fill on="f" focussize="0,0"/>
            <v:stroke on="f" joinstyle="miter"/>
            <v:imagedata r:id="rId34" o:title=""/>
            <o:lock v:ext="edit" aspectratio="t"/>
            <w10:wrap type="none"/>
            <w10:anchorlock/>
          </v:shape>
          <o:OLEObject Type="Embed" ProgID="Equation.3" ShapeID="_x0000_i1108" DrawAspect="Content" ObjectID="_1468075747" r:id="rId70">
            <o:LockedField>false</o:LockedField>
          </o:OLEObject>
        </w:object>
      </w:r>
      <w:r>
        <w:rPr>
          <w:rFonts w:ascii="Times New Roman" w:hAnsi="Times New Roman" w:eastAsia="宋体"/>
          <w:color w:val="auto"/>
          <w:sz w:val="18"/>
          <w:szCs w:val="18"/>
          <w:highlight w:val="none"/>
        </w:rPr>
        <w:t>计算公式为：</w:t>
      </w:r>
      <w:r>
        <w:rPr>
          <w:rFonts w:ascii="Times New Roman" w:hAnsi="Times New Roman" w:eastAsia="宋体"/>
          <w:color w:val="auto"/>
          <w:position w:val="-14"/>
          <w:sz w:val="18"/>
          <w:szCs w:val="18"/>
          <w:highlight w:val="none"/>
        </w:rPr>
        <w:object>
          <v:shape id="_x0000_i1109" o:spt="75" type="#_x0000_t75" style="height:16.5pt;width:129.75pt;" o:ole="t" filled="f" o:preferrelative="t" stroked="f" coordsize="21600,21600">
            <v:path/>
            <v:fill on="f" focussize="0,0"/>
            <v:stroke on="f" joinstyle="miter"/>
            <v:imagedata r:id="rId72" o:title=""/>
            <o:lock v:ext="edit" aspectratio="t"/>
            <w10:wrap type="none"/>
            <w10:anchorlock/>
          </v:shape>
          <o:OLEObject Type="Embed" ProgID="Equation.3" ShapeID="_x0000_i1109" DrawAspect="Content" ObjectID="_1468075748" r:id="rId71">
            <o:LockedField>false</o:LockedField>
          </o:OLEObject>
        </w:object>
      </w:r>
    </w:p>
    <w:p>
      <w:pPr>
        <w:keepNext w:val="0"/>
        <w:keepLines w:val="0"/>
        <w:pageBreakBefore w:val="0"/>
        <w:widowControl w:val="0"/>
        <w:kinsoku/>
        <w:wordWrap/>
        <w:overflowPunct/>
        <w:topLinePunct w:val="0"/>
        <w:autoSpaceDE/>
        <w:autoSpaceDN/>
        <w:bidi w:val="0"/>
        <w:adjustRightInd/>
        <w:snapToGrid/>
        <w:spacing w:line="400" w:lineRule="exact"/>
        <w:ind w:left="0" w:leftChars="0" w:firstLine="360" w:firstLineChars="200"/>
        <w:textAlignment w:val="auto"/>
        <w:rPr>
          <w:rFonts w:hint="eastAsia" w:ascii="Times New Roman" w:hAnsi="Times New Roman" w:eastAsia="宋体"/>
          <w:b/>
          <w:bCs/>
          <w:color w:val="auto"/>
          <w:highlight w:val="none"/>
          <w:lang w:val="en-US" w:eastAsia="zh-CN"/>
        </w:rPr>
      </w:pPr>
      <w:r>
        <w:rPr>
          <w:rFonts w:ascii="Times New Roman" w:hAnsi="Times New Roman" w:eastAsia="宋体"/>
          <w:color w:val="auto"/>
          <w:sz w:val="18"/>
          <w:szCs w:val="18"/>
          <w:highlight w:val="none"/>
        </w:rPr>
        <w:t>式中，</w:t>
      </w:r>
      <w:r>
        <w:rPr>
          <w:rFonts w:ascii="Times New Roman" w:hAnsi="Times New Roman" w:eastAsia="宋体"/>
          <w:color w:val="auto"/>
          <w:position w:val="-10"/>
          <w:sz w:val="18"/>
          <w:szCs w:val="18"/>
          <w:highlight w:val="none"/>
        </w:rPr>
        <w:object>
          <v:shape id="_x0000_i1110" o:spt="75" type="#_x0000_t75" style="height:15pt;width:14.25pt;" o:ole="t" filled="f" o:preferrelative="t" stroked="f" coordsize="21600,21600">
            <v:path/>
            <v:fill on="f" focussize="0,0"/>
            <v:stroke on="f" joinstyle="miter"/>
            <v:imagedata r:id="rId74" o:title=""/>
            <o:lock v:ext="edit" aspectratio="t"/>
            <w10:wrap type="none"/>
            <w10:anchorlock/>
          </v:shape>
          <o:OLEObject Type="Embed" ProgID="Equation.3" ShapeID="_x0000_i1110" DrawAspect="Content" ObjectID="_1468075749" r:id="rId73">
            <o:LockedField>false</o:LockedField>
          </o:OLEObject>
        </w:object>
      </w:r>
      <w:r>
        <w:rPr>
          <w:rFonts w:ascii="Times New Roman" w:hAnsi="Times New Roman" w:eastAsia="宋体"/>
          <w:color w:val="auto"/>
          <w:sz w:val="18"/>
          <w:szCs w:val="18"/>
          <w:highlight w:val="none"/>
        </w:rPr>
        <w:t>——液限；</w:t>
      </w:r>
      <w:r>
        <w:rPr>
          <w:rFonts w:ascii="Times New Roman" w:hAnsi="Times New Roman" w:eastAsia="宋体"/>
          <w:color w:val="auto"/>
          <w:position w:val="-6"/>
          <w:sz w:val="18"/>
          <w:szCs w:val="18"/>
          <w:highlight w:val="none"/>
        </w:rPr>
        <w:object>
          <v:shape id="_x0000_i1111" o:spt="75" type="#_x0000_t75" style="height:12pt;width:12.75pt;" o:ole="t" filled="f" o:preferrelative="t" stroked="f" coordsize="21600,21600">
            <v:path/>
            <v:fill on="f" focussize="0,0"/>
            <v:stroke on="f" joinstyle="miter"/>
            <v:imagedata r:id="rId76" o:title=""/>
            <o:lock v:ext="edit" aspectratio="t"/>
            <w10:wrap type="none"/>
            <w10:anchorlock/>
          </v:shape>
          <o:OLEObject Type="Embed" ProgID="Equation.3" ShapeID="_x0000_i1111" DrawAspect="Content" ObjectID="_1468075750" r:id="rId75">
            <o:LockedField>false</o:LockedField>
          </o:OLEObject>
        </w:object>
      </w:r>
      <w:r>
        <w:rPr>
          <w:rFonts w:ascii="Times New Roman" w:hAnsi="Times New Roman" w:eastAsia="宋体"/>
          <w:color w:val="auto"/>
          <w:sz w:val="18"/>
          <w:szCs w:val="18"/>
          <w:highlight w:val="none"/>
        </w:rPr>
        <w:t>——含水率；</w:t>
      </w:r>
      <w:r>
        <w:rPr>
          <w:rFonts w:ascii="Times New Roman" w:hAnsi="Times New Roman" w:eastAsia="宋体"/>
          <w:color w:val="auto"/>
          <w:position w:val="-14"/>
          <w:sz w:val="18"/>
          <w:szCs w:val="18"/>
          <w:highlight w:val="none"/>
        </w:rPr>
        <w:object>
          <v:shape id="_x0000_i1112" o:spt="75" type="#_x0000_t75" style="height:16.5pt;width:13.5pt;" o:ole="t" filled="f" o:preferrelative="t" stroked="f" coordsize="21600,21600">
            <v:path/>
            <v:fill on="f" focussize="0,0"/>
            <v:stroke on="f" joinstyle="miter"/>
            <v:imagedata r:id="rId78" o:title=""/>
            <o:lock v:ext="edit" aspectratio="t"/>
            <w10:wrap type="none"/>
            <w10:anchorlock/>
          </v:shape>
          <o:OLEObject Type="Embed" ProgID="Equation.3" ShapeID="_x0000_i1112" DrawAspect="Content" ObjectID="_1468075751" r:id="rId77">
            <o:LockedField>false</o:LockedField>
          </o:OLEObject>
        </w:object>
      </w:r>
      <w:r>
        <w:rPr>
          <w:rFonts w:ascii="Times New Roman" w:hAnsi="Times New Roman" w:eastAsia="宋体"/>
          <w:color w:val="auto"/>
          <w:sz w:val="18"/>
          <w:szCs w:val="18"/>
          <w:highlight w:val="none"/>
        </w:rPr>
        <w:t>——塑限；</w:t>
      </w:r>
      <w:r>
        <w:rPr>
          <w:rFonts w:ascii="Times New Roman" w:hAnsi="Times New Roman" w:eastAsia="宋体"/>
          <w:color w:val="auto"/>
          <w:position w:val="-10"/>
          <w:sz w:val="18"/>
          <w:szCs w:val="18"/>
          <w:highlight w:val="none"/>
        </w:rPr>
        <w:object>
          <v:shape id="_x0000_i1113" o:spt="75" type="#_x0000_t75" style="height:15pt;width:11.25pt;" o:ole="t" filled="f" o:preferrelative="t" stroked="f" coordsize="21600,21600">
            <v:path/>
            <v:fill on="f" focussize="0,0"/>
            <v:stroke on="f" joinstyle="miter"/>
            <v:imagedata r:id="rId80" o:title=""/>
            <o:lock v:ext="edit" aspectratio="t"/>
            <w10:wrap type="none"/>
            <w10:anchorlock/>
          </v:shape>
          <o:OLEObject Type="Embed" ProgID="Equation.3" ShapeID="_x0000_i1113" DrawAspect="Content" ObjectID="_1468075752" r:id="rId79">
            <o:LockedField>false</o:LockedField>
          </o:OLEObject>
        </w:object>
      </w:r>
      <w:r>
        <w:rPr>
          <w:rFonts w:ascii="Times New Roman" w:hAnsi="Times New Roman" w:eastAsia="宋体"/>
          <w:color w:val="auto"/>
          <w:sz w:val="18"/>
          <w:szCs w:val="18"/>
          <w:highlight w:val="none"/>
        </w:rPr>
        <w:t>——液性指数。</w:t>
      </w:r>
    </w:p>
    <w:p>
      <w:pPr>
        <w:spacing w:line="360" w:lineRule="auto"/>
        <w:ind w:firstLine="420" w:firstLineChars="200"/>
        <w:rPr>
          <w:rFonts w:ascii="Times New Roman" w:hAnsi="Times New Roman" w:eastAsia="宋体"/>
          <w:color w:val="auto"/>
          <w:szCs w:val="21"/>
          <w:highlight w:val="none"/>
        </w:rPr>
      </w:pPr>
      <w:r>
        <w:rPr>
          <w:rFonts w:hint="eastAsia" w:ascii="Times New Roman" w:hAnsi="Times New Roman" w:eastAsia="宋体"/>
          <w:color w:val="auto"/>
          <w:szCs w:val="21"/>
          <w:highlight w:val="none"/>
          <w:lang w:val="en-US" w:eastAsia="zh-CN"/>
        </w:rPr>
        <w:t>表5-2</w:t>
      </w:r>
      <w:r>
        <w:rPr>
          <w:rFonts w:ascii="Times New Roman" w:hAnsi="Times New Roman" w:eastAsia="宋体"/>
          <w:color w:val="auto"/>
          <w:szCs w:val="21"/>
          <w:highlight w:val="none"/>
        </w:rPr>
        <w:t>引用自</w:t>
      </w:r>
      <w:bookmarkStart w:id="356" w:name="_Hlk80352504"/>
      <w:r>
        <w:rPr>
          <w:rFonts w:ascii="Times New Roman" w:hAnsi="Times New Roman" w:eastAsia="宋体"/>
          <w:color w:val="auto"/>
          <w:szCs w:val="21"/>
          <w:highlight w:val="none"/>
        </w:rPr>
        <w:t>《城</w:t>
      </w:r>
      <w:r>
        <w:rPr>
          <w:rFonts w:hint="eastAsia" w:ascii="Times New Roman" w:hAnsi="Times New Roman" w:eastAsia="宋体"/>
          <w:color w:val="auto"/>
          <w:szCs w:val="21"/>
          <w:highlight w:val="none"/>
        </w:rPr>
        <w:t>市</w:t>
      </w:r>
      <w:r>
        <w:rPr>
          <w:rFonts w:ascii="Times New Roman" w:hAnsi="Times New Roman" w:eastAsia="宋体"/>
          <w:color w:val="auto"/>
          <w:szCs w:val="21"/>
          <w:highlight w:val="none"/>
        </w:rPr>
        <w:t>道路路基设计规范》CJJ 194</w:t>
      </w:r>
      <w:bookmarkEnd w:id="356"/>
      <w:r>
        <w:rPr>
          <w:rFonts w:ascii="Times New Roman" w:hAnsi="Times New Roman" w:eastAsia="宋体"/>
          <w:color w:val="auto"/>
          <w:szCs w:val="21"/>
          <w:highlight w:val="none"/>
        </w:rPr>
        <w:t>-2013 附表B.0.5。根据《公路自然区划标准》，广东省一级自然区划为Ⅳ区东南湿热区，而二级自然区划则分属两个区：靠内陆的</w:t>
      </w:r>
      <w:r>
        <w:rPr>
          <w:rFonts w:hint="eastAsia" w:ascii="Times New Roman" w:hAnsi="Times New Roman" w:eastAsia="宋体"/>
          <w:color w:val="auto"/>
          <w:szCs w:val="21"/>
          <w:highlight w:val="none"/>
          <w:lang w:eastAsia="zh-CN"/>
        </w:rPr>
        <w:t>城市</w:t>
      </w:r>
      <w:r>
        <w:rPr>
          <w:rFonts w:ascii="Times New Roman" w:hAnsi="Times New Roman" w:eastAsia="宋体"/>
          <w:color w:val="auto"/>
          <w:szCs w:val="21"/>
          <w:highlight w:val="none"/>
        </w:rPr>
        <w:t>属于</w:t>
      </w:r>
      <w:r>
        <w:rPr>
          <w:rFonts w:ascii="Times New Roman" w:hAnsi="Times New Roman" w:eastAsia="宋体"/>
          <w:color w:val="auto"/>
          <w:sz w:val="18"/>
          <w:szCs w:val="18"/>
          <w:highlight w:val="none"/>
        </w:rPr>
        <w:t>Ⅳ</w:t>
      </w:r>
      <w:r>
        <w:rPr>
          <w:rFonts w:ascii="Times New Roman" w:hAnsi="Times New Roman" w:eastAsia="宋体"/>
          <w:color w:val="auto"/>
          <w:sz w:val="18"/>
          <w:szCs w:val="18"/>
          <w:highlight w:val="none"/>
          <w:vertAlign w:val="subscript"/>
        </w:rPr>
        <w:t>6</w:t>
      </w:r>
      <w:r>
        <w:rPr>
          <w:rFonts w:ascii="Times New Roman" w:hAnsi="Times New Roman" w:eastAsia="宋体"/>
          <w:color w:val="auto"/>
          <w:szCs w:val="21"/>
          <w:highlight w:val="none"/>
        </w:rPr>
        <w:t>区南岭山地过湿区，沿海</w:t>
      </w:r>
      <w:r>
        <w:rPr>
          <w:rFonts w:hint="eastAsia" w:ascii="Times New Roman" w:hAnsi="Times New Roman" w:eastAsia="宋体"/>
          <w:color w:val="auto"/>
          <w:szCs w:val="21"/>
          <w:highlight w:val="none"/>
          <w:lang w:eastAsia="zh-CN"/>
        </w:rPr>
        <w:t>城市</w:t>
      </w:r>
      <w:r>
        <w:rPr>
          <w:rFonts w:ascii="Times New Roman" w:hAnsi="Times New Roman" w:eastAsia="宋体"/>
          <w:color w:val="auto"/>
          <w:szCs w:val="21"/>
          <w:highlight w:val="none"/>
        </w:rPr>
        <w:t>则属于</w:t>
      </w:r>
      <w:r>
        <w:rPr>
          <w:rFonts w:ascii="Times New Roman" w:hAnsi="Times New Roman" w:eastAsia="宋体"/>
          <w:color w:val="auto"/>
          <w:sz w:val="18"/>
          <w:szCs w:val="18"/>
          <w:highlight w:val="none"/>
        </w:rPr>
        <w:t>Ⅳ</w:t>
      </w:r>
      <w:r>
        <w:rPr>
          <w:rFonts w:ascii="Times New Roman" w:hAnsi="Times New Roman" w:eastAsia="宋体"/>
          <w:color w:val="auto"/>
          <w:sz w:val="18"/>
          <w:szCs w:val="18"/>
          <w:highlight w:val="none"/>
          <w:vertAlign w:val="subscript"/>
        </w:rPr>
        <w:t>7</w:t>
      </w:r>
      <w:r>
        <w:rPr>
          <w:rFonts w:ascii="Times New Roman" w:hAnsi="Times New Roman" w:eastAsia="宋体"/>
          <w:color w:val="auto"/>
          <w:szCs w:val="21"/>
          <w:highlight w:val="none"/>
        </w:rPr>
        <w:t>区华南沿海台风区。</w:t>
      </w:r>
    </w:p>
    <w:p>
      <w:pPr>
        <w:spacing w:line="360" w:lineRule="auto"/>
        <w:ind w:firstLine="420" w:firstLineChars="200"/>
        <w:rPr>
          <w:rFonts w:ascii="Times New Roman" w:hAnsi="Times New Roman" w:eastAsia="宋体"/>
          <w:color w:val="auto"/>
          <w:szCs w:val="21"/>
          <w:highlight w:val="none"/>
        </w:rPr>
      </w:pPr>
      <w:r>
        <w:rPr>
          <w:rFonts w:ascii="Times New Roman" w:hAnsi="Times New Roman" w:eastAsia="宋体"/>
          <w:color w:val="auto"/>
          <w:szCs w:val="21"/>
          <w:highlight w:val="none"/>
        </w:rPr>
        <w:t>在该规范中，分了三类土：土质砂、黏质土和粉质土。其中，黏质土的定义是：</w:t>
      </w:r>
      <w:r>
        <w:rPr>
          <w:color w:val="auto"/>
          <w:highlight w:val="none"/>
        </w:rPr>
        <w:fldChar w:fldCharType="begin"/>
      </w:r>
      <w:r>
        <w:rPr>
          <w:color w:val="auto"/>
          <w:highlight w:val="none"/>
        </w:rPr>
        <w:instrText xml:space="preserve"> HYPERLINK "https://baike.baidu.com/item/%E5%A1%91%E6%80%A7%E6%8C%87%E6%95%B0/9018283" \t "_blank" </w:instrText>
      </w:r>
      <w:r>
        <w:rPr>
          <w:color w:val="auto"/>
          <w:highlight w:val="none"/>
        </w:rPr>
        <w:fldChar w:fldCharType="separate"/>
      </w:r>
      <w:r>
        <w:rPr>
          <w:rFonts w:ascii="Times New Roman" w:hAnsi="Times New Roman" w:eastAsia="宋体"/>
          <w:color w:val="auto"/>
          <w:highlight w:val="none"/>
        </w:rPr>
        <w:t>塑性指数</w:t>
      </w:r>
      <w:r>
        <w:rPr>
          <w:rFonts w:ascii="Times New Roman" w:hAnsi="Times New Roman" w:eastAsia="宋体"/>
          <w:color w:val="auto"/>
          <w:highlight w:val="none"/>
        </w:rPr>
        <w:fldChar w:fldCharType="end"/>
      </w:r>
      <w:r>
        <w:rPr>
          <w:rFonts w:ascii="Times New Roman" w:hAnsi="Times New Roman" w:eastAsia="宋体"/>
          <w:color w:val="auto"/>
          <w:szCs w:val="21"/>
          <w:highlight w:val="none"/>
        </w:rPr>
        <w:t>大于10，且粒径大于0.075mm的颗粒含量不超过50%的土，</w:t>
      </w:r>
      <w:r>
        <w:rPr>
          <w:rFonts w:hint="eastAsia" w:ascii="Times New Roman" w:hAnsi="Times New Roman" w:eastAsia="宋体"/>
          <w:color w:val="auto"/>
          <w:szCs w:val="21"/>
          <w:highlight w:val="none"/>
          <w:lang w:val="en-US" w:eastAsia="zh-CN"/>
        </w:rPr>
        <w:t>对</w:t>
      </w:r>
      <w:r>
        <w:rPr>
          <w:rFonts w:ascii="Times New Roman" w:hAnsi="Times New Roman" w:eastAsia="宋体"/>
          <w:color w:val="auto"/>
          <w:szCs w:val="21"/>
          <w:highlight w:val="none"/>
        </w:rPr>
        <w:t>照</w:t>
      </w:r>
      <w:r>
        <w:rPr>
          <w:rFonts w:hint="eastAsia" w:ascii="Times New Roman" w:hAnsi="Times New Roman" w:eastAsia="宋体"/>
          <w:color w:val="auto"/>
          <w:szCs w:val="21"/>
          <w:highlight w:val="none"/>
          <w:lang w:val="en-US" w:eastAsia="zh-CN"/>
        </w:rPr>
        <w:t>4.3节“土的分类”</w:t>
      </w:r>
      <w:r>
        <w:rPr>
          <w:rFonts w:ascii="Times New Roman" w:hAnsi="Times New Roman" w:eastAsia="宋体"/>
          <w:color w:val="auto"/>
          <w:highlight w:val="none"/>
        </w:rPr>
        <w:t>，恰好对应黏性土，</w:t>
      </w:r>
      <w:r>
        <w:rPr>
          <w:rFonts w:ascii="Times New Roman" w:hAnsi="Times New Roman" w:eastAsia="宋体"/>
          <w:color w:val="auto"/>
          <w:szCs w:val="21"/>
          <w:highlight w:val="none"/>
        </w:rPr>
        <w:t>包括粉质黏土和黏土。相应地，粉质土</w:t>
      </w:r>
      <w:r>
        <w:rPr>
          <w:rFonts w:hint="eastAsia" w:ascii="Times New Roman" w:hAnsi="Times New Roman" w:eastAsia="宋体"/>
          <w:color w:val="auto"/>
          <w:szCs w:val="21"/>
          <w:highlight w:val="none"/>
          <w:lang w:val="en-US" w:eastAsia="zh-CN"/>
        </w:rPr>
        <w:t>对</w:t>
      </w:r>
      <w:r>
        <w:rPr>
          <w:rFonts w:ascii="Times New Roman" w:hAnsi="Times New Roman" w:eastAsia="宋体"/>
          <w:color w:val="auto"/>
          <w:szCs w:val="21"/>
          <w:highlight w:val="none"/>
        </w:rPr>
        <w:t>照</w:t>
      </w:r>
      <w:r>
        <w:rPr>
          <w:rFonts w:hint="eastAsia" w:ascii="Times New Roman" w:hAnsi="Times New Roman" w:eastAsia="宋体"/>
          <w:color w:val="auto"/>
          <w:szCs w:val="21"/>
          <w:highlight w:val="none"/>
          <w:lang w:val="en-US" w:eastAsia="zh-CN"/>
        </w:rPr>
        <w:t>4.3节“土的分类”</w:t>
      </w:r>
      <w:r>
        <w:rPr>
          <w:rFonts w:ascii="Times New Roman" w:hAnsi="Times New Roman" w:eastAsia="宋体"/>
          <w:color w:val="auto"/>
          <w:szCs w:val="21"/>
          <w:highlight w:val="none"/>
        </w:rPr>
        <w:t>就是粉土；而土质砂对应的就是砂土。因此</w:t>
      </w:r>
      <w:r>
        <w:rPr>
          <w:rFonts w:hint="eastAsia" w:ascii="Times New Roman" w:hAnsi="Times New Roman" w:eastAsia="宋体"/>
          <w:color w:val="auto"/>
          <w:szCs w:val="21"/>
          <w:highlight w:val="none"/>
          <w:lang w:eastAsia="zh-CN"/>
        </w:rPr>
        <w:t>，</w:t>
      </w:r>
      <w:r>
        <w:rPr>
          <w:rFonts w:hint="eastAsia" w:ascii="Times New Roman" w:hAnsi="Times New Roman" w:eastAsia="宋体"/>
          <w:color w:val="auto"/>
          <w:szCs w:val="21"/>
          <w:highlight w:val="none"/>
          <w:lang w:val="en-US" w:eastAsia="zh-CN"/>
        </w:rPr>
        <w:t>此处</w:t>
      </w:r>
      <w:r>
        <w:rPr>
          <w:rFonts w:ascii="Times New Roman" w:hAnsi="Times New Roman" w:eastAsia="宋体"/>
          <w:color w:val="auto"/>
          <w:szCs w:val="21"/>
          <w:highlight w:val="none"/>
        </w:rPr>
        <w:t>将土质砂、黏质土和粉质土</w:t>
      </w:r>
      <w:r>
        <w:rPr>
          <w:rFonts w:hint="eastAsia" w:ascii="Times New Roman" w:hAnsi="Times New Roman" w:eastAsia="宋体"/>
          <w:color w:val="auto"/>
          <w:szCs w:val="21"/>
          <w:highlight w:val="none"/>
          <w:lang w:val="en-US" w:eastAsia="zh-CN"/>
        </w:rPr>
        <w:t>相应</w:t>
      </w:r>
      <w:r>
        <w:rPr>
          <w:rFonts w:ascii="Times New Roman" w:hAnsi="Times New Roman" w:eastAsia="宋体"/>
          <w:color w:val="auto"/>
          <w:szCs w:val="21"/>
          <w:highlight w:val="none"/>
        </w:rPr>
        <w:t>改为了砂土、黏性土和粉土。</w:t>
      </w:r>
    </w:p>
    <w:p>
      <w:pPr>
        <w:spacing w:line="360" w:lineRule="auto"/>
        <w:ind w:firstLine="420" w:firstLineChars="200"/>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对于边坡挡墙，当基底与土、岩界面的摩擦系数无实测数据时，可按表5-3取值。</w:t>
      </w:r>
    </w:p>
    <w:p>
      <w:pPr>
        <w:spacing w:line="360" w:lineRule="auto"/>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5-3</w:t>
      </w:r>
      <w:r>
        <w:rPr>
          <w:rFonts w:ascii="Times New Roman" w:hAnsi="Times New Roman" w:eastAsia="宋体"/>
          <w:b/>
          <w:bCs/>
          <w:color w:val="auto"/>
          <w:szCs w:val="21"/>
          <w:highlight w:val="none"/>
        </w:rPr>
        <w:t xml:space="preserve"> </w:t>
      </w:r>
      <w:r>
        <w:rPr>
          <w:rFonts w:hint="eastAsia" w:ascii="Times New Roman" w:hAnsi="Times New Roman" w:eastAsia="宋体"/>
          <w:b/>
          <w:bCs/>
          <w:color w:val="auto"/>
          <w:szCs w:val="21"/>
          <w:highlight w:val="none"/>
          <w:lang w:val="en-US" w:eastAsia="zh-CN"/>
        </w:rPr>
        <w:t xml:space="preserve"> </w:t>
      </w:r>
      <w:r>
        <w:rPr>
          <w:rFonts w:ascii="Times New Roman" w:hAnsi="Times New Roman" w:eastAsia="宋体"/>
          <w:b/>
          <w:bCs/>
          <w:color w:val="auto"/>
          <w:szCs w:val="21"/>
          <w:highlight w:val="none"/>
        </w:rPr>
        <w:t>基底与土（岩）的摩擦系数的经验值</w:t>
      </w:r>
    </w:p>
    <w:tbl>
      <w:tblPr>
        <w:tblStyle w:val="22"/>
        <w:tblW w:w="81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1"/>
        <w:gridCol w:w="2791"/>
        <w:gridCol w:w="148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2" w:type="dxa"/>
            <w:gridSpan w:val="3"/>
            <w:tcBorders>
              <w:top w:val="single" w:color="auto" w:sz="12" w:space="0"/>
              <w:left w:val="single" w:color="auto" w:sz="12" w:space="0"/>
              <w:bottom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材料</w:t>
            </w:r>
          </w:p>
        </w:tc>
        <w:tc>
          <w:tcPr>
            <w:tcW w:w="1701" w:type="dxa"/>
            <w:tcBorders>
              <w:top w:val="single" w:color="auto" w:sz="12" w:space="0"/>
              <w:left w:val="single" w:color="auto" w:sz="4"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摩擦系数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墙底与抛石基底</w:t>
            </w:r>
          </w:p>
        </w:tc>
        <w:tc>
          <w:tcPr>
            <w:tcW w:w="4271" w:type="dxa"/>
            <w:gridSpan w:val="2"/>
            <w:tcBorders>
              <w:left w:val="single" w:color="auto" w:sz="4" w:space="0"/>
            </w:tcBorders>
            <w:vAlign w:val="center"/>
          </w:tcPr>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墙身为预制混凝土或钢筋混凝土结构</w:t>
            </w:r>
          </w:p>
        </w:tc>
        <w:tc>
          <w:tcPr>
            <w:tcW w:w="1701"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4271" w:type="dxa"/>
            <w:gridSpan w:val="2"/>
            <w:tcBorders>
              <w:left w:val="single" w:color="auto" w:sz="4" w:space="0"/>
            </w:tcBorders>
            <w:vAlign w:val="center"/>
          </w:tcPr>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墙身为预制浆砌块石结构</w:t>
            </w:r>
          </w:p>
        </w:tc>
        <w:tc>
          <w:tcPr>
            <w:tcW w:w="1701"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抛石基底与地基土</w:t>
            </w:r>
          </w:p>
        </w:tc>
        <w:tc>
          <w:tcPr>
            <w:tcW w:w="4271" w:type="dxa"/>
            <w:gridSpan w:val="2"/>
            <w:tcBorders>
              <w:left w:val="single" w:color="auto" w:sz="4" w:space="0"/>
            </w:tcBorders>
            <w:vAlign w:val="center"/>
          </w:tcPr>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地基为细砂至粗砂</w:t>
            </w:r>
          </w:p>
        </w:tc>
        <w:tc>
          <w:tcPr>
            <w:tcW w:w="1701"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0.50~0.60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4271" w:type="dxa"/>
            <w:gridSpan w:val="2"/>
            <w:tcBorders>
              <w:left w:val="single" w:color="auto" w:sz="4" w:space="0"/>
            </w:tcBorders>
            <w:vAlign w:val="center"/>
          </w:tcPr>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地基为粉砂</w:t>
            </w:r>
          </w:p>
        </w:tc>
        <w:tc>
          <w:tcPr>
            <w:tcW w:w="1701"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4271" w:type="dxa"/>
            <w:gridSpan w:val="2"/>
            <w:tcBorders>
              <w:left w:val="single" w:color="auto" w:sz="4" w:space="0"/>
            </w:tcBorders>
            <w:vAlign w:val="center"/>
          </w:tcPr>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地基为粉土</w:t>
            </w:r>
          </w:p>
        </w:tc>
        <w:tc>
          <w:tcPr>
            <w:tcW w:w="1701"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0.35~0.50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4271" w:type="dxa"/>
            <w:gridSpan w:val="2"/>
            <w:tcBorders>
              <w:left w:val="single" w:color="auto" w:sz="4" w:space="0"/>
            </w:tcBorders>
            <w:vAlign w:val="center"/>
          </w:tcPr>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地基为黏土、粉质黏土</w:t>
            </w:r>
          </w:p>
        </w:tc>
        <w:tc>
          <w:tcPr>
            <w:tcW w:w="1701"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0.30~0.45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挡土墙与地基土体</w:t>
            </w:r>
          </w:p>
        </w:tc>
        <w:tc>
          <w:tcPr>
            <w:tcW w:w="2791" w:type="dxa"/>
            <w:vMerge w:val="restart"/>
            <w:tcBorders>
              <w:left w:val="single" w:color="auto" w:sz="4" w:space="0"/>
            </w:tcBorders>
            <w:vAlign w:val="center"/>
          </w:tcPr>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地基为黏性土</w:t>
            </w:r>
          </w:p>
        </w:tc>
        <w:tc>
          <w:tcPr>
            <w:tcW w:w="1480" w:type="dxa"/>
            <w:vAlign w:val="center"/>
          </w:tcPr>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可塑</w:t>
            </w:r>
          </w:p>
        </w:tc>
        <w:tc>
          <w:tcPr>
            <w:tcW w:w="1701"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0.20~0.25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2791" w:type="dxa"/>
            <w:vMerge w:val="continue"/>
            <w:tcBorders>
              <w:left w:val="single" w:color="auto" w:sz="4" w:space="0"/>
            </w:tcBorders>
            <w:vAlign w:val="center"/>
          </w:tcPr>
          <w:p>
            <w:pPr>
              <w:jc w:val="left"/>
              <w:rPr>
                <w:rFonts w:ascii="Times New Roman" w:hAnsi="Times New Roman" w:eastAsia="宋体"/>
                <w:color w:val="auto"/>
                <w:sz w:val="20"/>
                <w:szCs w:val="20"/>
                <w:highlight w:val="none"/>
              </w:rPr>
            </w:pPr>
          </w:p>
        </w:tc>
        <w:tc>
          <w:tcPr>
            <w:tcW w:w="1480" w:type="dxa"/>
            <w:vAlign w:val="center"/>
          </w:tcPr>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硬塑</w:t>
            </w:r>
          </w:p>
        </w:tc>
        <w:tc>
          <w:tcPr>
            <w:tcW w:w="1701"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0.25~0.30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2791" w:type="dxa"/>
            <w:vMerge w:val="continue"/>
            <w:tcBorders>
              <w:left w:val="single" w:color="auto" w:sz="4" w:space="0"/>
            </w:tcBorders>
            <w:vAlign w:val="center"/>
          </w:tcPr>
          <w:p>
            <w:pPr>
              <w:jc w:val="left"/>
              <w:rPr>
                <w:rFonts w:ascii="Times New Roman" w:hAnsi="Times New Roman" w:eastAsia="宋体"/>
                <w:color w:val="auto"/>
                <w:sz w:val="20"/>
                <w:szCs w:val="20"/>
                <w:highlight w:val="none"/>
              </w:rPr>
            </w:pPr>
          </w:p>
        </w:tc>
        <w:tc>
          <w:tcPr>
            <w:tcW w:w="1480" w:type="dxa"/>
            <w:vAlign w:val="center"/>
          </w:tcPr>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坚硬</w:t>
            </w:r>
          </w:p>
        </w:tc>
        <w:tc>
          <w:tcPr>
            <w:tcW w:w="1701"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0.30~0.40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4271" w:type="dxa"/>
            <w:gridSpan w:val="2"/>
            <w:tcBorders>
              <w:left w:val="single" w:color="auto" w:sz="4" w:space="0"/>
            </w:tcBorders>
            <w:vAlign w:val="center"/>
          </w:tcPr>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地基为粉土</w:t>
            </w:r>
          </w:p>
        </w:tc>
        <w:tc>
          <w:tcPr>
            <w:tcW w:w="1701"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0.25~0.35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4271" w:type="dxa"/>
            <w:gridSpan w:val="2"/>
            <w:tcBorders>
              <w:left w:val="single" w:color="auto" w:sz="4" w:space="0"/>
            </w:tcBorders>
            <w:vAlign w:val="center"/>
          </w:tcPr>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地基为中砂、粗砂、砾砂</w:t>
            </w:r>
          </w:p>
        </w:tc>
        <w:tc>
          <w:tcPr>
            <w:tcW w:w="1701"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0.35~0.40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4271" w:type="dxa"/>
            <w:gridSpan w:val="2"/>
            <w:tcBorders>
              <w:left w:val="single" w:color="auto" w:sz="4" w:space="0"/>
            </w:tcBorders>
            <w:vAlign w:val="center"/>
          </w:tcPr>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地基为碎石土</w:t>
            </w:r>
          </w:p>
        </w:tc>
        <w:tc>
          <w:tcPr>
            <w:tcW w:w="1701"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0.40~0.50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4271" w:type="dxa"/>
            <w:gridSpan w:val="2"/>
            <w:tcBorders>
              <w:left w:val="single" w:color="auto" w:sz="4" w:space="0"/>
            </w:tcBorders>
            <w:vAlign w:val="center"/>
          </w:tcPr>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地基为极软岩、软岩、较软岩</w:t>
            </w:r>
          </w:p>
        </w:tc>
        <w:tc>
          <w:tcPr>
            <w:tcW w:w="1701"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0.40~0.60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Merge w:val="continue"/>
            <w:tcBorders>
              <w:top w:val="single" w:color="auto" w:sz="4" w:space="0"/>
              <w:left w:val="single" w:color="auto" w:sz="12" w:space="0"/>
              <w:bottom w:val="single" w:color="auto" w:sz="12" w:space="0"/>
              <w:right w:val="single" w:color="auto" w:sz="4" w:space="0"/>
            </w:tcBorders>
            <w:vAlign w:val="center"/>
          </w:tcPr>
          <w:p>
            <w:pPr>
              <w:jc w:val="center"/>
              <w:rPr>
                <w:rFonts w:ascii="Times New Roman" w:hAnsi="Times New Roman" w:eastAsia="宋体"/>
                <w:color w:val="auto"/>
                <w:sz w:val="20"/>
                <w:szCs w:val="20"/>
                <w:highlight w:val="none"/>
              </w:rPr>
            </w:pPr>
          </w:p>
        </w:tc>
        <w:tc>
          <w:tcPr>
            <w:tcW w:w="4271" w:type="dxa"/>
            <w:gridSpan w:val="2"/>
            <w:tcBorders>
              <w:left w:val="single" w:color="auto" w:sz="4" w:space="0"/>
              <w:bottom w:val="single" w:color="auto" w:sz="12" w:space="0"/>
            </w:tcBorders>
            <w:vAlign w:val="center"/>
          </w:tcPr>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地基为表面粗糙的较硬岩、硬岩石</w:t>
            </w:r>
          </w:p>
        </w:tc>
        <w:tc>
          <w:tcPr>
            <w:tcW w:w="1701" w:type="dxa"/>
            <w:tcBorders>
              <w:bottom w:val="single" w:color="auto" w:sz="12"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0.60~0.70</w:t>
            </w:r>
          </w:p>
        </w:tc>
      </w:tr>
    </w:tbl>
    <w:p>
      <w:pPr>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表</w:t>
      </w:r>
      <w:r>
        <w:rPr>
          <w:rFonts w:hint="eastAsia" w:ascii="Times New Roman" w:hAnsi="Times New Roman" w:eastAsia="宋体"/>
          <w:color w:val="auto"/>
          <w:szCs w:val="21"/>
          <w:highlight w:val="none"/>
          <w:lang w:val="en-US" w:eastAsia="zh-CN"/>
        </w:rPr>
        <w:t>5-3</w:t>
      </w:r>
      <w:r>
        <w:rPr>
          <w:rFonts w:ascii="Times New Roman" w:hAnsi="Times New Roman" w:eastAsia="宋体"/>
          <w:color w:val="auto"/>
          <w:szCs w:val="21"/>
          <w:highlight w:val="none"/>
        </w:rPr>
        <w:t>在《市政工程勘察规范》CJJ 56-2012表D基础上，结合《建筑边坡工程技术规范》GB 50330-2013表11.2.3、《建筑地基基础设计规范》GB 50007-2011表6.7.5-2及《建筑桩基技术规范》JGJ 94-2008表5.7.3-2编制。</w:t>
      </w:r>
    </w:p>
    <w:p>
      <w:pPr>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其中，对于砂土地基，三本规范有所差异。首先，行标《市政工程勘察规范》仅写</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地基为砂土</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，而两本国标都写为</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中砂、粗砂、砾砂</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亦即不建议用粉砂、细砂为挡土墙基底；其次，关于挡土墙与砂土地基的摩擦系数，《市政工程勘察规范》为0.40，《建筑边坡工程技术规范》为0.35~0.40，而《建筑地基基础设计规范》为0.40~0.50。考虑到挡墙主要用于边坡工程，在该领域《建筑边坡工程技术规范》最为权威，同时其参数也相对保守、合理，故取了0.35~0.40。</w:t>
      </w:r>
    </w:p>
    <w:p>
      <w:pPr>
        <w:spacing w:line="360" w:lineRule="auto"/>
        <w:ind w:firstLine="420" w:firstLineChars="200"/>
        <w:jc w:val="left"/>
        <w:rPr>
          <w:rFonts w:hint="default" w:ascii="Times New Roman" w:hAnsi="Times New Roman" w:eastAsia="宋体"/>
          <w:color w:val="auto"/>
          <w:szCs w:val="21"/>
          <w:highlight w:val="none"/>
          <w:lang w:val="en-US" w:eastAsia="zh-CN"/>
        </w:rPr>
      </w:pPr>
      <w:r>
        <w:rPr>
          <w:rFonts w:ascii="Times New Roman" w:hAnsi="Times New Roman" w:eastAsia="宋体"/>
          <w:color w:val="auto"/>
          <w:szCs w:val="21"/>
          <w:highlight w:val="none"/>
        </w:rPr>
        <w:t>土（岩）与锚固体极限粘结强度</w:t>
      </w:r>
      <w:r>
        <w:rPr>
          <w:rFonts w:hint="eastAsia" w:ascii="Times New Roman" w:hAnsi="Times New Roman" w:eastAsia="宋体"/>
          <w:color w:val="auto"/>
          <w:szCs w:val="21"/>
          <w:highlight w:val="none"/>
          <w:lang w:val="en-US" w:eastAsia="zh-CN"/>
        </w:rPr>
        <w:t>标准值可按表5-4取值。</w:t>
      </w:r>
    </w:p>
    <w:p>
      <w:pPr>
        <w:spacing w:line="360" w:lineRule="auto"/>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5-4</w:t>
      </w:r>
      <w:r>
        <w:rPr>
          <w:rFonts w:ascii="Times New Roman" w:hAnsi="Times New Roman" w:eastAsia="宋体"/>
          <w:b/>
          <w:bCs/>
          <w:color w:val="auto"/>
          <w:szCs w:val="21"/>
          <w:highlight w:val="none"/>
        </w:rPr>
        <w:t xml:space="preserve"> 土（岩）与锚固体极限粘结强度标准值(kPa)的经验值</w:t>
      </w:r>
    </w:p>
    <w:tbl>
      <w:tblPr>
        <w:tblStyle w:val="22"/>
        <w:tblW w:w="8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984"/>
        <w:gridCol w:w="1695"/>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restart"/>
            <w:tcBorders>
              <w:top w:val="single" w:color="auto" w:sz="12" w:space="0"/>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岩土类别</w:t>
            </w:r>
          </w:p>
        </w:tc>
        <w:tc>
          <w:tcPr>
            <w:tcW w:w="1984" w:type="dxa"/>
            <w:vMerge w:val="restart"/>
            <w:tcBorders>
              <w:top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状态参数</w:t>
            </w:r>
          </w:p>
        </w:tc>
        <w:tc>
          <w:tcPr>
            <w:tcW w:w="1695" w:type="dxa"/>
            <w:vMerge w:val="restart"/>
            <w:tcBorders>
              <w:top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f</w:t>
            </w:r>
            <w:r>
              <w:rPr>
                <w:rFonts w:ascii="Times New Roman" w:hAnsi="Times New Roman" w:eastAsia="宋体"/>
                <w:color w:val="auto"/>
                <w:sz w:val="20"/>
                <w:szCs w:val="20"/>
                <w:highlight w:val="none"/>
                <w:vertAlign w:val="subscript"/>
              </w:rPr>
              <w:t>rbk</w:t>
            </w:r>
            <w:r>
              <w:rPr>
                <w:rFonts w:ascii="Times New Roman" w:hAnsi="Times New Roman" w:eastAsia="宋体"/>
                <w:color w:val="auto"/>
                <w:sz w:val="20"/>
                <w:szCs w:val="20"/>
                <w:highlight w:val="none"/>
              </w:rPr>
              <w:t>（边坡规范）</w:t>
            </w:r>
          </w:p>
        </w:tc>
        <w:tc>
          <w:tcPr>
            <w:tcW w:w="3410" w:type="dxa"/>
            <w:gridSpan w:val="2"/>
            <w:tcBorders>
              <w:top w:val="single" w:color="auto" w:sz="12"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q</w:t>
            </w:r>
            <w:r>
              <w:rPr>
                <w:rFonts w:ascii="Times New Roman" w:hAnsi="Times New Roman" w:eastAsia="宋体"/>
                <w:color w:val="auto"/>
                <w:sz w:val="20"/>
                <w:szCs w:val="20"/>
                <w:highlight w:val="none"/>
                <w:vertAlign w:val="subscript"/>
              </w:rPr>
              <w:t>sk</w:t>
            </w:r>
            <w:r>
              <w:rPr>
                <w:rFonts w:ascii="Times New Roman" w:hAnsi="Times New Roman" w:eastAsia="宋体"/>
                <w:color w:val="auto"/>
                <w:sz w:val="20"/>
                <w:szCs w:val="20"/>
                <w:highlight w:val="none"/>
              </w:rPr>
              <w:t>（基坑规范）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1984" w:type="dxa"/>
            <w:vMerge w:val="continue"/>
            <w:vAlign w:val="center"/>
          </w:tcPr>
          <w:p>
            <w:pPr>
              <w:jc w:val="center"/>
              <w:rPr>
                <w:rFonts w:ascii="Times New Roman" w:hAnsi="Times New Roman" w:eastAsia="宋体"/>
                <w:color w:val="auto"/>
                <w:sz w:val="20"/>
                <w:szCs w:val="20"/>
                <w:highlight w:val="none"/>
              </w:rPr>
            </w:pPr>
          </w:p>
        </w:tc>
        <w:tc>
          <w:tcPr>
            <w:tcW w:w="1695" w:type="dxa"/>
            <w:vMerge w:val="continue"/>
            <w:vAlign w:val="center"/>
          </w:tcPr>
          <w:p>
            <w:pPr>
              <w:jc w:val="center"/>
              <w:rPr>
                <w:rFonts w:ascii="Times New Roman" w:hAnsi="Times New Roman" w:eastAsia="宋体"/>
                <w:color w:val="auto"/>
                <w:sz w:val="20"/>
                <w:szCs w:val="20"/>
                <w:highlight w:val="none"/>
              </w:rPr>
            </w:pPr>
          </w:p>
        </w:tc>
        <w:tc>
          <w:tcPr>
            <w:tcW w:w="1705"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一次常压注浆</w:t>
            </w:r>
          </w:p>
        </w:tc>
        <w:tc>
          <w:tcPr>
            <w:tcW w:w="1705"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二次压力注浆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tcBorders>
              <w:lef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填土</w:t>
            </w:r>
          </w:p>
        </w:tc>
        <w:tc>
          <w:tcPr>
            <w:tcW w:w="1984" w:type="dxa"/>
          </w:tcPr>
          <w:p>
            <w:pPr>
              <w:jc w:val="center"/>
              <w:rPr>
                <w:rFonts w:ascii="Times New Roman" w:hAnsi="Times New Roman" w:eastAsia="宋体"/>
                <w:color w:val="auto"/>
                <w:sz w:val="20"/>
                <w:szCs w:val="20"/>
                <w:highlight w:val="none"/>
              </w:rPr>
            </w:pPr>
          </w:p>
        </w:tc>
        <w:tc>
          <w:tcPr>
            <w:tcW w:w="1695" w:type="dxa"/>
          </w:tcPr>
          <w:p>
            <w:pPr>
              <w:jc w:val="center"/>
              <w:rPr>
                <w:rFonts w:ascii="Times New Roman" w:hAnsi="Times New Roman" w:eastAsia="宋体"/>
                <w:color w:val="auto"/>
                <w:sz w:val="20"/>
                <w:szCs w:val="20"/>
                <w:highlight w:val="none"/>
              </w:rPr>
            </w:pPr>
          </w:p>
        </w:tc>
        <w:tc>
          <w:tcPr>
            <w:tcW w:w="170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16~30</w:t>
            </w:r>
          </w:p>
        </w:tc>
        <w:tc>
          <w:tcPr>
            <w:tcW w:w="1705"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tcBorders>
              <w:lef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淤泥质土</w:t>
            </w:r>
          </w:p>
        </w:tc>
        <w:tc>
          <w:tcPr>
            <w:tcW w:w="1984" w:type="dxa"/>
          </w:tcPr>
          <w:p>
            <w:pPr>
              <w:jc w:val="center"/>
              <w:rPr>
                <w:rFonts w:ascii="Times New Roman" w:hAnsi="Times New Roman" w:eastAsia="宋体"/>
                <w:color w:val="auto"/>
                <w:sz w:val="20"/>
                <w:szCs w:val="20"/>
                <w:highlight w:val="none"/>
              </w:rPr>
            </w:pPr>
          </w:p>
        </w:tc>
        <w:tc>
          <w:tcPr>
            <w:tcW w:w="1695" w:type="dxa"/>
          </w:tcPr>
          <w:p>
            <w:pPr>
              <w:jc w:val="center"/>
              <w:rPr>
                <w:rFonts w:ascii="Times New Roman" w:hAnsi="Times New Roman" w:eastAsia="宋体"/>
                <w:color w:val="auto"/>
                <w:sz w:val="20"/>
                <w:szCs w:val="20"/>
                <w:highlight w:val="none"/>
              </w:rPr>
            </w:pPr>
          </w:p>
        </w:tc>
        <w:tc>
          <w:tcPr>
            <w:tcW w:w="170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16~20</w:t>
            </w:r>
          </w:p>
        </w:tc>
        <w:tc>
          <w:tcPr>
            <w:tcW w:w="1705"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restart"/>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黏性土</w:t>
            </w: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I</w:t>
            </w:r>
            <w:r>
              <w:rPr>
                <w:rFonts w:ascii="Times New Roman" w:hAnsi="Times New Roman" w:eastAsia="宋体"/>
                <w:color w:val="auto"/>
                <w:sz w:val="20"/>
                <w:szCs w:val="20"/>
                <w:highlight w:val="none"/>
                <w:vertAlign w:val="subscript"/>
              </w:rPr>
              <w:t>L</w:t>
            </w:r>
            <w:r>
              <w:rPr>
                <w:rFonts w:ascii="Times New Roman" w:hAnsi="Times New Roman" w:eastAsia="宋体"/>
                <w:color w:val="auto"/>
                <w:sz w:val="20"/>
                <w:szCs w:val="20"/>
                <w:highlight w:val="none"/>
              </w:rPr>
              <w:t>&gt;1</w:t>
            </w:r>
          </w:p>
        </w:tc>
        <w:tc>
          <w:tcPr>
            <w:tcW w:w="1695" w:type="dxa"/>
          </w:tcPr>
          <w:p>
            <w:pPr>
              <w:jc w:val="center"/>
              <w:rPr>
                <w:rFonts w:ascii="Times New Roman" w:hAnsi="Times New Roman" w:eastAsia="宋体"/>
                <w:color w:val="auto"/>
                <w:sz w:val="20"/>
                <w:szCs w:val="20"/>
                <w:highlight w:val="none"/>
              </w:rPr>
            </w:pPr>
          </w:p>
        </w:tc>
        <w:tc>
          <w:tcPr>
            <w:tcW w:w="170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18~30</w:t>
            </w:r>
          </w:p>
        </w:tc>
        <w:tc>
          <w:tcPr>
            <w:tcW w:w="1705"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0.75&lt;</w:t>
            </w:r>
            <w:r>
              <w:rPr>
                <w:rFonts w:ascii="Times New Roman" w:hAnsi="Times New Roman" w:eastAsia="宋体"/>
                <w:i/>
                <w:iCs/>
                <w:color w:val="auto"/>
                <w:sz w:val="20"/>
                <w:szCs w:val="20"/>
                <w:highlight w:val="none"/>
              </w:rPr>
              <w:t>I</w:t>
            </w:r>
            <w:r>
              <w:rPr>
                <w:rFonts w:ascii="Times New Roman" w:hAnsi="Times New Roman" w:eastAsia="宋体"/>
                <w:color w:val="auto"/>
                <w:sz w:val="20"/>
                <w:szCs w:val="20"/>
                <w:highlight w:val="none"/>
                <w:vertAlign w:val="subscript"/>
              </w:rPr>
              <w:t>L</w:t>
            </w:r>
            <w:r>
              <w:rPr>
                <w:rFonts w:hint="eastAsia" w:ascii="宋体" w:hAnsi="宋体" w:eastAsia="宋体" w:cs="宋体"/>
                <w:color w:val="auto"/>
                <w:sz w:val="20"/>
                <w:szCs w:val="20"/>
                <w:highlight w:val="none"/>
              </w:rPr>
              <w:t>≤</w:t>
            </w:r>
            <w:r>
              <w:rPr>
                <w:rFonts w:ascii="Times New Roman" w:hAnsi="Times New Roman" w:eastAsia="宋体"/>
                <w:color w:val="auto"/>
                <w:sz w:val="20"/>
                <w:szCs w:val="20"/>
                <w:highlight w:val="none"/>
              </w:rPr>
              <w:t>1</w:t>
            </w:r>
          </w:p>
        </w:tc>
        <w:tc>
          <w:tcPr>
            <w:tcW w:w="169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20~40</w:t>
            </w:r>
          </w:p>
        </w:tc>
        <w:tc>
          <w:tcPr>
            <w:tcW w:w="170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30~40</w:t>
            </w:r>
          </w:p>
        </w:tc>
        <w:tc>
          <w:tcPr>
            <w:tcW w:w="1705"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0.5&lt;</w:t>
            </w:r>
            <w:r>
              <w:rPr>
                <w:rFonts w:ascii="Times New Roman" w:hAnsi="Times New Roman" w:eastAsia="宋体"/>
                <w:i/>
                <w:iCs/>
                <w:color w:val="auto"/>
                <w:sz w:val="20"/>
                <w:szCs w:val="20"/>
                <w:highlight w:val="none"/>
              </w:rPr>
              <w:t>I</w:t>
            </w:r>
            <w:r>
              <w:rPr>
                <w:rFonts w:ascii="Times New Roman" w:hAnsi="Times New Roman" w:eastAsia="宋体"/>
                <w:color w:val="auto"/>
                <w:sz w:val="20"/>
                <w:szCs w:val="20"/>
                <w:highlight w:val="none"/>
                <w:vertAlign w:val="subscript"/>
              </w:rPr>
              <w:t>L</w:t>
            </w:r>
            <w:r>
              <w:rPr>
                <w:rFonts w:hint="eastAsia" w:ascii="宋体" w:hAnsi="宋体" w:eastAsia="宋体" w:cs="宋体"/>
                <w:color w:val="auto"/>
                <w:sz w:val="20"/>
                <w:szCs w:val="20"/>
                <w:highlight w:val="none"/>
              </w:rPr>
              <w:t>≤</w:t>
            </w:r>
            <w:r>
              <w:rPr>
                <w:rFonts w:ascii="Times New Roman" w:hAnsi="Times New Roman" w:eastAsia="宋体"/>
                <w:color w:val="auto"/>
                <w:sz w:val="20"/>
                <w:szCs w:val="20"/>
                <w:highlight w:val="none"/>
              </w:rPr>
              <w:t>0.75</w:t>
            </w:r>
          </w:p>
        </w:tc>
        <w:tc>
          <w:tcPr>
            <w:tcW w:w="169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40~45</w:t>
            </w:r>
          </w:p>
        </w:tc>
        <w:tc>
          <w:tcPr>
            <w:tcW w:w="170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40~53</w:t>
            </w:r>
          </w:p>
        </w:tc>
        <w:tc>
          <w:tcPr>
            <w:tcW w:w="1705"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0.25&lt;</w:t>
            </w:r>
            <w:r>
              <w:rPr>
                <w:rFonts w:ascii="Times New Roman" w:hAnsi="Times New Roman" w:eastAsia="宋体"/>
                <w:i/>
                <w:iCs/>
                <w:color w:val="auto"/>
                <w:sz w:val="20"/>
                <w:szCs w:val="20"/>
                <w:highlight w:val="none"/>
              </w:rPr>
              <w:t>I</w:t>
            </w:r>
            <w:r>
              <w:rPr>
                <w:rFonts w:ascii="Times New Roman" w:hAnsi="Times New Roman" w:eastAsia="宋体"/>
                <w:color w:val="auto"/>
                <w:sz w:val="20"/>
                <w:szCs w:val="20"/>
                <w:highlight w:val="none"/>
                <w:vertAlign w:val="subscript"/>
              </w:rPr>
              <w:t>L</w:t>
            </w:r>
            <w:r>
              <w:rPr>
                <w:rFonts w:hint="eastAsia" w:ascii="宋体" w:hAnsi="宋体" w:eastAsia="宋体" w:cs="宋体"/>
                <w:color w:val="auto"/>
                <w:sz w:val="20"/>
                <w:szCs w:val="20"/>
                <w:highlight w:val="none"/>
              </w:rPr>
              <w:t>≤</w:t>
            </w:r>
            <w:r>
              <w:rPr>
                <w:rFonts w:ascii="Times New Roman" w:hAnsi="Times New Roman" w:eastAsia="宋体"/>
                <w:color w:val="auto"/>
                <w:sz w:val="20"/>
                <w:szCs w:val="20"/>
                <w:highlight w:val="none"/>
              </w:rPr>
              <w:t>0.5</w:t>
            </w:r>
          </w:p>
        </w:tc>
        <w:tc>
          <w:tcPr>
            <w:tcW w:w="169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45~50</w:t>
            </w:r>
          </w:p>
        </w:tc>
        <w:tc>
          <w:tcPr>
            <w:tcW w:w="170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53~65</w:t>
            </w:r>
          </w:p>
        </w:tc>
        <w:tc>
          <w:tcPr>
            <w:tcW w:w="1705"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70~85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0&lt;</w:t>
            </w:r>
            <w:r>
              <w:rPr>
                <w:rFonts w:ascii="Times New Roman" w:hAnsi="Times New Roman" w:eastAsia="宋体"/>
                <w:i/>
                <w:iCs/>
                <w:color w:val="auto"/>
                <w:sz w:val="20"/>
                <w:szCs w:val="20"/>
                <w:highlight w:val="none"/>
              </w:rPr>
              <w:t>I</w:t>
            </w:r>
            <w:r>
              <w:rPr>
                <w:rFonts w:ascii="Times New Roman" w:hAnsi="Times New Roman" w:eastAsia="宋体"/>
                <w:color w:val="auto"/>
                <w:sz w:val="20"/>
                <w:szCs w:val="20"/>
                <w:highlight w:val="none"/>
                <w:vertAlign w:val="subscript"/>
              </w:rPr>
              <w:t>L</w:t>
            </w:r>
            <w:r>
              <w:rPr>
                <w:rFonts w:hint="eastAsia" w:ascii="宋体" w:hAnsi="宋体" w:eastAsia="宋体" w:cs="宋体"/>
                <w:color w:val="auto"/>
                <w:sz w:val="20"/>
                <w:szCs w:val="20"/>
                <w:highlight w:val="none"/>
              </w:rPr>
              <w:t>≤</w:t>
            </w:r>
            <w:r>
              <w:rPr>
                <w:rFonts w:ascii="Times New Roman" w:hAnsi="Times New Roman" w:eastAsia="宋体"/>
                <w:color w:val="auto"/>
                <w:sz w:val="20"/>
                <w:szCs w:val="20"/>
                <w:highlight w:val="none"/>
              </w:rPr>
              <w:t>0.25</w:t>
            </w:r>
          </w:p>
        </w:tc>
        <w:tc>
          <w:tcPr>
            <w:tcW w:w="169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50~65</w:t>
            </w:r>
          </w:p>
        </w:tc>
        <w:tc>
          <w:tcPr>
            <w:tcW w:w="170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65~73</w:t>
            </w:r>
          </w:p>
        </w:tc>
        <w:tc>
          <w:tcPr>
            <w:tcW w:w="1705"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85~100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I</w:t>
            </w:r>
            <w:r>
              <w:rPr>
                <w:rFonts w:ascii="Times New Roman" w:hAnsi="Times New Roman" w:eastAsia="宋体"/>
                <w:color w:val="auto"/>
                <w:sz w:val="20"/>
                <w:szCs w:val="20"/>
                <w:highlight w:val="none"/>
                <w:vertAlign w:val="subscript"/>
              </w:rPr>
              <w:t>L</w:t>
            </w:r>
            <w:r>
              <w:rPr>
                <w:rFonts w:hint="eastAsia" w:ascii="宋体" w:hAnsi="宋体" w:eastAsia="宋体" w:cs="宋体"/>
                <w:color w:val="auto"/>
                <w:sz w:val="20"/>
                <w:szCs w:val="20"/>
                <w:highlight w:val="none"/>
              </w:rPr>
              <w:t>≤</w:t>
            </w:r>
            <w:r>
              <w:rPr>
                <w:rFonts w:ascii="Times New Roman" w:hAnsi="Times New Roman" w:eastAsia="宋体"/>
                <w:color w:val="auto"/>
                <w:sz w:val="20"/>
                <w:szCs w:val="20"/>
                <w:highlight w:val="none"/>
              </w:rPr>
              <w:t>0</w:t>
            </w:r>
          </w:p>
        </w:tc>
        <w:tc>
          <w:tcPr>
            <w:tcW w:w="169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65~100</w:t>
            </w:r>
          </w:p>
        </w:tc>
        <w:tc>
          <w:tcPr>
            <w:tcW w:w="170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73~90</w:t>
            </w:r>
          </w:p>
        </w:tc>
        <w:tc>
          <w:tcPr>
            <w:tcW w:w="1705"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restart"/>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粉土</w:t>
            </w: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e</w:t>
            </w:r>
            <w:r>
              <w:rPr>
                <w:rFonts w:ascii="Times New Roman" w:hAnsi="Times New Roman" w:eastAsia="宋体"/>
                <w:color w:val="auto"/>
                <w:sz w:val="20"/>
                <w:szCs w:val="20"/>
                <w:highlight w:val="none"/>
              </w:rPr>
              <w:t>&gt;0.90</w:t>
            </w:r>
          </w:p>
        </w:tc>
        <w:tc>
          <w:tcPr>
            <w:tcW w:w="1695" w:type="dxa"/>
          </w:tcPr>
          <w:p>
            <w:pPr>
              <w:jc w:val="center"/>
              <w:rPr>
                <w:rFonts w:ascii="Times New Roman" w:hAnsi="Times New Roman" w:eastAsia="宋体"/>
                <w:color w:val="auto"/>
                <w:sz w:val="20"/>
                <w:szCs w:val="20"/>
                <w:highlight w:val="none"/>
              </w:rPr>
            </w:pPr>
          </w:p>
        </w:tc>
        <w:tc>
          <w:tcPr>
            <w:tcW w:w="170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22~44</w:t>
            </w:r>
          </w:p>
        </w:tc>
        <w:tc>
          <w:tcPr>
            <w:tcW w:w="1705"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0.75</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e</w:t>
            </w:r>
            <w:r>
              <w:rPr>
                <w:rFonts w:hint="eastAsia" w:ascii="宋体" w:hAnsi="宋体" w:eastAsia="宋体" w:cs="宋体"/>
                <w:color w:val="auto"/>
                <w:sz w:val="20"/>
                <w:szCs w:val="20"/>
                <w:highlight w:val="none"/>
              </w:rPr>
              <w:t>≤</w:t>
            </w:r>
            <w:r>
              <w:rPr>
                <w:rFonts w:ascii="Times New Roman" w:hAnsi="Times New Roman" w:eastAsia="宋体"/>
                <w:color w:val="auto"/>
                <w:sz w:val="20"/>
                <w:szCs w:val="20"/>
                <w:highlight w:val="none"/>
              </w:rPr>
              <w:t>0.90</w:t>
            </w:r>
          </w:p>
        </w:tc>
        <w:tc>
          <w:tcPr>
            <w:tcW w:w="1695" w:type="dxa"/>
          </w:tcPr>
          <w:p>
            <w:pPr>
              <w:jc w:val="center"/>
              <w:rPr>
                <w:rFonts w:ascii="Times New Roman" w:hAnsi="Times New Roman" w:eastAsia="宋体"/>
                <w:color w:val="auto"/>
                <w:sz w:val="20"/>
                <w:szCs w:val="20"/>
                <w:highlight w:val="none"/>
              </w:rPr>
            </w:pPr>
          </w:p>
        </w:tc>
        <w:tc>
          <w:tcPr>
            <w:tcW w:w="170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44~64</w:t>
            </w:r>
          </w:p>
        </w:tc>
        <w:tc>
          <w:tcPr>
            <w:tcW w:w="1705"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03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e</w:t>
            </w:r>
            <w:r>
              <w:rPr>
                <w:rFonts w:ascii="Times New Roman" w:hAnsi="Times New Roman" w:eastAsia="宋体"/>
                <w:color w:val="auto"/>
                <w:sz w:val="20"/>
                <w:szCs w:val="20"/>
                <w:highlight w:val="none"/>
              </w:rPr>
              <w:t>&lt;0.75</w:t>
            </w:r>
          </w:p>
        </w:tc>
        <w:tc>
          <w:tcPr>
            <w:tcW w:w="1695" w:type="dxa"/>
          </w:tcPr>
          <w:p>
            <w:pPr>
              <w:jc w:val="center"/>
              <w:rPr>
                <w:rFonts w:ascii="Times New Roman" w:hAnsi="Times New Roman" w:eastAsia="宋体"/>
                <w:color w:val="auto"/>
                <w:sz w:val="20"/>
                <w:szCs w:val="20"/>
                <w:highlight w:val="none"/>
              </w:rPr>
            </w:pPr>
          </w:p>
        </w:tc>
        <w:tc>
          <w:tcPr>
            <w:tcW w:w="170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64~100</w:t>
            </w:r>
          </w:p>
        </w:tc>
        <w:tc>
          <w:tcPr>
            <w:tcW w:w="1705"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80~130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restart"/>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粉细砂</w:t>
            </w: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稍密</w:t>
            </w:r>
          </w:p>
        </w:tc>
        <w:tc>
          <w:tcPr>
            <w:tcW w:w="169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100~140</w:t>
            </w:r>
          </w:p>
        </w:tc>
        <w:tc>
          <w:tcPr>
            <w:tcW w:w="170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22~42</w:t>
            </w:r>
          </w:p>
        </w:tc>
        <w:tc>
          <w:tcPr>
            <w:tcW w:w="1705"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中密</w:t>
            </w:r>
          </w:p>
        </w:tc>
        <w:tc>
          <w:tcPr>
            <w:tcW w:w="169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140~200</w:t>
            </w:r>
          </w:p>
        </w:tc>
        <w:tc>
          <w:tcPr>
            <w:tcW w:w="170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42~63</w:t>
            </w:r>
          </w:p>
        </w:tc>
        <w:tc>
          <w:tcPr>
            <w:tcW w:w="1705"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75~110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密实</w:t>
            </w:r>
          </w:p>
        </w:tc>
        <w:tc>
          <w:tcPr>
            <w:tcW w:w="169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200~280</w:t>
            </w:r>
          </w:p>
        </w:tc>
        <w:tc>
          <w:tcPr>
            <w:tcW w:w="170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63~85</w:t>
            </w:r>
          </w:p>
        </w:tc>
        <w:tc>
          <w:tcPr>
            <w:tcW w:w="1705"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90~130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restart"/>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中砂</w:t>
            </w: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稍密</w:t>
            </w:r>
          </w:p>
        </w:tc>
        <w:tc>
          <w:tcPr>
            <w:tcW w:w="169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100~140</w:t>
            </w:r>
          </w:p>
        </w:tc>
        <w:tc>
          <w:tcPr>
            <w:tcW w:w="170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54~74</w:t>
            </w:r>
          </w:p>
        </w:tc>
        <w:tc>
          <w:tcPr>
            <w:tcW w:w="1705"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70~100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中密</w:t>
            </w:r>
          </w:p>
        </w:tc>
        <w:tc>
          <w:tcPr>
            <w:tcW w:w="169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140~200</w:t>
            </w:r>
          </w:p>
        </w:tc>
        <w:tc>
          <w:tcPr>
            <w:tcW w:w="170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74~90</w:t>
            </w:r>
          </w:p>
        </w:tc>
        <w:tc>
          <w:tcPr>
            <w:tcW w:w="1705"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密实</w:t>
            </w:r>
          </w:p>
        </w:tc>
        <w:tc>
          <w:tcPr>
            <w:tcW w:w="169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200~280</w:t>
            </w:r>
          </w:p>
        </w:tc>
        <w:tc>
          <w:tcPr>
            <w:tcW w:w="170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90~120</w:t>
            </w:r>
          </w:p>
        </w:tc>
        <w:tc>
          <w:tcPr>
            <w:tcW w:w="1705"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130~170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restart"/>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粗砂</w:t>
            </w: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稍密</w:t>
            </w:r>
          </w:p>
        </w:tc>
        <w:tc>
          <w:tcPr>
            <w:tcW w:w="169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100~140</w:t>
            </w:r>
          </w:p>
        </w:tc>
        <w:tc>
          <w:tcPr>
            <w:tcW w:w="170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80~130</w:t>
            </w:r>
          </w:p>
        </w:tc>
        <w:tc>
          <w:tcPr>
            <w:tcW w:w="1705"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100~140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中密</w:t>
            </w:r>
          </w:p>
        </w:tc>
        <w:tc>
          <w:tcPr>
            <w:tcW w:w="169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140~200</w:t>
            </w:r>
          </w:p>
        </w:tc>
        <w:tc>
          <w:tcPr>
            <w:tcW w:w="170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130~170</w:t>
            </w:r>
          </w:p>
        </w:tc>
        <w:tc>
          <w:tcPr>
            <w:tcW w:w="1705"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170~220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密实</w:t>
            </w:r>
          </w:p>
        </w:tc>
        <w:tc>
          <w:tcPr>
            <w:tcW w:w="169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200~280</w:t>
            </w:r>
          </w:p>
        </w:tc>
        <w:tc>
          <w:tcPr>
            <w:tcW w:w="170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170~220</w:t>
            </w:r>
          </w:p>
        </w:tc>
        <w:tc>
          <w:tcPr>
            <w:tcW w:w="1705"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220~250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砾砂</w:t>
            </w: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中密、密实</w:t>
            </w:r>
          </w:p>
        </w:tc>
        <w:tc>
          <w:tcPr>
            <w:tcW w:w="169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140~280</w:t>
            </w:r>
          </w:p>
        </w:tc>
        <w:tc>
          <w:tcPr>
            <w:tcW w:w="170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190~260</w:t>
            </w:r>
          </w:p>
        </w:tc>
        <w:tc>
          <w:tcPr>
            <w:tcW w:w="1705"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240~290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restart"/>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碎石土</w:t>
            </w: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稍密</w:t>
            </w:r>
          </w:p>
        </w:tc>
        <w:tc>
          <w:tcPr>
            <w:tcW w:w="169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120~160</w:t>
            </w:r>
          </w:p>
        </w:tc>
        <w:tc>
          <w:tcPr>
            <w:tcW w:w="1705" w:type="dxa"/>
          </w:tcPr>
          <w:p>
            <w:pPr>
              <w:jc w:val="center"/>
              <w:rPr>
                <w:rFonts w:ascii="Times New Roman" w:hAnsi="Times New Roman" w:eastAsia="宋体"/>
                <w:color w:val="auto"/>
                <w:sz w:val="20"/>
                <w:szCs w:val="20"/>
                <w:highlight w:val="none"/>
              </w:rPr>
            </w:pPr>
          </w:p>
        </w:tc>
        <w:tc>
          <w:tcPr>
            <w:tcW w:w="1705" w:type="dxa"/>
            <w:tcBorders>
              <w:right w:val="single" w:color="auto" w:sz="12" w:space="0"/>
            </w:tcBorders>
          </w:tcPr>
          <w:p>
            <w:pPr>
              <w:jc w:val="center"/>
              <w:rPr>
                <w:rFonts w:ascii="Times New Roman" w:hAnsi="Times New Roman" w:eastAsia="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中密</w:t>
            </w:r>
          </w:p>
        </w:tc>
        <w:tc>
          <w:tcPr>
            <w:tcW w:w="169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160~220</w:t>
            </w:r>
          </w:p>
        </w:tc>
        <w:tc>
          <w:tcPr>
            <w:tcW w:w="1705" w:type="dxa"/>
          </w:tcPr>
          <w:p>
            <w:pPr>
              <w:jc w:val="center"/>
              <w:rPr>
                <w:rFonts w:ascii="Times New Roman" w:hAnsi="Times New Roman" w:eastAsia="宋体"/>
                <w:color w:val="auto"/>
                <w:sz w:val="20"/>
                <w:szCs w:val="20"/>
                <w:highlight w:val="none"/>
              </w:rPr>
            </w:pPr>
          </w:p>
        </w:tc>
        <w:tc>
          <w:tcPr>
            <w:tcW w:w="1705" w:type="dxa"/>
            <w:tcBorders>
              <w:right w:val="single" w:color="auto" w:sz="12" w:space="0"/>
            </w:tcBorders>
          </w:tcPr>
          <w:p>
            <w:pPr>
              <w:jc w:val="center"/>
              <w:rPr>
                <w:rFonts w:ascii="Times New Roman" w:hAnsi="Times New Roman" w:eastAsia="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密实</w:t>
            </w:r>
          </w:p>
        </w:tc>
        <w:tc>
          <w:tcPr>
            <w:tcW w:w="169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220~300</w:t>
            </w:r>
          </w:p>
        </w:tc>
        <w:tc>
          <w:tcPr>
            <w:tcW w:w="1705" w:type="dxa"/>
          </w:tcPr>
          <w:p>
            <w:pPr>
              <w:jc w:val="center"/>
              <w:rPr>
                <w:rFonts w:ascii="Times New Roman" w:hAnsi="Times New Roman" w:eastAsia="宋体"/>
                <w:color w:val="auto"/>
                <w:sz w:val="20"/>
                <w:szCs w:val="20"/>
                <w:highlight w:val="none"/>
              </w:rPr>
            </w:pPr>
          </w:p>
        </w:tc>
        <w:tc>
          <w:tcPr>
            <w:tcW w:w="1705" w:type="dxa"/>
            <w:tcBorders>
              <w:right w:val="single" w:color="auto" w:sz="12" w:space="0"/>
            </w:tcBorders>
          </w:tcPr>
          <w:p>
            <w:pPr>
              <w:jc w:val="center"/>
              <w:rPr>
                <w:rFonts w:ascii="Times New Roman" w:hAnsi="Times New Roman" w:eastAsia="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restart"/>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岩体</w:t>
            </w: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全风化</w:t>
            </w:r>
          </w:p>
        </w:tc>
        <w:tc>
          <w:tcPr>
            <w:tcW w:w="1695" w:type="dxa"/>
          </w:tcPr>
          <w:p>
            <w:pPr>
              <w:jc w:val="center"/>
              <w:rPr>
                <w:rFonts w:ascii="Times New Roman" w:hAnsi="Times New Roman" w:eastAsia="宋体"/>
                <w:color w:val="auto"/>
                <w:sz w:val="20"/>
                <w:szCs w:val="20"/>
                <w:highlight w:val="none"/>
              </w:rPr>
            </w:pPr>
          </w:p>
        </w:tc>
        <w:tc>
          <w:tcPr>
            <w:tcW w:w="170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80~100</w:t>
            </w:r>
          </w:p>
        </w:tc>
        <w:tc>
          <w:tcPr>
            <w:tcW w:w="1705"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强风化</w:t>
            </w:r>
          </w:p>
        </w:tc>
        <w:tc>
          <w:tcPr>
            <w:tcW w:w="1695" w:type="dxa"/>
          </w:tcPr>
          <w:p>
            <w:pPr>
              <w:jc w:val="center"/>
              <w:rPr>
                <w:rFonts w:ascii="Times New Roman" w:hAnsi="Times New Roman" w:eastAsia="宋体"/>
                <w:color w:val="auto"/>
                <w:sz w:val="20"/>
                <w:szCs w:val="20"/>
                <w:highlight w:val="none"/>
              </w:rPr>
            </w:pPr>
          </w:p>
        </w:tc>
        <w:tc>
          <w:tcPr>
            <w:tcW w:w="170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150~200</w:t>
            </w:r>
          </w:p>
        </w:tc>
        <w:tc>
          <w:tcPr>
            <w:tcW w:w="1705"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200~260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18"/>
                <w:szCs w:val="18"/>
                <w:highlight w:val="none"/>
              </w:rPr>
              <w:t>f</w:t>
            </w:r>
            <w:r>
              <w:rPr>
                <w:rFonts w:hint="eastAsia" w:ascii="Times New Roman" w:hAnsi="Times New Roman" w:eastAsia="宋体"/>
                <w:color w:val="auto"/>
                <w:sz w:val="18"/>
                <w:szCs w:val="18"/>
                <w:highlight w:val="none"/>
                <w:vertAlign w:val="subscript"/>
                <w:lang w:val="en-US" w:eastAsia="zh-CN"/>
              </w:rPr>
              <w:t>c</w:t>
            </w:r>
            <w:r>
              <w:rPr>
                <w:rFonts w:ascii="Times New Roman" w:hAnsi="Times New Roman" w:eastAsia="宋体"/>
                <w:color w:val="auto"/>
                <w:sz w:val="20"/>
                <w:szCs w:val="20"/>
                <w:highlight w:val="none"/>
              </w:rPr>
              <w:t>&lt;5MPa</w:t>
            </w:r>
          </w:p>
        </w:tc>
        <w:tc>
          <w:tcPr>
            <w:tcW w:w="169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270~360</w:t>
            </w:r>
          </w:p>
        </w:tc>
        <w:tc>
          <w:tcPr>
            <w:tcW w:w="1705" w:type="dxa"/>
          </w:tcPr>
          <w:p>
            <w:pPr>
              <w:jc w:val="center"/>
              <w:rPr>
                <w:rFonts w:ascii="Times New Roman" w:hAnsi="Times New Roman" w:eastAsia="宋体"/>
                <w:color w:val="auto"/>
                <w:sz w:val="20"/>
                <w:szCs w:val="20"/>
                <w:highlight w:val="none"/>
              </w:rPr>
            </w:pPr>
          </w:p>
        </w:tc>
        <w:tc>
          <w:tcPr>
            <w:tcW w:w="1705" w:type="dxa"/>
            <w:tcBorders>
              <w:right w:val="single" w:color="auto" w:sz="12" w:space="0"/>
            </w:tcBorders>
          </w:tcPr>
          <w:p>
            <w:pPr>
              <w:jc w:val="center"/>
              <w:rPr>
                <w:rFonts w:ascii="Times New Roman" w:hAnsi="Times New Roman" w:eastAsia="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5MPa</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f</w:t>
            </w:r>
            <w:r>
              <w:rPr>
                <w:rFonts w:hint="eastAsia" w:ascii="Times New Roman" w:hAnsi="Times New Roman" w:eastAsia="宋体"/>
                <w:color w:val="auto"/>
                <w:sz w:val="20"/>
                <w:szCs w:val="20"/>
                <w:highlight w:val="none"/>
                <w:vertAlign w:val="subscript"/>
                <w:lang w:val="en-US" w:eastAsia="zh-CN"/>
              </w:rPr>
              <w:t>c</w:t>
            </w:r>
            <w:r>
              <w:rPr>
                <w:rFonts w:ascii="Times New Roman" w:hAnsi="Times New Roman" w:eastAsia="宋体"/>
                <w:color w:val="auto"/>
                <w:sz w:val="20"/>
                <w:szCs w:val="20"/>
                <w:highlight w:val="none"/>
              </w:rPr>
              <w:t>&lt;15MPa</w:t>
            </w:r>
          </w:p>
        </w:tc>
        <w:tc>
          <w:tcPr>
            <w:tcW w:w="169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360~760</w:t>
            </w:r>
          </w:p>
        </w:tc>
        <w:tc>
          <w:tcPr>
            <w:tcW w:w="1705" w:type="dxa"/>
          </w:tcPr>
          <w:p>
            <w:pPr>
              <w:jc w:val="center"/>
              <w:rPr>
                <w:rFonts w:ascii="Times New Roman" w:hAnsi="Times New Roman" w:eastAsia="宋体"/>
                <w:color w:val="auto"/>
                <w:sz w:val="20"/>
                <w:szCs w:val="20"/>
                <w:highlight w:val="none"/>
              </w:rPr>
            </w:pPr>
          </w:p>
        </w:tc>
        <w:tc>
          <w:tcPr>
            <w:tcW w:w="1705" w:type="dxa"/>
            <w:tcBorders>
              <w:right w:val="single" w:color="auto" w:sz="12" w:space="0"/>
            </w:tcBorders>
          </w:tcPr>
          <w:p>
            <w:pPr>
              <w:jc w:val="center"/>
              <w:rPr>
                <w:rFonts w:ascii="Times New Roman" w:hAnsi="Times New Roman" w:eastAsia="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15MPa</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f</w:t>
            </w:r>
            <w:r>
              <w:rPr>
                <w:rFonts w:hint="eastAsia" w:ascii="Times New Roman" w:hAnsi="Times New Roman" w:eastAsia="宋体"/>
                <w:color w:val="auto"/>
                <w:sz w:val="20"/>
                <w:szCs w:val="20"/>
                <w:highlight w:val="none"/>
                <w:vertAlign w:val="subscript"/>
                <w:lang w:val="en-US" w:eastAsia="zh-CN"/>
              </w:rPr>
              <w:t>c</w:t>
            </w:r>
            <w:r>
              <w:rPr>
                <w:rFonts w:ascii="Times New Roman" w:hAnsi="Times New Roman" w:eastAsia="宋体"/>
                <w:color w:val="auto"/>
                <w:sz w:val="20"/>
                <w:szCs w:val="20"/>
                <w:highlight w:val="none"/>
              </w:rPr>
              <w:t>&lt;30MPa</w:t>
            </w:r>
          </w:p>
        </w:tc>
        <w:tc>
          <w:tcPr>
            <w:tcW w:w="169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760~1200</w:t>
            </w:r>
          </w:p>
        </w:tc>
        <w:tc>
          <w:tcPr>
            <w:tcW w:w="1705" w:type="dxa"/>
          </w:tcPr>
          <w:p>
            <w:pPr>
              <w:jc w:val="center"/>
              <w:rPr>
                <w:rFonts w:ascii="Times New Roman" w:hAnsi="Times New Roman" w:eastAsia="宋体"/>
                <w:color w:val="auto"/>
                <w:sz w:val="20"/>
                <w:szCs w:val="20"/>
                <w:highlight w:val="none"/>
              </w:rPr>
            </w:pPr>
          </w:p>
        </w:tc>
        <w:tc>
          <w:tcPr>
            <w:tcW w:w="1705" w:type="dxa"/>
            <w:tcBorders>
              <w:right w:val="single" w:color="auto" w:sz="12" w:space="0"/>
            </w:tcBorders>
          </w:tcPr>
          <w:p>
            <w:pPr>
              <w:jc w:val="center"/>
              <w:rPr>
                <w:rFonts w:ascii="Times New Roman" w:hAnsi="Times New Roman" w:eastAsia="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198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30MPa</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f</w:t>
            </w:r>
            <w:r>
              <w:rPr>
                <w:rFonts w:hint="eastAsia" w:ascii="Times New Roman" w:hAnsi="Times New Roman" w:eastAsia="宋体"/>
                <w:color w:val="auto"/>
                <w:sz w:val="20"/>
                <w:szCs w:val="20"/>
                <w:highlight w:val="none"/>
                <w:vertAlign w:val="subscript"/>
                <w:lang w:val="en-US" w:eastAsia="zh-CN"/>
              </w:rPr>
              <w:t>c</w:t>
            </w:r>
            <w:r>
              <w:rPr>
                <w:rFonts w:ascii="Times New Roman" w:hAnsi="Times New Roman" w:eastAsia="宋体"/>
                <w:color w:val="auto"/>
                <w:sz w:val="20"/>
                <w:szCs w:val="20"/>
                <w:highlight w:val="none"/>
              </w:rPr>
              <w:t>&lt;60MPa</w:t>
            </w:r>
          </w:p>
        </w:tc>
        <w:tc>
          <w:tcPr>
            <w:tcW w:w="169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1200~1800</w:t>
            </w:r>
          </w:p>
        </w:tc>
        <w:tc>
          <w:tcPr>
            <w:tcW w:w="1705" w:type="dxa"/>
          </w:tcPr>
          <w:p>
            <w:pPr>
              <w:jc w:val="center"/>
              <w:rPr>
                <w:rFonts w:ascii="Times New Roman" w:hAnsi="Times New Roman" w:eastAsia="宋体"/>
                <w:color w:val="auto"/>
                <w:sz w:val="20"/>
                <w:szCs w:val="20"/>
                <w:highlight w:val="none"/>
              </w:rPr>
            </w:pPr>
          </w:p>
        </w:tc>
        <w:tc>
          <w:tcPr>
            <w:tcW w:w="1705" w:type="dxa"/>
            <w:tcBorders>
              <w:right w:val="single" w:color="auto" w:sz="12" w:space="0"/>
            </w:tcBorders>
          </w:tcPr>
          <w:p>
            <w:pPr>
              <w:jc w:val="center"/>
              <w:rPr>
                <w:rFonts w:ascii="Times New Roman" w:hAnsi="Times New Roman" w:eastAsia="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continue"/>
            <w:tcBorders>
              <w:left w:val="single" w:color="auto" w:sz="12" w:space="0"/>
              <w:bottom w:val="single" w:color="auto" w:sz="12" w:space="0"/>
            </w:tcBorders>
            <w:vAlign w:val="center"/>
          </w:tcPr>
          <w:p>
            <w:pPr>
              <w:jc w:val="center"/>
              <w:rPr>
                <w:rFonts w:ascii="Times New Roman" w:hAnsi="Times New Roman" w:eastAsia="宋体"/>
                <w:color w:val="auto"/>
                <w:sz w:val="20"/>
                <w:szCs w:val="20"/>
                <w:highlight w:val="none"/>
              </w:rPr>
            </w:pPr>
          </w:p>
        </w:tc>
        <w:tc>
          <w:tcPr>
            <w:tcW w:w="1984" w:type="dxa"/>
            <w:tcBorders>
              <w:bottom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f</w:t>
            </w:r>
            <w:r>
              <w:rPr>
                <w:rFonts w:hint="eastAsia" w:ascii="Times New Roman" w:hAnsi="Times New Roman" w:eastAsia="宋体"/>
                <w:color w:val="auto"/>
                <w:sz w:val="20"/>
                <w:szCs w:val="20"/>
                <w:highlight w:val="none"/>
                <w:vertAlign w:val="subscript"/>
                <w:lang w:val="en-US" w:eastAsia="zh-CN"/>
              </w:rPr>
              <w:t>c</w:t>
            </w:r>
            <w:r>
              <w:rPr>
                <w:rFonts w:hint="eastAsia" w:ascii="宋体" w:hAnsi="宋体" w:eastAsia="宋体" w:cs="宋体"/>
                <w:color w:val="auto"/>
                <w:sz w:val="20"/>
                <w:szCs w:val="20"/>
                <w:highlight w:val="none"/>
              </w:rPr>
              <w:t>≥</w:t>
            </w:r>
            <w:r>
              <w:rPr>
                <w:rFonts w:ascii="Times New Roman" w:hAnsi="Times New Roman" w:eastAsia="宋体"/>
                <w:color w:val="auto"/>
                <w:sz w:val="20"/>
                <w:szCs w:val="20"/>
                <w:highlight w:val="none"/>
              </w:rPr>
              <w:t>60MPa</w:t>
            </w:r>
          </w:p>
        </w:tc>
        <w:tc>
          <w:tcPr>
            <w:tcW w:w="1695" w:type="dxa"/>
            <w:tcBorders>
              <w:bottom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1800~2600</w:t>
            </w:r>
          </w:p>
        </w:tc>
        <w:tc>
          <w:tcPr>
            <w:tcW w:w="1705" w:type="dxa"/>
            <w:tcBorders>
              <w:bottom w:val="single" w:color="auto" w:sz="12" w:space="0"/>
            </w:tcBorders>
          </w:tcPr>
          <w:p>
            <w:pPr>
              <w:jc w:val="center"/>
              <w:rPr>
                <w:rFonts w:ascii="Times New Roman" w:hAnsi="Times New Roman" w:eastAsia="宋体"/>
                <w:color w:val="auto"/>
                <w:sz w:val="20"/>
                <w:szCs w:val="20"/>
                <w:highlight w:val="none"/>
              </w:rPr>
            </w:pPr>
          </w:p>
        </w:tc>
        <w:tc>
          <w:tcPr>
            <w:tcW w:w="1705" w:type="dxa"/>
            <w:tcBorders>
              <w:bottom w:val="single" w:color="auto" w:sz="12" w:space="0"/>
              <w:right w:val="single" w:color="auto" w:sz="12" w:space="0"/>
            </w:tcBorders>
          </w:tcPr>
          <w:p>
            <w:pPr>
              <w:jc w:val="center"/>
              <w:rPr>
                <w:rFonts w:ascii="Times New Roman" w:hAnsi="Times New Roman" w:eastAsia="宋体"/>
                <w:color w:val="auto"/>
                <w:sz w:val="20"/>
                <w:szCs w:val="20"/>
                <w:highlight w:val="none"/>
              </w:rPr>
            </w:pPr>
          </w:p>
        </w:tc>
      </w:tr>
    </w:tbl>
    <w:p>
      <w:pPr>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注：1</w:t>
      </w:r>
      <w:r>
        <w:rPr>
          <w:rFonts w:hint="eastAsia" w:ascii="Times New Roman" w:hAnsi="Times New Roman" w:eastAsia="宋体"/>
          <w:color w:val="auto"/>
          <w:sz w:val="18"/>
          <w:szCs w:val="18"/>
          <w:highlight w:val="none"/>
          <w:lang w:val="en-US" w:eastAsia="zh-CN"/>
        </w:rPr>
        <w:t xml:space="preserve">. </w:t>
      </w:r>
      <w:r>
        <w:rPr>
          <w:rFonts w:ascii="Times New Roman" w:hAnsi="Times New Roman" w:eastAsia="宋体"/>
          <w:color w:val="auto"/>
          <w:sz w:val="18"/>
          <w:szCs w:val="18"/>
          <w:highlight w:val="none"/>
        </w:rPr>
        <w:t xml:space="preserve"> </w:t>
      </w:r>
      <w:r>
        <w:rPr>
          <w:rFonts w:ascii="Times New Roman" w:hAnsi="Times New Roman" w:eastAsia="宋体"/>
          <w:i/>
          <w:iCs/>
          <w:color w:val="auto"/>
          <w:sz w:val="18"/>
          <w:szCs w:val="18"/>
          <w:highlight w:val="none"/>
        </w:rPr>
        <w:t>f</w:t>
      </w:r>
      <w:r>
        <w:rPr>
          <w:rFonts w:hint="eastAsia" w:ascii="Times New Roman" w:hAnsi="Times New Roman" w:eastAsia="宋体"/>
          <w:color w:val="auto"/>
          <w:sz w:val="18"/>
          <w:szCs w:val="18"/>
          <w:highlight w:val="none"/>
          <w:vertAlign w:val="subscript"/>
          <w:lang w:val="en-US" w:eastAsia="zh-CN"/>
        </w:rPr>
        <w:t>c</w:t>
      </w:r>
      <w:r>
        <w:rPr>
          <w:rFonts w:ascii="Times New Roman" w:hAnsi="Times New Roman" w:eastAsia="宋体"/>
          <w:color w:val="auto"/>
          <w:sz w:val="18"/>
          <w:szCs w:val="18"/>
          <w:highlight w:val="none"/>
        </w:rPr>
        <w:t>为岩石单轴天然抗压强度；</w:t>
      </w:r>
    </w:p>
    <w:p>
      <w:pPr>
        <w:tabs>
          <w:tab w:val="left" w:pos="357"/>
        </w:tabs>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ab/>
      </w:r>
      <w:r>
        <w:rPr>
          <w:rFonts w:ascii="Times New Roman" w:hAnsi="Times New Roman" w:eastAsia="宋体"/>
          <w:color w:val="auto"/>
          <w:sz w:val="18"/>
          <w:szCs w:val="18"/>
          <w:highlight w:val="none"/>
        </w:rPr>
        <w:t>2</w:t>
      </w:r>
      <w:r>
        <w:rPr>
          <w:rFonts w:hint="eastAsia" w:ascii="Times New Roman" w:hAnsi="Times New Roman" w:eastAsia="宋体"/>
          <w:color w:val="auto"/>
          <w:sz w:val="18"/>
          <w:szCs w:val="18"/>
          <w:highlight w:val="none"/>
          <w:lang w:val="en-US" w:eastAsia="zh-CN"/>
        </w:rPr>
        <w:t>.</w:t>
      </w:r>
      <w:r>
        <w:rPr>
          <w:rFonts w:ascii="Times New Roman" w:hAnsi="Times New Roman" w:eastAsia="宋体"/>
          <w:color w:val="auto"/>
          <w:sz w:val="18"/>
          <w:szCs w:val="18"/>
          <w:highlight w:val="none"/>
        </w:rPr>
        <w:t xml:space="preserve"> </w:t>
      </w:r>
      <w:r>
        <w:rPr>
          <w:rFonts w:ascii="宋体" w:hAnsi="宋体" w:eastAsia="宋体"/>
          <w:color w:val="auto"/>
          <w:sz w:val="18"/>
          <w:szCs w:val="18"/>
          <w:highlight w:val="none"/>
        </w:rPr>
        <w:t>“边坡规范”为</w:t>
      </w:r>
      <w:r>
        <w:rPr>
          <w:rFonts w:ascii="Times New Roman" w:hAnsi="Times New Roman" w:eastAsia="宋体"/>
          <w:color w:val="auto"/>
          <w:sz w:val="18"/>
          <w:szCs w:val="18"/>
          <w:highlight w:val="none"/>
        </w:rPr>
        <w:t>《建筑边坡工程技术规范》GB 50330的简称；</w:t>
      </w:r>
    </w:p>
    <w:p>
      <w:pPr>
        <w:tabs>
          <w:tab w:val="left" w:pos="357"/>
        </w:tabs>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ab/>
      </w:r>
      <w:r>
        <w:rPr>
          <w:rFonts w:ascii="Times New Roman" w:hAnsi="Times New Roman" w:eastAsia="宋体"/>
          <w:color w:val="auto"/>
          <w:sz w:val="18"/>
          <w:szCs w:val="18"/>
          <w:highlight w:val="none"/>
        </w:rPr>
        <w:t>3</w:t>
      </w:r>
      <w:r>
        <w:rPr>
          <w:rFonts w:hint="eastAsia" w:ascii="Times New Roman" w:hAnsi="Times New Roman" w:eastAsia="宋体"/>
          <w:color w:val="auto"/>
          <w:sz w:val="18"/>
          <w:szCs w:val="18"/>
          <w:highlight w:val="none"/>
          <w:lang w:val="en-US" w:eastAsia="zh-CN"/>
        </w:rPr>
        <w:t>.</w:t>
      </w:r>
      <w:r>
        <w:rPr>
          <w:rFonts w:ascii="Times New Roman" w:hAnsi="Times New Roman" w:eastAsia="宋体"/>
          <w:color w:val="auto"/>
          <w:sz w:val="18"/>
          <w:szCs w:val="18"/>
          <w:highlight w:val="none"/>
        </w:rPr>
        <w:t xml:space="preserve"> </w:t>
      </w:r>
      <w:r>
        <w:rPr>
          <w:rFonts w:ascii="宋体" w:hAnsi="宋体" w:eastAsia="宋体"/>
          <w:color w:val="auto"/>
          <w:sz w:val="18"/>
          <w:szCs w:val="18"/>
          <w:highlight w:val="none"/>
        </w:rPr>
        <w:t>“基坑规范”</w:t>
      </w:r>
      <w:r>
        <w:rPr>
          <w:rFonts w:ascii="Times New Roman" w:hAnsi="Times New Roman" w:eastAsia="宋体"/>
          <w:color w:val="auto"/>
          <w:sz w:val="18"/>
          <w:szCs w:val="18"/>
          <w:highlight w:val="none"/>
        </w:rPr>
        <w:t>为《建筑基坑支护技术规程》JGJ 120的简称；</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4</w:t>
      </w:r>
      <w:r>
        <w:rPr>
          <w:rFonts w:hint="eastAsia" w:ascii="Times New Roman" w:hAnsi="Times New Roman" w:eastAsia="宋体"/>
          <w:color w:val="auto"/>
          <w:sz w:val="18"/>
          <w:szCs w:val="18"/>
          <w:highlight w:val="none"/>
          <w:lang w:val="en-US" w:eastAsia="zh-CN"/>
        </w:rPr>
        <w:t>.</w:t>
      </w:r>
      <w:r>
        <w:rPr>
          <w:rFonts w:ascii="Times New Roman" w:hAnsi="Times New Roman" w:eastAsia="宋体"/>
          <w:color w:val="auto"/>
          <w:sz w:val="18"/>
          <w:szCs w:val="18"/>
          <w:highlight w:val="none"/>
        </w:rPr>
        <w:t xml:space="preserve"> 还可参考《岩土锚杆与喷射混凝土支护技术规范》GB 50086表4.6.10及《岩土锚杆(索)技术规程》CECS 222005表7.5.1-1、表7.5.1-2。</w:t>
      </w:r>
    </w:p>
    <w:p>
      <w:pPr>
        <w:spacing w:line="360" w:lineRule="auto"/>
        <w:ind w:firstLine="420" w:firstLineChars="200"/>
        <w:jc w:val="left"/>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对于边坡，上表仅适用于初步设计注浆强度等级为M30的情况，施工时</w:t>
      </w:r>
      <w:r>
        <w:rPr>
          <w:rFonts w:hint="eastAsia"/>
          <w:color w:val="auto"/>
          <w:szCs w:val="21"/>
          <w:highlight w:val="none"/>
          <w:lang w:val="en-US" w:eastAsia="zh-CN"/>
        </w:rPr>
        <w:t>需要</w:t>
      </w:r>
      <w:r>
        <w:rPr>
          <w:rFonts w:hint="eastAsia" w:ascii="Times New Roman" w:hAnsi="Times New Roman" w:eastAsia="宋体"/>
          <w:color w:val="auto"/>
          <w:szCs w:val="21"/>
          <w:highlight w:val="none"/>
          <w:lang w:val="en-US" w:eastAsia="zh-CN"/>
        </w:rPr>
        <w:t>通过试验检验。需要注意的是，边坡规范中没区分“砂土”的颗粒粗细。</w:t>
      </w:r>
    </w:p>
    <w:p>
      <w:pPr>
        <w:spacing w:line="360" w:lineRule="auto"/>
        <w:ind w:firstLine="420" w:firstLineChars="200"/>
        <w:jc w:val="left"/>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对于基坑，</w:t>
      </w:r>
      <w:r>
        <w:rPr>
          <w:rFonts w:hint="eastAsia"/>
          <w:color w:val="auto"/>
          <w:szCs w:val="21"/>
          <w:highlight w:val="none"/>
          <w:lang w:val="en-US" w:eastAsia="zh-CN"/>
        </w:rPr>
        <w:t>可以</w:t>
      </w:r>
      <w:r>
        <w:rPr>
          <w:rFonts w:hint="eastAsia" w:ascii="Times New Roman" w:hAnsi="Times New Roman" w:eastAsia="宋体"/>
          <w:color w:val="auto"/>
          <w:szCs w:val="21"/>
          <w:highlight w:val="none"/>
          <w:lang w:val="en-US" w:eastAsia="zh-CN"/>
        </w:rPr>
        <w:t>根据具体的工艺或土质变化适当折减或提高：</w:t>
      </w:r>
    </w:p>
    <w:p>
      <w:pPr>
        <w:spacing w:line="360" w:lineRule="auto"/>
        <w:ind w:firstLine="422" w:firstLineChars="200"/>
        <w:jc w:val="left"/>
        <w:rPr>
          <w:rFonts w:hint="eastAsia" w:ascii="Times New Roman" w:hAnsi="Times New Roman" w:eastAsia="宋体"/>
          <w:color w:val="auto"/>
          <w:szCs w:val="21"/>
          <w:highlight w:val="none"/>
        </w:rPr>
      </w:pPr>
      <w:r>
        <w:rPr>
          <w:rFonts w:hint="eastAsia" w:ascii="Times New Roman" w:hAnsi="Times New Roman" w:eastAsia="宋体"/>
          <w:b/>
          <w:bCs/>
          <w:color w:val="auto"/>
          <w:szCs w:val="21"/>
          <w:highlight w:val="none"/>
        </w:rPr>
        <w:t>1</w:t>
      </w:r>
      <w:r>
        <w:rPr>
          <w:rFonts w:hint="eastAsia"/>
          <w:b/>
          <w:bCs/>
          <w:color w:val="auto"/>
          <w:szCs w:val="21"/>
          <w:highlight w:val="none"/>
          <w:lang w:val="en-US" w:eastAsia="zh-CN"/>
        </w:rPr>
        <w:t xml:space="preserve">  </w:t>
      </w:r>
      <w:r>
        <w:rPr>
          <w:rFonts w:hint="eastAsia" w:ascii="Times New Roman" w:hAnsi="Times New Roman" w:eastAsia="宋体"/>
          <w:color w:val="auto"/>
          <w:szCs w:val="21"/>
          <w:highlight w:val="none"/>
        </w:rPr>
        <w:t>当砂土中的细粒含量超过总质量的30%时，表中数值乘以0.75；</w:t>
      </w:r>
    </w:p>
    <w:p>
      <w:pPr>
        <w:spacing w:line="360" w:lineRule="auto"/>
        <w:ind w:firstLine="422" w:firstLineChars="200"/>
        <w:jc w:val="left"/>
        <w:rPr>
          <w:rFonts w:hint="eastAsia" w:ascii="Times New Roman" w:hAnsi="Times New Roman" w:eastAsia="宋体"/>
          <w:color w:val="auto"/>
          <w:szCs w:val="21"/>
          <w:highlight w:val="none"/>
        </w:rPr>
      </w:pPr>
      <w:r>
        <w:rPr>
          <w:rFonts w:hint="eastAsia" w:ascii="Times New Roman" w:hAnsi="Times New Roman" w:eastAsia="宋体"/>
          <w:b/>
          <w:bCs/>
          <w:color w:val="auto"/>
          <w:szCs w:val="21"/>
          <w:highlight w:val="none"/>
        </w:rPr>
        <w:t>2</w:t>
      </w:r>
      <w:r>
        <w:rPr>
          <w:rFonts w:hint="eastAsia"/>
          <w:b/>
          <w:bCs/>
          <w:color w:val="auto"/>
          <w:szCs w:val="21"/>
          <w:highlight w:val="none"/>
          <w:lang w:val="en-US" w:eastAsia="zh-CN"/>
        </w:rPr>
        <w:t xml:space="preserve">  </w:t>
      </w:r>
      <w:r>
        <w:rPr>
          <w:rFonts w:hint="eastAsia" w:ascii="Times New Roman" w:hAnsi="Times New Roman" w:eastAsia="宋体"/>
          <w:color w:val="auto"/>
          <w:szCs w:val="21"/>
          <w:highlight w:val="none"/>
        </w:rPr>
        <w:t>对有机质土，按表取值后适当折减；</w:t>
      </w:r>
    </w:p>
    <w:p>
      <w:pPr>
        <w:spacing w:line="360" w:lineRule="auto"/>
        <w:ind w:firstLine="422" w:firstLineChars="200"/>
        <w:jc w:val="left"/>
        <w:rPr>
          <w:rFonts w:hint="eastAsia" w:ascii="Times New Roman" w:hAnsi="Times New Roman" w:eastAsia="宋体"/>
          <w:color w:val="auto"/>
          <w:szCs w:val="21"/>
          <w:highlight w:val="none"/>
        </w:rPr>
      </w:pPr>
      <w:r>
        <w:rPr>
          <w:rFonts w:hint="eastAsia" w:ascii="Times New Roman" w:hAnsi="Times New Roman" w:eastAsia="宋体"/>
          <w:b/>
          <w:bCs/>
          <w:color w:val="auto"/>
          <w:szCs w:val="21"/>
          <w:highlight w:val="none"/>
        </w:rPr>
        <w:t>3</w:t>
      </w:r>
      <w:r>
        <w:rPr>
          <w:rFonts w:hint="eastAsia"/>
          <w:b/>
          <w:bCs/>
          <w:color w:val="auto"/>
          <w:szCs w:val="21"/>
          <w:highlight w:val="none"/>
          <w:lang w:val="en-US" w:eastAsia="zh-CN"/>
        </w:rPr>
        <w:t xml:space="preserve">  </w:t>
      </w:r>
      <w:r>
        <w:rPr>
          <w:rFonts w:hint="eastAsia" w:ascii="Times New Roman" w:hAnsi="Times New Roman" w:eastAsia="宋体"/>
          <w:color w:val="auto"/>
          <w:szCs w:val="21"/>
          <w:highlight w:val="none"/>
        </w:rPr>
        <w:t>锚杆锚固段长度大于16m时，按表取值后适当折减；</w:t>
      </w:r>
    </w:p>
    <w:p>
      <w:pPr>
        <w:spacing w:line="360" w:lineRule="auto"/>
        <w:ind w:firstLine="422" w:firstLineChars="200"/>
        <w:jc w:val="left"/>
        <w:rPr>
          <w:rFonts w:hint="eastAsia" w:ascii="Times New Roman" w:hAnsi="Times New Roman" w:eastAsia="宋体"/>
          <w:color w:val="auto"/>
          <w:szCs w:val="21"/>
          <w:highlight w:val="none"/>
        </w:rPr>
      </w:pPr>
      <w:r>
        <w:rPr>
          <w:rFonts w:hint="eastAsia" w:ascii="Times New Roman" w:hAnsi="Times New Roman" w:eastAsia="宋体"/>
          <w:b/>
          <w:bCs/>
          <w:color w:val="auto"/>
          <w:szCs w:val="21"/>
          <w:highlight w:val="none"/>
        </w:rPr>
        <w:t>4</w:t>
      </w:r>
      <w:r>
        <w:rPr>
          <w:rFonts w:hint="eastAsia"/>
          <w:b/>
          <w:bCs/>
          <w:color w:val="auto"/>
          <w:szCs w:val="21"/>
          <w:highlight w:val="none"/>
          <w:lang w:val="en-US" w:eastAsia="zh-CN"/>
        </w:rPr>
        <w:t xml:space="preserve">  </w:t>
      </w:r>
      <w:r>
        <w:rPr>
          <w:rFonts w:hint="eastAsia" w:ascii="Times New Roman" w:hAnsi="Times New Roman" w:eastAsia="宋体"/>
          <w:color w:val="auto"/>
          <w:szCs w:val="21"/>
          <w:highlight w:val="none"/>
        </w:rPr>
        <w:t>采用泥浆护壁成孔工艺时，取表中低值后适当折减；</w:t>
      </w:r>
    </w:p>
    <w:p>
      <w:pPr>
        <w:spacing w:line="360" w:lineRule="auto"/>
        <w:ind w:firstLine="422" w:firstLineChars="200"/>
        <w:jc w:val="left"/>
        <w:rPr>
          <w:rFonts w:hint="eastAsia" w:ascii="Times New Roman" w:hAnsi="Times New Roman" w:eastAsia="宋体"/>
          <w:color w:val="auto"/>
          <w:szCs w:val="21"/>
          <w:highlight w:val="none"/>
        </w:rPr>
      </w:pPr>
      <w:r>
        <w:rPr>
          <w:rFonts w:hint="eastAsia" w:ascii="Times New Roman" w:hAnsi="Times New Roman" w:eastAsia="宋体"/>
          <w:b/>
          <w:bCs/>
          <w:color w:val="auto"/>
          <w:szCs w:val="21"/>
          <w:highlight w:val="none"/>
        </w:rPr>
        <w:t>5</w:t>
      </w:r>
      <w:r>
        <w:rPr>
          <w:rFonts w:hint="eastAsia"/>
          <w:b/>
          <w:bCs/>
          <w:color w:val="auto"/>
          <w:szCs w:val="21"/>
          <w:highlight w:val="none"/>
          <w:lang w:val="en-US" w:eastAsia="zh-CN"/>
        </w:rPr>
        <w:t xml:space="preserve"> </w:t>
      </w:r>
      <w:r>
        <w:rPr>
          <w:rFonts w:hint="eastAsia"/>
          <w:color w:val="auto"/>
          <w:szCs w:val="21"/>
          <w:highlight w:val="none"/>
          <w:lang w:val="en-US" w:eastAsia="zh-CN"/>
        </w:rPr>
        <w:t xml:space="preserve"> </w:t>
      </w:r>
      <w:r>
        <w:rPr>
          <w:rFonts w:hint="eastAsia" w:ascii="Times New Roman" w:hAnsi="Times New Roman" w:eastAsia="宋体"/>
          <w:color w:val="auto"/>
          <w:szCs w:val="21"/>
          <w:highlight w:val="none"/>
        </w:rPr>
        <w:t>采用套管护壁成孔工艺时，取表中高值；</w:t>
      </w:r>
    </w:p>
    <w:p>
      <w:pPr>
        <w:spacing w:line="360" w:lineRule="auto"/>
        <w:ind w:firstLine="422" w:firstLineChars="200"/>
        <w:jc w:val="left"/>
        <w:rPr>
          <w:rFonts w:ascii="Times New Roman" w:hAnsi="Times New Roman" w:eastAsia="宋体"/>
          <w:color w:val="auto"/>
          <w:szCs w:val="21"/>
          <w:highlight w:val="none"/>
        </w:rPr>
      </w:pPr>
      <w:r>
        <w:rPr>
          <w:rFonts w:hint="eastAsia" w:ascii="Times New Roman" w:hAnsi="Times New Roman" w:eastAsia="宋体"/>
          <w:b/>
          <w:bCs/>
          <w:color w:val="auto"/>
          <w:szCs w:val="21"/>
          <w:highlight w:val="none"/>
        </w:rPr>
        <w:t>6</w:t>
      </w:r>
      <w:r>
        <w:rPr>
          <w:rFonts w:hint="eastAsia"/>
          <w:b/>
          <w:bCs/>
          <w:color w:val="auto"/>
          <w:szCs w:val="21"/>
          <w:highlight w:val="none"/>
          <w:lang w:val="en-US" w:eastAsia="zh-CN"/>
        </w:rPr>
        <w:t xml:space="preserve">  </w:t>
      </w:r>
      <w:r>
        <w:rPr>
          <w:rFonts w:hint="eastAsia" w:ascii="Times New Roman" w:hAnsi="Times New Roman" w:eastAsia="宋体"/>
          <w:color w:val="auto"/>
          <w:szCs w:val="21"/>
          <w:highlight w:val="none"/>
        </w:rPr>
        <w:t>采用二次压力分段劈裂注浆工艺时，在表中二次压力注浆数值基础上适当提高。</w:t>
      </w:r>
    </w:p>
    <w:p>
      <w:pPr>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当试验资料不足时，岩体抗剪断强度建议值按表</w:t>
      </w:r>
      <w:r>
        <w:rPr>
          <w:rFonts w:hint="eastAsia" w:ascii="Times New Roman" w:hAnsi="Times New Roman" w:eastAsia="宋体"/>
          <w:color w:val="auto"/>
          <w:szCs w:val="21"/>
          <w:highlight w:val="none"/>
          <w:lang w:val="en-US" w:eastAsia="zh-CN"/>
        </w:rPr>
        <w:t>5-5</w:t>
      </w:r>
      <w:r>
        <w:rPr>
          <w:rFonts w:ascii="Times New Roman" w:hAnsi="Times New Roman" w:eastAsia="宋体"/>
          <w:color w:val="auto"/>
          <w:szCs w:val="21"/>
          <w:highlight w:val="none"/>
        </w:rPr>
        <w:t>选用，边坡岩体内摩擦角的折减系数可按表</w:t>
      </w:r>
      <w:r>
        <w:rPr>
          <w:rFonts w:hint="eastAsia" w:ascii="Times New Roman" w:hAnsi="Times New Roman" w:eastAsia="宋体"/>
          <w:color w:val="auto"/>
          <w:szCs w:val="21"/>
          <w:highlight w:val="none"/>
          <w:lang w:val="en-US" w:eastAsia="zh-CN"/>
        </w:rPr>
        <w:t>5-6</w:t>
      </w:r>
      <w:r>
        <w:rPr>
          <w:rFonts w:ascii="Times New Roman" w:hAnsi="Times New Roman" w:eastAsia="宋体"/>
          <w:color w:val="auto"/>
          <w:szCs w:val="21"/>
          <w:highlight w:val="none"/>
        </w:rPr>
        <w:t>选用，边坡岩体等效内摩擦角建议值按表</w:t>
      </w:r>
      <w:r>
        <w:rPr>
          <w:rFonts w:hint="eastAsia" w:ascii="Times New Roman" w:hAnsi="Times New Roman" w:eastAsia="宋体"/>
          <w:color w:val="auto"/>
          <w:szCs w:val="21"/>
          <w:highlight w:val="none"/>
          <w:lang w:val="en-US" w:eastAsia="zh-CN"/>
        </w:rPr>
        <w:t>5-7</w:t>
      </w:r>
      <w:r>
        <w:rPr>
          <w:rFonts w:ascii="Times New Roman" w:hAnsi="Times New Roman" w:eastAsia="宋体"/>
          <w:color w:val="auto"/>
          <w:szCs w:val="21"/>
          <w:highlight w:val="none"/>
        </w:rPr>
        <w:t>选用。</w:t>
      </w:r>
      <w:r>
        <w:rPr>
          <w:rFonts w:hint="eastAsia" w:ascii="Times New Roman" w:hAnsi="Times New Roman" w:eastAsia="宋体"/>
          <w:color w:val="auto"/>
          <w:szCs w:val="21"/>
          <w:highlight w:val="none"/>
          <w:lang w:val="en-US" w:eastAsia="zh-CN"/>
        </w:rPr>
        <w:t>其中，</w:t>
      </w:r>
      <w:r>
        <w:rPr>
          <w:rFonts w:ascii="Times New Roman" w:hAnsi="Times New Roman" w:eastAsia="宋体"/>
          <w:color w:val="auto"/>
          <w:szCs w:val="21"/>
          <w:highlight w:val="none"/>
        </w:rPr>
        <w:t>表</w:t>
      </w:r>
      <w:r>
        <w:rPr>
          <w:rFonts w:hint="eastAsia" w:ascii="Times New Roman" w:hAnsi="Times New Roman" w:eastAsia="宋体"/>
          <w:color w:val="auto"/>
          <w:szCs w:val="21"/>
          <w:highlight w:val="none"/>
          <w:lang w:val="en-US" w:eastAsia="zh-CN"/>
        </w:rPr>
        <w:t>5-5</w:t>
      </w:r>
      <w:r>
        <w:rPr>
          <w:rFonts w:ascii="Times New Roman" w:hAnsi="Times New Roman" w:eastAsia="宋体"/>
          <w:color w:val="auto"/>
          <w:szCs w:val="21"/>
          <w:highlight w:val="none"/>
        </w:rPr>
        <w:t>引用自《水利水电工程地质勘察规范》GB 50487-2008表E.0.4，并将其摩擦系数转化为了角度，符合市政勘察工程师的一般使用习惯。表</w:t>
      </w:r>
      <w:r>
        <w:rPr>
          <w:rFonts w:hint="eastAsia" w:ascii="Times New Roman" w:hAnsi="Times New Roman" w:eastAsia="宋体"/>
          <w:color w:val="auto"/>
          <w:szCs w:val="21"/>
          <w:highlight w:val="none"/>
          <w:lang w:val="en-US" w:eastAsia="zh-CN"/>
        </w:rPr>
        <w:t>5-6</w:t>
      </w:r>
      <w:r>
        <w:rPr>
          <w:rFonts w:ascii="Times New Roman" w:hAnsi="Times New Roman" w:eastAsia="宋体"/>
          <w:color w:val="auto"/>
          <w:szCs w:val="21"/>
          <w:highlight w:val="none"/>
        </w:rPr>
        <w:t>引用自《建筑边坡工程技术规范》GB 50330-2013表4.3.3。表</w:t>
      </w:r>
      <w:r>
        <w:rPr>
          <w:rFonts w:hint="eastAsia" w:ascii="Times New Roman" w:hAnsi="Times New Roman" w:eastAsia="宋体"/>
          <w:color w:val="auto"/>
          <w:szCs w:val="21"/>
          <w:highlight w:val="none"/>
          <w:lang w:val="en-US" w:eastAsia="zh-CN"/>
        </w:rPr>
        <w:t>5-7</w:t>
      </w:r>
      <w:r>
        <w:rPr>
          <w:rFonts w:ascii="Times New Roman" w:hAnsi="Times New Roman" w:eastAsia="宋体"/>
          <w:color w:val="auto"/>
          <w:szCs w:val="21"/>
          <w:highlight w:val="none"/>
        </w:rPr>
        <w:t>引用自《建筑边坡工程技术规范》GB 50330-2013表4.3.4。</w:t>
      </w:r>
    </w:p>
    <w:p>
      <w:pPr>
        <w:spacing w:line="360" w:lineRule="auto"/>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5-5</w:t>
      </w:r>
      <w:r>
        <w:rPr>
          <w:rFonts w:ascii="Times New Roman" w:hAnsi="Times New Roman" w:eastAsia="宋体"/>
          <w:b/>
          <w:bCs/>
          <w:color w:val="auto"/>
          <w:szCs w:val="21"/>
          <w:highlight w:val="none"/>
        </w:rPr>
        <w:t xml:space="preserve"> 岩体抗剪与抗剪断强度经验值</w:t>
      </w:r>
    </w:p>
    <w:tbl>
      <w:tblPr>
        <w:tblStyle w:val="22"/>
        <w:tblW w:w="8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207"/>
        <w:gridCol w:w="1140"/>
        <w:gridCol w:w="1125"/>
        <w:gridCol w:w="1290"/>
        <w:gridCol w:w="1230"/>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vMerge w:val="restart"/>
            <w:tcBorders>
              <w:top w:val="single" w:color="auto" w:sz="12" w:space="0"/>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岩体</w:t>
            </w:r>
          </w:p>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分类</w:t>
            </w:r>
          </w:p>
        </w:tc>
        <w:tc>
          <w:tcPr>
            <w:tcW w:w="3472" w:type="dxa"/>
            <w:gridSpan w:val="3"/>
            <w:tcBorders>
              <w:top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岩体</w:t>
            </w:r>
          </w:p>
        </w:tc>
        <w:tc>
          <w:tcPr>
            <w:tcW w:w="3684" w:type="dxa"/>
            <w:gridSpan w:val="3"/>
            <w:tcBorders>
              <w:top w:val="single" w:color="auto" w:sz="12" w:space="0"/>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混凝土与基岩接触面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vMerge w:val="continue"/>
            <w:tcBorders>
              <w:left w:val="single" w:color="auto" w:sz="12" w:space="0"/>
            </w:tcBorders>
          </w:tcPr>
          <w:p>
            <w:pPr>
              <w:jc w:val="center"/>
              <w:rPr>
                <w:rFonts w:ascii="Times New Roman" w:hAnsi="Times New Roman" w:eastAsia="宋体"/>
                <w:color w:val="auto"/>
                <w:sz w:val="20"/>
                <w:szCs w:val="20"/>
                <w:highlight w:val="none"/>
              </w:rPr>
            </w:pPr>
          </w:p>
        </w:tc>
        <w:tc>
          <w:tcPr>
            <w:tcW w:w="2347" w:type="dxa"/>
            <w:gridSpan w:val="2"/>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抗剪断</w:t>
            </w:r>
          </w:p>
        </w:tc>
        <w:tc>
          <w:tcPr>
            <w:tcW w:w="112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抗剪</w:t>
            </w:r>
          </w:p>
        </w:tc>
        <w:tc>
          <w:tcPr>
            <w:tcW w:w="2520" w:type="dxa"/>
            <w:gridSpan w:val="2"/>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抗剪断</w:t>
            </w:r>
          </w:p>
        </w:tc>
        <w:tc>
          <w:tcPr>
            <w:tcW w:w="1164"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抗剪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vMerge w:val="continue"/>
            <w:tcBorders>
              <w:left w:val="single" w:color="auto" w:sz="12" w:space="0"/>
            </w:tcBorders>
          </w:tcPr>
          <w:p>
            <w:pPr>
              <w:jc w:val="center"/>
              <w:rPr>
                <w:rFonts w:ascii="Times New Roman" w:hAnsi="Times New Roman" w:eastAsia="宋体"/>
                <w:color w:val="auto"/>
                <w:sz w:val="20"/>
                <w:szCs w:val="20"/>
                <w:highlight w:val="none"/>
              </w:rPr>
            </w:pPr>
          </w:p>
        </w:tc>
        <w:tc>
          <w:tcPr>
            <w:tcW w:w="1207" w:type="dxa"/>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C</w:t>
            </w:r>
            <w:r>
              <w:rPr>
                <w:rFonts w:ascii="Times New Roman" w:hAnsi="Times New Roman" w:eastAsia="宋体"/>
                <w:color w:val="auto"/>
                <w:sz w:val="20"/>
                <w:szCs w:val="20"/>
                <w:highlight w:val="none"/>
              </w:rPr>
              <w:t>’(MPa)</w:t>
            </w:r>
          </w:p>
        </w:tc>
        <w:tc>
          <w:tcPr>
            <w:tcW w:w="1140" w:type="dxa"/>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Φ</w:t>
            </w:r>
            <w:r>
              <w:rPr>
                <w:rFonts w:ascii="Times New Roman" w:hAnsi="Times New Roman" w:eastAsia="宋体"/>
                <w:color w:val="auto"/>
                <w:sz w:val="20"/>
                <w:szCs w:val="20"/>
                <w:highlight w:val="none"/>
              </w:rPr>
              <w:t>(°）</w:t>
            </w:r>
          </w:p>
        </w:tc>
        <w:tc>
          <w:tcPr>
            <w:tcW w:w="1125" w:type="dxa"/>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Φ</w:t>
            </w:r>
            <w:r>
              <w:rPr>
                <w:rFonts w:ascii="Times New Roman" w:hAnsi="Times New Roman" w:eastAsia="宋体"/>
                <w:color w:val="auto"/>
                <w:sz w:val="20"/>
                <w:szCs w:val="20"/>
                <w:highlight w:val="none"/>
              </w:rPr>
              <w:t>(°）</w:t>
            </w:r>
          </w:p>
        </w:tc>
        <w:tc>
          <w:tcPr>
            <w:tcW w:w="1290" w:type="dxa"/>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C</w:t>
            </w:r>
            <w:r>
              <w:rPr>
                <w:rFonts w:ascii="Times New Roman" w:hAnsi="Times New Roman" w:eastAsia="宋体"/>
                <w:color w:val="auto"/>
                <w:sz w:val="20"/>
                <w:szCs w:val="20"/>
                <w:highlight w:val="none"/>
              </w:rPr>
              <w:t>’(MPa)</w:t>
            </w:r>
          </w:p>
        </w:tc>
        <w:tc>
          <w:tcPr>
            <w:tcW w:w="1230" w:type="dxa"/>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Φ</w:t>
            </w:r>
            <w:r>
              <w:rPr>
                <w:rFonts w:ascii="Times New Roman" w:hAnsi="Times New Roman" w:eastAsia="宋体"/>
                <w:color w:val="auto"/>
                <w:sz w:val="20"/>
                <w:szCs w:val="20"/>
                <w:highlight w:val="none"/>
              </w:rPr>
              <w:t>(°）</w:t>
            </w:r>
          </w:p>
        </w:tc>
        <w:tc>
          <w:tcPr>
            <w:tcW w:w="1164"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Φ</w:t>
            </w:r>
            <w:r>
              <w:rPr>
                <w:rFonts w:ascii="Times New Roman" w:hAnsi="Times New Roman" w:eastAsia="宋体"/>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Borders>
              <w:lef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Ⅰ</w:t>
            </w:r>
          </w:p>
        </w:tc>
        <w:tc>
          <w:tcPr>
            <w:tcW w:w="1207"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1.30~1.50</w:t>
            </w:r>
          </w:p>
        </w:tc>
        <w:tc>
          <w:tcPr>
            <w:tcW w:w="1140"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52~56</w:t>
            </w:r>
          </w:p>
        </w:tc>
        <w:tc>
          <w:tcPr>
            <w:tcW w:w="112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37~40</w:t>
            </w:r>
          </w:p>
        </w:tc>
        <w:tc>
          <w:tcPr>
            <w:tcW w:w="1290"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2.00~2.50</w:t>
            </w:r>
          </w:p>
        </w:tc>
        <w:tc>
          <w:tcPr>
            <w:tcW w:w="1230"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54~58</w:t>
            </w:r>
          </w:p>
        </w:tc>
        <w:tc>
          <w:tcPr>
            <w:tcW w:w="1164"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Borders>
              <w:lef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Ⅱ</w:t>
            </w:r>
          </w:p>
        </w:tc>
        <w:tc>
          <w:tcPr>
            <w:tcW w:w="1207"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1.10~1.30</w:t>
            </w:r>
          </w:p>
        </w:tc>
        <w:tc>
          <w:tcPr>
            <w:tcW w:w="1140"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48~52</w:t>
            </w:r>
          </w:p>
        </w:tc>
        <w:tc>
          <w:tcPr>
            <w:tcW w:w="112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33~37</w:t>
            </w:r>
          </w:p>
        </w:tc>
        <w:tc>
          <w:tcPr>
            <w:tcW w:w="1290"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1.50~2.00</w:t>
            </w:r>
          </w:p>
        </w:tc>
        <w:tc>
          <w:tcPr>
            <w:tcW w:w="1230"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50~54</w:t>
            </w:r>
          </w:p>
        </w:tc>
        <w:tc>
          <w:tcPr>
            <w:tcW w:w="1164"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Borders>
              <w:lef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Ⅲ</w:t>
            </w:r>
          </w:p>
        </w:tc>
        <w:tc>
          <w:tcPr>
            <w:tcW w:w="1207"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0.70~1.10</w:t>
            </w:r>
          </w:p>
        </w:tc>
        <w:tc>
          <w:tcPr>
            <w:tcW w:w="1140"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42~48</w:t>
            </w:r>
          </w:p>
        </w:tc>
        <w:tc>
          <w:tcPr>
            <w:tcW w:w="112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29~33</w:t>
            </w:r>
          </w:p>
        </w:tc>
        <w:tc>
          <w:tcPr>
            <w:tcW w:w="1290"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0.70~1.50</w:t>
            </w:r>
          </w:p>
        </w:tc>
        <w:tc>
          <w:tcPr>
            <w:tcW w:w="1230"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39~50</w:t>
            </w:r>
          </w:p>
        </w:tc>
        <w:tc>
          <w:tcPr>
            <w:tcW w:w="1164"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Borders>
              <w:lef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Ⅳ</w:t>
            </w:r>
          </w:p>
        </w:tc>
        <w:tc>
          <w:tcPr>
            <w:tcW w:w="1207"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0.30~0.70</w:t>
            </w:r>
          </w:p>
        </w:tc>
        <w:tc>
          <w:tcPr>
            <w:tcW w:w="1140"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35~42</w:t>
            </w:r>
          </w:p>
        </w:tc>
        <w:tc>
          <w:tcPr>
            <w:tcW w:w="112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22~29</w:t>
            </w:r>
          </w:p>
        </w:tc>
        <w:tc>
          <w:tcPr>
            <w:tcW w:w="1290"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0.30~0.70</w:t>
            </w:r>
          </w:p>
        </w:tc>
        <w:tc>
          <w:tcPr>
            <w:tcW w:w="1230"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29~39</w:t>
            </w:r>
          </w:p>
        </w:tc>
        <w:tc>
          <w:tcPr>
            <w:tcW w:w="1164"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Borders>
              <w:left w:val="single" w:color="auto" w:sz="12" w:space="0"/>
              <w:bottom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Ⅴ</w:t>
            </w:r>
          </w:p>
        </w:tc>
        <w:tc>
          <w:tcPr>
            <w:tcW w:w="1207" w:type="dxa"/>
            <w:tcBorders>
              <w:bottom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0.05~0.30</w:t>
            </w:r>
          </w:p>
        </w:tc>
        <w:tc>
          <w:tcPr>
            <w:tcW w:w="1140" w:type="dxa"/>
            <w:tcBorders>
              <w:bottom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22~35</w:t>
            </w:r>
          </w:p>
        </w:tc>
        <w:tc>
          <w:tcPr>
            <w:tcW w:w="1125" w:type="dxa"/>
            <w:tcBorders>
              <w:bottom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16~22</w:t>
            </w:r>
          </w:p>
        </w:tc>
        <w:tc>
          <w:tcPr>
            <w:tcW w:w="1290" w:type="dxa"/>
            <w:tcBorders>
              <w:bottom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0.05~0.30</w:t>
            </w:r>
          </w:p>
        </w:tc>
        <w:tc>
          <w:tcPr>
            <w:tcW w:w="1230" w:type="dxa"/>
            <w:tcBorders>
              <w:bottom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22~29</w:t>
            </w:r>
          </w:p>
        </w:tc>
        <w:tc>
          <w:tcPr>
            <w:tcW w:w="1164" w:type="dxa"/>
            <w:tcBorders>
              <w:bottom w:val="single" w:color="auto" w:sz="12" w:space="0"/>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19~24</w:t>
            </w:r>
          </w:p>
        </w:tc>
      </w:tr>
    </w:tbl>
    <w:p>
      <w:pPr>
        <w:ind w:left="630" w:hanging="630" w:hangingChars="350"/>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注：1  抗剪断强度是指在任一法向应力作用下横切结构面剪切破坏时岩体能抵抗的最大剪应力；在任一法向应力作用下，岩体沿已有破裂面剪切破坏时的最大剪应力称抗剪强度，实际为某结构面抗剪强度。</w:t>
      </w:r>
    </w:p>
    <w:p>
      <w:pPr>
        <w:ind w:left="210" w:leftChars="100"/>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 xml:space="preserve"> 2  表中参数仅限于硬质岩，软质岩应根据软化系数进行折减。</w:t>
      </w:r>
    </w:p>
    <w:p>
      <w:pPr>
        <w:spacing w:line="360" w:lineRule="auto"/>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5-6</w:t>
      </w:r>
      <w:r>
        <w:rPr>
          <w:rFonts w:ascii="Times New Roman" w:hAnsi="Times New Roman" w:eastAsia="宋体"/>
          <w:b/>
          <w:bCs/>
          <w:color w:val="auto"/>
          <w:szCs w:val="21"/>
          <w:highlight w:val="none"/>
        </w:rPr>
        <w:t xml:space="preserve"> 边坡岩体内摩擦角的折减系数</w:t>
      </w: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52"/>
        <w:gridCol w:w="39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52" w:type="dxa"/>
            <w:tcBorders>
              <w:top w:val="single" w:color="000000" w:sz="12" w:space="0"/>
              <w:left w:val="single" w:color="000000" w:sz="12" w:space="0"/>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边坡岩体完整程度</w:t>
            </w:r>
          </w:p>
        </w:tc>
        <w:tc>
          <w:tcPr>
            <w:tcW w:w="3904" w:type="dxa"/>
            <w:tcBorders>
              <w:top w:val="single" w:color="000000" w:sz="12" w:space="0"/>
              <w:right w:val="single" w:color="000000" w:sz="12" w:space="0"/>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内摩擦角的折减系数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52" w:type="dxa"/>
            <w:tcBorders>
              <w:left w:val="single" w:color="000000" w:sz="12" w:space="0"/>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完整</w:t>
            </w:r>
          </w:p>
        </w:tc>
        <w:tc>
          <w:tcPr>
            <w:tcW w:w="3904" w:type="dxa"/>
            <w:tcBorders>
              <w:right w:val="single" w:color="000000" w:sz="12" w:space="0"/>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0.95~0.90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52" w:type="dxa"/>
            <w:tcBorders>
              <w:left w:val="single" w:color="000000" w:sz="12" w:space="0"/>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较完整</w:t>
            </w:r>
          </w:p>
        </w:tc>
        <w:tc>
          <w:tcPr>
            <w:tcW w:w="3904" w:type="dxa"/>
            <w:tcBorders>
              <w:right w:val="single" w:color="000000" w:sz="12" w:space="0"/>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0.90~0.85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52" w:type="dxa"/>
            <w:tcBorders>
              <w:left w:val="single" w:color="000000" w:sz="12" w:space="0"/>
              <w:bottom w:val="single" w:color="000000" w:sz="12" w:space="0"/>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较破碎</w:t>
            </w:r>
          </w:p>
        </w:tc>
        <w:tc>
          <w:tcPr>
            <w:tcW w:w="3904" w:type="dxa"/>
            <w:tcBorders>
              <w:bottom w:val="single" w:color="000000" w:sz="12" w:space="0"/>
              <w:right w:val="single" w:color="000000" w:sz="12" w:space="0"/>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0.85~0.80</w:t>
            </w:r>
          </w:p>
        </w:tc>
      </w:tr>
    </w:tbl>
    <w:p>
      <w:pPr>
        <w:ind w:left="360" w:hanging="360" w:hangingChars="200"/>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 xml:space="preserve">注：1 </w:t>
      </w:r>
      <w:r>
        <w:rPr>
          <w:rFonts w:hint="eastAsia"/>
          <w:color w:val="auto"/>
          <w:sz w:val="18"/>
          <w:szCs w:val="18"/>
          <w:highlight w:val="none"/>
          <w:lang w:val="en-US" w:eastAsia="zh-CN"/>
        </w:rPr>
        <w:t xml:space="preserve"> </w:t>
      </w:r>
      <w:r>
        <w:rPr>
          <w:rFonts w:ascii="Times New Roman" w:hAnsi="Times New Roman" w:eastAsia="宋体"/>
          <w:color w:val="auto"/>
          <w:sz w:val="18"/>
          <w:szCs w:val="18"/>
          <w:highlight w:val="none"/>
        </w:rPr>
        <w:t>全风化岩可按相同成分的土层考虑；</w:t>
      </w:r>
    </w:p>
    <w:p>
      <w:pPr>
        <w:ind w:left="210" w:leftChars="100" w:firstLine="180" w:firstLineChars="100"/>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 xml:space="preserve">2 </w:t>
      </w:r>
      <w:r>
        <w:rPr>
          <w:rFonts w:hint="eastAsia"/>
          <w:color w:val="auto"/>
          <w:sz w:val="18"/>
          <w:szCs w:val="18"/>
          <w:highlight w:val="none"/>
          <w:lang w:val="en-US" w:eastAsia="zh-CN"/>
        </w:rPr>
        <w:t xml:space="preserve"> </w:t>
      </w:r>
      <w:r>
        <w:rPr>
          <w:rFonts w:ascii="Times New Roman" w:hAnsi="Times New Roman" w:eastAsia="宋体"/>
          <w:color w:val="auto"/>
          <w:sz w:val="18"/>
          <w:szCs w:val="18"/>
          <w:highlight w:val="none"/>
        </w:rPr>
        <w:t>强风化岩可根据地方经验适当折减。</w:t>
      </w:r>
    </w:p>
    <w:p>
      <w:pPr>
        <w:spacing w:line="360" w:lineRule="auto"/>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5-7</w:t>
      </w:r>
      <w:r>
        <w:rPr>
          <w:rFonts w:ascii="Times New Roman" w:hAnsi="Times New Roman" w:eastAsia="宋体"/>
          <w:b/>
          <w:bCs/>
          <w:color w:val="auto"/>
          <w:szCs w:val="21"/>
          <w:highlight w:val="none"/>
        </w:rPr>
        <w:t xml:space="preserve"> 边坡岩体等效内摩擦角标准值的经验值</w:t>
      </w:r>
    </w:p>
    <w:tbl>
      <w:tblPr>
        <w:tblStyle w:val="22"/>
        <w:tblW w:w="8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4"/>
        <w:gridCol w:w="1446"/>
        <w:gridCol w:w="1446"/>
        <w:gridCol w:w="1446"/>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4" w:type="dxa"/>
            <w:tcBorders>
              <w:top w:val="single" w:color="auto" w:sz="12" w:space="0"/>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边坡岩体类型</w:t>
            </w:r>
          </w:p>
        </w:tc>
        <w:tc>
          <w:tcPr>
            <w:tcW w:w="1446" w:type="dxa"/>
            <w:tcBorders>
              <w:top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Ⅰ</w:t>
            </w:r>
          </w:p>
        </w:tc>
        <w:tc>
          <w:tcPr>
            <w:tcW w:w="1446" w:type="dxa"/>
            <w:tcBorders>
              <w:top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Ⅱ</w:t>
            </w:r>
          </w:p>
        </w:tc>
        <w:tc>
          <w:tcPr>
            <w:tcW w:w="1446" w:type="dxa"/>
            <w:tcBorders>
              <w:top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Ⅲ</w:t>
            </w:r>
          </w:p>
        </w:tc>
        <w:tc>
          <w:tcPr>
            <w:tcW w:w="1449" w:type="dxa"/>
            <w:tcBorders>
              <w:top w:val="single" w:color="auto" w:sz="12"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4" w:type="dxa"/>
            <w:tcBorders>
              <w:left w:val="single" w:color="auto" w:sz="12" w:space="0"/>
              <w:bottom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等效内摩擦角</w:t>
            </w:r>
            <w:r>
              <w:rPr>
                <w:rFonts w:ascii="Times New Roman" w:hAnsi="Times New Roman" w:eastAsia="宋体"/>
                <w:i/>
                <w:iCs/>
                <w:color w:val="auto"/>
                <w:sz w:val="20"/>
                <w:szCs w:val="20"/>
                <w:highlight w:val="none"/>
              </w:rPr>
              <w:t>φ</w:t>
            </w:r>
            <w:r>
              <w:rPr>
                <w:rFonts w:ascii="Times New Roman" w:hAnsi="Times New Roman" w:eastAsia="宋体"/>
                <w:color w:val="auto"/>
                <w:sz w:val="20"/>
                <w:szCs w:val="20"/>
                <w:highlight w:val="none"/>
                <w:vertAlign w:val="subscript"/>
              </w:rPr>
              <w:t>c</w:t>
            </w:r>
            <w:r>
              <w:rPr>
                <w:rFonts w:ascii="Times New Roman" w:hAnsi="Times New Roman" w:eastAsia="宋体"/>
                <w:color w:val="auto"/>
                <w:sz w:val="20"/>
                <w:szCs w:val="20"/>
                <w:highlight w:val="none"/>
              </w:rPr>
              <w:t>（°）</w:t>
            </w:r>
          </w:p>
        </w:tc>
        <w:tc>
          <w:tcPr>
            <w:tcW w:w="1446" w:type="dxa"/>
            <w:tcBorders>
              <w:bottom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φ</w:t>
            </w:r>
            <w:r>
              <w:rPr>
                <w:rFonts w:ascii="Times New Roman" w:hAnsi="Times New Roman" w:eastAsia="宋体"/>
                <w:color w:val="auto"/>
                <w:sz w:val="20"/>
                <w:szCs w:val="20"/>
                <w:highlight w:val="none"/>
                <w:vertAlign w:val="subscript"/>
              </w:rPr>
              <w:t>c</w:t>
            </w:r>
            <w:r>
              <w:rPr>
                <w:rFonts w:ascii="Times New Roman" w:hAnsi="Times New Roman" w:eastAsia="宋体"/>
                <w:color w:val="auto"/>
                <w:sz w:val="20"/>
                <w:szCs w:val="20"/>
                <w:highlight w:val="none"/>
              </w:rPr>
              <w:t>&gt;72</w:t>
            </w:r>
          </w:p>
        </w:tc>
        <w:tc>
          <w:tcPr>
            <w:tcW w:w="1446" w:type="dxa"/>
            <w:tcBorders>
              <w:bottom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72</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φ</w:t>
            </w:r>
            <w:r>
              <w:rPr>
                <w:rFonts w:ascii="Times New Roman" w:hAnsi="Times New Roman" w:eastAsia="宋体"/>
                <w:color w:val="auto"/>
                <w:sz w:val="20"/>
                <w:szCs w:val="20"/>
                <w:highlight w:val="none"/>
                <w:vertAlign w:val="subscript"/>
              </w:rPr>
              <w:t>c</w:t>
            </w:r>
            <w:r>
              <w:rPr>
                <w:rFonts w:ascii="Times New Roman" w:hAnsi="Times New Roman" w:eastAsia="宋体"/>
                <w:color w:val="auto"/>
                <w:sz w:val="20"/>
                <w:szCs w:val="20"/>
                <w:highlight w:val="none"/>
              </w:rPr>
              <w:t>&gt;62</w:t>
            </w:r>
          </w:p>
        </w:tc>
        <w:tc>
          <w:tcPr>
            <w:tcW w:w="1446" w:type="dxa"/>
            <w:tcBorders>
              <w:bottom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62</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φ</w:t>
            </w:r>
            <w:r>
              <w:rPr>
                <w:rFonts w:ascii="Times New Roman" w:hAnsi="Times New Roman" w:eastAsia="宋体"/>
                <w:color w:val="auto"/>
                <w:sz w:val="20"/>
                <w:szCs w:val="20"/>
                <w:highlight w:val="none"/>
                <w:vertAlign w:val="subscript"/>
              </w:rPr>
              <w:t>c</w:t>
            </w:r>
            <w:r>
              <w:rPr>
                <w:rFonts w:ascii="Times New Roman" w:hAnsi="Times New Roman" w:eastAsia="宋体"/>
                <w:color w:val="auto"/>
                <w:sz w:val="20"/>
                <w:szCs w:val="20"/>
                <w:highlight w:val="none"/>
              </w:rPr>
              <w:t>&gt;52</w:t>
            </w:r>
          </w:p>
        </w:tc>
        <w:tc>
          <w:tcPr>
            <w:tcW w:w="1449" w:type="dxa"/>
            <w:tcBorders>
              <w:bottom w:val="single" w:color="auto" w:sz="12"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52</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φ</w:t>
            </w:r>
            <w:r>
              <w:rPr>
                <w:rFonts w:ascii="Times New Roman" w:hAnsi="Times New Roman" w:eastAsia="宋体"/>
                <w:color w:val="auto"/>
                <w:sz w:val="20"/>
                <w:szCs w:val="20"/>
                <w:highlight w:val="none"/>
                <w:vertAlign w:val="subscript"/>
              </w:rPr>
              <w:t>c</w:t>
            </w:r>
            <w:r>
              <w:rPr>
                <w:rFonts w:ascii="Times New Roman" w:hAnsi="Times New Roman" w:eastAsia="宋体"/>
                <w:color w:val="auto"/>
                <w:sz w:val="20"/>
                <w:szCs w:val="20"/>
                <w:highlight w:val="none"/>
              </w:rPr>
              <w:t>&gt;42</w:t>
            </w:r>
          </w:p>
        </w:tc>
      </w:tr>
    </w:tbl>
    <w:p>
      <w:pPr>
        <w:ind w:left="360" w:hanging="360" w:hangingChars="200"/>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 xml:space="preserve">注：1 </w:t>
      </w:r>
      <w:r>
        <w:rPr>
          <w:rFonts w:hint="eastAsia"/>
          <w:color w:val="auto"/>
          <w:sz w:val="18"/>
          <w:szCs w:val="18"/>
          <w:highlight w:val="none"/>
          <w:lang w:val="en-US" w:eastAsia="zh-CN"/>
        </w:rPr>
        <w:t xml:space="preserve"> </w:t>
      </w:r>
      <w:r>
        <w:rPr>
          <w:rFonts w:ascii="Times New Roman" w:hAnsi="Times New Roman" w:eastAsia="宋体"/>
          <w:color w:val="auto"/>
          <w:sz w:val="18"/>
          <w:szCs w:val="18"/>
          <w:highlight w:val="none"/>
        </w:rPr>
        <w:t>适用于高度不大于30m的边坡；当高度大于30m时，应作专门研究；</w:t>
      </w:r>
    </w:p>
    <w:p>
      <w:pPr>
        <w:ind w:left="648" w:leftChars="180" w:hanging="270" w:hangingChars="150"/>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 xml:space="preserve">2 </w:t>
      </w:r>
      <w:r>
        <w:rPr>
          <w:rFonts w:hint="eastAsia"/>
          <w:color w:val="auto"/>
          <w:sz w:val="18"/>
          <w:szCs w:val="18"/>
          <w:highlight w:val="none"/>
          <w:lang w:val="en-US" w:eastAsia="zh-CN"/>
        </w:rPr>
        <w:t xml:space="preserve"> </w:t>
      </w:r>
      <w:r>
        <w:rPr>
          <w:rFonts w:ascii="Times New Roman" w:hAnsi="Times New Roman" w:eastAsia="宋体"/>
          <w:color w:val="auto"/>
          <w:sz w:val="18"/>
          <w:szCs w:val="18"/>
          <w:highlight w:val="none"/>
        </w:rPr>
        <w:t>边坡高度较大时宜取较小值；高度较小时宜取较大值；当边坡岩体变化较大时，应按同等高度段分别取值；</w:t>
      </w:r>
    </w:p>
    <w:p>
      <w:pPr>
        <w:ind w:left="648" w:leftChars="180" w:hanging="270" w:hangingChars="150"/>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3</w:t>
      </w:r>
      <w:r>
        <w:rPr>
          <w:rFonts w:hint="eastAsia"/>
          <w:color w:val="auto"/>
          <w:sz w:val="18"/>
          <w:szCs w:val="18"/>
          <w:highlight w:val="none"/>
          <w:lang w:val="en-US" w:eastAsia="zh-CN"/>
        </w:rPr>
        <w:t xml:space="preserve"> </w:t>
      </w:r>
      <w:r>
        <w:rPr>
          <w:rFonts w:ascii="Times New Roman" w:hAnsi="Times New Roman" w:eastAsia="宋体"/>
          <w:color w:val="auto"/>
          <w:sz w:val="18"/>
          <w:szCs w:val="18"/>
          <w:highlight w:val="none"/>
        </w:rPr>
        <w:t xml:space="preserve"> 已考虑时间效应；对于</w:t>
      </w:r>
      <w:r>
        <w:rPr>
          <w:rFonts w:ascii="Times New Roman" w:hAnsi="Times New Roman" w:eastAsia="宋体"/>
          <w:color w:val="auto"/>
          <w:sz w:val="20"/>
          <w:szCs w:val="20"/>
          <w:highlight w:val="none"/>
        </w:rPr>
        <w:t>Ⅱ、Ⅲ、Ⅳ</w:t>
      </w:r>
      <w:r>
        <w:rPr>
          <w:rFonts w:ascii="Times New Roman" w:hAnsi="Times New Roman" w:eastAsia="宋体"/>
          <w:color w:val="auto"/>
          <w:sz w:val="18"/>
          <w:szCs w:val="18"/>
          <w:highlight w:val="none"/>
        </w:rPr>
        <w:t>类岩质临时边坡可取上限值，</w:t>
      </w:r>
      <w:r>
        <w:rPr>
          <w:rFonts w:ascii="Times New Roman" w:hAnsi="Times New Roman" w:eastAsia="宋体"/>
          <w:color w:val="auto"/>
          <w:sz w:val="20"/>
          <w:szCs w:val="20"/>
          <w:highlight w:val="none"/>
        </w:rPr>
        <w:t>Ⅰ类岩质</w:t>
      </w:r>
      <w:r>
        <w:rPr>
          <w:rFonts w:ascii="Times New Roman" w:hAnsi="Times New Roman" w:eastAsia="宋体"/>
          <w:color w:val="auto"/>
          <w:sz w:val="18"/>
          <w:szCs w:val="18"/>
          <w:highlight w:val="none"/>
        </w:rPr>
        <w:t>临时边坡可根据岩体强度及完整程度取大于72°的数值；</w:t>
      </w:r>
    </w:p>
    <w:p>
      <w:pPr>
        <w:tabs>
          <w:tab w:val="left" w:pos="378"/>
        </w:tabs>
        <w:ind w:left="-1" w:leftChars="-1" w:hanging="1"/>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ab/>
      </w:r>
      <w:r>
        <w:rPr>
          <w:rFonts w:ascii="Times New Roman" w:hAnsi="Times New Roman" w:eastAsia="宋体"/>
          <w:color w:val="auto"/>
          <w:sz w:val="18"/>
          <w:szCs w:val="18"/>
          <w:highlight w:val="none"/>
        </w:rPr>
        <w:tab/>
      </w:r>
      <w:r>
        <w:rPr>
          <w:rFonts w:ascii="Times New Roman" w:hAnsi="Times New Roman" w:eastAsia="宋体"/>
          <w:color w:val="auto"/>
          <w:sz w:val="18"/>
          <w:szCs w:val="18"/>
          <w:highlight w:val="none"/>
        </w:rPr>
        <w:t xml:space="preserve">4 </w:t>
      </w:r>
      <w:r>
        <w:rPr>
          <w:rFonts w:hint="eastAsia"/>
          <w:color w:val="auto"/>
          <w:sz w:val="18"/>
          <w:szCs w:val="18"/>
          <w:highlight w:val="none"/>
          <w:lang w:val="en-US" w:eastAsia="zh-CN"/>
        </w:rPr>
        <w:t xml:space="preserve"> </w:t>
      </w:r>
      <w:r>
        <w:rPr>
          <w:rFonts w:ascii="Times New Roman" w:hAnsi="Times New Roman" w:eastAsia="宋体"/>
          <w:color w:val="auto"/>
          <w:sz w:val="18"/>
          <w:szCs w:val="18"/>
          <w:highlight w:val="none"/>
        </w:rPr>
        <w:t>适用于完整、较完整的岩体；破碎、较破碎的岩体可根据地方经验适当折减。</w:t>
      </w:r>
    </w:p>
    <w:p>
      <w:pPr>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当试验资料不足时，岩体结构面抗剪断峰值强度建议值按表</w:t>
      </w:r>
      <w:r>
        <w:rPr>
          <w:rFonts w:hint="eastAsia" w:ascii="Times New Roman" w:hAnsi="Times New Roman" w:eastAsia="宋体"/>
          <w:color w:val="auto"/>
          <w:szCs w:val="21"/>
          <w:highlight w:val="none"/>
          <w:lang w:val="en-US" w:eastAsia="zh-CN"/>
        </w:rPr>
        <w:t>5-8</w:t>
      </w:r>
      <w:r>
        <w:rPr>
          <w:rFonts w:ascii="Times New Roman" w:hAnsi="Times New Roman" w:eastAsia="宋体"/>
          <w:color w:val="auto"/>
          <w:szCs w:val="21"/>
          <w:highlight w:val="none"/>
        </w:rPr>
        <w:t>选用。</w:t>
      </w:r>
    </w:p>
    <w:p>
      <w:pPr>
        <w:spacing w:line="360" w:lineRule="auto"/>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5-8</w:t>
      </w:r>
      <w:r>
        <w:rPr>
          <w:rFonts w:ascii="Times New Roman" w:hAnsi="Times New Roman" w:eastAsia="宋体"/>
          <w:b/>
          <w:bCs/>
          <w:color w:val="auto"/>
          <w:szCs w:val="21"/>
          <w:highlight w:val="none"/>
        </w:rPr>
        <w:t xml:space="preserve"> 岩体结构面抗剪断峰值强度的经验值</w:t>
      </w:r>
    </w:p>
    <w:tbl>
      <w:tblPr>
        <w:tblStyle w:val="22"/>
        <w:tblW w:w="8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2130"/>
        <w:gridCol w:w="1485"/>
        <w:gridCol w:w="1470"/>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1" w:type="dxa"/>
            <w:gridSpan w:val="2"/>
            <w:vMerge w:val="restart"/>
            <w:tcBorders>
              <w:top w:val="single" w:color="auto" w:sz="12" w:space="0"/>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结构面类型</w:t>
            </w:r>
          </w:p>
        </w:tc>
        <w:tc>
          <w:tcPr>
            <w:tcW w:w="2955" w:type="dxa"/>
            <w:gridSpan w:val="2"/>
            <w:tcBorders>
              <w:top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抗剪断</w:t>
            </w:r>
          </w:p>
        </w:tc>
        <w:tc>
          <w:tcPr>
            <w:tcW w:w="1475" w:type="dxa"/>
            <w:tcBorders>
              <w:top w:val="single" w:color="auto" w:sz="12" w:space="0"/>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抗剪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1" w:type="dxa"/>
            <w:gridSpan w:val="2"/>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1485"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C’(MPa)</w:t>
            </w:r>
          </w:p>
        </w:tc>
        <w:tc>
          <w:tcPr>
            <w:tcW w:w="1470"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Φ’(°）</w:t>
            </w:r>
          </w:p>
        </w:tc>
        <w:tc>
          <w:tcPr>
            <w:tcW w:w="1475"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1" w:type="dxa"/>
            <w:vMerge w:val="restart"/>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胶结结构面</w:t>
            </w:r>
          </w:p>
        </w:tc>
        <w:tc>
          <w:tcPr>
            <w:tcW w:w="2130"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坚硬岩</w:t>
            </w:r>
          </w:p>
        </w:tc>
        <w:tc>
          <w:tcPr>
            <w:tcW w:w="1485"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0.20~0.30</w:t>
            </w:r>
          </w:p>
        </w:tc>
        <w:tc>
          <w:tcPr>
            <w:tcW w:w="1470"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35~42</w:t>
            </w:r>
          </w:p>
        </w:tc>
        <w:tc>
          <w:tcPr>
            <w:tcW w:w="1475"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63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130"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较硬岩~较软岩</w:t>
            </w:r>
          </w:p>
        </w:tc>
        <w:tc>
          <w:tcPr>
            <w:tcW w:w="1485" w:type="dxa"/>
            <w:vMerge w:val="restart"/>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0.10~0.20</w:t>
            </w:r>
          </w:p>
        </w:tc>
        <w:tc>
          <w:tcPr>
            <w:tcW w:w="1470" w:type="dxa"/>
            <w:vMerge w:val="restart"/>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29~35</w:t>
            </w:r>
          </w:p>
        </w:tc>
        <w:tc>
          <w:tcPr>
            <w:tcW w:w="1475" w:type="dxa"/>
            <w:vMerge w:val="restart"/>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631" w:type="dxa"/>
            <w:vMerge w:val="restart"/>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无充填结构面</w:t>
            </w:r>
          </w:p>
        </w:tc>
        <w:tc>
          <w:tcPr>
            <w:tcW w:w="2130"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坚硬岩</w:t>
            </w:r>
          </w:p>
        </w:tc>
        <w:tc>
          <w:tcPr>
            <w:tcW w:w="1485" w:type="dxa"/>
            <w:vMerge w:val="continue"/>
            <w:vAlign w:val="center"/>
          </w:tcPr>
          <w:p>
            <w:pPr>
              <w:jc w:val="center"/>
              <w:rPr>
                <w:rFonts w:ascii="Times New Roman" w:hAnsi="Times New Roman" w:eastAsia="宋体"/>
                <w:color w:val="auto"/>
                <w:sz w:val="20"/>
                <w:szCs w:val="20"/>
                <w:highlight w:val="none"/>
              </w:rPr>
            </w:pPr>
          </w:p>
        </w:tc>
        <w:tc>
          <w:tcPr>
            <w:tcW w:w="1470" w:type="dxa"/>
            <w:vMerge w:val="continue"/>
            <w:vAlign w:val="center"/>
          </w:tcPr>
          <w:p>
            <w:pPr>
              <w:jc w:val="center"/>
              <w:rPr>
                <w:rFonts w:ascii="Times New Roman" w:hAnsi="Times New Roman" w:eastAsia="宋体"/>
                <w:color w:val="auto"/>
                <w:sz w:val="20"/>
                <w:szCs w:val="20"/>
                <w:highlight w:val="none"/>
              </w:rPr>
            </w:pPr>
          </w:p>
        </w:tc>
        <w:tc>
          <w:tcPr>
            <w:tcW w:w="1475" w:type="dxa"/>
            <w:vMerge w:val="continue"/>
            <w:tcBorders>
              <w:right w:val="single" w:color="auto" w:sz="12" w:space="0"/>
            </w:tcBorders>
            <w:vAlign w:val="center"/>
          </w:tcPr>
          <w:p>
            <w:pPr>
              <w:jc w:val="center"/>
              <w:rPr>
                <w:rFonts w:ascii="Times New Roman" w:hAnsi="Times New Roman" w:eastAsia="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63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130"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较硬岩~软岩</w:t>
            </w:r>
          </w:p>
        </w:tc>
        <w:tc>
          <w:tcPr>
            <w:tcW w:w="1485" w:type="dxa"/>
            <w:vMerge w:val="restart"/>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0.08~0.10</w:t>
            </w:r>
          </w:p>
        </w:tc>
        <w:tc>
          <w:tcPr>
            <w:tcW w:w="1470" w:type="dxa"/>
            <w:vMerge w:val="restart"/>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24~29</w:t>
            </w:r>
          </w:p>
        </w:tc>
        <w:tc>
          <w:tcPr>
            <w:tcW w:w="1475" w:type="dxa"/>
            <w:vMerge w:val="restart"/>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631" w:type="dxa"/>
            <w:vMerge w:val="restart"/>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软弱结构面</w:t>
            </w:r>
          </w:p>
        </w:tc>
        <w:tc>
          <w:tcPr>
            <w:tcW w:w="2130"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岩块岩屑型结构面</w:t>
            </w:r>
          </w:p>
        </w:tc>
        <w:tc>
          <w:tcPr>
            <w:tcW w:w="1485" w:type="dxa"/>
            <w:vMerge w:val="continue"/>
            <w:vAlign w:val="center"/>
          </w:tcPr>
          <w:p>
            <w:pPr>
              <w:jc w:val="center"/>
              <w:rPr>
                <w:rFonts w:ascii="Times New Roman" w:hAnsi="Times New Roman" w:eastAsia="宋体"/>
                <w:color w:val="auto"/>
                <w:sz w:val="20"/>
                <w:szCs w:val="20"/>
                <w:highlight w:val="none"/>
              </w:rPr>
            </w:pPr>
          </w:p>
        </w:tc>
        <w:tc>
          <w:tcPr>
            <w:tcW w:w="1470" w:type="dxa"/>
            <w:vMerge w:val="continue"/>
            <w:vAlign w:val="center"/>
          </w:tcPr>
          <w:p>
            <w:pPr>
              <w:jc w:val="center"/>
              <w:rPr>
                <w:rFonts w:ascii="Times New Roman" w:hAnsi="Times New Roman" w:eastAsia="宋体"/>
                <w:color w:val="auto"/>
                <w:sz w:val="20"/>
                <w:szCs w:val="20"/>
                <w:highlight w:val="none"/>
              </w:rPr>
            </w:pPr>
          </w:p>
        </w:tc>
        <w:tc>
          <w:tcPr>
            <w:tcW w:w="1475" w:type="dxa"/>
            <w:vMerge w:val="continue"/>
            <w:tcBorders>
              <w:right w:val="single" w:color="auto" w:sz="12" w:space="0"/>
            </w:tcBorders>
            <w:vAlign w:val="center"/>
          </w:tcPr>
          <w:p>
            <w:pPr>
              <w:jc w:val="center"/>
              <w:rPr>
                <w:rFonts w:ascii="Times New Roman" w:hAnsi="Times New Roman" w:eastAsia="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130"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岩屑夹泥型结构面</w:t>
            </w:r>
          </w:p>
        </w:tc>
        <w:tc>
          <w:tcPr>
            <w:tcW w:w="1485"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0.05~0.08</w:t>
            </w:r>
          </w:p>
        </w:tc>
        <w:tc>
          <w:tcPr>
            <w:tcW w:w="1470"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18~24</w:t>
            </w:r>
          </w:p>
        </w:tc>
        <w:tc>
          <w:tcPr>
            <w:tcW w:w="1475"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1"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130"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泥夹岩屑型结构面</w:t>
            </w:r>
          </w:p>
        </w:tc>
        <w:tc>
          <w:tcPr>
            <w:tcW w:w="1485"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0.02~0.05</w:t>
            </w:r>
          </w:p>
        </w:tc>
        <w:tc>
          <w:tcPr>
            <w:tcW w:w="1470"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12~18</w:t>
            </w:r>
          </w:p>
        </w:tc>
        <w:tc>
          <w:tcPr>
            <w:tcW w:w="1475"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1" w:type="dxa"/>
            <w:vMerge w:val="continue"/>
            <w:tcBorders>
              <w:left w:val="single" w:color="auto" w:sz="12" w:space="0"/>
              <w:bottom w:val="single" w:color="auto" w:sz="12" w:space="0"/>
            </w:tcBorders>
            <w:vAlign w:val="center"/>
          </w:tcPr>
          <w:p>
            <w:pPr>
              <w:jc w:val="center"/>
              <w:rPr>
                <w:rFonts w:ascii="Times New Roman" w:hAnsi="Times New Roman" w:eastAsia="宋体"/>
                <w:color w:val="auto"/>
                <w:sz w:val="20"/>
                <w:szCs w:val="20"/>
                <w:highlight w:val="none"/>
              </w:rPr>
            </w:pPr>
          </w:p>
        </w:tc>
        <w:tc>
          <w:tcPr>
            <w:tcW w:w="2130" w:type="dxa"/>
            <w:tcBorders>
              <w:bottom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泥型结构面</w:t>
            </w:r>
          </w:p>
        </w:tc>
        <w:tc>
          <w:tcPr>
            <w:tcW w:w="1485" w:type="dxa"/>
            <w:tcBorders>
              <w:bottom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0.005~0.01</w:t>
            </w:r>
          </w:p>
        </w:tc>
        <w:tc>
          <w:tcPr>
            <w:tcW w:w="1470" w:type="dxa"/>
            <w:tcBorders>
              <w:bottom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10~12</w:t>
            </w:r>
          </w:p>
        </w:tc>
        <w:tc>
          <w:tcPr>
            <w:tcW w:w="1475" w:type="dxa"/>
            <w:tcBorders>
              <w:bottom w:val="single" w:color="auto" w:sz="12"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10~12</w:t>
            </w:r>
          </w:p>
        </w:tc>
      </w:tr>
    </w:tbl>
    <w:p>
      <w:pPr>
        <w:ind w:left="540" w:hanging="540" w:hangingChars="300"/>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注：1</w:t>
      </w:r>
      <w:r>
        <w:rPr>
          <w:rFonts w:hint="eastAsia"/>
          <w:color w:val="auto"/>
          <w:sz w:val="18"/>
          <w:szCs w:val="18"/>
          <w:highlight w:val="none"/>
          <w:lang w:val="en-US" w:eastAsia="zh-CN"/>
        </w:rPr>
        <w:t xml:space="preserve"> </w:t>
      </w:r>
      <w:r>
        <w:rPr>
          <w:rFonts w:ascii="Times New Roman" w:hAnsi="Times New Roman" w:eastAsia="宋体"/>
          <w:color w:val="auto"/>
          <w:sz w:val="18"/>
          <w:szCs w:val="18"/>
          <w:highlight w:val="none"/>
        </w:rPr>
        <w:t xml:space="preserve"> 对于软弱结构面，两壁岩性为极软岩、软岩时取较低值；</w:t>
      </w:r>
    </w:p>
    <w:p>
      <w:pPr>
        <w:ind w:left="648" w:leftChars="180" w:hanging="270" w:hangingChars="150"/>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 xml:space="preserve">2 </w:t>
      </w:r>
      <w:r>
        <w:rPr>
          <w:rFonts w:hint="eastAsia"/>
          <w:color w:val="auto"/>
          <w:sz w:val="18"/>
          <w:szCs w:val="18"/>
          <w:highlight w:val="none"/>
          <w:lang w:val="en-US" w:eastAsia="zh-CN"/>
        </w:rPr>
        <w:t xml:space="preserve"> </w:t>
      </w:r>
      <w:r>
        <w:rPr>
          <w:rFonts w:ascii="Times New Roman" w:hAnsi="Times New Roman" w:eastAsia="宋体"/>
          <w:color w:val="auto"/>
          <w:sz w:val="18"/>
          <w:szCs w:val="18"/>
          <w:highlight w:val="none"/>
        </w:rPr>
        <w:t>取值时应考虑结构面的贯通程度；胶结结构面、无充填结构面应考虑结构面的胶结程度和粗糙程度；</w:t>
      </w:r>
    </w:p>
    <w:p>
      <w:pPr>
        <w:ind w:left="357" w:leftChars="170"/>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 xml:space="preserve">3 </w:t>
      </w:r>
      <w:r>
        <w:rPr>
          <w:rFonts w:hint="eastAsia"/>
          <w:color w:val="auto"/>
          <w:sz w:val="18"/>
          <w:szCs w:val="18"/>
          <w:highlight w:val="none"/>
          <w:lang w:val="en-US" w:eastAsia="zh-CN"/>
        </w:rPr>
        <w:t xml:space="preserve"> </w:t>
      </w:r>
      <w:r>
        <w:rPr>
          <w:rFonts w:ascii="Times New Roman" w:hAnsi="Times New Roman" w:eastAsia="宋体"/>
          <w:color w:val="auto"/>
          <w:sz w:val="18"/>
          <w:szCs w:val="18"/>
          <w:highlight w:val="none"/>
        </w:rPr>
        <w:t>结构面浸水时取较低值；</w:t>
      </w:r>
    </w:p>
    <w:p>
      <w:pPr>
        <w:ind w:left="357" w:leftChars="170"/>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 xml:space="preserve">4 </w:t>
      </w:r>
      <w:r>
        <w:rPr>
          <w:rFonts w:hint="eastAsia"/>
          <w:color w:val="auto"/>
          <w:sz w:val="18"/>
          <w:szCs w:val="18"/>
          <w:highlight w:val="none"/>
          <w:lang w:val="en-US" w:eastAsia="zh-CN"/>
        </w:rPr>
        <w:t xml:space="preserve"> </w:t>
      </w:r>
      <w:r>
        <w:rPr>
          <w:rFonts w:ascii="Times New Roman" w:hAnsi="Times New Roman" w:eastAsia="宋体"/>
          <w:color w:val="auto"/>
          <w:sz w:val="18"/>
          <w:szCs w:val="18"/>
          <w:highlight w:val="none"/>
        </w:rPr>
        <w:t>临时性边坡可取高值；</w:t>
      </w:r>
    </w:p>
    <w:p>
      <w:pPr>
        <w:ind w:left="357" w:leftChars="170"/>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5</w:t>
      </w:r>
      <w:r>
        <w:rPr>
          <w:rFonts w:hint="eastAsia"/>
          <w:color w:val="auto"/>
          <w:sz w:val="18"/>
          <w:szCs w:val="18"/>
          <w:highlight w:val="none"/>
          <w:lang w:val="en-US" w:eastAsia="zh-CN"/>
        </w:rPr>
        <w:t xml:space="preserve"> </w:t>
      </w:r>
      <w:r>
        <w:rPr>
          <w:rFonts w:ascii="Times New Roman" w:hAnsi="Times New Roman" w:eastAsia="宋体"/>
          <w:color w:val="auto"/>
          <w:sz w:val="18"/>
          <w:szCs w:val="18"/>
          <w:highlight w:val="none"/>
        </w:rPr>
        <w:t xml:space="preserve"> 本表参数已考虑结构面的时间效应；</w:t>
      </w:r>
    </w:p>
    <w:p>
      <w:pPr>
        <w:ind w:left="648" w:leftChars="180" w:hanging="270" w:hangingChars="150"/>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 xml:space="preserve">6 </w:t>
      </w:r>
      <w:r>
        <w:rPr>
          <w:rFonts w:hint="eastAsia"/>
          <w:color w:val="auto"/>
          <w:sz w:val="18"/>
          <w:szCs w:val="18"/>
          <w:highlight w:val="none"/>
          <w:lang w:val="en-US" w:eastAsia="zh-CN"/>
        </w:rPr>
        <w:t xml:space="preserve"> </w:t>
      </w:r>
      <w:r>
        <w:rPr>
          <w:rFonts w:ascii="Times New Roman" w:hAnsi="Times New Roman" w:eastAsia="宋体"/>
          <w:color w:val="auto"/>
          <w:sz w:val="18"/>
          <w:szCs w:val="18"/>
          <w:highlight w:val="none"/>
        </w:rPr>
        <w:t>未考虑结构面参数在施工期和运行期受其他因素影响发生的变化，当判定为不利因素时应适当折减。</w:t>
      </w:r>
    </w:p>
    <w:p>
      <w:pPr>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表</w:t>
      </w:r>
      <w:r>
        <w:rPr>
          <w:rFonts w:hint="eastAsia" w:ascii="Times New Roman" w:hAnsi="Times New Roman" w:eastAsia="宋体"/>
          <w:color w:val="auto"/>
          <w:szCs w:val="21"/>
          <w:highlight w:val="none"/>
          <w:lang w:val="en-US" w:eastAsia="zh-CN"/>
        </w:rPr>
        <w:t>5-8</w:t>
      </w:r>
      <w:r>
        <w:rPr>
          <w:rFonts w:ascii="Times New Roman" w:hAnsi="Times New Roman" w:eastAsia="宋体"/>
          <w:color w:val="auto"/>
          <w:szCs w:val="21"/>
          <w:highlight w:val="none"/>
        </w:rPr>
        <w:t>主要参照《水利水电工程地质勘察规范》GB 50487-2008表E.0.5，将其摩擦系数转化为了角度，并结合《建筑边坡工程技术规范》GB 50330-2013表4.3.1及《公路路基设计规范》JTG D30-2015表3.7.3-1作了小幅调整。其中，泥夹岩屑型的抗剪断摩擦角调整为同《建筑边坡工程技术规范》和《公路路基设计规范》一致；表后的注释也进行了综合而更为全面。</w:t>
      </w:r>
    </w:p>
    <w:p>
      <w:pPr>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采用《水利水电工程地质勘察规范》GB 50487-2008表E.0.5的原因是，其结构面划分方式较为明确，技术人员相对容易统一判断的标准；而《建筑边坡工程技术规范》和《公路路基设计规范》的结合好、一般、差、很差、极差，描述比较含糊，技术人员在定性上容易产生分歧。</w:t>
      </w:r>
    </w:p>
    <w:p>
      <w:pPr>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当试验资料不足时，围岩岩体结构面抗剪断峰值强度的建议值可按表</w:t>
      </w:r>
      <w:r>
        <w:rPr>
          <w:rFonts w:hint="eastAsia" w:ascii="Times New Roman" w:hAnsi="Times New Roman" w:eastAsia="宋体"/>
          <w:color w:val="auto"/>
          <w:szCs w:val="21"/>
          <w:highlight w:val="none"/>
          <w:lang w:val="en-US" w:eastAsia="zh-CN"/>
        </w:rPr>
        <w:t>5-9</w:t>
      </w:r>
      <w:r>
        <w:rPr>
          <w:rFonts w:ascii="Times New Roman" w:hAnsi="Times New Roman" w:eastAsia="宋体"/>
          <w:color w:val="auto"/>
          <w:szCs w:val="21"/>
          <w:highlight w:val="none"/>
        </w:rPr>
        <w:t>选用。</w:t>
      </w:r>
    </w:p>
    <w:p>
      <w:pPr>
        <w:spacing w:line="360" w:lineRule="auto"/>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5-9</w:t>
      </w:r>
      <w:r>
        <w:rPr>
          <w:rFonts w:ascii="Times New Roman" w:hAnsi="Times New Roman" w:eastAsia="宋体"/>
          <w:b/>
          <w:bCs/>
          <w:color w:val="auto"/>
          <w:szCs w:val="21"/>
          <w:highlight w:val="none"/>
        </w:rPr>
        <w:t xml:space="preserve"> 围岩岩体结构面抗剪断峰值强度的经验值</w:t>
      </w:r>
    </w:p>
    <w:tbl>
      <w:tblPr>
        <w:tblStyle w:val="22"/>
        <w:tblW w:w="81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299"/>
        <w:gridCol w:w="1980"/>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Borders>
              <w:top w:val="single" w:color="auto" w:sz="12" w:space="0"/>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序号</w:t>
            </w:r>
          </w:p>
        </w:tc>
        <w:tc>
          <w:tcPr>
            <w:tcW w:w="3299" w:type="dxa"/>
            <w:tcBorders>
              <w:top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岩体坚硬程度及结构面结合程度</w:t>
            </w:r>
          </w:p>
        </w:tc>
        <w:tc>
          <w:tcPr>
            <w:tcW w:w="1980" w:type="dxa"/>
            <w:tcBorders>
              <w:top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粘聚力C(MPa)</w:t>
            </w:r>
          </w:p>
        </w:tc>
        <w:tc>
          <w:tcPr>
            <w:tcW w:w="1837" w:type="dxa"/>
            <w:tcBorders>
              <w:top w:val="single" w:color="auto" w:sz="12"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内摩擦角Φ(°）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w:t>
            </w:r>
          </w:p>
        </w:tc>
        <w:tc>
          <w:tcPr>
            <w:tcW w:w="3299" w:type="dxa"/>
            <w:vAlign w:val="center"/>
          </w:tcPr>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坚硬岩，结合好</w:t>
            </w:r>
          </w:p>
        </w:tc>
        <w:tc>
          <w:tcPr>
            <w:tcW w:w="1980"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&gt;0.22</w:t>
            </w:r>
          </w:p>
        </w:tc>
        <w:tc>
          <w:tcPr>
            <w:tcW w:w="1837"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&gt;37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988" w:type="dxa"/>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w:t>
            </w:r>
          </w:p>
        </w:tc>
        <w:tc>
          <w:tcPr>
            <w:tcW w:w="3299" w:type="dxa"/>
            <w:vAlign w:val="center"/>
          </w:tcPr>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坚硬~较坚硬岩，结合一般；</w:t>
            </w:r>
          </w:p>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较软岩，结合好</w:t>
            </w:r>
          </w:p>
        </w:tc>
        <w:tc>
          <w:tcPr>
            <w:tcW w:w="1980"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0.12~0.22</w:t>
            </w:r>
          </w:p>
        </w:tc>
        <w:tc>
          <w:tcPr>
            <w:tcW w:w="1837"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w:t>
            </w:r>
          </w:p>
        </w:tc>
        <w:tc>
          <w:tcPr>
            <w:tcW w:w="3299" w:type="dxa"/>
            <w:vAlign w:val="center"/>
          </w:tcPr>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坚硬~较坚硬岩，结合差；</w:t>
            </w:r>
          </w:p>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较软岩~软岩，结合一般</w:t>
            </w:r>
          </w:p>
        </w:tc>
        <w:tc>
          <w:tcPr>
            <w:tcW w:w="1980"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0.08~0.12</w:t>
            </w:r>
          </w:p>
        </w:tc>
        <w:tc>
          <w:tcPr>
            <w:tcW w:w="1837"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w:t>
            </w:r>
          </w:p>
        </w:tc>
        <w:tc>
          <w:tcPr>
            <w:tcW w:w="3299" w:type="dxa"/>
            <w:vAlign w:val="center"/>
          </w:tcPr>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较坚硬~较软岩，结合差~结合很差；</w:t>
            </w:r>
          </w:p>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软岩，结合差；</w:t>
            </w:r>
          </w:p>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软质岩的泥化面</w:t>
            </w:r>
          </w:p>
        </w:tc>
        <w:tc>
          <w:tcPr>
            <w:tcW w:w="1980"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0.05~0.08</w:t>
            </w:r>
          </w:p>
        </w:tc>
        <w:tc>
          <w:tcPr>
            <w:tcW w:w="1837"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Borders>
              <w:left w:val="single" w:color="auto" w:sz="12" w:space="0"/>
              <w:bottom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w:t>
            </w:r>
          </w:p>
        </w:tc>
        <w:tc>
          <w:tcPr>
            <w:tcW w:w="3299" w:type="dxa"/>
            <w:tcBorders>
              <w:bottom w:val="single" w:color="auto" w:sz="12" w:space="0"/>
            </w:tcBorders>
            <w:vAlign w:val="center"/>
          </w:tcPr>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较坚硬岩~软岩，结合很差；</w:t>
            </w:r>
          </w:p>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软岩泥化层本身</w:t>
            </w:r>
          </w:p>
        </w:tc>
        <w:tc>
          <w:tcPr>
            <w:tcW w:w="1980" w:type="dxa"/>
            <w:tcBorders>
              <w:bottom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&lt;0.05</w:t>
            </w:r>
          </w:p>
        </w:tc>
        <w:tc>
          <w:tcPr>
            <w:tcW w:w="1837" w:type="dxa"/>
            <w:tcBorders>
              <w:bottom w:val="single" w:color="auto" w:sz="12"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&lt;13</w:t>
            </w:r>
          </w:p>
        </w:tc>
      </w:tr>
    </w:tbl>
    <w:p>
      <w:pPr>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表</w:t>
      </w:r>
      <w:r>
        <w:rPr>
          <w:rFonts w:hint="eastAsia" w:ascii="Times New Roman" w:hAnsi="Times New Roman" w:eastAsia="宋体"/>
          <w:color w:val="auto"/>
          <w:szCs w:val="21"/>
          <w:highlight w:val="none"/>
          <w:lang w:val="en-US" w:eastAsia="zh-CN"/>
        </w:rPr>
        <w:t>5-9</w:t>
      </w:r>
      <w:r>
        <w:rPr>
          <w:rFonts w:ascii="Times New Roman" w:hAnsi="Times New Roman" w:eastAsia="宋体"/>
          <w:color w:val="auto"/>
          <w:szCs w:val="21"/>
          <w:highlight w:val="none"/>
        </w:rPr>
        <w:t>引用自《公路隧道设计规范》</w:t>
      </w:r>
      <w:bookmarkStart w:id="357" w:name="_Hlk53580997"/>
      <w:r>
        <w:rPr>
          <w:rFonts w:ascii="Times New Roman" w:hAnsi="Times New Roman" w:eastAsia="宋体"/>
          <w:color w:val="auto"/>
          <w:szCs w:val="21"/>
          <w:highlight w:val="none"/>
        </w:rPr>
        <w:t>JTG 3370.1-2018</w:t>
      </w:r>
      <w:bookmarkEnd w:id="357"/>
      <w:r>
        <w:rPr>
          <w:rFonts w:ascii="Times New Roman" w:hAnsi="Times New Roman" w:eastAsia="宋体"/>
          <w:color w:val="auto"/>
          <w:szCs w:val="21"/>
          <w:highlight w:val="none"/>
        </w:rPr>
        <w:t>表A.0.7-2。可以看到，对于结合好的岩体结构面，其参数比其它基本规范略高；而对结合差的结构面则相对略低，这或许与山岭隧道围岩应力水平高有一定关系。</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br w:type="page"/>
      </w:r>
    </w:p>
    <w:p>
      <w:pPr>
        <w:rPr>
          <w:rFonts w:ascii="Times New Roman" w:hAnsi="Times New Roman" w:eastAsia="宋体"/>
          <w:color w:val="auto"/>
          <w:sz w:val="10"/>
          <w:szCs w:val="10"/>
          <w:highlight w:val="none"/>
        </w:rPr>
      </w:pPr>
    </w:p>
    <w:p>
      <w:pPr>
        <w:pStyle w:val="2"/>
        <w:rPr>
          <w:rFonts w:ascii="Times New Roman" w:hAnsi="Times New Roman" w:eastAsia="宋体"/>
          <w:color w:val="auto"/>
          <w:highlight w:val="none"/>
        </w:rPr>
      </w:pPr>
      <w:bookmarkStart w:id="358" w:name="_Toc18278"/>
      <w:bookmarkStart w:id="359" w:name="_Toc22976"/>
      <w:bookmarkStart w:id="360" w:name="_Toc76998268"/>
      <w:r>
        <w:rPr>
          <w:rFonts w:ascii="Times New Roman" w:hAnsi="Times New Roman" w:eastAsia="宋体"/>
          <w:color w:val="auto"/>
          <w:highlight w:val="none"/>
        </w:rPr>
        <w:t>6</w:t>
      </w:r>
      <w:r>
        <w:rPr>
          <w:rFonts w:hint="eastAsia" w:ascii="Times New Roman" w:hAnsi="Times New Roman" w:eastAsia="宋体"/>
          <w:color w:val="auto"/>
          <w:highlight w:val="none"/>
        </w:rPr>
        <w:t xml:space="preserve">  </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桥涵工程</w:t>
      </w:r>
      <w:bookmarkEnd w:id="358"/>
      <w:bookmarkEnd w:id="359"/>
      <w:bookmarkEnd w:id="360"/>
    </w:p>
    <w:p>
      <w:pPr>
        <w:pStyle w:val="3"/>
        <w:jc w:val="center"/>
        <w:rPr>
          <w:rFonts w:ascii="Times New Roman" w:hAnsi="Times New Roman" w:eastAsia="宋体" w:cs="Times New Roman"/>
          <w:color w:val="auto"/>
          <w:sz w:val="24"/>
          <w:highlight w:val="none"/>
        </w:rPr>
      </w:pPr>
      <w:bookmarkStart w:id="361" w:name="_Toc1780"/>
      <w:bookmarkStart w:id="362" w:name="_Toc31784"/>
      <w:bookmarkStart w:id="363" w:name="_Toc76998269"/>
      <w:r>
        <w:rPr>
          <w:rFonts w:ascii="Times New Roman" w:hAnsi="Times New Roman" w:eastAsia="宋体" w:cs="Times New Roman"/>
          <w:color w:val="auto"/>
          <w:sz w:val="24"/>
          <w:highlight w:val="none"/>
        </w:rPr>
        <w:t xml:space="preserve">6.1 </w:t>
      </w:r>
      <w:r>
        <w:rPr>
          <w:rFonts w:hint="eastAsia" w:ascii="Times New Roman" w:hAnsi="Times New Roman" w:eastAsia="宋体" w:cs="Times New Roman"/>
          <w:color w:val="auto"/>
          <w:sz w:val="24"/>
          <w:highlight w:val="none"/>
          <w:lang w:val="en-US" w:eastAsia="zh-CN"/>
        </w:rPr>
        <w:t xml:space="preserve"> </w:t>
      </w:r>
      <w:r>
        <w:rPr>
          <w:rFonts w:ascii="Times New Roman" w:hAnsi="Times New Roman" w:eastAsia="宋体" w:cs="Times New Roman"/>
          <w:color w:val="auto"/>
          <w:sz w:val="24"/>
          <w:highlight w:val="none"/>
        </w:rPr>
        <w:t>一般规定</w:t>
      </w:r>
      <w:bookmarkEnd w:id="361"/>
      <w:bookmarkEnd w:id="362"/>
      <w:bookmarkEnd w:id="363"/>
      <w:r>
        <w:rPr>
          <w:rFonts w:ascii="Times New Roman" w:hAnsi="Times New Roman" w:eastAsia="宋体" w:cs="Times New Roman"/>
          <w:color w:val="auto"/>
          <w:sz w:val="24"/>
          <w:highlight w:val="none"/>
        </w:rPr>
        <w:tab/>
      </w:r>
    </w:p>
    <w:p>
      <w:pPr>
        <w:autoSpaceDE w:val="0"/>
        <w:autoSpaceDN w:val="0"/>
        <w:adjustRightInd w:val="0"/>
        <w:spacing w:line="360" w:lineRule="auto"/>
        <w:jc w:val="left"/>
        <w:rPr>
          <w:rFonts w:hint="eastAsia" w:ascii="Times New Roman" w:hAnsi="Times New Roman" w:eastAsia="宋体"/>
          <w:b w:val="0"/>
          <w:bCs w:val="0"/>
          <w:color w:val="auto"/>
          <w:highlight w:val="none"/>
          <w:lang w:val="en-US" w:eastAsia="zh-CN"/>
        </w:rPr>
      </w:pPr>
      <w:r>
        <w:rPr>
          <w:rFonts w:hint="eastAsia" w:ascii="Times New Roman" w:hAnsi="Times New Roman" w:eastAsia="宋体"/>
          <w:b/>
          <w:bCs/>
          <w:color w:val="auto"/>
          <w:highlight w:val="none"/>
          <w:lang w:val="en-US" w:eastAsia="zh-CN"/>
        </w:rPr>
        <w:t xml:space="preserve">6.1.1 </w:t>
      </w:r>
      <w:r>
        <w:rPr>
          <w:rFonts w:hint="eastAsia"/>
          <w:b/>
          <w:bCs/>
          <w:color w:val="auto"/>
          <w:highlight w:val="none"/>
          <w:lang w:val="en-US" w:eastAsia="zh-CN"/>
        </w:rPr>
        <w:t xml:space="preserve"> </w:t>
      </w:r>
      <w:r>
        <w:rPr>
          <w:rFonts w:ascii="Times New Roman" w:hAnsi="Times New Roman" w:eastAsia="宋体"/>
          <w:color w:val="auto"/>
          <w:highlight w:val="none"/>
        </w:rPr>
        <w:t>行业标准《市政工程勘察规范》CJJ 56-2012</w:t>
      </w:r>
      <w:r>
        <w:rPr>
          <w:rFonts w:hint="eastAsia" w:ascii="Times New Roman" w:hAnsi="Times New Roman" w:eastAsia="宋体"/>
          <w:b w:val="0"/>
          <w:bCs w:val="0"/>
          <w:color w:val="auto"/>
          <w:highlight w:val="none"/>
          <w:lang w:val="en-US" w:eastAsia="zh-CN"/>
        </w:rPr>
        <w:t>中，将“城市地下通道”也纳入了桥涵工程是不恰当的。桥涵的概念来自于铁路、公路的相关规范，其中涵洞是指跨径小于5m的桥，虽然包含地下基础，但其主体还是属于地面上的结构物。</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default" w:ascii="Times New Roman" w:hAnsi="Times New Roman" w:eastAsia="宋体"/>
          <w:b w:val="0"/>
          <w:bCs w:val="0"/>
          <w:color w:val="auto"/>
          <w:highlight w:val="none"/>
          <w:lang w:val="en-US" w:eastAsia="zh-CN"/>
        </w:rPr>
      </w:pPr>
      <w:r>
        <w:rPr>
          <w:rFonts w:hint="eastAsia" w:ascii="Times New Roman" w:hAnsi="Times New Roman" w:eastAsia="宋体"/>
          <w:b w:val="0"/>
          <w:bCs w:val="0"/>
          <w:color w:val="auto"/>
          <w:highlight w:val="none"/>
          <w:lang w:val="en-US" w:eastAsia="zh-CN"/>
        </w:rPr>
        <w:t>高填方段的部分“城市地下通道”，只是相对于所在道路是“地下”，而实质是从现地面向上做结构，那么就是涵洞；而一般的“城市地下通道”，均是在地面以下施作，无论明挖、暗挖，本质上就是隧道。因此，此处将“城市地下通道”删去，属涵洞的本条已涵盖，属隧道的按第7章的规定执行。</w:t>
      </w:r>
    </w:p>
    <w:p>
      <w:pPr>
        <w:autoSpaceDE w:val="0"/>
        <w:autoSpaceDN w:val="0"/>
        <w:adjustRightInd w:val="0"/>
        <w:spacing w:line="360" w:lineRule="auto"/>
        <w:jc w:val="left"/>
        <w:rPr>
          <w:rFonts w:ascii="Times New Roman" w:hAnsi="Times New Roman" w:eastAsia="宋体"/>
          <w:color w:val="auto"/>
          <w:highlight w:val="none"/>
        </w:rPr>
      </w:pPr>
      <w:r>
        <w:rPr>
          <w:rFonts w:ascii="Times New Roman" w:hAnsi="Times New Roman" w:eastAsia="宋体"/>
          <w:b/>
          <w:bCs/>
          <w:color w:val="auto"/>
          <w:highlight w:val="none"/>
        </w:rPr>
        <w:t xml:space="preserve">6.1.2 </w:t>
      </w:r>
      <w:r>
        <w:rPr>
          <w:rFonts w:hint="eastAsia"/>
          <w:b/>
          <w:bCs/>
          <w:color w:val="auto"/>
          <w:highlight w:val="none"/>
          <w:lang w:val="en-US" w:eastAsia="zh-CN"/>
        </w:rPr>
        <w:t xml:space="preserve"> </w:t>
      </w:r>
      <w:r>
        <w:rPr>
          <w:rFonts w:ascii="Times New Roman" w:hAnsi="Times New Roman" w:eastAsia="宋体"/>
          <w:color w:val="auto"/>
          <w:highlight w:val="none"/>
        </w:rPr>
        <w:t>本条与行业标准《市政工程勘察规范》CJJ 56-2012基本一致。</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桥梁工程可能受周边条件制约，在确定桩长时，不仅要考虑单桩容许承载力、桩端以下持力层厚度，还要考虑其对既有地下建构筑物的影响及相关部门的要求。例如邻近地铁的桥桩，往往地铁管理部门要求临近桥涵的桩端位于地铁底板以下一定深度。勘察时，需要先期掌握这方面的限制条件，以有针对性地确定孔深控制要求。</w:t>
      </w:r>
    </w:p>
    <w:p>
      <w:pPr>
        <w:autoSpaceDE w:val="0"/>
        <w:autoSpaceDN w:val="0"/>
        <w:adjustRightInd w:val="0"/>
        <w:spacing w:line="360" w:lineRule="auto"/>
        <w:jc w:val="left"/>
        <w:rPr>
          <w:rFonts w:ascii="Times New Roman" w:hAnsi="Times New Roman" w:eastAsia="宋体"/>
          <w:color w:val="auto"/>
          <w:highlight w:val="none"/>
        </w:rPr>
      </w:pPr>
      <w:r>
        <w:rPr>
          <w:rFonts w:ascii="Times New Roman" w:hAnsi="Times New Roman" w:eastAsia="宋体"/>
          <w:b/>
          <w:bCs/>
          <w:color w:val="auto"/>
          <w:highlight w:val="none"/>
        </w:rPr>
        <w:t>6.1.</w:t>
      </w:r>
      <w:r>
        <w:rPr>
          <w:rFonts w:hint="eastAsia" w:ascii="Times New Roman" w:hAnsi="Times New Roman" w:eastAsia="宋体"/>
          <w:b/>
          <w:bCs/>
          <w:color w:val="auto"/>
          <w:highlight w:val="none"/>
          <w:lang w:val="en-US" w:eastAsia="zh-CN"/>
        </w:rPr>
        <w:t>2</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ascii="Times New Roman" w:hAnsi="Times New Roman" w:eastAsia="宋体"/>
          <w:color w:val="auto"/>
          <w:highlight w:val="none"/>
        </w:rPr>
        <w:t>本条与行业标准《市政工程勘察规范》CJJ 56-2012基本一致，其中第2点略有修改。一方面，把</w:t>
      </w:r>
      <w:r>
        <w:rPr>
          <w:rFonts w:hint="eastAsia" w:ascii="宋体" w:hAnsi="宋体" w:eastAsia="宋体" w:cs="宋体"/>
          <w:color w:val="auto"/>
          <w:highlight w:val="none"/>
        </w:rPr>
        <w:t>“河流”改为了“水域”</w:t>
      </w:r>
      <w:r>
        <w:rPr>
          <w:rFonts w:ascii="Times New Roman" w:hAnsi="Times New Roman" w:eastAsia="宋体"/>
          <w:color w:val="auto"/>
          <w:highlight w:val="none"/>
        </w:rPr>
        <w:t>，因为有些</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桥梁实际上跨越的水体并非只有河流，还有跨越湖泊或海域等；另一方面，在搜集水文资料基础上，勘察期间还应对水文变化进行必要的观测，如：</w:t>
      </w:r>
      <w:r>
        <w:rPr>
          <w:rFonts w:ascii="Times New Roman" w:hAnsi="Times New Roman" w:eastAsia="宋体"/>
          <w:color w:val="auto"/>
          <w:kern w:val="0"/>
          <w:highlight w:val="none"/>
        </w:rPr>
        <w:t>跨水域段水下地形的起伏形态，河流冲刷和淤积情况及河床的稳定性</w:t>
      </w:r>
      <w:r>
        <w:rPr>
          <w:rFonts w:hint="eastAsia" w:ascii="Times New Roman" w:hAnsi="Times New Roman" w:eastAsia="宋体"/>
          <w:color w:val="auto"/>
          <w:kern w:val="0"/>
          <w:highlight w:val="none"/>
          <w:lang w:eastAsia="zh-CN"/>
        </w:rPr>
        <w:t>，</w:t>
      </w:r>
      <w:r>
        <w:rPr>
          <w:rFonts w:ascii="Times New Roman" w:hAnsi="Times New Roman" w:eastAsia="宋体"/>
          <w:color w:val="auto"/>
          <w:highlight w:val="none"/>
        </w:rPr>
        <w:t>水深、流速、潮差等。</w:t>
      </w:r>
    </w:p>
    <w:p>
      <w:pPr>
        <w:autoSpaceDE w:val="0"/>
        <w:autoSpaceDN w:val="0"/>
        <w:adjustRightInd w:val="0"/>
        <w:spacing w:line="360" w:lineRule="auto"/>
        <w:jc w:val="left"/>
        <w:rPr>
          <w:rFonts w:hint="eastAsia" w:ascii="宋体" w:hAnsi="宋体" w:eastAsia="宋体" w:cs="宋体"/>
          <w:color w:val="auto"/>
          <w:highlight w:val="none"/>
        </w:rPr>
      </w:pPr>
      <w:r>
        <w:rPr>
          <w:rFonts w:ascii="Times New Roman" w:hAnsi="Times New Roman" w:eastAsia="宋体"/>
          <w:b/>
          <w:bCs/>
          <w:color w:val="auto"/>
          <w:highlight w:val="none"/>
        </w:rPr>
        <w:t>6.1.</w:t>
      </w:r>
      <w:r>
        <w:rPr>
          <w:rFonts w:hint="eastAsia" w:ascii="Times New Roman" w:hAnsi="Times New Roman" w:eastAsia="宋体"/>
          <w:b/>
          <w:bCs/>
          <w:color w:val="auto"/>
          <w:highlight w:val="none"/>
          <w:lang w:val="en-US" w:eastAsia="zh-CN"/>
        </w:rPr>
        <w:t>3</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hint="eastAsia" w:ascii="宋体" w:hAnsi="宋体" w:eastAsia="宋体" w:cs="宋体"/>
          <w:color w:val="auto"/>
          <w:highlight w:val="none"/>
        </w:rPr>
        <w:t>勘探点布置要综合考虑</w:t>
      </w:r>
      <w:r>
        <w:rPr>
          <w:rFonts w:ascii="Times New Roman" w:hAnsi="Times New Roman" w:eastAsia="宋体"/>
          <w:color w:val="auto"/>
          <w:highlight w:val="none"/>
        </w:rPr>
        <w:t>上部荷载、桥型桥跨、基础类型及地质条件</w:t>
      </w:r>
      <w:r>
        <w:rPr>
          <w:rFonts w:hint="eastAsia" w:ascii="Times New Roman" w:hAnsi="Times New Roman" w:eastAsia="宋体"/>
          <w:color w:val="auto"/>
          <w:highlight w:val="none"/>
          <w:lang w:val="en-US" w:eastAsia="zh-CN"/>
        </w:rPr>
        <w:t>等</w:t>
      </w:r>
      <w:r>
        <w:rPr>
          <w:rFonts w:hint="eastAsia" w:ascii="宋体" w:hAnsi="宋体" w:eastAsia="宋体" w:cs="宋体"/>
          <w:color w:val="auto"/>
          <w:highlight w:val="none"/>
        </w:rPr>
        <w:t>因素。对于上部荷载特别大的，一般要重点勘察；跨径大的比之跨径小的，也应更加重视；桩基础和浅基础的布孔原则也有区别；地质条件也是必须要考虑的因素。</w:t>
      </w:r>
    </w:p>
    <w:p>
      <w:pPr>
        <w:autoSpaceDE w:val="0"/>
        <w:autoSpaceDN w:val="0"/>
        <w:adjustRightInd w:val="0"/>
        <w:spacing w:line="360" w:lineRule="auto"/>
        <w:jc w:val="left"/>
        <w:rPr>
          <w:rFonts w:hint="default" w:ascii="宋体" w:hAnsi="宋体" w:eastAsia="宋体" w:cs="宋体"/>
          <w:color w:val="auto"/>
          <w:highlight w:val="none"/>
          <w:lang w:val="en-US" w:eastAsia="zh-CN"/>
        </w:rPr>
      </w:pPr>
      <w:r>
        <w:rPr>
          <w:rFonts w:hint="eastAsia" w:ascii="Times New Roman" w:hAnsi="Times New Roman" w:eastAsia="宋体"/>
          <w:b/>
          <w:bCs/>
          <w:color w:val="auto"/>
          <w:highlight w:val="none"/>
          <w:lang w:val="en-US" w:eastAsia="zh-CN"/>
        </w:rPr>
        <w:t>6.1.4</w:t>
      </w:r>
      <w:r>
        <w:rPr>
          <w:rFonts w:hint="eastAsia" w:ascii="宋体" w:hAnsi="宋体" w:eastAsia="宋体" w:cs="宋体"/>
          <w:color w:val="auto"/>
          <w:highlight w:val="none"/>
          <w:lang w:val="en-US" w:eastAsia="zh-CN"/>
        </w:rPr>
        <w:t xml:space="preserve"> </w:t>
      </w:r>
      <w:r>
        <w:rPr>
          <w:rFonts w:hint="eastAsia" w:ascii="宋体" w:hAnsi="宋体" w:cs="宋体"/>
          <w:color w:val="auto"/>
          <w:highlight w:val="none"/>
          <w:lang w:val="en-US" w:eastAsia="zh-CN"/>
        </w:rPr>
        <w:t xml:space="preserve"> </w:t>
      </w:r>
      <w:r>
        <w:rPr>
          <w:rFonts w:hint="eastAsia" w:ascii="Times New Roman" w:hAnsi="Times New Roman" w:eastAsia="宋体"/>
          <w:color w:val="auto"/>
          <w:highlight w:val="none"/>
          <w:lang w:val="en-US" w:eastAsia="zh-CN"/>
        </w:rPr>
        <w:t>主要土层取样组数可适当增加，以控制指标的离散性</w:t>
      </w:r>
      <w:r>
        <w:rPr>
          <w:rFonts w:ascii="Times New Roman" w:hAnsi="Times New Roman" w:eastAsia="宋体"/>
          <w:color w:val="auto"/>
          <w:highlight w:val="none"/>
        </w:rPr>
        <w:t>。</w:t>
      </w:r>
    </w:p>
    <w:p>
      <w:pPr>
        <w:autoSpaceDE w:val="0"/>
        <w:autoSpaceDN w:val="0"/>
        <w:adjustRightInd w:val="0"/>
        <w:spacing w:line="360" w:lineRule="auto"/>
        <w:jc w:val="left"/>
        <w:rPr>
          <w:rFonts w:hint="default" w:ascii="宋体" w:hAnsi="宋体" w:eastAsia="宋体" w:cs="宋体"/>
          <w:color w:val="auto"/>
          <w:highlight w:val="none"/>
          <w:lang w:val="en-US" w:eastAsia="zh-CN"/>
        </w:rPr>
      </w:pPr>
      <w:r>
        <w:rPr>
          <w:rFonts w:hint="eastAsia" w:ascii="Times New Roman" w:hAnsi="Times New Roman" w:eastAsia="宋体"/>
          <w:b/>
          <w:bCs/>
          <w:color w:val="auto"/>
          <w:highlight w:val="none"/>
          <w:lang w:val="en-US" w:eastAsia="zh-CN"/>
        </w:rPr>
        <w:t>6.1.5</w:t>
      </w:r>
      <w:r>
        <w:rPr>
          <w:rFonts w:hint="eastAsia"/>
          <w:b/>
          <w:bCs/>
          <w:color w:val="auto"/>
          <w:highlight w:val="none"/>
          <w:lang w:val="en-US" w:eastAsia="zh-CN"/>
        </w:rPr>
        <w:t xml:space="preserve"> </w:t>
      </w:r>
      <w:r>
        <w:rPr>
          <w:rFonts w:hint="eastAsia" w:ascii="宋体" w:hAnsi="宋体" w:eastAsia="宋体" w:cs="宋体"/>
          <w:color w:val="auto"/>
          <w:highlight w:val="none"/>
          <w:lang w:val="en-US" w:eastAsia="zh-CN"/>
        </w:rPr>
        <w:t xml:space="preserve"> 岩溶发育区嵌岩桩钻</w:t>
      </w:r>
      <w:r>
        <w:rPr>
          <w:rFonts w:hint="eastAsia" w:ascii="Times New Roman" w:hAnsi="Times New Roman" w:eastAsia="宋体"/>
          <w:color w:val="auto"/>
          <w:highlight w:val="none"/>
          <w:lang w:val="en-US" w:eastAsia="zh-CN"/>
        </w:rPr>
        <w:t>孔一般宜按“一桩一孔一管波”控制；直径2m及以上的，则宜采取“一桩双孔双管波”控制</w:t>
      </w:r>
      <w:r>
        <w:rPr>
          <w:rFonts w:ascii="Times New Roman" w:hAnsi="Times New Roman" w:eastAsia="宋体"/>
          <w:color w:val="auto"/>
          <w:highlight w:val="none"/>
        </w:rPr>
        <w:t>。</w:t>
      </w:r>
    </w:p>
    <w:p>
      <w:pPr>
        <w:pStyle w:val="3"/>
        <w:jc w:val="center"/>
        <w:rPr>
          <w:rFonts w:ascii="Times New Roman" w:hAnsi="Times New Roman" w:eastAsia="宋体" w:cs="Times New Roman"/>
          <w:color w:val="auto"/>
          <w:sz w:val="24"/>
          <w:highlight w:val="none"/>
        </w:rPr>
      </w:pPr>
      <w:bookmarkStart w:id="364" w:name="_Toc18052"/>
      <w:bookmarkStart w:id="365" w:name="_Toc76998271"/>
      <w:bookmarkStart w:id="366" w:name="_Toc5777"/>
      <w:r>
        <w:rPr>
          <w:rFonts w:ascii="Times New Roman" w:hAnsi="Times New Roman" w:eastAsia="宋体" w:cs="Times New Roman"/>
          <w:color w:val="auto"/>
          <w:sz w:val="24"/>
          <w:highlight w:val="none"/>
        </w:rPr>
        <w:t xml:space="preserve">6.3 </w:t>
      </w:r>
      <w:r>
        <w:rPr>
          <w:rFonts w:hint="eastAsia" w:ascii="Times New Roman" w:hAnsi="Times New Roman" w:eastAsia="宋体" w:cs="Times New Roman"/>
          <w:color w:val="auto"/>
          <w:sz w:val="24"/>
          <w:highlight w:val="none"/>
          <w:lang w:val="en-US" w:eastAsia="zh-CN"/>
        </w:rPr>
        <w:t xml:space="preserve"> </w:t>
      </w:r>
      <w:r>
        <w:rPr>
          <w:rFonts w:ascii="Times New Roman" w:hAnsi="Times New Roman" w:eastAsia="宋体" w:cs="Times New Roman"/>
          <w:color w:val="auto"/>
          <w:sz w:val="24"/>
          <w:highlight w:val="none"/>
        </w:rPr>
        <w:t>初步勘察</w:t>
      </w:r>
      <w:bookmarkEnd w:id="364"/>
      <w:bookmarkEnd w:id="365"/>
      <w:bookmarkEnd w:id="366"/>
      <w:r>
        <w:rPr>
          <w:rFonts w:ascii="Times New Roman" w:hAnsi="Times New Roman" w:eastAsia="宋体" w:cs="Times New Roman"/>
          <w:color w:val="auto"/>
          <w:sz w:val="24"/>
          <w:highlight w:val="none"/>
        </w:rPr>
        <w:tab/>
      </w:r>
    </w:p>
    <w:p>
      <w:pPr>
        <w:autoSpaceDE w:val="0"/>
        <w:autoSpaceDN w:val="0"/>
        <w:adjustRightInd w:val="0"/>
        <w:spacing w:line="360" w:lineRule="auto"/>
        <w:jc w:val="left"/>
        <w:rPr>
          <w:rFonts w:ascii="Times New Roman" w:hAnsi="Times New Roman" w:eastAsia="宋体"/>
          <w:color w:val="auto"/>
          <w:highlight w:val="none"/>
        </w:rPr>
      </w:pPr>
      <w:r>
        <w:rPr>
          <w:rFonts w:ascii="Times New Roman" w:hAnsi="Times New Roman" w:eastAsia="宋体"/>
          <w:b/>
          <w:bCs/>
          <w:color w:val="auto"/>
          <w:highlight w:val="none"/>
        </w:rPr>
        <w:t xml:space="preserve">6.3.3 </w:t>
      </w:r>
      <w:r>
        <w:rPr>
          <w:rFonts w:hint="eastAsia"/>
          <w:b/>
          <w:bCs/>
          <w:color w:val="auto"/>
          <w:highlight w:val="none"/>
          <w:lang w:val="en-US" w:eastAsia="zh-CN"/>
        </w:rPr>
        <w:t xml:space="preserve"> </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桥涵工程多数采用灌注桩基础，但也可能采用预制桩基础、筏板基础、沉井基础等不同基础型式。初勘阶段若暂未确定基础型式，钻孔深度按可能的地基基础方案的最大深度要求考虑，从而满足设计人员对地基基础方案比选的需要；桥台位置或软土深厚地区要考虑地基的稳定性；基础以下有软弱夹层的，还</w:t>
      </w:r>
      <w:r>
        <w:rPr>
          <w:rFonts w:hint="eastAsia"/>
          <w:color w:val="auto"/>
          <w:highlight w:val="none"/>
          <w:lang w:val="en-US" w:eastAsia="zh-CN"/>
        </w:rPr>
        <w:t>需</w:t>
      </w:r>
      <w:r>
        <w:rPr>
          <w:rFonts w:ascii="Times New Roman" w:hAnsi="Times New Roman" w:eastAsia="宋体"/>
          <w:color w:val="auto"/>
          <w:highlight w:val="none"/>
        </w:rPr>
        <w:t>结合变形验算确定孔深。</w:t>
      </w:r>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桥涵工程初步勘察阶段的勘探孔</w:t>
      </w:r>
      <w:r>
        <w:rPr>
          <w:rFonts w:hint="eastAsia" w:ascii="Times New Roman" w:hAnsi="Times New Roman" w:eastAsia="宋体"/>
          <w:color w:val="auto"/>
          <w:highlight w:val="none"/>
          <w:lang w:val="en-US" w:eastAsia="zh-CN"/>
        </w:rPr>
        <w:t>均</w:t>
      </w:r>
      <w:r>
        <w:rPr>
          <w:rFonts w:hint="eastAsia"/>
          <w:color w:val="auto"/>
          <w:highlight w:val="none"/>
          <w:lang w:val="en-US" w:eastAsia="zh-CN"/>
        </w:rPr>
        <w:t>建议</w:t>
      </w:r>
      <w:r>
        <w:rPr>
          <w:rFonts w:hint="eastAsia" w:ascii="Times New Roman" w:hAnsi="Times New Roman" w:eastAsia="宋体"/>
          <w:color w:val="auto"/>
          <w:highlight w:val="none"/>
          <w:lang w:val="en-US" w:eastAsia="zh-CN"/>
        </w:rPr>
        <w:t>作为</w:t>
      </w:r>
      <w:r>
        <w:rPr>
          <w:rFonts w:ascii="Times New Roman" w:hAnsi="Times New Roman" w:eastAsia="宋体"/>
          <w:color w:val="auto"/>
          <w:highlight w:val="none"/>
        </w:rPr>
        <w:t>控制性孔，其孔深在考虑孔位桥桩需要外，还应用于控制整个场地的地质条件，因而在上述的基础上宜根据地质条件的复杂程度适当加深。</w:t>
      </w:r>
    </w:p>
    <w:p>
      <w:pPr>
        <w:autoSpaceDE w:val="0"/>
        <w:autoSpaceDN w:val="0"/>
        <w:adjustRightInd w:val="0"/>
        <w:spacing w:line="360" w:lineRule="auto"/>
        <w:ind w:firstLine="420" w:firstLineChars="200"/>
        <w:jc w:val="left"/>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对于桩基础，考虑到硬质基岩的强度均高于混凝土桩身的强度，在确保全断面入岩的前提下，其嵌固深度只需满足侧向稳定性要求即可，无需嵌固段提供额外的竖向承载力。因此，硬质岩的嵌固深度要求可低于软质岩。视岩面倾斜情况，一般从钻探揭露的基岩面往下（1~3）倍桩径能确保桩端全断面入岩。</w:t>
      </w:r>
    </w:p>
    <w:p>
      <w:pPr>
        <w:autoSpaceDE w:val="0"/>
        <w:autoSpaceDN w:val="0"/>
        <w:adjustRightInd w:val="0"/>
        <w:spacing w:line="360" w:lineRule="auto"/>
        <w:ind w:firstLine="420" w:firstLineChars="200"/>
        <w:jc w:val="left"/>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部分场地基岩埋藏很深，或者溶洞、采空区、破碎带、软弱夹层发育，勘探孔达到勘探前预计的深度仍达不到嵌岩桩的终孔要求，则可考虑按摩擦桩预估桩长，由此确定勘探孔深度。</w:t>
      </w:r>
    </w:p>
    <w:p>
      <w:pPr>
        <w:autoSpaceDE w:val="0"/>
        <w:autoSpaceDN w:val="0"/>
        <w:adjustRightInd w:val="0"/>
        <w:spacing w:line="360" w:lineRule="auto"/>
        <w:ind w:firstLine="420" w:firstLineChars="200"/>
        <w:jc w:val="left"/>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由于初勘阶段一些设计要求可能在后期发生变化，如桩径加大、设计地面标高降低、基础埋置深度加大等，为避免因此出现勘探孔深度不足的情况，故初步勘察的勘探孔深度适当高于详细勘察的要求</w:t>
      </w:r>
      <w:r>
        <w:rPr>
          <w:rFonts w:hint="eastAsia"/>
          <w:color w:val="auto"/>
          <w:highlight w:val="none"/>
          <w:lang w:val="en-US" w:eastAsia="zh-CN"/>
        </w:rPr>
        <w:t>为宜</w:t>
      </w:r>
      <w:r>
        <w:rPr>
          <w:rFonts w:hint="eastAsia" w:ascii="Times New Roman" w:hAnsi="Times New Roman" w:eastAsia="宋体"/>
          <w:color w:val="auto"/>
          <w:highlight w:val="none"/>
          <w:lang w:val="en-US" w:eastAsia="zh-CN"/>
        </w:rPr>
        <w:t>。</w:t>
      </w:r>
    </w:p>
    <w:p>
      <w:pPr>
        <w:pStyle w:val="3"/>
        <w:jc w:val="center"/>
        <w:rPr>
          <w:rFonts w:ascii="Times New Roman" w:hAnsi="Times New Roman" w:eastAsia="宋体" w:cs="Times New Roman"/>
          <w:color w:val="auto"/>
          <w:sz w:val="24"/>
          <w:highlight w:val="none"/>
        </w:rPr>
      </w:pPr>
      <w:bookmarkStart w:id="367" w:name="_Toc2981"/>
      <w:bookmarkStart w:id="368" w:name="_Toc76998272"/>
      <w:bookmarkStart w:id="369" w:name="_Toc26646"/>
      <w:r>
        <w:rPr>
          <w:rFonts w:ascii="Times New Roman" w:hAnsi="Times New Roman" w:eastAsia="宋体" w:cs="Times New Roman"/>
          <w:color w:val="auto"/>
          <w:sz w:val="24"/>
          <w:highlight w:val="none"/>
        </w:rPr>
        <w:t xml:space="preserve">6.4 </w:t>
      </w:r>
      <w:r>
        <w:rPr>
          <w:rFonts w:hint="eastAsia" w:ascii="Times New Roman" w:hAnsi="Times New Roman" w:eastAsia="宋体" w:cs="Times New Roman"/>
          <w:color w:val="auto"/>
          <w:sz w:val="24"/>
          <w:highlight w:val="none"/>
          <w:lang w:val="en-US" w:eastAsia="zh-CN"/>
        </w:rPr>
        <w:t xml:space="preserve"> </w:t>
      </w:r>
      <w:r>
        <w:rPr>
          <w:rFonts w:ascii="Times New Roman" w:hAnsi="Times New Roman" w:eastAsia="宋体" w:cs="Times New Roman"/>
          <w:color w:val="auto"/>
          <w:sz w:val="24"/>
          <w:highlight w:val="none"/>
        </w:rPr>
        <w:t>详细勘察</w:t>
      </w:r>
      <w:bookmarkEnd w:id="367"/>
      <w:bookmarkEnd w:id="368"/>
      <w:bookmarkEnd w:id="369"/>
    </w:p>
    <w:p>
      <w:pPr>
        <w:spacing w:line="360" w:lineRule="auto"/>
        <w:rPr>
          <w:rFonts w:hint="eastAsia" w:ascii="Times New Roman" w:hAnsi="Times New Roman" w:eastAsia="宋体"/>
          <w:color w:val="auto"/>
          <w:highlight w:val="none"/>
          <w:lang w:val="en-US" w:eastAsia="zh-CN"/>
        </w:rPr>
      </w:pPr>
      <w:r>
        <w:rPr>
          <w:rFonts w:ascii="Times New Roman" w:hAnsi="Times New Roman" w:eastAsia="宋体"/>
          <w:b/>
          <w:bCs/>
          <w:color w:val="auto"/>
          <w:highlight w:val="none"/>
        </w:rPr>
        <w:t>6.4.</w:t>
      </w:r>
      <w:r>
        <w:rPr>
          <w:rFonts w:hint="eastAsia" w:ascii="Times New Roman" w:hAnsi="Times New Roman" w:eastAsia="宋体"/>
          <w:b/>
          <w:bCs/>
          <w:color w:val="auto"/>
          <w:highlight w:val="none"/>
          <w:lang w:val="en-US" w:eastAsia="zh-CN"/>
        </w:rPr>
        <w:t xml:space="preserve">2 </w:t>
      </w:r>
      <w:r>
        <w:rPr>
          <w:rFonts w:hint="eastAsia"/>
          <w:b/>
          <w:bCs/>
          <w:color w:val="auto"/>
          <w:highlight w:val="none"/>
          <w:lang w:val="en-US" w:eastAsia="zh-CN"/>
        </w:rPr>
        <w:t xml:space="preserve"> </w:t>
      </w:r>
      <w:r>
        <w:rPr>
          <w:rFonts w:hint="eastAsia" w:ascii="Times New Roman" w:hAnsi="Times New Roman" w:eastAsia="宋体"/>
          <w:b w:val="0"/>
          <w:bCs w:val="0"/>
          <w:color w:val="auto"/>
          <w:highlight w:val="none"/>
          <w:lang w:val="en-US" w:eastAsia="zh-CN"/>
        </w:rPr>
        <w:t>就本条相关条款说明如下</w:t>
      </w:r>
      <w:r>
        <w:rPr>
          <w:rFonts w:hint="eastAsia" w:ascii="Times New Roman" w:hAnsi="Times New Roman" w:eastAsia="宋体"/>
          <w:color w:val="auto"/>
          <w:highlight w:val="none"/>
          <w:lang w:val="en-US" w:eastAsia="zh-CN"/>
        </w:rPr>
        <w:t>：</w:t>
      </w:r>
    </w:p>
    <w:p>
      <w:pPr>
        <w:autoSpaceDE w:val="0"/>
        <w:autoSpaceDN w:val="0"/>
        <w:adjustRightInd w:val="0"/>
        <w:spacing w:line="360" w:lineRule="auto"/>
        <w:ind w:firstLine="422" w:firstLineChars="200"/>
        <w:jc w:val="left"/>
        <w:rPr>
          <w:rFonts w:hint="eastAsia"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1</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关于桥梁勘探点的布置，行标</w:t>
      </w:r>
      <w:r>
        <w:rPr>
          <w:rFonts w:ascii="Times New Roman" w:hAnsi="Times New Roman" w:eastAsia="宋体"/>
          <w:color w:val="auto"/>
          <w:highlight w:val="none"/>
        </w:rPr>
        <w:t>《市政工程勘察规范》CJJ 56-2012</w:t>
      </w:r>
      <w:r>
        <w:rPr>
          <w:rFonts w:hint="eastAsia" w:ascii="Times New Roman" w:hAnsi="Times New Roman" w:eastAsia="宋体"/>
          <w:color w:val="auto"/>
          <w:highlight w:val="none"/>
          <w:lang w:val="en-US" w:eastAsia="zh-CN"/>
        </w:rPr>
        <w:t>未区分桩基础和其他基础，本条作了区分。采用灌注桩基础时，对于特大桥、大桥、中桥的主桥墩，要求其勘探点数不少于桩数的1/2，以确保主桥墩勘察资料的准确性；采用浅基础或沉井基础的城市桥梁，其勘探点一般宜逐墩台布置勘探点；场地与岩土条件简单、桥跨较小的，也可隔墩台布置勘探点；</w:t>
      </w:r>
    </w:p>
    <w:p>
      <w:pPr>
        <w:autoSpaceDE w:val="0"/>
        <w:autoSpaceDN w:val="0"/>
        <w:adjustRightInd w:val="0"/>
        <w:spacing w:line="360" w:lineRule="auto"/>
        <w:ind w:firstLine="420" w:firstLineChars="200"/>
        <w:jc w:val="left"/>
        <w:rPr>
          <w:rFonts w:hint="default" w:ascii="Times New Roman" w:hAnsi="Times New Roman" w:eastAsia="宋体"/>
          <w:color w:val="auto"/>
          <w:highlight w:val="none"/>
          <w:lang w:val="en-US" w:eastAsia="zh-CN"/>
        </w:rPr>
      </w:pPr>
      <w:r>
        <w:rPr>
          <w:rFonts w:hint="eastAsia" w:ascii="宋体" w:hAnsi="宋体" w:eastAsia="宋体" w:cs="宋体"/>
          <w:color w:val="auto"/>
          <w:highlight w:val="none"/>
          <w:lang w:val="en-US" w:eastAsia="zh-CN"/>
        </w:rPr>
        <w:t>岩溶发育区嵌岩桩钻</w:t>
      </w:r>
      <w:r>
        <w:rPr>
          <w:rFonts w:hint="eastAsia" w:ascii="Times New Roman" w:hAnsi="Times New Roman" w:eastAsia="宋体"/>
          <w:color w:val="auto"/>
          <w:highlight w:val="none"/>
          <w:lang w:val="en-US" w:eastAsia="zh-CN"/>
        </w:rPr>
        <w:t>孔一般宜按“一桩一孔一管波”控制；直径2m及以上的，则宜采取“一桩双孔双管波”控制。</w:t>
      </w:r>
    </w:p>
    <w:p>
      <w:pPr>
        <w:autoSpaceDE w:val="0"/>
        <w:autoSpaceDN w:val="0"/>
        <w:adjustRightInd w:val="0"/>
        <w:spacing w:line="360" w:lineRule="auto"/>
        <w:ind w:firstLine="420" w:firstLineChars="200"/>
        <w:jc w:val="left"/>
        <w:rPr>
          <w:rFonts w:hint="default" w:ascii="Times New Roman" w:hAnsi="Times New Roman" w:eastAsia="宋体"/>
          <w:color w:val="auto"/>
          <w:highlight w:val="none"/>
          <w:lang w:val="en-US" w:eastAsia="zh-CN"/>
        </w:rPr>
      </w:pPr>
      <w:r>
        <w:rPr>
          <w:rFonts w:ascii="Times New Roman" w:hAnsi="Times New Roman" w:eastAsia="宋体"/>
          <w:color w:val="auto"/>
          <w:kern w:val="0"/>
          <w:highlight w:val="none"/>
        </w:rPr>
        <w:t>当邻近地铁、地下室等重要建筑物时，</w:t>
      </w:r>
      <w:r>
        <w:rPr>
          <w:rFonts w:hint="eastAsia" w:ascii="Times New Roman" w:hAnsi="Times New Roman" w:eastAsia="宋体"/>
          <w:color w:val="auto"/>
          <w:kern w:val="0"/>
          <w:highlight w:val="none"/>
          <w:lang w:val="en-US" w:eastAsia="zh-CN"/>
        </w:rPr>
        <w:t>宜特别慎重，钻孔布置要报批并得到对方确认，为后期施工中对相关建筑物的保护提供准确的地质依据。</w:t>
      </w:r>
    </w:p>
    <w:p>
      <w:pPr>
        <w:autoSpaceDE w:val="0"/>
        <w:autoSpaceDN w:val="0"/>
        <w:adjustRightInd w:val="0"/>
        <w:spacing w:line="360" w:lineRule="auto"/>
        <w:ind w:firstLine="422" w:firstLineChars="200"/>
        <w:jc w:val="left"/>
        <w:rPr>
          <w:rFonts w:hint="eastAsia"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3</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ascii="Times New Roman" w:hAnsi="Times New Roman" w:eastAsia="宋体"/>
          <w:color w:val="auto"/>
          <w:kern w:val="0"/>
          <w:highlight w:val="none"/>
        </w:rPr>
        <w:t>悬索桥和斜拉桥的桥塔、锚碇基础、高墩基础</w:t>
      </w:r>
      <w:r>
        <w:rPr>
          <w:rFonts w:hint="eastAsia" w:ascii="Times New Roman" w:hAnsi="Times New Roman" w:eastAsia="宋体"/>
          <w:color w:val="auto"/>
          <w:kern w:val="0"/>
          <w:highlight w:val="none"/>
        </w:rPr>
        <w:t>的勘探点</w:t>
      </w:r>
      <w:r>
        <w:rPr>
          <w:rFonts w:hint="eastAsia" w:ascii="Times New Roman" w:hAnsi="Times New Roman" w:eastAsia="宋体"/>
          <w:color w:val="auto"/>
          <w:kern w:val="0"/>
          <w:highlight w:val="none"/>
          <w:lang w:val="en-US" w:eastAsia="zh-CN"/>
        </w:rPr>
        <w:t>布置，参考了</w:t>
      </w:r>
      <w:r>
        <w:rPr>
          <w:rFonts w:ascii="Times New Roman" w:hAnsi="Times New Roman" w:eastAsia="宋体"/>
          <w:color w:val="auto"/>
          <w:highlight w:val="none"/>
        </w:rPr>
        <w:t>《公路工程地质勘察规范》JTG C20-2011</w:t>
      </w:r>
      <w:r>
        <w:rPr>
          <w:rFonts w:hint="eastAsia" w:ascii="Times New Roman" w:hAnsi="Times New Roman" w:eastAsia="宋体"/>
          <w:color w:val="auto"/>
          <w:highlight w:val="none"/>
          <w:lang w:val="en-US" w:eastAsia="zh-CN"/>
        </w:rPr>
        <w:t>的相关条款，图6-1为典型的钻孔布置方式。</w:t>
      </w:r>
    </w:p>
    <w:p>
      <w:pPr>
        <w:autoSpaceDE w:val="0"/>
        <w:autoSpaceDN w:val="0"/>
        <w:adjustRightInd w:val="0"/>
        <w:spacing w:line="360" w:lineRule="auto"/>
        <w:ind w:firstLine="360" w:firstLineChars="150"/>
        <w:jc w:val="center"/>
        <w:rPr>
          <w:rFonts w:ascii="Times New Roman" w:hAnsi="Times New Roman" w:eastAsia="宋体"/>
          <w:color w:val="auto"/>
          <w:kern w:val="0"/>
          <w:highlight w:val="none"/>
        </w:rPr>
      </w:pPr>
      <w:r>
        <w:rPr>
          <w:rFonts w:ascii="Times New Roman" w:hAnsi="Times New Roman" w:eastAsia="宋体"/>
          <w:color w:val="auto"/>
          <w:kern w:val="0"/>
          <w:sz w:val="24"/>
          <w:szCs w:val="24"/>
          <w:highlight w:val="none"/>
        </w:rPr>
        <w:drawing>
          <wp:inline distT="0" distB="0" distL="0" distR="0">
            <wp:extent cx="4762500" cy="742950"/>
            <wp:effectExtent l="0" t="0" r="0" b="0"/>
            <wp:docPr id="92" name="图片 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 descr="图片包含 游戏机&#10;&#10;描述已自动生成"/>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4762500" cy="742950"/>
                    </a:xfrm>
                    <a:prstGeom prst="rect">
                      <a:avLst/>
                    </a:prstGeom>
                    <a:noFill/>
                    <a:ln>
                      <a:noFill/>
                    </a:ln>
                  </pic:spPr>
                </pic:pic>
              </a:graphicData>
            </a:graphic>
          </wp:inline>
        </w:drawing>
      </w:r>
    </w:p>
    <w:p>
      <w:pPr>
        <w:numPr>
          <w:ilvl w:val="0"/>
          <w:numId w:val="0"/>
        </w:numPr>
        <w:tabs>
          <w:tab w:val="center" w:pos="1060"/>
          <w:tab w:val="center" w:pos="2205"/>
          <w:tab w:val="center" w:pos="3255"/>
          <w:tab w:val="center" w:pos="4725"/>
          <w:tab w:val="center" w:pos="6090"/>
          <w:tab w:val="center" w:pos="7455"/>
        </w:tabs>
        <w:autoSpaceDE w:val="0"/>
        <w:autoSpaceDN w:val="0"/>
        <w:adjustRightInd w:val="0"/>
        <w:spacing w:line="360" w:lineRule="auto"/>
        <w:ind w:left="944" w:leftChars="0"/>
        <w:jc w:val="left"/>
        <w:rPr>
          <w:rFonts w:hint="default" w:ascii="Times New Roman" w:hAnsi="Times New Roman" w:eastAsia="宋体"/>
          <w:b w:val="0"/>
          <w:bCs w:val="0"/>
          <w:color w:val="auto"/>
          <w:kern w:val="0"/>
          <w:highlight w:val="none"/>
          <w:lang w:val="en-US" w:eastAsia="zh-CN"/>
        </w:rPr>
      </w:pPr>
      <w:r>
        <w:rPr>
          <w:rFonts w:hint="eastAsia" w:ascii="Times New Roman" w:hAnsi="Times New Roman" w:eastAsia="宋体"/>
          <w:b w:val="0"/>
          <w:bCs w:val="0"/>
          <w:color w:val="auto"/>
          <w:kern w:val="0"/>
          <w:highlight w:val="none"/>
          <w:lang w:val="en-US" w:eastAsia="zh-CN"/>
        </w:rPr>
        <w:t>(a)</w:t>
      </w:r>
      <w:r>
        <w:rPr>
          <w:rFonts w:hint="eastAsia" w:ascii="Times New Roman" w:hAnsi="Times New Roman" w:eastAsia="宋体"/>
          <w:b w:val="0"/>
          <w:bCs w:val="0"/>
          <w:color w:val="auto"/>
          <w:kern w:val="0"/>
          <w:highlight w:val="none"/>
          <w:lang w:val="en-US" w:eastAsia="zh-CN"/>
        </w:rPr>
        <w:tab/>
      </w:r>
      <w:r>
        <w:rPr>
          <w:rFonts w:hint="eastAsia" w:ascii="Times New Roman" w:hAnsi="Times New Roman" w:eastAsia="宋体"/>
          <w:b w:val="0"/>
          <w:bCs w:val="0"/>
          <w:color w:val="auto"/>
          <w:kern w:val="0"/>
          <w:highlight w:val="none"/>
          <w:lang w:val="en-US" w:eastAsia="zh-CN"/>
        </w:rPr>
        <w:t>(b)</w:t>
      </w:r>
      <w:r>
        <w:rPr>
          <w:rFonts w:hint="eastAsia" w:ascii="Times New Roman" w:hAnsi="Times New Roman" w:eastAsia="宋体"/>
          <w:b w:val="0"/>
          <w:bCs w:val="0"/>
          <w:color w:val="auto"/>
          <w:kern w:val="0"/>
          <w:highlight w:val="none"/>
          <w:lang w:val="en-US" w:eastAsia="zh-CN"/>
        </w:rPr>
        <w:tab/>
      </w:r>
      <w:r>
        <w:rPr>
          <w:rFonts w:hint="eastAsia" w:ascii="Times New Roman" w:hAnsi="Times New Roman" w:eastAsia="宋体"/>
          <w:b w:val="0"/>
          <w:bCs w:val="0"/>
          <w:color w:val="auto"/>
          <w:kern w:val="0"/>
          <w:highlight w:val="none"/>
          <w:lang w:val="en-US" w:eastAsia="zh-CN"/>
        </w:rPr>
        <w:t>(c)</w:t>
      </w:r>
      <w:r>
        <w:rPr>
          <w:rFonts w:hint="eastAsia" w:ascii="Times New Roman" w:hAnsi="Times New Roman" w:eastAsia="宋体"/>
          <w:b w:val="0"/>
          <w:bCs w:val="0"/>
          <w:color w:val="auto"/>
          <w:kern w:val="0"/>
          <w:highlight w:val="none"/>
          <w:lang w:val="en-US" w:eastAsia="zh-CN"/>
        </w:rPr>
        <w:tab/>
      </w:r>
      <w:r>
        <w:rPr>
          <w:rFonts w:hint="eastAsia" w:ascii="Times New Roman" w:hAnsi="Times New Roman" w:eastAsia="宋体"/>
          <w:b w:val="0"/>
          <w:bCs w:val="0"/>
          <w:color w:val="auto"/>
          <w:kern w:val="0"/>
          <w:highlight w:val="none"/>
          <w:lang w:val="en-US" w:eastAsia="zh-CN"/>
        </w:rPr>
        <w:t>(d)</w:t>
      </w:r>
      <w:r>
        <w:rPr>
          <w:rFonts w:hint="eastAsia" w:ascii="Times New Roman" w:hAnsi="Times New Roman" w:eastAsia="宋体"/>
          <w:b w:val="0"/>
          <w:bCs w:val="0"/>
          <w:color w:val="auto"/>
          <w:kern w:val="0"/>
          <w:highlight w:val="none"/>
          <w:lang w:val="en-US" w:eastAsia="zh-CN"/>
        </w:rPr>
        <w:tab/>
      </w:r>
      <w:r>
        <w:rPr>
          <w:rFonts w:hint="eastAsia" w:ascii="Times New Roman" w:hAnsi="Times New Roman" w:eastAsia="宋体"/>
          <w:b w:val="0"/>
          <w:bCs w:val="0"/>
          <w:color w:val="auto"/>
          <w:kern w:val="0"/>
          <w:highlight w:val="none"/>
          <w:lang w:val="en-US" w:eastAsia="zh-CN"/>
        </w:rPr>
        <w:t>(e)</w:t>
      </w:r>
      <w:r>
        <w:rPr>
          <w:rFonts w:hint="eastAsia" w:ascii="Times New Roman" w:hAnsi="Times New Roman" w:eastAsia="宋体"/>
          <w:b w:val="0"/>
          <w:bCs w:val="0"/>
          <w:color w:val="auto"/>
          <w:kern w:val="0"/>
          <w:highlight w:val="none"/>
          <w:lang w:val="en-US" w:eastAsia="zh-CN"/>
        </w:rPr>
        <w:tab/>
      </w:r>
      <w:r>
        <w:rPr>
          <w:rFonts w:hint="eastAsia" w:ascii="Times New Roman" w:hAnsi="Times New Roman" w:eastAsia="宋体"/>
          <w:b w:val="0"/>
          <w:bCs w:val="0"/>
          <w:color w:val="auto"/>
          <w:kern w:val="0"/>
          <w:highlight w:val="none"/>
          <w:lang w:val="en-US" w:eastAsia="zh-CN"/>
        </w:rPr>
        <w:t>(f)</w:t>
      </w:r>
    </w:p>
    <w:p>
      <w:pPr>
        <w:autoSpaceDE w:val="0"/>
        <w:autoSpaceDN w:val="0"/>
        <w:adjustRightInd w:val="0"/>
        <w:spacing w:line="360" w:lineRule="auto"/>
        <w:ind w:firstLine="316" w:firstLineChars="150"/>
        <w:jc w:val="center"/>
        <w:rPr>
          <w:rFonts w:ascii="Times New Roman" w:hAnsi="Times New Roman" w:eastAsia="宋体"/>
          <w:b/>
          <w:bCs/>
          <w:color w:val="auto"/>
          <w:kern w:val="0"/>
          <w:szCs w:val="21"/>
          <w:highlight w:val="none"/>
        </w:rPr>
      </w:pPr>
      <w:r>
        <w:rPr>
          <w:rFonts w:ascii="Times New Roman" w:hAnsi="Times New Roman" w:eastAsia="宋体"/>
          <w:b/>
          <w:bCs/>
          <w:color w:val="auto"/>
          <w:kern w:val="0"/>
          <w:highlight w:val="none"/>
        </w:rPr>
        <w:t>图6</w:t>
      </w:r>
      <w:r>
        <w:rPr>
          <w:rFonts w:hint="eastAsia" w:ascii="Times New Roman" w:hAnsi="Times New Roman" w:eastAsia="宋体"/>
          <w:b/>
          <w:bCs/>
          <w:color w:val="auto"/>
          <w:kern w:val="0"/>
          <w:highlight w:val="none"/>
          <w:lang w:val="en-US" w:eastAsia="zh-CN"/>
        </w:rPr>
        <w:t>-1</w:t>
      </w:r>
      <w:r>
        <w:rPr>
          <w:rFonts w:ascii="Times New Roman" w:hAnsi="Times New Roman" w:eastAsia="宋体"/>
          <w:b/>
          <w:bCs/>
          <w:color w:val="auto"/>
          <w:kern w:val="0"/>
          <w:highlight w:val="none"/>
        </w:rPr>
        <w:t xml:space="preserve"> 桥塔、锚碇基础、高墩基础勘探</w:t>
      </w:r>
      <w:r>
        <w:rPr>
          <w:rFonts w:hint="eastAsia" w:ascii="Times New Roman" w:hAnsi="Times New Roman" w:eastAsia="宋体"/>
          <w:b/>
          <w:bCs/>
          <w:color w:val="auto"/>
          <w:kern w:val="0"/>
          <w:highlight w:val="none"/>
        </w:rPr>
        <w:t>点</w:t>
      </w:r>
      <w:r>
        <w:rPr>
          <w:rFonts w:ascii="Times New Roman" w:hAnsi="Times New Roman" w:eastAsia="宋体"/>
          <w:b/>
          <w:bCs/>
          <w:color w:val="auto"/>
          <w:kern w:val="0"/>
          <w:highlight w:val="none"/>
        </w:rPr>
        <w:t>布置</w:t>
      </w:r>
      <w:r>
        <w:rPr>
          <w:rFonts w:hint="eastAsia" w:ascii="Times New Roman" w:hAnsi="Times New Roman" w:eastAsia="宋体"/>
          <w:b/>
          <w:bCs/>
          <w:color w:val="auto"/>
          <w:kern w:val="0"/>
          <w:highlight w:val="none"/>
        </w:rPr>
        <w:t>示意图</w:t>
      </w:r>
    </w:p>
    <w:p>
      <w:pPr>
        <w:spacing w:line="360" w:lineRule="auto"/>
        <w:rPr>
          <w:rFonts w:hint="eastAsia" w:ascii="Times New Roman" w:hAnsi="Times New Roman" w:eastAsia="宋体"/>
          <w:b/>
          <w:bCs/>
          <w:color w:val="auto"/>
          <w:highlight w:val="none"/>
          <w:lang w:val="en-US" w:eastAsia="zh-CN"/>
        </w:rPr>
      </w:pPr>
      <w:r>
        <w:rPr>
          <w:rFonts w:ascii="Times New Roman" w:hAnsi="Times New Roman" w:eastAsia="宋体"/>
          <w:b/>
          <w:bCs/>
          <w:color w:val="auto"/>
          <w:highlight w:val="none"/>
        </w:rPr>
        <w:t>6.4.3</w:t>
      </w:r>
      <w:r>
        <w:rPr>
          <w:rFonts w:hint="eastAsia" w:ascii="Times New Roman" w:hAnsi="Times New Roman" w:eastAsia="宋体"/>
          <w:b/>
          <w:bCs/>
          <w:color w:val="auto"/>
          <w:highlight w:val="none"/>
          <w:lang w:val="en-US" w:eastAsia="zh-CN"/>
        </w:rPr>
        <w:t xml:space="preserve"> </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就本条第1款、第2款说明如下：</w:t>
      </w:r>
    </w:p>
    <w:p>
      <w:pPr>
        <w:autoSpaceDE w:val="0"/>
        <w:autoSpaceDN w:val="0"/>
        <w:adjustRightInd w:val="0"/>
        <w:spacing w:line="360" w:lineRule="auto"/>
        <w:ind w:firstLine="422" w:firstLineChars="200"/>
        <w:jc w:val="left"/>
        <w:rPr>
          <w:rFonts w:ascii="Times New Roman" w:hAnsi="Times New Roman" w:eastAsia="宋体"/>
          <w:color w:val="auto"/>
          <w:highlight w:val="none"/>
        </w:rPr>
      </w:pPr>
      <w:r>
        <w:rPr>
          <w:rFonts w:ascii="Times New Roman" w:hAnsi="Times New Roman" w:eastAsia="宋体"/>
          <w:b/>
          <w:bCs/>
          <w:color w:val="auto"/>
          <w:highlight w:val="none"/>
        </w:rPr>
        <w:t xml:space="preserve">1 </w:t>
      </w:r>
      <w:r>
        <w:rPr>
          <w:rFonts w:hint="eastAsia"/>
          <w:b/>
          <w:bCs/>
          <w:color w:val="auto"/>
          <w:highlight w:val="none"/>
          <w:lang w:val="en-US" w:eastAsia="zh-CN"/>
        </w:rPr>
        <w:t xml:space="preserve"> </w:t>
      </w:r>
      <w:r>
        <w:rPr>
          <w:rFonts w:ascii="Times New Roman" w:hAnsi="Times New Roman" w:eastAsia="宋体"/>
          <w:color w:val="auto"/>
          <w:highlight w:val="none"/>
        </w:rPr>
        <w:t>行标《市政工程勘察规范》CJJ 56-2012规定，一般性勘探孔应达到基底下（0.5～1.0）倍基础宽度且不应小于5m；控制性勘探孔应超过地基变形计算深度。</w:t>
      </w:r>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ascii="Times New Roman" w:hAnsi="Times New Roman" w:eastAsia="宋体"/>
          <w:color w:val="auto"/>
          <w:highlight w:val="none"/>
        </w:rPr>
        <w:t>采用浅基础的桥梁，变形是主要控制因素。地基变形计算深度在勘察阶段往往尚难准确判定，只能根据简算得到一个初步的判断来控制；同时考虑到桥梁对于不均匀沉降的敏感性，本条未作一般孔和控制孔的区别，而是从达到地基变形计算深度角度考虑钻孔深度控制。</w:t>
      </w:r>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ascii="Times New Roman" w:hAnsi="Times New Roman" w:eastAsia="宋体"/>
          <w:color w:val="auto"/>
          <w:highlight w:val="none"/>
        </w:rPr>
        <w:t>根据国标《建筑地基基础设计规范》GB 50007-2011第5.3.8条，地基变形计算深度</w:t>
      </w:r>
      <w:r>
        <w:rPr>
          <w:rFonts w:ascii="Times New Roman" w:hAnsi="Times New Roman" w:eastAsia="宋体"/>
          <w:i/>
          <w:iCs/>
          <w:color w:val="auto"/>
          <w:highlight w:val="none"/>
        </w:rPr>
        <w:t>z</w:t>
      </w:r>
      <w:r>
        <w:rPr>
          <w:rFonts w:ascii="Times New Roman" w:hAnsi="Times New Roman" w:eastAsia="宋体"/>
          <w:color w:val="auto"/>
          <w:highlight w:val="none"/>
          <w:vertAlign w:val="subscript"/>
        </w:rPr>
        <w:t>n</w:t>
      </w:r>
      <w:r>
        <w:rPr>
          <w:rFonts w:ascii="Times New Roman" w:hAnsi="Times New Roman" w:eastAsia="宋体"/>
          <w:color w:val="auto"/>
          <w:highlight w:val="none"/>
        </w:rPr>
        <w:t>可按以下简化公式</w:t>
      </w:r>
      <w:r>
        <w:rPr>
          <w:rFonts w:hint="eastAsia" w:ascii="Times New Roman" w:hAnsi="Times New Roman" w:eastAsia="宋体"/>
          <w:color w:val="auto"/>
          <w:highlight w:val="none"/>
        </w:rPr>
        <w:t>（6-1）</w:t>
      </w:r>
      <w:r>
        <w:rPr>
          <w:rFonts w:ascii="Times New Roman" w:hAnsi="Times New Roman" w:eastAsia="宋体"/>
          <w:color w:val="auto"/>
          <w:highlight w:val="none"/>
        </w:rPr>
        <w:t>计算：</w:t>
      </w:r>
    </w:p>
    <w:p>
      <w:pPr>
        <w:tabs>
          <w:tab w:val="center" w:pos="3969"/>
          <w:tab w:val="center" w:pos="7655"/>
        </w:tabs>
        <w:autoSpaceDE w:val="0"/>
        <w:autoSpaceDN w:val="0"/>
        <w:adjustRightInd w:val="0"/>
        <w:spacing w:line="360" w:lineRule="auto"/>
        <w:jc w:val="center"/>
        <w:rPr>
          <w:rFonts w:hint="eastAsia" w:ascii="Times New Roman" w:hAnsi="Times New Roman" w:eastAsia="宋体"/>
          <w:color w:val="auto"/>
          <w:highlight w:val="none"/>
        </w:rPr>
      </w:pPr>
      <w:r>
        <w:rPr>
          <w:rFonts w:ascii="Times New Roman" w:hAnsi="Times New Roman" w:eastAsia="宋体"/>
          <w:color w:val="auto"/>
          <w:highlight w:val="none"/>
        </w:rPr>
        <w:tab/>
      </w:r>
      <m:oMath>
        <m:sSub>
          <m:sSubPr>
            <m:ctrlPr>
              <w:rPr>
                <w:rFonts w:ascii="Cambria Math" w:hAnsi="Cambria Math" w:eastAsia="宋体"/>
                <w:i/>
                <w:color w:val="auto"/>
                <w:highlight w:val="none"/>
              </w:rPr>
            </m:ctrlPr>
          </m:sSubPr>
          <m:e>
            <m:r>
              <m:rPr/>
              <w:rPr>
                <w:rFonts w:ascii="Cambria Math" w:hAnsi="Cambria Math" w:eastAsia="宋体"/>
                <w:color w:val="auto"/>
                <w:highlight w:val="none"/>
              </w:rPr>
              <m:t>z</m:t>
            </m:r>
            <m:ctrlPr>
              <w:rPr>
                <w:rFonts w:ascii="Cambria Math" w:hAnsi="Cambria Math" w:eastAsia="宋体"/>
                <w:i/>
                <w:color w:val="auto"/>
                <w:highlight w:val="none"/>
              </w:rPr>
            </m:ctrlPr>
          </m:e>
          <m:sub>
            <m:r>
              <m:rPr/>
              <w:rPr>
                <w:rFonts w:ascii="Cambria Math" w:hAnsi="Cambria Math" w:eastAsia="宋体"/>
                <w:color w:val="auto"/>
                <w:highlight w:val="none"/>
              </w:rPr>
              <m:t>n</m:t>
            </m:r>
            <m:ctrlPr>
              <w:rPr>
                <w:rFonts w:ascii="Cambria Math" w:hAnsi="Cambria Math" w:eastAsia="宋体"/>
                <w:i/>
                <w:color w:val="auto"/>
                <w:highlight w:val="none"/>
              </w:rPr>
            </m:ctrlPr>
          </m:sub>
        </m:sSub>
        <m:r>
          <m:rPr/>
          <w:rPr>
            <w:rFonts w:ascii="Cambria Math" w:hAnsi="Cambria Math" w:eastAsia="宋体"/>
            <w:color w:val="auto"/>
            <w:highlight w:val="none"/>
          </w:rPr>
          <m:t>=b</m:t>
        </m:r>
        <m:d>
          <m:dPr>
            <m:ctrlPr>
              <w:rPr>
                <w:rFonts w:ascii="Cambria Math" w:hAnsi="Cambria Math" w:eastAsia="宋体"/>
                <w:i/>
                <w:color w:val="auto"/>
                <w:highlight w:val="none"/>
              </w:rPr>
            </m:ctrlPr>
          </m:dPr>
          <m:e>
            <m:r>
              <m:rPr/>
              <w:rPr>
                <w:rFonts w:ascii="Cambria Math" w:hAnsi="Cambria Math" w:eastAsia="宋体"/>
                <w:color w:val="auto"/>
                <w:highlight w:val="none"/>
              </w:rPr>
              <m:t>2.5−0.4</m:t>
            </m:r>
            <m:r>
              <m:rPr>
                <m:sty m:val="p"/>
              </m:rPr>
              <w:rPr>
                <w:rFonts w:ascii="Cambria Math" w:hAnsi="Cambria Math" w:eastAsia="宋体"/>
                <w:color w:val="auto"/>
                <w:highlight w:val="none"/>
              </w:rPr>
              <m:t>ln</m:t>
            </m:r>
            <m:r>
              <m:rPr/>
              <w:rPr>
                <w:rFonts w:ascii="Cambria Math" w:hAnsi="Cambria Math" w:eastAsia="宋体"/>
                <w:color w:val="auto"/>
                <w:highlight w:val="none"/>
              </w:rPr>
              <m:t>b</m:t>
            </m:r>
            <m:ctrlPr>
              <w:rPr>
                <w:rFonts w:ascii="Cambria Math" w:hAnsi="Cambria Math" w:eastAsia="宋体"/>
                <w:i/>
                <w:color w:val="auto"/>
                <w:highlight w:val="none"/>
              </w:rPr>
            </m:ctrlPr>
          </m:e>
        </m:d>
      </m:oMath>
      <w:r>
        <w:rPr>
          <w:rFonts w:ascii="Times New Roman" w:hAnsi="Times New Roman" w:eastAsia="宋体"/>
          <w:color w:val="auto"/>
          <w:highlight w:val="none"/>
        </w:rPr>
        <w:tab/>
      </w:r>
      <w:r>
        <w:rPr>
          <w:rFonts w:hint="eastAsia" w:ascii="Times New Roman" w:hAnsi="Times New Roman" w:eastAsia="宋体"/>
          <w:color w:val="auto"/>
          <w:highlight w:val="none"/>
        </w:rPr>
        <w:t>（6-1）</w:t>
      </w:r>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ascii="Times New Roman" w:hAnsi="Times New Roman" w:eastAsia="宋体"/>
          <w:color w:val="auto"/>
          <w:highlight w:val="none"/>
        </w:rPr>
        <w:t>其中，</w:t>
      </w:r>
      <w:r>
        <w:rPr>
          <w:rFonts w:ascii="Times New Roman" w:hAnsi="Times New Roman" w:eastAsia="宋体"/>
          <w:i/>
          <w:iCs/>
          <w:color w:val="auto"/>
          <w:highlight w:val="none"/>
        </w:rPr>
        <w:t>b</w:t>
      </w:r>
      <w:r>
        <w:rPr>
          <w:rFonts w:ascii="Times New Roman" w:hAnsi="Times New Roman" w:eastAsia="宋体"/>
          <w:color w:val="auto"/>
          <w:highlight w:val="none"/>
        </w:rPr>
        <w:t>——基础宽度（m）。</w:t>
      </w:r>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ascii="Times New Roman" w:hAnsi="Times New Roman" w:eastAsia="宋体"/>
          <w:color w:val="auto"/>
          <w:highlight w:val="none"/>
        </w:rPr>
        <w:t>试算可知，当</w:t>
      </w:r>
      <w:r>
        <w:rPr>
          <w:rFonts w:ascii="Times New Roman" w:hAnsi="Times New Roman" w:eastAsia="宋体"/>
          <w:i/>
          <w:iCs/>
          <w:color w:val="auto"/>
          <w:highlight w:val="none"/>
        </w:rPr>
        <w:t>b</w:t>
      </w:r>
      <w:r>
        <w:rPr>
          <w:rFonts w:ascii="Times New Roman" w:hAnsi="Times New Roman" w:eastAsia="宋体"/>
          <w:color w:val="auto"/>
          <w:highlight w:val="none"/>
        </w:rPr>
        <w:t>取3~10m时，</w:t>
      </w:r>
      <w:r>
        <w:rPr>
          <w:rFonts w:ascii="Times New Roman" w:hAnsi="Times New Roman" w:eastAsia="宋体"/>
          <w:i/>
          <w:iCs/>
          <w:color w:val="auto"/>
          <w:highlight w:val="none"/>
        </w:rPr>
        <w:t>z</w:t>
      </w:r>
      <w:r>
        <w:rPr>
          <w:rFonts w:ascii="Times New Roman" w:hAnsi="Times New Roman" w:eastAsia="宋体"/>
          <w:color w:val="auto"/>
          <w:highlight w:val="none"/>
          <w:vertAlign w:val="subscript"/>
        </w:rPr>
        <w:t>n</w:t>
      </w:r>
      <w:r>
        <w:rPr>
          <w:rFonts w:ascii="Times New Roman" w:hAnsi="Times New Roman" w:eastAsia="宋体"/>
          <w:color w:val="auto"/>
          <w:highlight w:val="none"/>
        </w:rPr>
        <w:t>约为6.2~15.8m，且满足</w:t>
      </w:r>
      <m:oMath>
        <m:sSub>
          <m:sSubPr>
            <m:ctrlPr>
              <w:rPr>
                <w:rFonts w:ascii="Cambria Math" w:hAnsi="Cambria Math" w:eastAsia="宋体"/>
                <w:i/>
                <w:color w:val="auto"/>
                <w:highlight w:val="none"/>
              </w:rPr>
            </m:ctrlPr>
          </m:sSubPr>
          <m:e>
            <m:r>
              <m:rPr/>
              <w:rPr>
                <w:rFonts w:ascii="Cambria Math" w:hAnsi="Cambria Math" w:eastAsia="宋体"/>
                <w:color w:val="auto"/>
                <w:highlight w:val="none"/>
              </w:rPr>
              <m:t>z</m:t>
            </m:r>
            <m:ctrlPr>
              <w:rPr>
                <w:rFonts w:ascii="Cambria Math" w:hAnsi="Cambria Math" w:eastAsia="宋体"/>
                <w:i/>
                <w:color w:val="auto"/>
                <w:highlight w:val="none"/>
              </w:rPr>
            </m:ctrlPr>
          </m:e>
          <m:sub>
            <m:r>
              <m:rPr/>
              <w:rPr>
                <w:rFonts w:ascii="Cambria Math" w:hAnsi="Cambria Math" w:eastAsia="宋体"/>
                <w:color w:val="auto"/>
                <w:highlight w:val="none"/>
              </w:rPr>
              <m:t>n</m:t>
            </m:r>
            <m:ctrlPr>
              <w:rPr>
                <w:rFonts w:ascii="Cambria Math" w:hAnsi="Cambria Math" w:eastAsia="宋体"/>
                <w:i/>
                <w:color w:val="auto"/>
                <w:highlight w:val="none"/>
              </w:rPr>
            </m:ctrlPr>
          </m:sub>
        </m:sSub>
        <m:r>
          <m:rPr/>
          <w:rPr>
            <w:rFonts w:ascii="Cambria Math" w:hAnsi="Cambria Math" w:eastAsia="宋体"/>
            <w:color w:val="auto"/>
            <w:highlight w:val="none"/>
          </w:rPr>
          <m:t>≈</m:t>
        </m:r>
        <m:d>
          <m:dPr>
            <m:ctrlPr>
              <w:rPr>
                <w:rFonts w:ascii="Cambria Math" w:hAnsi="Cambria Math" w:eastAsia="宋体"/>
                <w:i/>
                <w:color w:val="auto"/>
                <w:highlight w:val="none"/>
              </w:rPr>
            </m:ctrlPr>
          </m:dPr>
          <m:e>
            <m:r>
              <m:rPr/>
              <w:rPr>
                <w:rFonts w:ascii="Cambria Math" w:hAnsi="Cambria Math" w:eastAsia="宋体"/>
                <w:color w:val="auto"/>
                <w:highlight w:val="none"/>
              </w:rPr>
              <m:t>1.58~2.06</m:t>
            </m:r>
            <m:ctrlPr>
              <w:rPr>
                <w:rFonts w:ascii="Cambria Math" w:hAnsi="Cambria Math" w:eastAsia="宋体"/>
                <w:i/>
                <w:color w:val="auto"/>
                <w:highlight w:val="none"/>
              </w:rPr>
            </m:ctrlPr>
          </m:e>
        </m:d>
        <m:r>
          <m:rPr/>
          <w:rPr>
            <w:rFonts w:ascii="Cambria Math" w:hAnsi="Cambria Math" w:eastAsia="宋体"/>
            <w:color w:val="auto"/>
            <w:highlight w:val="none"/>
          </w:rPr>
          <m:t>b</m:t>
        </m:r>
      </m:oMath>
      <w:r>
        <w:rPr>
          <w:rFonts w:ascii="Times New Roman" w:hAnsi="Times New Roman" w:eastAsia="宋体"/>
          <w:color w:val="auto"/>
          <w:highlight w:val="none"/>
        </w:rPr>
        <w:t>。</w:t>
      </w:r>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ascii="Times New Roman" w:hAnsi="Times New Roman" w:eastAsia="宋体"/>
          <w:color w:val="auto"/>
          <w:highlight w:val="none"/>
        </w:rPr>
        <w:t>故本条文要求钻孔深度应达到基底下1.5~2.0倍基础宽度，且要求不小于基底下10m。</w:t>
      </w:r>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ascii="Times New Roman" w:hAnsi="Times New Roman" w:eastAsia="宋体"/>
          <w:color w:val="auto"/>
          <w:highlight w:val="none"/>
        </w:rPr>
        <w:t>由于以上是简算的结果，因此，仍保留</w:t>
      </w:r>
      <w:r>
        <w:rPr>
          <w:rFonts w:hint="eastAsia" w:ascii="宋体" w:hAnsi="宋体" w:eastAsia="宋体" w:cs="宋体"/>
          <w:color w:val="auto"/>
          <w:highlight w:val="none"/>
        </w:rPr>
        <w:t>“应超过地基变形计算深度”</w:t>
      </w:r>
      <w:r>
        <w:rPr>
          <w:rFonts w:ascii="Times New Roman" w:hAnsi="Times New Roman" w:eastAsia="宋体"/>
          <w:color w:val="auto"/>
          <w:highlight w:val="none"/>
        </w:rPr>
        <w:t>，有条件时可进一步验算</w:t>
      </w:r>
      <w:r>
        <w:rPr>
          <w:rFonts w:hint="eastAsia" w:ascii="Times New Roman" w:hAnsi="Times New Roman" w:eastAsia="宋体"/>
          <w:color w:val="auto"/>
          <w:highlight w:val="none"/>
          <w:lang w:eastAsia="zh-CN"/>
        </w:rPr>
        <w:t>勘探</w:t>
      </w:r>
      <w:r>
        <w:rPr>
          <w:rFonts w:ascii="Times New Roman" w:hAnsi="Times New Roman" w:eastAsia="宋体"/>
          <w:color w:val="auto"/>
          <w:highlight w:val="none"/>
        </w:rPr>
        <w:t>深度。</w:t>
      </w:r>
    </w:p>
    <w:p>
      <w:pPr>
        <w:pStyle w:val="44"/>
        <w:autoSpaceDE w:val="0"/>
        <w:autoSpaceDN w:val="0"/>
        <w:adjustRightInd w:val="0"/>
        <w:spacing w:line="360" w:lineRule="auto"/>
        <w:jc w:val="left"/>
        <w:rPr>
          <w:rFonts w:ascii="Times New Roman" w:hAnsi="Times New Roman" w:eastAsia="宋体"/>
          <w:color w:val="auto"/>
          <w:highlight w:val="none"/>
        </w:rPr>
      </w:pPr>
      <w:r>
        <w:rPr>
          <w:rFonts w:ascii="Times New Roman" w:hAnsi="Times New Roman" w:eastAsia="宋体"/>
          <w:b/>
          <w:bCs/>
          <w:color w:val="auto"/>
          <w:highlight w:val="none"/>
        </w:rPr>
        <w:t>2</w:t>
      </w:r>
      <w:r>
        <w:rPr>
          <w:rFonts w:hint="eastAsia"/>
          <w:b/>
          <w:bCs/>
          <w:color w:val="auto"/>
          <w:highlight w:val="none"/>
          <w:lang w:val="en-US" w:eastAsia="zh-CN"/>
        </w:rPr>
        <w:t xml:space="preserve"> </w:t>
      </w:r>
      <w:r>
        <w:rPr>
          <w:rFonts w:ascii="Times New Roman" w:hAnsi="Times New Roman" w:eastAsia="宋体"/>
          <w:b/>
          <w:bCs/>
          <w:color w:val="auto"/>
          <w:highlight w:val="none"/>
        </w:rPr>
        <w:t xml:space="preserve"> </w:t>
      </w:r>
      <w:r>
        <w:rPr>
          <w:rFonts w:ascii="Times New Roman" w:hAnsi="Times New Roman" w:eastAsia="宋体"/>
          <w:color w:val="auto"/>
          <w:highlight w:val="none"/>
        </w:rPr>
        <w:t>行标《市政工程勘察规范》CJJ 56-2012规定，当拟采用桩基时，一般性勘探孔深度宜达到预计的桩端以下（3~5）倍桩径，且不应小于3m，对于大直径桩不应小于5m；嵌岩桩的控制性勘探孔应深入预计嵌岩面以下（3~5）倍桩径，一般性勘探孔应深入预计嵌岩面以下（1~3）倍桩径。</w:t>
      </w:r>
    </w:p>
    <w:p>
      <w:pPr>
        <w:pStyle w:val="44"/>
        <w:autoSpaceDE w:val="0"/>
        <w:autoSpaceDN w:val="0"/>
        <w:adjustRightInd w:val="0"/>
        <w:spacing w:line="360" w:lineRule="auto"/>
        <w:jc w:val="left"/>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本规范均按控制性勘探孔的深度进行了规定。桥梁是十分重要的市政工程设施，建设成本高昂，而且对基础的变形十分敏感，一旦个别钻孔过浅而导致的工程变更，其造成的费用和工期上的损失相当大。因此，与其部分钻孔按一般性勘探孔深度控制而节省一两米进尺，不如都按控制性勘探孔的深度控制。</w:t>
      </w:r>
    </w:p>
    <w:p>
      <w:pPr>
        <w:pStyle w:val="44"/>
        <w:autoSpaceDE w:val="0"/>
        <w:autoSpaceDN w:val="0"/>
        <w:adjustRightInd w:val="0"/>
        <w:spacing w:line="360" w:lineRule="auto"/>
        <w:jc w:val="left"/>
        <w:rPr>
          <w:rFonts w:ascii="Times New Roman" w:hAnsi="Times New Roman" w:eastAsia="宋体"/>
          <w:color w:val="auto"/>
          <w:highlight w:val="none"/>
        </w:rPr>
      </w:pPr>
      <w:r>
        <w:rPr>
          <w:rFonts w:hint="eastAsia" w:ascii="宋体" w:hAnsi="宋体" w:eastAsia="宋体" w:cs="宋体"/>
          <w:color w:val="auto"/>
          <w:highlight w:val="none"/>
          <w:lang w:val="en-US" w:eastAsia="zh-CN"/>
        </w:rPr>
        <w:t>当然，</w:t>
      </w:r>
      <w:r>
        <w:rPr>
          <w:rFonts w:hint="eastAsia" w:ascii="宋体" w:hAnsi="宋体" w:eastAsia="宋体" w:cs="宋体"/>
          <w:color w:val="auto"/>
          <w:highlight w:val="none"/>
        </w:rPr>
        <w:t>采用“桩端以下”</w:t>
      </w:r>
      <w:r>
        <w:rPr>
          <w:rFonts w:ascii="Times New Roman" w:hAnsi="Times New Roman" w:eastAsia="宋体"/>
          <w:color w:val="auto"/>
          <w:highlight w:val="none"/>
        </w:rPr>
        <w:t>或</w:t>
      </w:r>
      <w:r>
        <w:rPr>
          <w:rFonts w:hint="eastAsia" w:ascii="宋体" w:hAnsi="宋体" w:eastAsia="宋体" w:cs="宋体"/>
          <w:color w:val="auto"/>
          <w:highlight w:val="none"/>
        </w:rPr>
        <w:t>“预计嵌岩面以下”为</w:t>
      </w:r>
      <w:r>
        <w:rPr>
          <w:rFonts w:ascii="Times New Roman" w:hAnsi="Times New Roman" w:eastAsia="宋体"/>
          <w:color w:val="auto"/>
          <w:highlight w:val="none"/>
        </w:rPr>
        <w:t>孔深控制基准，实际工程中不</w:t>
      </w:r>
      <w:r>
        <w:rPr>
          <w:rFonts w:hint="eastAsia" w:ascii="Times New Roman" w:hAnsi="Times New Roman" w:eastAsia="宋体"/>
          <w:color w:val="auto"/>
          <w:highlight w:val="none"/>
          <w:lang w:val="en-US" w:eastAsia="zh-CN"/>
        </w:rPr>
        <w:t>太</w:t>
      </w:r>
      <w:r>
        <w:rPr>
          <w:rFonts w:ascii="Times New Roman" w:hAnsi="Times New Roman" w:eastAsia="宋体"/>
          <w:color w:val="auto"/>
          <w:highlight w:val="none"/>
        </w:rPr>
        <w:t>实用，</w:t>
      </w:r>
      <w:r>
        <w:rPr>
          <w:rFonts w:hint="eastAsia" w:ascii="Times New Roman" w:hAnsi="Times New Roman" w:eastAsia="宋体"/>
          <w:color w:val="auto"/>
          <w:highlight w:val="none"/>
          <w:lang w:val="en-US" w:eastAsia="zh-CN"/>
        </w:rPr>
        <w:t>主要原因是现在勘察、设计类似于流水线，一般是完成勘察后，设计根据勘察成果确定桩长，极少在勘察过程设计同时介入每个钻孔的孔深控制。也就是说，在勘察阶段</w:t>
      </w:r>
      <w:r>
        <w:rPr>
          <w:rFonts w:ascii="Times New Roman" w:hAnsi="Times New Roman" w:eastAsia="宋体"/>
          <w:color w:val="auto"/>
          <w:highlight w:val="none"/>
        </w:rPr>
        <w:t>，勘察人员往往</w:t>
      </w:r>
      <w:r>
        <w:rPr>
          <w:rFonts w:hint="eastAsia" w:ascii="Times New Roman" w:hAnsi="Times New Roman" w:eastAsia="宋体"/>
          <w:color w:val="auto"/>
          <w:highlight w:val="none"/>
          <w:lang w:val="en-US" w:eastAsia="zh-CN"/>
        </w:rPr>
        <w:t>并不掌握桩端位置</w:t>
      </w:r>
      <w:r>
        <w:rPr>
          <w:rFonts w:ascii="Times New Roman" w:hAnsi="Times New Roman" w:eastAsia="宋体"/>
          <w:color w:val="auto"/>
          <w:highlight w:val="none"/>
        </w:rPr>
        <w:t>，</w:t>
      </w:r>
      <w:r>
        <w:rPr>
          <w:rFonts w:hint="eastAsia" w:ascii="Times New Roman" w:hAnsi="Times New Roman" w:eastAsia="宋体"/>
          <w:color w:val="auto"/>
          <w:highlight w:val="none"/>
          <w:lang w:val="en-US" w:eastAsia="zh-CN"/>
        </w:rPr>
        <w:t>甚至</w:t>
      </w:r>
      <w:r>
        <w:rPr>
          <w:rFonts w:ascii="Times New Roman" w:hAnsi="Times New Roman" w:eastAsia="宋体"/>
          <w:color w:val="auto"/>
          <w:highlight w:val="none"/>
        </w:rPr>
        <w:t>究竟采用摩擦桩还是</w:t>
      </w:r>
      <w:r>
        <w:rPr>
          <w:rFonts w:hint="eastAsia" w:ascii="Times New Roman" w:hAnsi="Times New Roman" w:eastAsia="宋体"/>
          <w:color w:val="auto"/>
          <w:highlight w:val="none"/>
          <w:lang w:val="en-US" w:eastAsia="zh-CN"/>
        </w:rPr>
        <w:t>嵌岩</w:t>
      </w:r>
      <w:r>
        <w:rPr>
          <w:rFonts w:ascii="Times New Roman" w:hAnsi="Times New Roman" w:eastAsia="宋体"/>
          <w:color w:val="auto"/>
          <w:highlight w:val="none"/>
        </w:rPr>
        <w:t>桩</w:t>
      </w:r>
      <w:r>
        <w:rPr>
          <w:rFonts w:hint="eastAsia" w:ascii="Times New Roman" w:hAnsi="Times New Roman" w:eastAsia="宋体"/>
          <w:color w:val="auto"/>
          <w:highlight w:val="none"/>
          <w:lang w:val="en-US" w:eastAsia="zh-CN"/>
        </w:rPr>
        <w:t>也不明确，只能根据设计提供的单桩承载力有个粗略的判断</w:t>
      </w:r>
      <w:r>
        <w:rPr>
          <w:rFonts w:ascii="Times New Roman" w:hAnsi="Times New Roman" w:eastAsia="宋体"/>
          <w:color w:val="auto"/>
          <w:highlight w:val="none"/>
        </w:rPr>
        <w:t>。</w:t>
      </w:r>
    </w:p>
    <w:p>
      <w:pPr>
        <w:pStyle w:val="44"/>
        <w:autoSpaceDE w:val="0"/>
        <w:autoSpaceDN w:val="0"/>
        <w:adjustRightInd w:val="0"/>
        <w:spacing w:line="360" w:lineRule="auto"/>
        <w:jc w:val="left"/>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因此，在实际勘察过程中，按</w:t>
      </w:r>
      <w:r>
        <w:rPr>
          <w:rFonts w:ascii="Times New Roman" w:hAnsi="Times New Roman" w:eastAsia="宋体"/>
          <w:color w:val="auto"/>
          <w:highlight w:val="none"/>
        </w:rPr>
        <w:t>表6</w:t>
      </w:r>
      <w:r>
        <w:rPr>
          <w:rFonts w:hint="eastAsia" w:ascii="Times New Roman" w:hAnsi="Times New Roman" w:eastAsia="宋体"/>
          <w:color w:val="auto"/>
          <w:highlight w:val="none"/>
          <w:lang w:val="en-US" w:eastAsia="zh-CN"/>
        </w:rPr>
        <w:t>-1对于勘察技术人员应该更容易掌握</w:t>
      </w:r>
      <w:r>
        <w:rPr>
          <w:rFonts w:ascii="Times New Roman" w:hAnsi="Times New Roman" w:eastAsia="宋体"/>
          <w:color w:val="auto"/>
          <w:highlight w:val="none"/>
        </w:rPr>
        <w:t>。</w:t>
      </w:r>
    </w:p>
    <w:p>
      <w:pPr>
        <w:autoSpaceDE w:val="0"/>
        <w:autoSpaceDN w:val="0"/>
        <w:adjustRightInd w:val="0"/>
        <w:spacing w:line="360" w:lineRule="auto"/>
        <w:jc w:val="center"/>
        <w:rPr>
          <w:rFonts w:ascii="Times New Roman" w:hAnsi="Times New Roman" w:eastAsia="宋体"/>
          <w:b/>
          <w:bCs/>
          <w:color w:val="auto"/>
          <w:kern w:val="0"/>
          <w:highlight w:val="none"/>
        </w:rPr>
      </w:pPr>
      <w:r>
        <w:rPr>
          <w:rFonts w:ascii="Times New Roman" w:hAnsi="Times New Roman" w:eastAsia="宋体"/>
          <w:b/>
          <w:bCs/>
          <w:color w:val="auto"/>
          <w:kern w:val="0"/>
          <w:highlight w:val="none"/>
        </w:rPr>
        <w:t>表6</w:t>
      </w:r>
      <w:r>
        <w:rPr>
          <w:rFonts w:hint="eastAsia" w:ascii="Times New Roman" w:hAnsi="Times New Roman" w:eastAsia="宋体"/>
          <w:b/>
          <w:bCs/>
          <w:color w:val="auto"/>
          <w:kern w:val="0"/>
          <w:highlight w:val="none"/>
          <w:lang w:val="en-US" w:eastAsia="zh-CN"/>
        </w:rPr>
        <w:t>-1</w:t>
      </w:r>
      <w:r>
        <w:rPr>
          <w:rFonts w:hint="eastAsia"/>
          <w:b/>
          <w:bCs/>
          <w:color w:val="auto"/>
          <w:kern w:val="0"/>
          <w:highlight w:val="none"/>
          <w:lang w:val="en-US" w:eastAsia="zh-CN"/>
        </w:rPr>
        <w:t xml:space="preserve"> </w:t>
      </w:r>
      <w:r>
        <w:rPr>
          <w:rFonts w:ascii="Times New Roman" w:hAnsi="Times New Roman" w:eastAsia="宋体"/>
          <w:b/>
          <w:bCs/>
          <w:color w:val="auto"/>
          <w:kern w:val="0"/>
          <w:highlight w:val="none"/>
        </w:rPr>
        <w:t xml:space="preserve"> 桥涵详细勘察桩基础钻孔深度控制</w:t>
      </w:r>
    </w:p>
    <w:tbl>
      <w:tblPr>
        <w:tblStyle w:val="22"/>
        <w:tblW w:w="82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545"/>
        <w:gridCol w:w="1125"/>
        <w:gridCol w:w="1155"/>
        <w:gridCol w:w="1170"/>
        <w:gridCol w:w="1200"/>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02" w:type="dxa"/>
            <w:vMerge w:val="restart"/>
            <w:tcBorders>
              <w:top w:val="single" w:color="auto" w:sz="12" w:space="0"/>
              <w:left w:val="single" w:color="auto" w:sz="12" w:space="0"/>
            </w:tcBorders>
            <w:vAlign w:val="center"/>
          </w:tcPr>
          <w:p>
            <w:pPr>
              <w:autoSpaceDE w:val="0"/>
              <w:autoSpaceDN w:val="0"/>
              <w:adjustRightInd w:val="0"/>
              <w:jc w:val="center"/>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基岩</w:t>
            </w:r>
          </w:p>
        </w:tc>
        <w:tc>
          <w:tcPr>
            <w:tcW w:w="1545" w:type="dxa"/>
            <w:vMerge w:val="restart"/>
            <w:tcBorders>
              <w:top w:val="single" w:color="auto" w:sz="12" w:space="0"/>
            </w:tcBorders>
            <w:vAlign w:val="center"/>
          </w:tcPr>
          <w:p>
            <w:pPr>
              <w:autoSpaceDE w:val="0"/>
              <w:autoSpaceDN w:val="0"/>
              <w:adjustRightInd w:val="0"/>
              <w:jc w:val="center"/>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中、微风化带埋深很大</w:t>
            </w:r>
          </w:p>
        </w:tc>
        <w:tc>
          <w:tcPr>
            <w:tcW w:w="6007" w:type="dxa"/>
            <w:gridSpan w:val="5"/>
            <w:tcBorders>
              <w:top w:val="single" w:color="auto" w:sz="12" w:space="0"/>
              <w:right w:val="single" w:color="auto" w:sz="12" w:space="0"/>
            </w:tcBorders>
            <w:vAlign w:val="center"/>
          </w:tcPr>
          <w:p>
            <w:pPr>
              <w:autoSpaceDE w:val="0"/>
              <w:autoSpaceDN w:val="0"/>
              <w:adjustRightInd w:val="0"/>
              <w:jc w:val="center"/>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中、微风化带埋深不太大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02" w:type="dxa"/>
            <w:vMerge w:val="continue"/>
            <w:tcBorders>
              <w:left w:val="single" w:color="auto" w:sz="12" w:space="0"/>
            </w:tcBorders>
            <w:vAlign w:val="center"/>
          </w:tcPr>
          <w:p>
            <w:pPr>
              <w:autoSpaceDE w:val="0"/>
              <w:autoSpaceDN w:val="0"/>
              <w:adjustRightInd w:val="0"/>
              <w:spacing w:line="360" w:lineRule="auto"/>
              <w:jc w:val="center"/>
              <w:rPr>
                <w:rFonts w:ascii="Times New Roman" w:hAnsi="Times New Roman" w:eastAsia="宋体"/>
                <w:color w:val="auto"/>
                <w:kern w:val="0"/>
                <w:sz w:val="18"/>
                <w:szCs w:val="18"/>
                <w:highlight w:val="none"/>
              </w:rPr>
            </w:pPr>
          </w:p>
        </w:tc>
        <w:tc>
          <w:tcPr>
            <w:tcW w:w="1545" w:type="dxa"/>
            <w:vMerge w:val="continue"/>
            <w:vAlign w:val="center"/>
          </w:tcPr>
          <w:p>
            <w:pPr>
              <w:autoSpaceDE w:val="0"/>
              <w:autoSpaceDN w:val="0"/>
              <w:adjustRightInd w:val="0"/>
              <w:jc w:val="center"/>
              <w:rPr>
                <w:rFonts w:ascii="Times New Roman" w:hAnsi="Times New Roman" w:eastAsia="宋体"/>
                <w:color w:val="auto"/>
                <w:kern w:val="0"/>
                <w:sz w:val="18"/>
                <w:szCs w:val="18"/>
                <w:highlight w:val="none"/>
              </w:rPr>
            </w:pPr>
          </w:p>
        </w:tc>
        <w:tc>
          <w:tcPr>
            <w:tcW w:w="2280" w:type="dxa"/>
            <w:gridSpan w:val="2"/>
            <w:vAlign w:val="center"/>
          </w:tcPr>
          <w:p>
            <w:pPr>
              <w:autoSpaceDE w:val="0"/>
              <w:autoSpaceDN w:val="0"/>
              <w:adjustRightInd w:val="0"/>
              <w:jc w:val="center"/>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较硬岩或坚硬岩</w:t>
            </w:r>
          </w:p>
        </w:tc>
        <w:tc>
          <w:tcPr>
            <w:tcW w:w="2370" w:type="dxa"/>
            <w:gridSpan w:val="2"/>
            <w:vAlign w:val="center"/>
          </w:tcPr>
          <w:p>
            <w:pPr>
              <w:autoSpaceDE w:val="0"/>
              <w:autoSpaceDN w:val="0"/>
              <w:adjustRightInd w:val="0"/>
              <w:jc w:val="center"/>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较软岩</w:t>
            </w:r>
          </w:p>
        </w:tc>
        <w:tc>
          <w:tcPr>
            <w:tcW w:w="1357" w:type="dxa"/>
            <w:tcBorders>
              <w:right w:val="single" w:color="auto" w:sz="12" w:space="0"/>
            </w:tcBorders>
            <w:vAlign w:val="center"/>
          </w:tcPr>
          <w:p>
            <w:pPr>
              <w:autoSpaceDE w:val="0"/>
              <w:autoSpaceDN w:val="0"/>
              <w:adjustRightInd w:val="0"/>
              <w:jc w:val="center"/>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软岩或极软岩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2" w:type="dxa"/>
            <w:tcBorders>
              <w:left w:val="single" w:color="auto" w:sz="12" w:space="0"/>
            </w:tcBorders>
            <w:vAlign w:val="center"/>
          </w:tcPr>
          <w:p>
            <w:pPr>
              <w:autoSpaceDE w:val="0"/>
              <w:autoSpaceDN w:val="0"/>
              <w:adjustRightInd w:val="0"/>
              <w:jc w:val="center"/>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覆盖层</w:t>
            </w:r>
          </w:p>
        </w:tc>
        <w:tc>
          <w:tcPr>
            <w:tcW w:w="1545" w:type="dxa"/>
            <w:vAlign w:val="center"/>
          </w:tcPr>
          <w:p>
            <w:pPr>
              <w:autoSpaceDE w:val="0"/>
              <w:autoSpaceDN w:val="0"/>
              <w:adjustRightInd w:val="0"/>
              <w:jc w:val="center"/>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有厚度超过15m的卵砾石层或土状全、强风化带</w:t>
            </w:r>
          </w:p>
        </w:tc>
        <w:tc>
          <w:tcPr>
            <w:tcW w:w="1125" w:type="dxa"/>
            <w:vAlign w:val="center"/>
          </w:tcPr>
          <w:p>
            <w:pPr>
              <w:autoSpaceDE w:val="0"/>
              <w:autoSpaceDN w:val="0"/>
              <w:adjustRightInd w:val="0"/>
              <w:jc w:val="center"/>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非软土厚度&lt;5m</w:t>
            </w:r>
          </w:p>
        </w:tc>
        <w:tc>
          <w:tcPr>
            <w:tcW w:w="1155" w:type="dxa"/>
            <w:vAlign w:val="center"/>
          </w:tcPr>
          <w:p>
            <w:pPr>
              <w:autoSpaceDE w:val="0"/>
              <w:autoSpaceDN w:val="0"/>
              <w:adjustRightInd w:val="0"/>
              <w:jc w:val="center"/>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非软土厚度</w:t>
            </w:r>
            <w:r>
              <w:rPr>
                <w:rFonts w:hint="eastAsia" w:ascii="宋体" w:hAnsi="宋体" w:eastAsia="宋体" w:cs="宋体"/>
                <w:color w:val="auto"/>
                <w:kern w:val="0"/>
                <w:sz w:val="18"/>
                <w:szCs w:val="18"/>
                <w:highlight w:val="none"/>
              </w:rPr>
              <w:t>≥</w:t>
            </w:r>
            <w:r>
              <w:rPr>
                <w:rFonts w:ascii="Times New Roman" w:hAnsi="Times New Roman" w:eastAsia="宋体"/>
                <w:color w:val="auto"/>
                <w:kern w:val="0"/>
                <w:sz w:val="18"/>
                <w:szCs w:val="18"/>
                <w:highlight w:val="none"/>
              </w:rPr>
              <w:t>15m</w:t>
            </w:r>
          </w:p>
        </w:tc>
        <w:tc>
          <w:tcPr>
            <w:tcW w:w="1170" w:type="dxa"/>
            <w:vAlign w:val="center"/>
          </w:tcPr>
          <w:p>
            <w:pPr>
              <w:autoSpaceDE w:val="0"/>
              <w:autoSpaceDN w:val="0"/>
              <w:adjustRightInd w:val="0"/>
              <w:jc w:val="center"/>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非软土厚度&lt;5m</w:t>
            </w:r>
          </w:p>
        </w:tc>
        <w:tc>
          <w:tcPr>
            <w:tcW w:w="1200" w:type="dxa"/>
            <w:vAlign w:val="center"/>
          </w:tcPr>
          <w:p>
            <w:pPr>
              <w:autoSpaceDE w:val="0"/>
              <w:autoSpaceDN w:val="0"/>
              <w:adjustRightInd w:val="0"/>
              <w:jc w:val="center"/>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非软土厚度</w:t>
            </w:r>
            <w:r>
              <w:rPr>
                <w:rFonts w:hint="eastAsia" w:ascii="宋体" w:hAnsi="宋体" w:eastAsia="宋体" w:cs="宋体"/>
                <w:color w:val="auto"/>
                <w:kern w:val="0"/>
                <w:sz w:val="18"/>
                <w:szCs w:val="18"/>
                <w:highlight w:val="none"/>
              </w:rPr>
              <w:t>≥</w:t>
            </w:r>
            <w:r>
              <w:rPr>
                <w:rFonts w:ascii="Times New Roman" w:hAnsi="Times New Roman" w:eastAsia="宋体"/>
                <w:color w:val="auto"/>
                <w:kern w:val="0"/>
                <w:sz w:val="18"/>
                <w:szCs w:val="18"/>
                <w:highlight w:val="none"/>
              </w:rPr>
              <w:t>15m</w:t>
            </w:r>
          </w:p>
        </w:tc>
        <w:tc>
          <w:tcPr>
            <w:tcW w:w="1357" w:type="dxa"/>
            <w:tcBorders>
              <w:right w:val="single" w:color="auto" w:sz="12" w:space="0"/>
            </w:tcBorders>
            <w:vAlign w:val="center"/>
          </w:tcPr>
          <w:p>
            <w:pPr>
              <w:autoSpaceDE w:val="0"/>
              <w:autoSpaceDN w:val="0"/>
              <w:adjustRightInd w:val="0"/>
              <w:jc w:val="center"/>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02" w:type="dxa"/>
            <w:tcBorders>
              <w:left w:val="single" w:color="auto" w:sz="12" w:space="0"/>
              <w:bottom w:val="single" w:color="auto" w:sz="12" w:space="0"/>
            </w:tcBorders>
            <w:vAlign w:val="center"/>
          </w:tcPr>
          <w:p>
            <w:pPr>
              <w:autoSpaceDE w:val="0"/>
              <w:autoSpaceDN w:val="0"/>
              <w:adjustRightInd w:val="0"/>
              <w:jc w:val="center"/>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深度控制</w:t>
            </w:r>
          </w:p>
        </w:tc>
        <w:tc>
          <w:tcPr>
            <w:tcW w:w="1545" w:type="dxa"/>
            <w:tcBorders>
              <w:bottom w:val="single" w:color="auto" w:sz="12" w:space="0"/>
            </w:tcBorders>
            <w:vAlign w:val="center"/>
          </w:tcPr>
          <w:p>
            <w:pPr>
              <w:autoSpaceDE w:val="0"/>
              <w:autoSpaceDN w:val="0"/>
              <w:adjustRightInd w:val="0"/>
              <w:jc w:val="center"/>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按摩擦桩计算确定孔深</w:t>
            </w:r>
          </w:p>
        </w:tc>
        <w:tc>
          <w:tcPr>
            <w:tcW w:w="1125" w:type="dxa"/>
            <w:tcBorders>
              <w:bottom w:val="single" w:color="auto" w:sz="12" w:space="0"/>
            </w:tcBorders>
            <w:vAlign w:val="center"/>
          </w:tcPr>
          <w:p>
            <w:pPr>
              <w:keepNext w:val="0"/>
              <w:keepLines w:val="0"/>
              <w:pageBreakBefore w:val="0"/>
              <w:widowControl w:val="0"/>
              <w:kinsoku/>
              <w:wordWrap/>
              <w:overflowPunct/>
              <w:topLinePunct w:val="0"/>
              <w:autoSpaceDE w:val="0"/>
              <w:autoSpaceDN w:val="0"/>
              <w:bidi w:val="0"/>
              <w:adjustRightInd w:val="0"/>
              <w:snapToGrid/>
              <w:ind w:left="-42" w:leftChars="-20" w:right="-42" w:rightChars="-20"/>
              <w:jc w:val="center"/>
              <w:textAlignment w:val="auto"/>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入中风化岩</w:t>
            </w:r>
            <w:r>
              <w:rPr>
                <w:rFonts w:hint="eastAsia" w:ascii="宋体" w:hAnsi="宋体" w:eastAsia="宋体" w:cs="宋体"/>
                <w:color w:val="auto"/>
                <w:kern w:val="0"/>
                <w:sz w:val="18"/>
                <w:szCs w:val="18"/>
                <w:highlight w:val="none"/>
              </w:rPr>
              <w:t>≥</w:t>
            </w:r>
            <w:r>
              <w:rPr>
                <w:rFonts w:ascii="Times New Roman" w:hAnsi="Times New Roman" w:eastAsia="宋体"/>
                <w:color w:val="auto"/>
                <w:kern w:val="0"/>
                <w:sz w:val="18"/>
                <w:szCs w:val="18"/>
                <w:highlight w:val="none"/>
              </w:rPr>
              <w:t>5m且</w:t>
            </w:r>
            <w:r>
              <w:rPr>
                <w:rFonts w:hint="eastAsia" w:ascii="宋体" w:hAnsi="宋体" w:eastAsia="宋体" w:cs="宋体"/>
                <w:color w:val="auto"/>
                <w:kern w:val="0"/>
                <w:sz w:val="18"/>
                <w:szCs w:val="18"/>
                <w:highlight w:val="none"/>
              </w:rPr>
              <w:t>≥</w:t>
            </w:r>
            <w:r>
              <w:rPr>
                <w:rFonts w:ascii="Times New Roman" w:hAnsi="Times New Roman" w:eastAsia="宋体"/>
                <w:color w:val="auto"/>
                <w:kern w:val="0"/>
                <w:sz w:val="18"/>
                <w:szCs w:val="18"/>
                <w:highlight w:val="none"/>
              </w:rPr>
              <w:t>6</w:t>
            </w:r>
            <w:r>
              <w:rPr>
                <w:rFonts w:ascii="Times New Roman" w:hAnsi="Times New Roman" w:eastAsia="宋体"/>
                <w:i/>
                <w:iCs/>
                <w:color w:val="auto"/>
                <w:kern w:val="0"/>
                <w:sz w:val="18"/>
                <w:szCs w:val="18"/>
                <w:highlight w:val="none"/>
              </w:rPr>
              <w:t>d</w:t>
            </w:r>
          </w:p>
        </w:tc>
        <w:tc>
          <w:tcPr>
            <w:tcW w:w="1155" w:type="dxa"/>
            <w:tcBorders>
              <w:bottom w:val="single" w:color="auto" w:sz="12" w:space="0"/>
            </w:tcBorders>
            <w:vAlign w:val="center"/>
          </w:tcPr>
          <w:p>
            <w:pPr>
              <w:keepNext w:val="0"/>
              <w:keepLines w:val="0"/>
              <w:pageBreakBefore w:val="0"/>
              <w:widowControl w:val="0"/>
              <w:kinsoku/>
              <w:wordWrap/>
              <w:overflowPunct/>
              <w:topLinePunct w:val="0"/>
              <w:autoSpaceDE w:val="0"/>
              <w:autoSpaceDN w:val="0"/>
              <w:bidi w:val="0"/>
              <w:adjustRightInd w:val="0"/>
              <w:snapToGrid/>
              <w:ind w:left="-42" w:leftChars="-20" w:right="-42" w:rightChars="-20"/>
              <w:jc w:val="center"/>
              <w:textAlignment w:val="auto"/>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入中风化岩</w:t>
            </w:r>
            <w:r>
              <w:rPr>
                <w:rFonts w:hint="eastAsia" w:ascii="宋体" w:hAnsi="宋体" w:eastAsia="宋体" w:cs="宋体"/>
                <w:color w:val="auto"/>
                <w:kern w:val="0"/>
                <w:sz w:val="18"/>
                <w:szCs w:val="18"/>
                <w:highlight w:val="none"/>
              </w:rPr>
              <w:t>≥</w:t>
            </w:r>
            <w:r>
              <w:rPr>
                <w:rFonts w:hint="eastAsia" w:ascii="Times New Roman" w:hAnsi="Times New Roman" w:eastAsia="宋体"/>
                <w:color w:val="auto"/>
                <w:kern w:val="0"/>
                <w:sz w:val="18"/>
                <w:szCs w:val="18"/>
                <w:highlight w:val="none"/>
              </w:rPr>
              <w:t>4</w:t>
            </w:r>
            <w:r>
              <w:rPr>
                <w:rFonts w:ascii="Times New Roman" w:hAnsi="Times New Roman" w:eastAsia="宋体"/>
                <w:color w:val="auto"/>
                <w:kern w:val="0"/>
                <w:sz w:val="18"/>
                <w:szCs w:val="18"/>
                <w:highlight w:val="none"/>
              </w:rPr>
              <w:t>m且</w:t>
            </w:r>
            <w:r>
              <w:rPr>
                <w:rFonts w:hint="eastAsia" w:ascii="宋体" w:hAnsi="宋体" w:eastAsia="宋体" w:cs="宋体"/>
                <w:color w:val="auto"/>
                <w:kern w:val="0"/>
                <w:sz w:val="18"/>
                <w:szCs w:val="18"/>
                <w:highlight w:val="none"/>
              </w:rPr>
              <w:t>≥</w:t>
            </w:r>
            <w:r>
              <w:rPr>
                <w:rFonts w:ascii="Times New Roman" w:hAnsi="Times New Roman" w:eastAsia="宋体"/>
                <w:color w:val="auto"/>
                <w:kern w:val="0"/>
                <w:sz w:val="18"/>
                <w:szCs w:val="18"/>
                <w:highlight w:val="none"/>
              </w:rPr>
              <w:t>4</w:t>
            </w:r>
            <w:r>
              <w:rPr>
                <w:rFonts w:ascii="Times New Roman" w:hAnsi="Times New Roman" w:eastAsia="宋体"/>
                <w:i/>
                <w:iCs/>
                <w:color w:val="auto"/>
                <w:kern w:val="0"/>
                <w:sz w:val="18"/>
                <w:szCs w:val="18"/>
                <w:highlight w:val="none"/>
              </w:rPr>
              <w:t>d</w:t>
            </w:r>
          </w:p>
        </w:tc>
        <w:tc>
          <w:tcPr>
            <w:tcW w:w="1170" w:type="dxa"/>
            <w:tcBorders>
              <w:bottom w:val="single" w:color="auto" w:sz="12" w:space="0"/>
            </w:tcBorders>
            <w:vAlign w:val="center"/>
          </w:tcPr>
          <w:p>
            <w:pPr>
              <w:keepNext w:val="0"/>
              <w:keepLines w:val="0"/>
              <w:pageBreakBefore w:val="0"/>
              <w:widowControl w:val="0"/>
              <w:kinsoku/>
              <w:wordWrap/>
              <w:overflowPunct/>
              <w:topLinePunct w:val="0"/>
              <w:autoSpaceDE w:val="0"/>
              <w:autoSpaceDN w:val="0"/>
              <w:bidi w:val="0"/>
              <w:adjustRightInd w:val="0"/>
              <w:snapToGrid/>
              <w:ind w:left="-42" w:leftChars="-20" w:right="-42" w:rightChars="-20"/>
              <w:jc w:val="center"/>
              <w:textAlignment w:val="auto"/>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入微风化岩</w:t>
            </w:r>
            <w:r>
              <w:rPr>
                <w:rFonts w:hint="eastAsia" w:ascii="宋体" w:hAnsi="宋体" w:eastAsia="宋体" w:cs="宋体"/>
                <w:color w:val="auto"/>
                <w:kern w:val="0"/>
                <w:sz w:val="18"/>
                <w:szCs w:val="18"/>
                <w:highlight w:val="none"/>
              </w:rPr>
              <w:t>≥</w:t>
            </w:r>
            <w:r>
              <w:rPr>
                <w:rFonts w:ascii="Times New Roman" w:hAnsi="Times New Roman" w:eastAsia="宋体"/>
                <w:color w:val="auto"/>
                <w:kern w:val="0"/>
                <w:sz w:val="18"/>
                <w:szCs w:val="18"/>
                <w:highlight w:val="none"/>
              </w:rPr>
              <w:t>5m且</w:t>
            </w:r>
            <w:r>
              <w:rPr>
                <w:rFonts w:hint="eastAsia" w:ascii="宋体" w:hAnsi="宋体" w:eastAsia="宋体" w:cs="宋体"/>
                <w:color w:val="auto"/>
                <w:kern w:val="0"/>
                <w:sz w:val="18"/>
                <w:szCs w:val="18"/>
                <w:highlight w:val="none"/>
              </w:rPr>
              <w:t>≥</w:t>
            </w:r>
            <w:r>
              <w:rPr>
                <w:rFonts w:ascii="Times New Roman" w:hAnsi="Times New Roman" w:eastAsia="宋体"/>
                <w:color w:val="auto"/>
                <w:kern w:val="0"/>
                <w:sz w:val="18"/>
                <w:szCs w:val="18"/>
                <w:highlight w:val="none"/>
              </w:rPr>
              <w:t>6</w:t>
            </w:r>
            <w:r>
              <w:rPr>
                <w:rFonts w:ascii="Times New Roman" w:hAnsi="Times New Roman" w:eastAsia="宋体"/>
                <w:i/>
                <w:iCs/>
                <w:color w:val="auto"/>
                <w:kern w:val="0"/>
                <w:sz w:val="18"/>
                <w:szCs w:val="18"/>
                <w:highlight w:val="none"/>
              </w:rPr>
              <w:t>d</w:t>
            </w:r>
          </w:p>
        </w:tc>
        <w:tc>
          <w:tcPr>
            <w:tcW w:w="1200" w:type="dxa"/>
            <w:tcBorders>
              <w:bottom w:val="single" w:color="auto" w:sz="12" w:space="0"/>
            </w:tcBorders>
            <w:vAlign w:val="center"/>
          </w:tcPr>
          <w:p>
            <w:pPr>
              <w:keepNext w:val="0"/>
              <w:keepLines w:val="0"/>
              <w:pageBreakBefore w:val="0"/>
              <w:widowControl w:val="0"/>
              <w:kinsoku/>
              <w:wordWrap/>
              <w:overflowPunct/>
              <w:topLinePunct w:val="0"/>
              <w:autoSpaceDE w:val="0"/>
              <w:autoSpaceDN w:val="0"/>
              <w:bidi w:val="0"/>
              <w:adjustRightInd w:val="0"/>
              <w:snapToGrid/>
              <w:ind w:left="-42" w:leftChars="-20" w:right="-42" w:rightChars="-20"/>
              <w:jc w:val="center"/>
              <w:textAlignment w:val="auto"/>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入微风化岩</w:t>
            </w:r>
            <w:r>
              <w:rPr>
                <w:rFonts w:hint="eastAsia" w:ascii="宋体" w:hAnsi="宋体" w:eastAsia="宋体" w:cs="宋体"/>
                <w:color w:val="auto"/>
                <w:kern w:val="0"/>
                <w:sz w:val="18"/>
                <w:szCs w:val="18"/>
                <w:highlight w:val="none"/>
              </w:rPr>
              <w:t>≥</w:t>
            </w:r>
            <w:r>
              <w:rPr>
                <w:rFonts w:hint="eastAsia" w:ascii="Times New Roman" w:hAnsi="Times New Roman" w:eastAsia="宋体"/>
                <w:color w:val="auto"/>
                <w:kern w:val="0"/>
                <w:sz w:val="18"/>
                <w:szCs w:val="18"/>
                <w:highlight w:val="none"/>
              </w:rPr>
              <w:t>4</w:t>
            </w:r>
            <w:r>
              <w:rPr>
                <w:rFonts w:ascii="Times New Roman" w:hAnsi="Times New Roman" w:eastAsia="宋体"/>
                <w:color w:val="auto"/>
                <w:kern w:val="0"/>
                <w:sz w:val="18"/>
                <w:szCs w:val="18"/>
                <w:highlight w:val="none"/>
              </w:rPr>
              <w:t>m且</w:t>
            </w:r>
            <w:r>
              <w:rPr>
                <w:rFonts w:hint="eastAsia" w:ascii="宋体" w:hAnsi="宋体" w:eastAsia="宋体" w:cs="宋体"/>
                <w:color w:val="auto"/>
                <w:kern w:val="0"/>
                <w:sz w:val="18"/>
                <w:szCs w:val="18"/>
                <w:highlight w:val="none"/>
              </w:rPr>
              <w:t>≥</w:t>
            </w:r>
            <w:r>
              <w:rPr>
                <w:rFonts w:ascii="Times New Roman" w:hAnsi="Times New Roman" w:eastAsia="宋体"/>
                <w:color w:val="auto"/>
                <w:kern w:val="0"/>
                <w:sz w:val="18"/>
                <w:szCs w:val="18"/>
                <w:highlight w:val="none"/>
              </w:rPr>
              <w:t>4</w:t>
            </w:r>
            <w:r>
              <w:rPr>
                <w:rFonts w:ascii="Times New Roman" w:hAnsi="Times New Roman" w:eastAsia="宋体"/>
                <w:i/>
                <w:iCs/>
                <w:color w:val="auto"/>
                <w:kern w:val="0"/>
                <w:sz w:val="18"/>
                <w:szCs w:val="18"/>
                <w:highlight w:val="none"/>
              </w:rPr>
              <w:t>d</w:t>
            </w:r>
          </w:p>
        </w:tc>
        <w:tc>
          <w:tcPr>
            <w:tcW w:w="1357" w:type="dxa"/>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val="0"/>
              <w:autoSpaceDN w:val="0"/>
              <w:bidi w:val="0"/>
              <w:adjustRightInd w:val="0"/>
              <w:snapToGrid/>
              <w:ind w:left="-42" w:leftChars="-20" w:right="-42" w:rightChars="-20"/>
              <w:jc w:val="center"/>
              <w:textAlignment w:val="auto"/>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入微风化岩</w:t>
            </w:r>
            <w:r>
              <w:rPr>
                <w:rFonts w:hint="eastAsia" w:ascii="宋体" w:hAnsi="宋体" w:eastAsia="宋体" w:cs="宋体"/>
                <w:color w:val="auto"/>
                <w:kern w:val="0"/>
                <w:sz w:val="18"/>
                <w:szCs w:val="18"/>
                <w:highlight w:val="none"/>
              </w:rPr>
              <w:t>≥</w:t>
            </w:r>
            <w:r>
              <w:rPr>
                <w:rFonts w:hint="eastAsia" w:ascii="Times New Roman" w:hAnsi="Times New Roman" w:eastAsia="宋体"/>
                <w:color w:val="auto"/>
                <w:kern w:val="0"/>
                <w:sz w:val="18"/>
                <w:szCs w:val="18"/>
                <w:highlight w:val="none"/>
              </w:rPr>
              <w:t>7</w:t>
            </w:r>
            <w:r>
              <w:rPr>
                <w:rFonts w:ascii="Times New Roman" w:hAnsi="Times New Roman" w:eastAsia="宋体"/>
                <w:color w:val="auto"/>
                <w:kern w:val="0"/>
                <w:sz w:val="18"/>
                <w:szCs w:val="18"/>
                <w:highlight w:val="none"/>
              </w:rPr>
              <w:t>m且</w:t>
            </w:r>
            <w:r>
              <w:rPr>
                <w:rFonts w:hint="eastAsia" w:ascii="宋体" w:hAnsi="宋体" w:eastAsia="宋体" w:cs="宋体"/>
                <w:color w:val="auto"/>
                <w:kern w:val="0"/>
                <w:sz w:val="18"/>
                <w:szCs w:val="18"/>
                <w:highlight w:val="none"/>
              </w:rPr>
              <w:t>≥</w:t>
            </w:r>
            <w:r>
              <w:rPr>
                <w:rFonts w:ascii="Times New Roman" w:hAnsi="Times New Roman" w:eastAsia="宋体"/>
                <w:color w:val="auto"/>
                <w:kern w:val="0"/>
                <w:sz w:val="18"/>
                <w:szCs w:val="18"/>
                <w:highlight w:val="none"/>
              </w:rPr>
              <w:t>8</w:t>
            </w:r>
            <w:r>
              <w:rPr>
                <w:rFonts w:ascii="Times New Roman" w:hAnsi="Times New Roman" w:eastAsia="宋体"/>
                <w:i/>
                <w:iCs/>
                <w:color w:val="auto"/>
                <w:kern w:val="0"/>
                <w:sz w:val="18"/>
                <w:szCs w:val="18"/>
                <w:highlight w:val="none"/>
              </w:rPr>
              <w:t>d</w:t>
            </w:r>
          </w:p>
        </w:tc>
      </w:tr>
    </w:tbl>
    <w:p>
      <w:pPr>
        <w:autoSpaceDE w:val="0"/>
        <w:autoSpaceDN w:val="0"/>
        <w:adjustRightInd w:val="0"/>
        <w:ind w:left="540" w:hanging="540" w:hangingChars="300"/>
        <w:jc w:val="left"/>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注：1  软岩或极软岩宜按摩擦桩验算竖向承载力，并确定是否需要继续加深；</w:t>
      </w:r>
    </w:p>
    <w:p>
      <w:pPr>
        <w:autoSpaceDE w:val="0"/>
        <w:autoSpaceDN w:val="0"/>
        <w:adjustRightInd w:val="0"/>
        <w:ind w:left="573" w:leftChars="170" w:hanging="216" w:hangingChars="120"/>
        <w:jc w:val="left"/>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2  当两桩的中心距不超过5m时，先</w:t>
      </w:r>
      <w:r>
        <w:rPr>
          <w:rFonts w:hint="eastAsia" w:ascii="Times New Roman" w:hAnsi="Times New Roman" w:eastAsia="宋体" w:cs="Times New Roman"/>
          <w:color w:val="auto"/>
          <w:kern w:val="0"/>
          <w:sz w:val="18"/>
          <w:szCs w:val="18"/>
          <w:highlight w:val="none"/>
          <w:lang w:eastAsia="zh-CN"/>
        </w:rPr>
        <w:t>勘探</w:t>
      </w:r>
      <w:r>
        <w:rPr>
          <w:rFonts w:hint="default" w:ascii="Times New Roman" w:hAnsi="Times New Roman" w:eastAsia="宋体" w:cs="Times New Roman"/>
          <w:color w:val="auto"/>
          <w:kern w:val="0"/>
          <w:sz w:val="18"/>
          <w:szCs w:val="18"/>
          <w:highlight w:val="none"/>
        </w:rPr>
        <w:t>桩位的勘探点宜适当加深或暂不封孔，确保两桩的勘探点终孔深度不过于悬殊；</w:t>
      </w:r>
    </w:p>
    <w:p>
      <w:pPr>
        <w:autoSpaceDE w:val="0"/>
        <w:autoSpaceDN w:val="0"/>
        <w:adjustRightInd w:val="0"/>
        <w:ind w:left="573" w:leftChars="170" w:hanging="216" w:hangingChars="120"/>
        <w:jc w:val="left"/>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3</w:t>
      </w:r>
      <w:bookmarkStart w:id="370" w:name="_Hlk78893615"/>
      <w:r>
        <w:rPr>
          <w:rFonts w:hint="default" w:ascii="Times New Roman" w:hAnsi="Times New Roman" w:eastAsia="宋体" w:cs="Times New Roman"/>
          <w:color w:val="auto"/>
          <w:kern w:val="0"/>
          <w:sz w:val="18"/>
          <w:szCs w:val="18"/>
          <w:highlight w:val="none"/>
          <w:lang w:val="en-US" w:eastAsia="zh-CN"/>
        </w:rPr>
        <w:t xml:space="preserve"> </w:t>
      </w:r>
      <w:r>
        <w:rPr>
          <w:rFonts w:hint="default" w:ascii="Times New Roman" w:hAnsi="Times New Roman" w:eastAsia="宋体" w:cs="Times New Roman"/>
          <w:color w:val="auto"/>
          <w:kern w:val="0"/>
          <w:sz w:val="18"/>
          <w:szCs w:val="18"/>
          <w:highlight w:val="none"/>
        </w:rPr>
        <w:t>当邻近地铁、地下室等地下重要建筑物时，宜适当加深孔深，一般应不小于地铁、地下室基础以下5m或5</w:t>
      </w:r>
      <w:r>
        <w:rPr>
          <w:rFonts w:hint="default" w:ascii="Times New Roman" w:hAnsi="Times New Roman" w:eastAsia="宋体" w:cs="Times New Roman"/>
          <w:i/>
          <w:iCs/>
          <w:color w:val="auto"/>
          <w:kern w:val="0"/>
          <w:sz w:val="18"/>
          <w:szCs w:val="18"/>
          <w:highlight w:val="none"/>
        </w:rPr>
        <w:t>d</w:t>
      </w:r>
      <w:bookmarkEnd w:id="370"/>
      <w:r>
        <w:rPr>
          <w:rFonts w:hint="default" w:ascii="Times New Roman" w:hAnsi="Times New Roman" w:eastAsia="宋体" w:cs="Times New Roman"/>
          <w:color w:val="auto"/>
          <w:kern w:val="0"/>
          <w:sz w:val="18"/>
          <w:szCs w:val="18"/>
          <w:highlight w:val="none"/>
        </w:rPr>
        <w:t>。</w:t>
      </w:r>
    </w:p>
    <w:p>
      <w:pPr>
        <w:pStyle w:val="44"/>
        <w:autoSpaceDE w:val="0"/>
        <w:autoSpaceDN w:val="0"/>
        <w:adjustRightInd w:val="0"/>
        <w:spacing w:line="360" w:lineRule="auto"/>
        <w:jc w:val="left"/>
        <w:rPr>
          <w:rFonts w:ascii="Times New Roman" w:hAnsi="Times New Roman" w:eastAsia="宋体"/>
          <w:color w:val="auto"/>
          <w:highlight w:val="none"/>
        </w:rPr>
      </w:pPr>
      <w:r>
        <w:rPr>
          <w:rFonts w:ascii="Times New Roman" w:hAnsi="Times New Roman" w:eastAsia="宋体"/>
          <w:color w:val="auto"/>
          <w:highlight w:val="none"/>
        </w:rPr>
        <w:t>关于中、微风化带埋深很大还是不太大，要视覆盖层具体情况而判断。如果覆盖层情况相对较好，例如主要是可塑以上的黏性土、中密以上的砂土和全、强风化带，一般超过45m就可以视作很大了，因为这时往往可以采用摩擦桩方案了；但如果覆盖层情况较差，例如四十来米都是软土，那么55m都不算很大。</w:t>
      </w:r>
    </w:p>
    <w:p>
      <w:pPr>
        <w:pStyle w:val="44"/>
        <w:autoSpaceDE w:val="0"/>
        <w:autoSpaceDN w:val="0"/>
        <w:adjustRightInd w:val="0"/>
        <w:spacing w:line="360" w:lineRule="auto"/>
        <w:jc w:val="left"/>
        <w:rPr>
          <w:rFonts w:ascii="Times New Roman" w:hAnsi="Times New Roman" w:eastAsia="宋体"/>
          <w:color w:val="auto"/>
          <w:kern w:val="0"/>
          <w:highlight w:val="none"/>
        </w:rPr>
      </w:pPr>
      <w:r>
        <w:rPr>
          <w:rFonts w:ascii="Times New Roman" w:hAnsi="Times New Roman" w:eastAsia="宋体"/>
          <w:color w:val="auto"/>
          <w:highlight w:val="none"/>
        </w:rPr>
        <w:t>对于溶洞、破碎带或软弱夹层发育的岩层，可能很难找到连续的中、微风化岩层作为桩基持力层而按表6</w:t>
      </w:r>
      <w:r>
        <w:rPr>
          <w:rFonts w:hint="eastAsia" w:ascii="Times New Roman" w:hAnsi="Times New Roman" w:eastAsia="宋体"/>
          <w:color w:val="auto"/>
          <w:highlight w:val="none"/>
          <w:lang w:val="en-US" w:eastAsia="zh-CN"/>
        </w:rPr>
        <w:t>-2的标准</w:t>
      </w:r>
      <w:r>
        <w:rPr>
          <w:rFonts w:ascii="Times New Roman" w:hAnsi="Times New Roman" w:eastAsia="宋体"/>
          <w:color w:val="auto"/>
          <w:highlight w:val="none"/>
        </w:rPr>
        <w:t>终孔。在孔深已达50m时，设计桩长已可达40m以上，</w:t>
      </w:r>
      <w:r>
        <w:rPr>
          <w:rFonts w:hint="eastAsia"/>
          <w:color w:val="auto"/>
          <w:highlight w:val="none"/>
          <w:lang w:val="en-US" w:eastAsia="zh-CN"/>
        </w:rPr>
        <w:t>建议</w:t>
      </w:r>
      <w:r>
        <w:rPr>
          <w:rFonts w:ascii="Times New Roman" w:hAnsi="Times New Roman" w:eastAsia="宋体"/>
          <w:color w:val="auto"/>
          <w:highlight w:val="none"/>
        </w:rPr>
        <w:t>进行摩擦桩验算，若经验算表明摩擦桩可行，则可予以终孔；否则</w:t>
      </w:r>
      <w:r>
        <w:rPr>
          <w:rFonts w:hint="eastAsia"/>
          <w:color w:val="auto"/>
          <w:highlight w:val="none"/>
          <w:lang w:val="en-US" w:eastAsia="zh-CN"/>
        </w:rPr>
        <w:t>当</w:t>
      </w:r>
      <w:r>
        <w:rPr>
          <w:rFonts w:ascii="Times New Roman" w:hAnsi="Times New Roman" w:eastAsia="宋体"/>
          <w:color w:val="auto"/>
          <w:highlight w:val="none"/>
        </w:rPr>
        <w:t>继续钻进。但是，若孔深达70m仍满足不了表6</w:t>
      </w:r>
      <w:r>
        <w:rPr>
          <w:rFonts w:hint="eastAsia" w:ascii="Times New Roman" w:hAnsi="Times New Roman" w:eastAsia="宋体"/>
          <w:color w:val="auto"/>
          <w:highlight w:val="none"/>
          <w:lang w:val="en-US" w:eastAsia="zh-CN"/>
        </w:rPr>
        <w:t>-2</w:t>
      </w:r>
      <w:r>
        <w:rPr>
          <w:rFonts w:ascii="Times New Roman" w:hAnsi="Times New Roman" w:eastAsia="宋体"/>
          <w:color w:val="auto"/>
          <w:highlight w:val="none"/>
        </w:rPr>
        <w:t>的终孔要求，摩擦桩验算也通不过，则</w:t>
      </w:r>
      <w:r>
        <w:rPr>
          <w:rFonts w:hint="eastAsia"/>
          <w:color w:val="auto"/>
          <w:highlight w:val="none"/>
          <w:lang w:val="en-US" w:eastAsia="zh-CN"/>
        </w:rPr>
        <w:t>需要</w:t>
      </w:r>
      <w:r>
        <w:rPr>
          <w:rFonts w:ascii="Times New Roman" w:hAnsi="Times New Roman" w:eastAsia="宋体"/>
          <w:color w:val="auto"/>
          <w:highlight w:val="none"/>
        </w:rPr>
        <w:t>告知设计人员，确定是否调整桩位或基础形式，再决定是否继续钻进。</w:t>
      </w:r>
    </w:p>
    <w:p>
      <w:pPr>
        <w:pStyle w:val="44"/>
        <w:autoSpaceDE w:val="0"/>
        <w:autoSpaceDN w:val="0"/>
        <w:adjustRightInd w:val="0"/>
        <w:spacing w:line="360" w:lineRule="auto"/>
        <w:jc w:val="left"/>
        <w:rPr>
          <w:rFonts w:ascii="Times New Roman" w:hAnsi="Times New Roman" w:eastAsia="宋体"/>
          <w:color w:val="auto"/>
          <w:highlight w:val="none"/>
        </w:rPr>
      </w:pPr>
      <w:r>
        <w:rPr>
          <w:rFonts w:ascii="Times New Roman" w:hAnsi="Times New Roman" w:eastAsia="宋体"/>
          <w:color w:val="auto"/>
          <w:highlight w:val="none"/>
        </w:rPr>
        <w:t>桥梁桩基础的混凝土标号一般在C25~C35之间，轴心抗压强度标准值介于16.7~23.4 MPa之间，与中风化较硬岩或微风化较软岩相当，因此，入岩按微风化较软岩或中风化较硬岩、硬岩控制时，只要全断面入岩，可不考虑竖向承载力大小，主要考虑水平向是否稳定。此时，在覆盖层非软土厚度&lt;5m的情况下，土对桩身的水平向约束很小，故桩长按桩端全断面入岩2.5倍桩径考虑；考虑到岩面的倾斜，按桩端进入揭示的岩面以下3倍桩径计。在该深度基础上，加上桩端以下3倍桩径岩体，因此</w:t>
      </w:r>
      <w:r>
        <w:rPr>
          <w:rFonts w:hint="eastAsia" w:ascii="Times New Roman" w:hAnsi="Times New Roman" w:eastAsia="宋体"/>
          <w:color w:val="auto"/>
          <w:highlight w:val="none"/>
          <w:lang w:eastAsia="zh-CN"/>
        </w:rPr>
        <w:t>勘探</w:t>
      </w:r>
      <w:r>
        <w:rPr>
          <w:rFonts w:ascii="Times New Roman" w:hAnsi="Times New Roman" w:eastAsia="宋体"/>
          <w:color w:val="auto"/>
          <w:highlight w:val="none"/>
        </w:rPr>
        <w:t>需要入岩6倍d；在桩径不明确的情况下，至少按0.8m桩径的6倍考虑，即大约5m。而当覆盖层的非软土厚度</w:t>
      </w:r>
      <w:r>
        <w:rPr>
          <w:rFonts w:hint="eastAsia" w:ascii="宋体" w:hAnsi="宋体" w:eastAsia="宋体" w:cs="宋体"/>
          <w:color w:val="auto"/>
          <w:highlight w:val="none"/>
        </w:rPr>
        <w:t>≥</w:t>
      </w:r>
      <w:r>
        <w:rPr>
          <w:rFonts w:ascii="Times New Roman" w:hAnsi="Times New Roman" w:eastAsia="宋体"/>
          <w:color w:val="auto"/>
          <w:highlight w:val="none"/>
        </w:rPr>
        <w:t>15m时，桩基水平向约束有保障，此时只要保证桩端全断面入岩。</w:t>
      </w:r>
    </w:p>
    <w:p>
      <w:pPr>
        <w:pStyle w:val="44"/>
        <w:autoSpaceDE w:val="0"/>
        <w:autoSpaceDN w:val="0"/>
        <w:adjustRightInd w:val="0"/>
        <w:spacing w:line="360" w:lineRule="auto"/>
        <w:jc w:val="left"/>
        <w:rPr>
          <w:rFonts w:hint="eastAsia" w:ascii="Times New Roman" w:hAnsi="Times New Roman" w:eastAsia="宋体"/>
          <w:color w:val="auto"/>
          <w:highlight w:val="none"/>
          <w:lang w:eastAsia="zh-CN"/>
        </w:rPr>
      </w:pPr>
      <w:r>
        <w:rPr>
          <w:color w:val="auto"/>
          <w:sz w:val="21"/>
          <w:highlight w:val="none"/>
        </w:rPr>
        <mc:AlternateContent>
          <mc:Choice Requires="wps">
            <w:drawing>
              <wp:anchor distT="0" distB="0" distL="114300" distR="114300" simplePos="0" relativeHeight="251715584" behindDoc="0" locked="0" layoutInCell="1" allowOverlap="1">
                <wp:simplePos x="0" y="0"/>
                <wp:positionH relativeFrom="column">
                  <wp:posOffset>4485005</wp:posOffset>
                </wp:positionH>
                <wp:positionV relativeFrom="paragraph">
                  <wp:posOffset>1039495</wp:posOffset>
                </wp:positionV>
                <wp:extent cx="730250" cy="273050"/>
                <wp:effectExtent l="0" t="0" r="12700" b="12700"/>
                <wp:wrapNone/>
                <wp:docPr id="18" name="文本框 18"/>
                <wp:cNvGraphicFramePr/>
                <a:graphic xmlns:a="http://schemas.openxmlformats.org/drawingml/2006/main">
                  <a:graphicData uri="http://schemas.microsoft.com/office/word/2010/wordprocessingShape">
                    <wps:wsp>
                      <wps:cNvSpPr txBox="1"/>
                      <wps:spPr>
                        <a:xfrm>
                          <a:off x="5628005" y="2845435"/>
                          <a:ext cx="730250"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eastAsia="宋体"/>
                                <w:lang w:val="en-US" w:eastAsia="zh-CN"/>
                              </w:rPr>
                            </w:pPr>
                            <w:r>
                              <w:rPr>
                                <w:rFonts w:hint="eastAsia"/>
                                <w:lang w:val="en-US" w:eastAsia="zh-CN"/>
                              </w:rPr>
                              <w:t>(6-2)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15pt;margin-top:81.85pt;height:21.5pt;width:57.5pt;z-index:251715584;mso-width-relative:page;mso-height-relative:page;" fillcolor="#FFFFFF [3201]" filled="t" stroked="f" coordsize="21600,21600" o:gfxdata="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SEMmzWAAAA&#10;CwEAAA8AAAAAAAAAAQAgAAAAIgAAAGRycy9kb3ducmV2LnhtbFBLAQIUABQAAAAIAIdO4kCwLFXQ&#10;WAIAAJwEAAAOAAAAAAAAAAEAIAAAACUBAABkcnMvZTJvRG9jLnhtbFBLBQYAAAAABgAGAFkBAADv&#10;BQAAAAA=&#10;">
                <v:fill on="t" focussize="0,0"/>
                <v:stroke on="f" weight="0.5pt"/>
                <v:imagedata o:title=""/>
                <o:lock v:ext="edit" aspectratio="f"/>
                <v:textbox>
                  <w:txbxContent>
                    <w:p>
                      <w:pPr>
                        <w:jc w:val="right"/>
                        <w:rPr>
                          <w:rFonts w:hint="default" w:eastAsia="宋体"/>
                          <w:lang w:val="en-US" w:eastAsia="zh-CN"/>
                        </w:rPr>
                      </w:pPr>
                      <w:r>
                        <w:rPr>
                          <w:rFonts w:hint="eastAsia"/>
                          <w:lang w:val="en-US" w:eastAsia="zh-CN"/>
                        </w:rPr>
                        <w:t>(6-2)</w:t>
                      </w:r>
                    </w:p>
                  </w:txbxContent>
                </v:textbox>
              </v:shape>
            </w:pict>
          </mc:Fallback>
        </mc:AlternateContent>
      </w:r>
      <w:r>
        <w:rPr>
          <w:rFonts w:ascii="Times New Roman" w:hAnsi="Times New Roman" w:eastAsia="宋体"/>
          <w:color w:val="auto"/>
          <w:highlight w:val="none"/>
        </w:rPr>
        <w:t>非软土覆盖层≥15m时认为桩基水平向有足够约束是基于桩的有效入土深度考虑的，即要求桩的换算入土深度</w:t>
      </w:r>
      <w:r>
        <w:rPr>
          <w:rFonts w:ascii="Times New Roman" w:hAnsi="Times New Roman" w:eastAsia="宋体"/>
          <w:i/>
          <w:iCs/>
          <w:color w:val="auto"/>
          <w:highlight w:val="none"/>
        </w:rPr>
        <w:t>h</w:t>
      </w:r>
      <w:r>
        <w:rPr>
          <w:rFonts w:ascii="Times New Roman" w:hAnsi="Times New Roman" w:eastAsia="宋体"/>
          <w:color w:val="auto"/>
          <w:highlight w:val="none"/>
        </w:rPr>
        <w:t>大小合适，正常桩基一般不超过4.0。其中，桩的水平变形系数α按下式</w:t>
      </w:r>
      <w:r>
        <w:rPr>
          <w:rFonts w:hint="eastAsia" w:ascii="Times New Roman" w:hAnsi="Times New Roman" w:eastAsia="宋体"/>
          <w:color w:val="auto"/>
          <w:highlight w:val="none"/>
        </w:rPr>
        <w:t>（6-2）</w:t>
      </w:r>
      <w:r>
        <w:rPr>
          <w:rFonts w:ascii="Times New Roman" w:hAnsi="Times New Roman" w:eastAsia="宋体"/>
          <w:color w:val="auto"/>
          <w:highlight w:val="none"/>
        </w:rPr>
        <w:t>计算：</w:t>
      </w:r>
      <w:r>
        <w:rPr>
          <w:rFonts w:ascii="Times New Roman" w:hAnsi="Times New Roman" w:eastAsia="宋体"/>
          <w:color w:val="auto"/>
          <w:highlight w:val="none"/>
        </w:rPr>
        <w:tab/>
      </w:r>
    </w:p>
    <w:p>
      <w:pPr>
        <w:pStyle w:val="44"/>
        <w:autoSpaceDE w:val="0"/>
        <w:autoSpaceDN w:val="0"/>
        <w:adjustRightInd w:val="0"/>
        <w:spacing w:line="360" w:lineRule="auto"/>
        <w:jc w:val="left"/>
        <w:rPr>
          <w:rFonts w:hint="default" w:ascii="Cambria Math" w:hAnsi="Cambria Math"/>
          <w:color w:val="auto"/>
          <w:highlight w:val="none"/>
          <w:lang w:val="en-US" w:eastAsia="zh-CN"/>
        </w:rPr>
      </w:pPr>
      <m:oMathPara>
        <m:oMath>
          <m:r>
            <m:rPr/>
            <w:rPr>
              <w:rFonts w:hint="default" w:ascii="Cambria Math" w:hAnsi="Cambria Math"/>
              <w:color w:val="auto"/>
              <w:sz w:val="21"/>
              <w:highlight w:val="none"/>
            </w:rPr>
            <m:t>α</m:t>
          </m:r>
          <m:r>
            <m:rPr>
              <m:sty m:val="p"/>
            </m:rPr>
            <w:rPr>
              <w:rFonts w:hint="default" w:ascii="Cambria Math" w:hAnsi="Cambria Math"/>
              <w:color w:val="auto"/>
              <w:sz w:val="21"/>
              <w:highlight w:val="none"/>
              <w:lang w:val="en-US" w:eastAsia="zh-CN"/>
            </w:rPr>
            <m:t>=</m:t>
          </m:r>
          <m:rad>
            <m:radPr>
              <m:ctrlPr>
                <w:rPr>
                  <w:rFonts w:hint="default" w:ascii="Cambria Math" w:hAnsi="Cambria Math"/>
                  <w:color w:val="auto"/>
                  <w:sz w:val="21"/>
                  <w:highlight w:val="none"/>
                  <w:lang w:val="en-US" w:eastAsia="zh-CN"/>
                </w:rPr>
              </m:ctrlPr>
            </m:radPr>
            <m:deg>
              <m:r>
                <m:rPr>
                  <m:sty m:val="p"/>
                </m:rPr>
                <w:rPr>
                  <w:rFonts w:hint="default" w:ascii="Cambria Math" w:hAnsi="Cambria Math"/>
                  <w:color w:val="auto"/>
                  <w:sz w:val="21"/>
                  <w:highlight w:val="none"/>
                  <w:lang w:val="en-US" w:eastAsia="zh-CN"/>
                </w:rPr>
                <m:t>5</m:t>
              </m:r>
              <m:ctrlPr>
                <w:rPr>
                  <w:rFonts w:hint="default" w:ascii="Cambria Math" w:hAnsi="Cambria Math"/>
                  <w:color w:val="auto"/>
                  <w:sz w:val="21"/>
                  <w:highlight w:val="none"/>
                  <w:lang w:val="en-US" w:eastAsia="zh-CN"/>
                </w:rPr>
              </m:ctrlPr>
            </m:deg>
            <m:e>
              <m:f>
                <m:fPr>
                  <m:ctrlPr>
                    <w:rPr>
                      <w:rFonts w:hint="default" w:ascii="Cambria Math" w:hAnsi="Cambria Math"/>
                      <w:color w:val="auto"/>
                      <w:sz w:val="21"/>
                      <w:highlight w:val="none"/>
                      <w:lang w:val="en-US" w:eastAsia="zh-CN"/>
                    </w:rPr>
                  </m:ctrlPr>
                </m:fPr>
                <m:num>
                  <m:r>
                    <m:rPr/>
                    <w:rPr>
                      <w:rFonts w:hint="default" w:ascii="Cambria Math" w:hAnsi="Cambria Math"/>
                      <w:color w:val="auto"/>
                      <w:sz w:val="21"/>
                      <w:highlight w:val="none"/>
                      <w:lang w:val="en-US" w:eastAsia="zh-CN"/>
                    </w:rPr>
                    <m:t>m</m:t>
                  </m:r>
                  <m:sSub>
                    <m:sSubPr>
                      <m:ctrlPr>
                        <w:rPr>
                          <w:rFonts w:hint="default" w:ascii="Cambria Math" w:hAnsi="Cambria Math"/>
                          <w:color w:val="auto"/>
                          <w:sz w:val="21"/>
                          <w:highlight w:val="none"/>
                          <w:lang w:val="en-US" w:eastAsia="zh-CN"/>
                        </w:rPr>
                      </m:ctrlPr>
                    </m:sSubPr>
                    <m:e>
                      <m:r>
                        <m:rPr/>
                        <w:rPr>
                          <w:rFonts w:hint="default" w:ascii="Cambria Math" w:hAnsi="Cambria Math"/>
                          <w:color w:val="auto"/>
                          <w:sz w:val="21"/>
                          <w:highlight w:val="none"/>
                          <w:lang w:val="en-US" w:eastAsia="zh-CN"/>
                        </w:rPr>
                        <m:t>b</m:t>
                      </m:r>
                      <m:ctrlPr>
                        <w:rPr>
                          <w:rFonts w:hint="default" w:ascii="Cambria Math" w:hAnsi="Cambria Math"/>
                          <w:color w:val="auto"/>
                          <w:sz w:val="21"/>
                          <w:highlight w:val="none"/>
                          <w:lang w:val="en-US" w:eastAsia="zh-CN"/>
                        </w:rPr>
                      </m:ctrlPr>
                    </m:e>
                    <m:sub>
                      <m:r>
                        <m:rPr>
                          <m:sty m:val="p"/>
                        </m:rPr>
                        <w:rPr>
                          <w:rFonts w:hint="default" w:ascii="Cambria Math" w:hAnsi="Cambria Math"/>
                          <w:color w:val="auto"/>
                          <w:sz w:val="21"/>
                          <w:highlight w:val="none"/>
                          <w:lang w:val="en-US" w:eastAsia="zh-CN"/>
                        </w:rPr>
                        <m:t>1</m:t>
                      </m:r>
                      <m:ctrlPr>
                        <w:rPr>
                          <w:rFonts w:hint="default" w:ascii="Cambria Math" w:hAnsi="Cambria Math"/>
                          <w:color w:val="auto"/>
                          <w:sz w:val="21"/>
                          <w:highlight w:val="none"/>
                          <w:lang w:val="en-US" w:eastAsia="zh-CN"/>
                        </w:rPr>
                      </m:ctrlPr>
                    </m:sub>
                  </m:sSub>
                  <m:ctrlPr>
                    <w:rPr>
                      <w:rFonts w:hint="default" w:ascii="Cambria Math" w:hAnsi="Cambria Math"/>
                      <w:color w:val="auto"/>
                      <w:sz w:val="21"/>
                      <w:highlight w:val="none"/>
                      <w:lang w:val="en-US" w:eastAsia="zh-CN"/>
                    </w:rPr>
                  </m:ctrlPr>
                </m:num>
                <m:den>
                  <m:r>
                    <m:rPr/>
                    <w:rPr>
                      <w:rFonts w:hint="default" w:ascii="Cambria Math" w:hAnsi="Cambria Math"/>
                      <w:color w:val="auto"/>
                      <w:sz w:val="21"/>
                      <w:highlight w:val="none"/>
                      <w:lang w:val="en-US" w:eastAsia="zh-CN"/>
                    </w:rPr>
                    <m:t>EI</m:t>
                  </m:r>
                  <m:ctrlPr>
                    <w:rPr>
                      <w:rFonts w:hint="default" w:ascii="Cambria Math" w:hAnsi="Cambria Math"/>
                      <w:color w:val="auto"/>
                      <w:sz w:val="21"/>
                      <w:highlight w:val="none"/>
                      <w:lang w:val="en-US" w:eastAsia="zh-CN"/>
                    </w:rPr>
                  </m:ctrlPr>
                </m:den>
              </m:f>
              <m:ctrlPr>
                <w:rPr>
                  <w:rFonts w:hint="default" w:ascii="Cambria Math" w:hAnsi="Cambria Math"/>
                  <w:color w:val="auto"/>
                  <w:sz w:val="21"/>
                  <w:highlight w:val="none"/>
                  <w:lang w:val="en-US" w:eastAsia="zh-CN"/>
                </w:rPr>
              </m:ctrlPr>
            </m:e>
          </m:rad>
        </m:oMath>
      </m:oMathPara>
    </w:p>
    <w:p>
      <w:pPr>
        <w:pStyle w:val="44"/>
        <w:autoSpaceDE w:val="0"/>
        <w:autoSpaceDN w:val="0"/>
        <w:adjustRightInd w:val="0"/>
        <w:spacing w:line="360" w:lineRule="auto"/>
        <w:jc w:val="left"/>
        <w:rPr>
          <w:rFonts w:ascii="Times New Roman" w:hAnsi="Times New Roman" w:eastAsia="宋体"/>
          <w:color w:val="auto"/>
          <w:highlight w:val="none"/>
        </w:rPr>
      </w:pPr>
      <w:r>
        <w:rPr>
          <w:rFonts w:ascii="Times New Roman" w:hAnsi="Times New Roman" w:eastAsia="宋体"/>
          <w:color w:val="auto"/>
          <w:highlight w:val="none"/>
        </w:rPr>
        <w:tab/>
      </w:r>
      <w:r>
        <w:rPr>
          <w:rFonts w:ascii="Times New Roman" w:hAnsi="Times New Roman" w:eastAsia="宋体"/>
          <w:color w:val="auto"/>
          <w:highlight w:val="none"/>
        </w:rPr>
        <w:t>其中，</w:t>
      </w:r>
      <w:r>
        <w:rPr>
          <w:rFonts w:ascii="Times New Roman" w:hAnsi="Times New Roman" w:eastAsia="宋体"/>
          <w:i/>
          <w:iCs/>
          <w:color w:val="auto"/>
          <w:highlight w:val="none"/>
        </w:rPr>
        <w:t>m</w:t>
      </w:r>
      <w:r>
        <w:rPr>
          <w:rFonts w:ascii="Times New Roman" w:hAnsi="Times New Roman" w:eastAsia="宋体"/>
          <w:color w:val="auto"/>
          <w:highlight w:val="none"/>
        </w:rPr>
        <w:t xml:space="preserve"> ——桩侧土水平抗力系数的比例系数；</w:t>
      </w:r>
    </w:p>
    <w:p>
      <w:pPr>
        <w:pStyle w:val="44"/>
        <w:autoSpaceDE w:val="0"/>
        <w:autoSpaceDN w:val="0"/>
        <w:adjustRightInd w:val="0"/>
        <w:spacing w:line="360" w:lineRule="auto"/>
        <w:ind w:left="1696" w:leftChars="504" w:hanging="638" w:hangingChars="304"/>
        <w:jc w:val="left"/>
        <w:rPr>
          <w:rFonts w:ascii="Times New Roman" w:hAnsi="Times New Roman" w:eastAsia="宋体"/>
          <w:color w:val="auto"/>
          <w:szCs w:val="21"/>
          <w:highlight w:val="none"/>
        </w:rPr>
      </w:pPr>
      <w:r>
        <w:rPr>
          <w:rFonts w:hint="eastAsia"/>
          <w:i/>
          <w:iCs/>
          <w:color w:val="auto"/>
          <w:highlight w:val="none"/>
          <w:lang w:val="en-US" w:eastAsia="zh-CN"/>
        </w:rPr>
        <w:t>b</w:t>
      </w:r>
      <w:r>
        <w:rPr>
          <w:rFonts w:hint="eastAsia"/>
          <w:color w:val="auto"/>
          <w:highlight w:val="none"/>
          <w:vertAlign w:val="subscript"/>
          <w:lang w:val="en-US" w:eastAsia="zh-CN"/>
        </w:rPr>
        <w:t>1</w:t>
      </w:r>
      <w:r>
        <w:rPr>
          <w:rFonts w:ascii="Times New Roman" w:hAnsi="Times New Roman" w:eastAsia="宋体"/>
          <w:color w:val="auto"/>
          <w:highlight w:val="none"/>
        </w:rPr>
        <w:t>—— 桩的换算宽度（m）。具体参照</w:t>
      </w:r>
      <w:r>
        <w:rPr>
          <w:rFonts w:ascii="Times New Roman" w:hAnsi="Times New Roman" w:eastAsia="宋体"/>
          <w:color w:val="auto"/>
          <w:szCs w:val="21"/>
          <w:highlight w:val="none"/>
        </w:rPr>
        <w:t>《公路桥涵地基与基础设计规范》JTG 3363-2019附录L相关规定</w:t>
      </w:r>
      <w:r>
        <w:rPr>
          <w:rFonts w:ascii="Times New Roman" w:hAnsi="Times New Roman" w:eastAsia="宋体"/>
          <w:color w:val="auto"/>
          <w:highlight w:val="none"/>
        </w:rPr>
        <w:t>计算</w:t>
      </w:r>
      <w:r>
        <w:rPr>
          <w:rFonts w:ascii="Times New Roman" w:hAnsi="Times New Roman" w:eastAsia="宋体"/>
          <w:color w:val="auto"/>
          <w:szCs w:val="21"/>
          <w:highlight w:val="none"/>
        </w:rPr>
        <w:t>。</w:t>
      </w:r>
    </w:p>
    <w:p>
      <w:pPr>
        <w:pStyle w:val="44"/>
        <w:autoSpaceDE w:val="0"/>
        <w:autoSpaceDN w:val="0"/>
        <w:adjustRightInd w:val="0"/>
        <w:spacing w:line="360" w:lineRule="auto"/>
        <w:ind w:left="420" w:leftChars="200" w:firstLine="632" w:firstLineChars="301"/>
        <w:jc w:val="left"/>
        <w:rPr>
          <w:rFonts w:ascii="Times New Roman" w:hAnsi="Times New Roman" w:eastAsia="宋体"/>
          <w:color w:val="auto"/>
          <w:highlight w:val="none"/>
        </w:rPr>
      </w:pPr>
      <m:oMath>
        <m:r>
          <m:rPr/>
          <w:rPr>
            <w:rFonts w:ascii="Cambria Math" w:hAnsi="Cambria Math" w:eastAsia="宋体"/>
            <w:color w:val="auto"/>
            <w:highlight w:val="none"/>
          </w:rPr>
          <m:t>EI</m:t>
        </m:r>
      </m:oMath>
      <w:r>
        <w:rPr>
          <w:rFonts w:ascii="Times New Roman" w:hAnsi="Times New Roman" w:eastAsia="宋体"/>
          <w:color w:val="auto"/>
          <w:highlight w:val="none"/>
        </w:rPr>
        <w:t>——桩的抗弯刚度（MPa</w:t>
      </w:r>
      <w:r>
        <w:rPr>
          <w:rFonts w:ascii="Times New Roman" w:hAnsi="Times New Roman" w:eastAsia="微软雅黑"/>
          <w:color w:val="auto"/>
          <w:highlight w:val="none"/>
        </w:rPr>
        <w:t>∙</w:t>
      </w:r>
      <w:r>
        <w:rPr>
          <w:rFonts w:ascii="Times New Roman" w:hAnsi="Times New Roman" w:eastAsia="宋体"/>
          <w:color w:val="auto"/>
          <w:highlight w:val="none"/>
        </w:rPr>
        <w:t>m</w:t>
      </w:r>
      <w:r>
        <w:rPr>
          <w:rFonts w:ascii="Times New Roman" w:hAnsi="Times New Roman" w:eastAsia="宋体"/>
          <w:color w:val="auto"/>
          <w:highlight w:val="none"/>
          <w:vertAlign w:val="superscript"/>
        </w:rPr>
        <w:t>4</w:t>
      </w:r>
      <w:r>
        <w:rPr>
          <w:rFonts w:ascii="Times New Roman" w:hAnsi="Times New Roman" w:eastAsia="宋体"/>
          <w:color w:val="auto"/>
          <w:highlight w:val="none"/>
        </w:rPr>
        <w:t>）。</w:t>
      </w:r>
    </w:p>
    <w:p>
      <w:pPr>
        <w:pStyle w:val="44"/>
        <w:autoSpaceDE w:val="0"/>
        <w:autoSpaceDN w:val="0"/>
        <w:adjustRightInd w:val="0"/>
        <w:spacing w:line="360" w:lineRule="auto"/>
        <w:jc w:val="left"/>
        <w:rPr>
          <w:rFonts w:ascii="Times New Roman" w:hAnsi="Times New Roman" w:eastAsia="宋体"/>
          <w:color w:val="auto"/>
          <w:highlight w:val="none"/>
        </w:rPr>
      </w:pPr>
      <w:r>
        <w:rPr>
          <w:rFonts w:ascii="Times New Roman" w:hAnsi="Times New Roman" w:eastAsia="宋体"/>
          <w:color w:val="auto"/>
          <w:highlight w:val="none"/>
        </w:rPr>
        <w:t>取</w:t>
      </w:r>
      <w:r>
        <w:rPr>
          <w:rFonts w:ascii="Times New Roman" w:hAnsi="Times New Roman" w:eastAsia="宋体"/>
          <w:i/>
          <w:iCs/>
          <w:color w:val="auto"/>
          <w:highlight w:val="none"/>
        </w:rPr>
        <w:t>m</w:t>
      </w:r>
      <w:r>
        <w:rPr>
          <w:rFonts w:ascii="Times New Roman" w:hAnsi="Times New Roman" w:eastAsia="宋体"/>
          <w:color w:val="auto"/>
          <w:highlight w:val="none"/>
        </w:rPr>
        <w:t>=10MPa/m</w:t>
      </w:r>
      <w:r>
        <w:rPr>
          <w:rFonts w:ascii="Times New Roman" w:hAnsi="Times New Roman" w:eastAsia="宋体"/>
          <w:color w:val="auto"/>
          <w:highlight w:val="none"/>
          <w:vertAlign w:val="superscript"/>
        </w:rPr>
        <w:t>2</w:t>
      </w:r>
      <w:r>
        <w:rPr>
          <w:rFonts w:ascii="Times New Roman" w:hAnsi="Times New Roman" w:eastAsia="宋体"/>
          <w:color w:val="auto"/>
          <w:highlight w:val="none"/>
        </w:rPr>
        <w:t>（软塑黏性土），</w:t>
      </w:r>
      <w:r>
        <w:rPr>
          <w:rFonts w:ascii="Times New Roman" w:hAnsi="Times New Roman" w:eastAsia="宋体"/>
          <w:i/>
          <w:iCs/>
          <w:color w:val="auto"/>
          <w:highlight w:val="none"/>
        </w:rPr>
        <w:t>E</w:t>
      </w:r>
      <w:r>
        <w:rPr>
          <w:rFonts w:ascii="Times New Roman" w:hAnsi="Times New Roman" w:eastAsia="宋体"/>
          <w:color w:val="auto"/>
          <w:highlight w:val="none"/>
        </w:rPr>
        <w:t>=3.25×10</w:t>
      </w:r>
      <w:r>
        <w:rPr>
          <w:rFonts w:ascii="Times New Roman" w:hAnsi="Times New Roman" w:eastAsia="宋体"/>
          <w:color w:val="auto"/>
          <w:highlight w:val="none"/>
          <w:vertAlign w:val="superscript"/>
        </w:rPr>
        <w:t>4</w:t>
      </w:r>
      <w:r>
        <w:rPr>
          <w:rFonts w:ascii="Times New Roman" w:hAnsi="Times New Roman" w:eastAsia="宋体"/>
          <w:color w:val="auto"/>
          <w:highlight w:val="none"/>
        </w:rPr>
        <w:t xml:space="preserve"> MPa（C40混凝土），令α</w:t>
      </w:r>
      <w:r>
        <w:rPr>
          <w:rFonts w:ascii="Times New Roman" w:hAnsi="Times New Roman" w:eastAsia="宋体"/>
          <w:i/>
          <w:iCs/>
          <w:color w:val="auto"/>
          <w:highlight w:val="none"/>
        </w:rPr>
        <w:t xml:space="preserve">h </w:t>
      </w:r>
      <w:r>
        <w:rPr>
          <w:rFonts w:ascii="Times New Roman" w:hAnsi="Times New Roman" w:eastAsia="宋体"/>
          <w:color w:val="auto"/>
          <w:highlight w:val="none"/>
        </w:rPr>
        <w:t>=4.0，当桩径取桥梁桩基常见的桩径</w:t>
      </w:r>
      <w:r>
        <w:rPr>
          <w:rFonts w:ascii="Times New Roman" w:hAnsi="Times New Roman" w:eastAsia="宋体"/>
          <w:i/>
          <w:iCs/>
          <w:color w:val="auto"/>
          <w:highlight w:val="none"/>
        </w:rPr>
        <w:t>d</w:t>
      </w:r>
      <w:r>
        <w:rPr>
          <w:rFonts w:ascii="Times New Roman" w:hAnsi="Times New Roman" w:eastAsia="宋体"/>
          <w:color w:val="auto"/>
          <w:highlight w:val="none"/>
        </w:rPr>
        <w:t>=1.2~2.5m时，可求得</w:t>
      </w:r>
      <w:r>
        <w:rPr>
          <w:rFonts w:ascii="Times New Roman" w:hAnsi="Times New Roman" w:eastAsia="宋体"/>
          <w:i/>
          <w:iCs/>
          <w:color w:val="auto"/>
          <w:highlight w:val="none"/>
        </w:rPr>
        <w:t>h</w:t>
      </w:r>
      <w:r>
        <w:rPr>
          <w:rFonts w:ascii="Times New Roman" w:hAnsi="Times New Roman" w:eastAsia="宋体"/>
          <w:color w:val="auto"/>
          <w:highlight w:val="none"/>
        </w:rPr>
        <w:t>=11.0~15.5m。亦即桩基入软塑土约15m的情况下，基本保证桩基有合适的水平向刚度。当然，一般土层的水平抗力系数会更大，所以以上考虑已经是偏于安全的。</w:t>
      </w:r>
    </w:p>
    <w:p>
      <w:pPr>
        <w:pStyle w:val="44"/>
        <w:autoSpaceDE w:val="0"/>
        <w:autoSpaceDN w:val="0"/>
        <w:adjustRightInd w:val="0"/>
        <w:spacing w:line="360" w:lineRule="auto"/>
        <w:jc w:val="left"/>
        <w:rPr>
          <w:rFonts w:ascii="Times New Roman" w:hAnsi="Times New Roman" w:eastAsia="宋体"/>
          <w:color w:val="auto"/>
          <w:highlight w:val="none"/>
        </w:rPr>
      </w:pPr>
      <w:r>
        <w:rPr>
          <w:rFonts w:ascii="Times New Roman" w:hAnsi="Times New Roman" w:eastAsia="宋体"/>
          <w:color w:val="auto"/>
          <w:highlight w:val="none"/>
        </w:rPr>
        <w:t>计算表明，当覆盖层所能提供的侧阻力很小时，桩基础即便嵌入软岩或极软岩5</w:t>
      </w:r>
      <w:r>
        <w:rPr>
          <w:rFonts w:ascii="Times New Roman" w:hAnsi="Times New Roman" w:eastAsia="宋体"/>
          <w:i/>
          <w:iCs/>
          <w:color w:val="auto"/>
          <w:highlight w:val="none"/>
        </w:rPr>
        <w:t>d</w:t>
      </w:r>
      <w:r>
        <w:rPr>
          <w:rFonts w:ascii="Times New Roman" w:hAnsi="Times New Roman" w:eastAsia="宋体"/>
          <w:color w:val="auto"/>
          <w:highlight w:val="none"/>
        </w:rPr>
        <w:t>，桩基竖向承载力仍可能不足，因此需要按摩擦桩进行复核验算；若验算不通过，则根据计算继续加深钻孔。</w:t>
      </w:r>
    </w:p>
    <w:p>
      <w:pPr>
        <w:pStyle w:val="44"/>
        <w:autoSpaceDE w:val="0"/>
        <w:autoSpaceDN w:val="0"/>
        <w:adjustRightInd w:val="0"/>
        <w:spacing w:line="360" w:lineRule="auto"/>
        <w:jc w:val="left"/>
        <w:rPr>
          <w:rFonts w:ascii="Times New Roman" w:hAnsi="Times New Roman" w:eastAsia="宋体"/>
          <w:color w:val="auto"/>
          <w:kern w:val="0"/>
          <w:highlight w:val="none"/>
        </w:rPr>
      </w:pPr>
      <w:r>
        <w:rPr>
          <w:rFonts w:ascii="Times New Roman" w:hAnsi="Times New Roman" w:eastAsia="宋体"/>
          <w:color w:val="auto"/>
          <w:kern w:val="0"/>
          <w:highlight w:val="none"/>
        </w:rPr>
        <w:t>根据经验，在岩溶区，一般桩基按</w:t>
      </w:r>
      <w:r>
        <w:rPr>
          <w:rFonts w:hint="eastAsia" w:ascii="宋体" w:hAnsi="宋体" w:eastAsia="宋体" w:cs="宋体"/>
          <w:color w:val="auto"/>
          <w:kern w:val="0"/>
          <w:highlight w:val="none"/>
        </w:rPr>
        <w:t>“一孔一管波”</w:t>
      </w:r>
      <w:r>
        <w:rPr>
          <w:rFonts w:ascii="Times New Roman" w:hAnsi="Times New Roman" w:eastAsia="宋体"/>
          <w:color w:val="auto"/>
          <w:kern w:val="0"/>
          <w:highlight w:val="none"/>
        </w:rPr>
        <w:t>的方式判断入岩深度较为有效，而多桩的大型主墩尚可结合跨孔CT测试来判断墩身范围岩面的起伏和岩溶的空间分布。</w:t>
      </w:r>
    </w:p>
    <w:p>
      <w:pPr>
        <w:pStyle w:val="44"/>
        <w:autoSpaceDE w:val="0"/>
        <w:autoSpaceDN w:val="0"/>
        <w:adjustRightInd w:val="0"/>
        <w:spacing w:line="360" w:lineRule="auto"/>
        <w:jc w:val="left"/>
        <w:rPr>
          <w:rFonts w:hint="eastAsia" w:ascii="Times New Roman" w:hAnsi="Times New Roman" w:eastAsia="宋体"/>
          <w:color w:val="auto"/>
          <w:kern w:val="0"/>
          <w:highlight w:val="none"/>
          <w:lang w:eastAsia="zh-CN"/>
        </w:rPr>
      </w:pPr>
      <w:r>
        <w:rPr>
          <w:rFonts w:ascii="Times New Roman" w:hAnsi="Times New Roman" w:eastAsia="宋体"/>
          <w:color w:val="auto"/>
          <w:kern w:val="0"/>
          <w:highlight w:val="none"/>
        </w:rPr>
        <w:t>对于坚硬岩、较硬岩、较软岩，当覆盖层非软土厚度介于5~15m时，视非软土厚度大小，钻孔控制深度在表6</w:t>
      </w:r>
      <w:r>
        <w:rPr>
          <w:rFonts w:hint="eastAsia" w:ascii="Times New Roman" w:hAnsi="Times New Roman" w:eastAsia="宋体"/>
          <w:color w:val="auto"/>
          <w:kern w:val="0"/>
          <w:highlight w:val="none"/>
          <w:lang w:val="en-US" w:eastAsia="zh-CN"/>
        </w:rPr>
        <w:t>-7</w:t>
      </w:r>
      <w:r>
        <w:rPr>
          <w:rFonts w:ascii="Times New Roman" w:hAnsi="Times New Roman" w:eastAsia="宋体"/>
          <w:color w:val="auto"/>
          <w:kern w:val="0"/>
          <w:highlight w:val="none"/>
        </w:rPr>
        <w:t>所示两种情况之间取值</w:t>
      </w:r>
      <w:r>
        <w:rPr>
          <w:rFonts w:hint="eastAsia" w:ascii="Times New Roman" w:hAnsi="Times New Roman" w:eastAsia="宋体"/>
          <w:color w:val="auto"/>
          <w:kern w:val="0"/>
          <w:highlight w:val="none"/>
          <w:lang w:eastAsia="zh-CN"/>
        </w:rPr>
        <w:t>。</w:t>
      </w:r>
    </w:p>
    <w:p>
      <w:pPr>
        <w:pStyle w:val="44"/>
        <w:autoSpaceDE w:val="0"/>
        <w:autoSpaceDN w:val="0"/>
        <w:adjustRightInd w:val="0"/>
        <w:spacing w:line="360" w:lineRule="auto"/>
        <w:jc w:val="both"/>
        <w:rPr>
          <w:rFonts w:hint="eastAsia" w:ascii="Times New Roman" w:hAnsi="Times New Roman" w:eastAsia="宋体"/>
          <w:color w:val="auto"/>
          <w:kern w:val="0"/>
          <w:highlight w:val="none"/>
          <w:lang w:val="en-US" w:eastAsia="zh-CN"/>
        </w:rPr>
      </w:pPr>
      <w:r>
        <w:rPr>
          <w:rFonts w:hint="eastAsia" w:ascii="Times New Roman" w:hAnsi="Times New Roman" w:eastAsia="宋体"/>
          <w:b/>
          <w:bCs/>
          <w:color w:val="auto"/>
          <w:kern w:val="0"/>
          <w:highlight w:val="none"/>
          <w:lang w:val="en-US" w:eastAsia="zh-CN"/>
        </w:rPr>
        <w:t xml:space="preserve">4 </w:t>
      </w:r>
      <w:r>
        <w:rPr>
          <w:rFonts w:hint="eastAsia"/>
          <w:b/>
          <w:bCs/>
          <w:color w:val="auto"/>
          <w:kern w:val="0"/>
          <w:highlight w:val="none"/>
          <w:lang w:val="en-US" w:eastAsia="zh-CN"/>
        </w:rPr>
        <w:t xml:space="preserve"> </w:t>
      </w:r>
      <w:r>
        <w:rPr>
          <w:rFonts w:hint="eastAsia" w:ascii="Times New Roman" w:hAnsi="Times New Roman" w:eastAsia="宋体"/>
          <w:color w:val="auto"/>
          <w:kern w:val="0"/>
          <w:highlight w:val="none"/>
          <w:lang w:val="en-US" w:eastAsia="zh-CN"/>
        </w:rPr>
        <w:t>临</w:t>
      </w:r>
      <w:r>
        <w:rPr>
          <w:rFonts w:ascii="Times New Roman" w:hAnsi="Times New Roman" w:eastAsia="宋体"/>
          <w:color w:val="auto"/>
          <w:kern w:val="0"/>
          <w:highlight w:val="none"/>
        </w:rPr>
        <w:t>近地铁、地下室等重要建筑物时</w:t>
      </w:r>
      <w:r>
        <w:rPr>
          <w:rFonts w:hint="eastAsia" w:ascii="Times New Roman" w:hAnsi="Times New Roman" w:eastAsia="宋体"/>
          <w:color w:val="auto"/>
          <w:kern w:val="0"/>
          <w:highlight w:val="none"/>
          <w:lang w:eastAsia="zh-CN"/>
        </w:rPr>
        <w:t>，</w:t>
      </w:r>
      <w:r>
        <w:rPr>
          <w:rFonts w:hint="eastAsia" w:ascii="Times New Roman" w:hAnsi="Times New Roman" w:eastAsia="宋体"/>
          <w:color w:val="auto"/>
          <w:kern w:val="0"/>
          <w:highlight w:val="none"/>
          <w:lang w:val="en-US" w:eastAsia="zh-CN"/>
        </w:rPr>
        <w:t>在应力扩散作用下，桥梁基础可能对地铁、地下室产生额外的侧向荷载或基底附加应力，故</w:t>
      </w:r>
      <w:r>
        <w:rPr>
          <w:rFonts w:ascii="Times New Roman" w:hAnsi="Times New Roman" w:eastAsia="宋体"/>
          <w:color w:val="auto"/>
          <w:kern w:val="0"/>
          <w:highlight w:val="none"/>
        </w:rPr>
        <w:t>一般</w:t>
      </w:r>
      <w:r>
        <w:rPr>
          <w:rFonts w:hint="eastAsia" w:ascii="Times New Roman" w:hAnsi="Times New Roman" w:eastAsia="宋体"/>
          <w:color w:val="auto"/>
          <w:kern w:val="0"/>
          <w:highlight w:val="none"/>
          <w:lang w:val="en-US" w:eastAsia="zh-CN"/>
        </w:rPr>
        <w:t>要求桥梁基础的应力扩散角应位于</w:t>
      </w:r>
      <w:r>
        <w:rPr>
          <w:rFonts w:ascii="Times New Roman" w:hAnsi="Times New Roman" w:eastAsia="宋体"/>
          <w:color w:val="auto"/>
          <w:kern w:val="0"/>
          <w:highlight w:val="none"/>
        </w:rPr>
        <w:t>地铁、地下室基础以下</w:t>
      </w:r>
      <w:r>
        <w:rPr>
          <w:rFonts w:hint="eastAsia" w:ascii="Times New Roman" w:hAnsi="Times New Roman" w:eastAsia="宋体"/>
          <w:color w:val="auto"/>
          <w:kern w:val="0"/>
          <w:highlight w:val="none"/>
          <w:lang w:val="en-US" w:eastAsia="zh-CN"/>
        </w:rPr>
        <w:t>一定深度</w:t>
      </w:r>
      <w:r>
        <w:rPr>
          <w:rFonts w:hint="eastAsia" w:ascii="Times New Roman" w:hAnsi="Times New Roman" w:eastAsia="宋体"/>
          <w:color w:val="auto"/>
          <w:kern w:val="0"/>
          <w:highlight w:val="none"/>
          <w:lang w:eastAsia="zh-CN"/>
        </w:rPr>
        <w:t>。</w:t>
      </w:r>
      <w:r>
        <w:rPr>
          <w:rFonts w:hint="eastAsia" w:ascii="Times New Roman" w:hAnsi="Times New Roman" w:eastAsia="宋体"/>
          <w:color w:val="auto"/>
          <w:kern w:val="0"/>
          <w:highlight w:val="none"/>
          <w:lang w:val="en-US" w:eastAsia="zh-CN"/>
        </w:rPr>
        <w:t>当桥梁桩基离地铁、地下室的距离很近时，桩端</w:t>
      </w:r>
      <w:r>
        <w:rPr>
          <w:rFonts w:hint="eastAsia"/>
          <w:color w:val="auto"/>
          <w:kern w:val="0"/>
          <w:highlight w:val="none"/>
          <w:lang w:val="en-US" w:eastAsia="zh-CN"/>
        </w:rPr>
        <w:t>建议</w:t>
      </w:r>
      <w:r>
        <w:rPr>
          <w:rFonts w:hint="eastAsia" w:ascii="Times New Roman" w:hAnsi="Times New Roman" w:eastAsia="宋体"/>
          <w:color w:val="auto"/>
          <w:kern w:val="0"/>
          <w:highlight w:val="none"/>
          <w:lang w:val="en-US" w:eastAsia="zh-CN"/>
        </w:rPr>
        <w:t>嵌岩且深于</w:t>
      </w:r>
      <w:r>
        <w:rPr>
          <w:rFonts w:ascii="Times New Roman" w:hAnsi="Times New Roman" w:eastAsia="宋体"/>
          <w:color w:val="auto"/>
          <w:kern w:val="0"/>
          <w:highlight w:val="none"/>
        </w:rPr>
        <w:t>地铁、地下室</w:t>
      </w:r>
      <w:r>
        <w:rPr>
          <w:rFonts w:hint="eastAsia" w:ascii="Times New Roman" w:hAnsi="Times New Roman" w:eastAsia="宋体"/>
          <w:color w:val="auto"/>
          <w:kern w:val="0"/>
          <w:highlight w:val="none"/>
          <w:lang w:val="en-US" w:eastAsia="zh-CN"/>
        </w:rPr>
        <w:t>的基底。</w:t>
      </w:r>
    </w:p>
    <w:p>
      <w:pPr>
        <w:spacing w:line="360" w:lineRule="auto"/>
        <w:rPr>
          <w:rFonts w:ascii="Times New Roman" w:hAnsi="Times New Roman" w:eastAsia="宋体"/>
          <w:color w:val="auto"/>
          <w:highlight w:val="none"/>
        </w:rPr>
      </w:pPr>
      <w:r>
        <w:rPr>
          <w:rFonts w:ascii="Times New Roman" w:hAnsi="Times New Roman" w:eastAsia="宋体"/>
          <w:b/>
          <w:bCs/>
          <w:color w:val="auto"/>
          <w:highlight w:val="none"/>
        </w:rPr>
        <w:t>6.</w:t>
      </w:r>
      <w:r>
        <w:rPr>
          <w:rFonts w:hint="eastAsia" w:ascii="Times New Roman" w:hAnsi="Times New Roman" w:eastAsia="宋体"/>
          <w:b/>
          <w:bCs/>
          <w:color w:val="auto"/>
          <w:highlight w:val="none"/>
          <w:lang w:val="en-US" w:eastAsia="zh-CN"/>
        </w:rPr>
        <w:t xml:space="preserve">4.4 </w:t>
      </w:r>
      <w:r>
        <w:rPr>
          <w:rFonts w:hint="eastAsia"/>
          <w:b/>
          <w:bCs/>
          <w:color w:val="auto"/>
          <w:highlight w:val="none"/>
          <w:lang w:val="en-US" w:eastAsia="zh-CN"/>
        </w:rPr>
        <w:t xml:space="preserve"> </w:t>
      </w:r>
      <w:r>
        <w:rPr>
          <w:rFonts w:ascii="Times New Roman" w:hAnsi="Times New Roman" w:eastAsia="宋体"/>
          <w:color w:val="auto"/>
          <w:highlight w:val="none"/>
        </w:rPr>
        <w:t>除提供土常规项目和地基承载力特征值的建议值，进行土、石工程分级和岩土分类外，</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桥涵工程勘察报告还</w:t>
      </w:r>
      <w:r>
        <w:rPr>
          <w:rFonts w:hint="eastAsia"/>
          <w:color w:val="auto"/>
          <w:highlight w:val="none"/>
          <w:lang w:val="en-US" w:eastAsia="zh-CN"/>
        </w:rPr>
        <w:t>可以</w:t>
      </w:r>
      <w:r>
        <w:rPr>
          <w:rFonts w:ascii="Times New Roman" w:hAnsi="Times New Roman" w:eastAsia="宋体"/>
          <w:color w:val="auto"/>
          <w:highlight w:val="none"/>
        </w:rPr>
        <w:t>根据具体情况提供表6</w:t>
      </w:r>
      <w:r>
        <w:rPr>
          <w:rFonts w:hint="eastAsia" w:ascii="Times New Roman" w:hAnsi="Times New Roman" w:eastAsia="宋体"/>
          <w:color w:val="auto"/>
          <w:highlight w:val="none"/>
          <w:lang w:val="en-US" w:eastAsia="zh-CN"/>
        </w:rPr>
        <w:t>-2</w:t>
      </w:r>
      <w:r>
        <w:rPr>
          <w:rFonts w:ascii="Times New Roman" w:hAnsi="Times New Roman" w:eastAsia="宋体"/>
          <w:color w:val="auto"/>
          <w:highlight w:val="none"/>
        </w:rPr>
        <w:t>所示的岩土参数建议值。</w:t>
      </w:r>
    </w:p>
    <w:p>
      <w:pPr>
        <w:spacing w:line="360" w:lineRule="auto"/>
        <w:jc w:val="center"/>
        <w:rPr>
          <w:rFonts w:hint="eastAsia" w:ascii="Times New Roman" w:hAnsi="Times New Roman" w:eastAsia="宋体"/>
          <w:b/>
          <w:bCs/>
          <w:color w:val="auto"/>
          <w:highlight w:val="none"/>
          <w:lang w:val="en-US" w:eastAsia="zh-CN"/>
        </w:rPr>
      </w:pPr>
      <w:r>
        <w:rPr>
          <w:rFonts w:ascii="Times New Roman" w:hAnsi="Times New Roman" w:eastAsia="宋体"/>
          <w:b/>
          <w:bCs/>
          <w:color w:val="auto"/>
          <w:highlight w:val="none"/>
        </w:rPr>
        <w:t>表6</w:t>
      </w:r>
      <w:r>
        <w:rPr>
          <w:rFonts w:hint="eastAsia" w:ascii="Times New Roman" w:hAnsi="Times New Roman" w:eastAsia="宋体"/>
          <w:b/>
          <w:bCs/>
          <w:color w:val="auto"/>
          <w:highlight w:val="none"/>
          <w:lang w:val="en-US" w:eastAsia="zh-CN"/>
        </w:rPr>
        <w:t>-2</w:t>
      </w:r>
      <w:r>
        <w:rPr>
          <w:rFonts w:hint="eastAsia"/>
          <w:b/>
          <w:bCs/>
          <w:color w:val="auto"/>
          <w:highlight w:val="none"/>
          <w:lang w:val="en-US" w:eastAsia="zh-CN"/>
        </w:rPr>
        <w:t xml:space="preserve"> </w:t>
      </w:r>
      <w:r>
        <w:rPr>
          <w:rFonts w:hint="eastAsia" w:ascii="Times New Roman" w:hAnsi="Times New Roman" w:eastAsia="宋体"/>
          <w:b/>
          <w:bCs/>
          <w:color w:val="auto"/>
          <w:highlight w:val="none"/>
          <w:lang w:val="en-US" w:eastAsia="zh-CN"/>
        </w:rPr>
        <w:t xml:space="preserve"> </w:t>
      </w:r>
      <w:r>
        <w:rPr>
          <w:rFonts w:hint="eastAsia" w:ascii="Times New Roman" w:hAnsi="Times New Roman" w:eastAsia="宋体"/>
          <w:b/>
          <w:bCs/>
          <w:color w:val="auto"/>
          <w:highlight w:val="none"/>
          <w:lang w:eastAsia="zh-CN"/>
        </w:rPr>
        <w:t>城市</w:t>
      </w:r>
      <w:r>
        <w:rPr>
          <w:rFonts w:ascii="Times New Roman" w:hAnsi="Times New Roman" w:eastAsia="宋体"/>
          <w:b/>
          <w:bCs/>
          <w:color w:val="auto"/>
          <w:highlight w:val="none"/>
        </w:rPr>
        <w:t>桥涵勘察提供的岩土参数</w:t>
      </w:r>
      <w:r>
        <w:rPr>
          <w:rFonts w:hint="eastAsia"/>
          <w:b/>
          <w:bCs/>
          <w:color w:val="auto"/>
          <w:highlight w:val="none"/>
          <w:lang w:val="en-US" w:eastAsia="zh-CN"/>
        </w:rPr>
        <w:t>建议值</w:t>
      </w:r>
    </w:p>
    <w:tbl>
      <w:tblPr>
        <w:tblStyle w:val="22"/>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2284"/>
        <w:gridCol w:w="2284"/>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413" w:type="dxa"/>
            <w:tcBorders>
              <w:top w:val="single" w:color="auto" w:sz="12" w:space="0"/>
              <w:left w:val="single" w:color="auto" w:sz="12" w:space="0"/>
            </w:tcBorders>
            <w:vAlign w:val="center"/>
          </w:tcPr>
          <w:p>
            <w:pPr>
              <w:widowControl/>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类型</w:t>
            </w:r>
          </w:p>
        </w:tc>
        <w:tc>
          <w:tcPr>
            <w:tcW w:w="2284" w:type="dxa"/>
            <w:tcBorders>
              <w:top w:val="single" w:color="auto" w:sz="12" w:space="0"/>
            </w:tcBorders>
            <w:vAlign w:val="center"/>
          </w:tcPr>
          <w:p>
            <w:pPr>
              <w:widowControl/>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复合地基</w:t>
            </w:r>
          </w:p>
        </w:tc>
        <w:tc>
          <w:tcPr>
            <w:tcW w:w="2284" w:type="dxa"/>
            <w:tcBorders>
              <w:top w:val="single" w:color="auto" w:sz="12" w:space="0"/>
            </w:tcBorders>
            <w:vAlign w:val="center"/>
          </w:tcPr>
          <w:p>
            <w:pPr>
              <w:widowControl/>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沉井基础</w:t>
            </w:r>
          </w:p>
        </w:tc>
        <w:tc>
          <w:tcPr>
            <w:tcW w:w="2285" w:type="dxa"/>
            <w:tcBorders>
              <w:top w:val="single" w:color="auto" w:sz="12" w:space="0"/>
              <w:right w:val="single" w:color="auto" w:sz="12" w:space="0"/>
            </w:tcBorders>
            <w:vAlign w:val="center"/>
          </w:tcPr>
          <w:p>
            <w:pPr>
              <w:widowControl/>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桩基础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413" w:type="dxa"/>
            <w:tcBorders>
              <w:left w:val="single" w:color="auto" w:sz="12" w:space="0"/>
              <w:bottom w:val="single" w:color="auto" w:sz="12" w:space="0"/>
            </w:tcBorders>
            <w:vAlign w:val="center"/>
          </w:tcPr>
          <w:p>
            <w:pPr>
              <w:widowControl/>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提供建议值的岩土参数</w:t>
            </w:r>
          </w:p>
        </w:tc>
        <w:tc>
          <w:tcPr>
            <w:tcW w:w="2284"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180" w:hanging="180" w:hangingChars="100"/>
              <w:textAlignment w:val="auto"/>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 软土的有机质含量、pH值</w:t>
            </w:r>
          </w:p>
          <w:p>
            <w:pPr>
              <w:keepNext w:val="0"/>
              <w:keepLines w:val="0"/>
              <w:pageBreakBefore w:val="0"/>
              <w:widowControl w:val="0"/>
              <w:kinsoku/>
              <w:wordWrap/>
              <w:overflowPunct/>
              <w:topLinePunct w:val="0"/>
              <w:autoSpaceDE/>
              <w:autoSpaceDN/>
              <w:bidi w:val="0"/>
              <w:adjustRightInd/>
              <w:snapToGrid/>
              <w:ind w:left="180" w:hanging="180" w:hangingChars="100"/>
              <w:textAlignment w:val="auto"/>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2 复合地基增强体的侧阻力和端阻力</w:t>
            </w:r>
          </w:p>
        </w:tc>
        <w:tc>
          <w:tcPr>
            <w:tcW w:w="2284"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180" w:hanging="180" w:hangingChars="100"/>
              <w:textAlignment w:val="auto"/>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 沉井外壁与土体间的单位摩阻力</w:t>
            </w:r>
          </w:p>
          <w:p>
            <w:pPr>
              <w:widowControl/>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2 土层渗透系数</w:t>
            </w:r>
          </w:p>
        </w:tc>
        <w:tc>
          <w:tcPr>
            <w:tcW w:w="2285" w:type="dxa"/>
            <w:tcBorders>
              <w:bottom w:val="single" w:color="auto" w:sz="12" w:space="0"/>
              <w:right w:val="single" w:color="auto" w:sz="12" w:space="0"/>
            </w:tcBorders>
            <w:vAlign w:val="center"/>
          </w:tcPr>
          <w:p>
            <w:pP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 地基土摩阻力和端阻力</w:t>
            </w:r>
          </w:p>
          <w:p>
            <w:pPr>
              <w:keepNext w:val="0"/>
              <w:keepLines w:val="0"/>
              <w:pageBreakBefore w:val="0"/>
              <w:widowControl w:val="0"/>
              <w:kinsoku/>
              <w:wordWrap/>
              <w:overflowPunct/>
              <w:topLinePunct w:val="0"/>
              <w:autoSpaceDE/>
              <w:autoSpaceDN/>
              <w:bidi w:val="0"/>
              <w:adjustRightInd/>
              <w:snapToGrid/>
              <w:ind w:left="180" w:hanging="180" w:hangingChars="100"/>
              <w:textAlignment w:val="auto"/>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2 岩体饱和（天然）单轴抗压强度</w:t>
            </w:r>
          </w:p>
          <w:p>
            <w:pPr>
              <w:keepNext w:val="0"/>
              <w:keepLines w:val="0"/>
              <w:pageBreakBefore w:val="0"/>
              <w:widowControl w:val="0"/>
              <w:kinsoku/>
              <w:wordWrap/>
              <w:overflowPunct/>
              <w:topLinePunct w:val="0"/>
              <w:autoSpaceDE/>
              <w:autoSpaceDN/>
              <w:bidi w:val="0"/>
              <w:adjustRightInd/>
              <w:snapToGrid/>
              <w:ind w:left="180" w:hanging="180" w:hangingChars="100"/>
              <w:textAlignment w:val="auto"/>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3桩基承载力计算需要的相关系数</w:t>
            </w:r>
          </w:p>
        </w:tc>
      </w:tr>
    </w:tbl>
    <w:p>
      <w:pPr>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对支承在土层或全、强风化岩中的桥涵钻（挖）孔灌注桩，其单桩受压承载力特征值计算时，需提供深度修正系数</w:t>
      </w:r>
      <w:r>
        <w:rPr>
          <w:rFonts w:ascii="Times New Roman" w:hAnsi="Times New Roman" w:eastAsia="宋体"/>
          <w:i/>
          <w:iCs/>
          <w:color w:val="auto"/>
          <w:szCs w:val="21"/>
          <w:highlight w:val="none"/>
        </w:rPr>
        <w:t>k</w:t>
      </w:r>
      <w:r>
        <w:rPr>
          <w:rFonts w:ascii="Times New Roman" w:hAnsi="Times New Roman" w:eastAsia="宋体"/>
          <w:color w:val="auto"/>
          <w:szCs w:val="21"/>
          <w:highlight w:val="none"/>
          <w:vertAlign w:val="subscript"/>
        </w:rPr>
        <w:t>2</w:t>
      </w:r>
      <w:r>
        <w:rPr>
          <w:rFonts w:ascii="Times New Roman" w:hAnsi="Times New Roman" w:eastAsia="宋体"/>
          <w:color w:val="auto"/>
          <w:szCs w:val="21"/>
          <w:highlight w:val="none"/>
        </w:rPr>
        <w:t>。《公路桥涵地基与基础设计规范》JTG 3363-2019表4.3.4给出了相关建议值，但对于稍密/松散的砂、碎石土、残积土和全、强风化岩未直接给出，而是有两条备注，即</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对稍密和松散状态的砂、碎石土，</w:t>
      </w:r>
      <w:r>
        <w:rPr>
          <w:rFonts w:ascii="Times New Roman" w:hAnsi="Times New Roman" w:eastAsia="宋体"/>
          <w:i/>
          <w:iCs/>
          <w:color w:val="auto"/>
          <w:szCs w:val="21"/>
          <w:highlight w:val="none"/>
        </w:rPr>
        <w:t>k</w:t>
      </w:r>
      <w:r>
        <w:rPr>
          <w:rFonts w:ascii="Times New Roman" w:hAnsi="Times New Roman" w:eastAsia="宋体"/>
          <w:color w:val="auto"/>
          <w:szCs w:val="21"/>
          <w:highlight w:val="none"/>
          <w:vertAlign w:val="subscript"/>
        </w:rPr>
        <w:t>2</w:t>
      </w:r>
      <w:r>
        <w:rPr>
          <w:rFonts w:ascii="Times New Roman" w:hAnsi="Times New Roman" w:eastAsia="宋体"/>
          <w:color w:val="auto"/>
          <w:szCs w:val="21"/>
          <w:highlight w:val="none"/>
        </w:rPr>
        <w:t>值可采用表列中密值得50%</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强风化和全风化的岩石，可参照所风化成的相应土类取值</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。依照该备注，并结合既有工程的相关经验，本规范将其细化成表</w:t>
      </w:r>
      <w:r>
        <w:rPr>
          <w:rFonts w:hint="eastAsia" w:ascii="Times New Roman" w:hAnsi="Times New Roman" w:eastAsia="宋体"/>
          <w:color w:val="auto"/>
          <w:szCs w:val="21"/>
          <w:highlight w:val="none"/>
        </w:rPr>
        <w:t>6-</w:t>
      </w:r>
      <w:r>
        <w:rPr>
          <w:rFonts w:hint="eastAsia" w:ascii="Times New Roman" w:hAnsi="Times New Roman" w:eastAsia="宋体"/>
          <w:color w:val="auto"/>
          <w:szCs w:val="21"/>
          <w:highlight w:val="none"/>
          <w:lang w:val="en-US" w:eastAsia="zh-CN"/>
        </w:rPr>
        <w:t>3</w:t>
      </w:r>
      <w:r>
        <w:rPr>
          <w:rFonts w:ascii="Times New Roman" w:hAnsi="Times New Roman" w:eastAsia="宋体"/>
          <w:color w:val="auto"/>
          <w:szCs w:val="21"/>
          <w:highlight w:val="none"/>
        </w:rPr>
        <w:t>，可酌情参照使用。</w:t>
      </w:r>
    </w:p>
    <w:p>
      <w:pPr>
        <w:spacing w:line="360" w:lineRule="auto"/>
        <w:jc w:val="center"/>
        <w:rPr>
          <w:rFonts w:ascii="Times New Roman" w:hAnsi="Times New Roman" w:eastAsia="宋体"/>
          <w:b/>
          <w:bCs/>
          <w:color w:val="auto"/>
          <w:szCs w:val="21"/>
          <w:highlight w:val="none"/>
          <w:vertAlign w:val="subscript"/>
        </w:rPr>
      </w:pPr>
      <w:r>
        <w:rPr>
          <w:rFonts w:ascii="Times New Roman" w:hAnsi="Times New Roman" w:eastAsia="宋体"/>
          <w:b/>
          <w:bCs/>
          <w:color w:val="auto"/>
          <w:szCs w:val="21"/>
          <w:highlight w:val="none"/>
        </w:rPr>
        <w:t>表6</w:t>
      </w:r>
      <w:r>
        <w:rPr>
          <w:rFonts w:hint="eastAsia" w:ascii="Times New Roman" w:hAnsi="Times New Roman" w:eastAsia="宋体"/>
          <w:b/>
          <w:bCs/>
          <w:color w:val="auto"/>
          <w:szCs w:val="21"/>
          <w:highlight w:val="none"/>
        </w:rPr>
        <w:t>-</w:t>
      </w:r>
      <w:r>
        <w:rPr>
          <w:rFonts w:hint="eastAsia" w:ascii="Times New Roman" w:hAnsi="Times New Roman" w:eastAsia="宋体"/>
          <w:b/>
          <w:bCs/>
          <w:color w:val="auto"/>
          <w:szCs w:val="21"/>
          <w:highlight w:val="none"/>
          <w:lang w:val="en-US" w:eastAsia="zh-CN"/>
        </w:rPr>
        <w:t>3</w:t>
      </w:r>
      <w:r>
        <w:rPr>
          <w:rFonts w:ascii="Times New Roman" w:hAnsi="Times New Roman" w:eastAsia="宋体"/>
          <w:b/>
          <w:bCs/>
          <w:color w:val="auto"/>
          <w:szCs w:val="21"/>
          <w:highlight w:val="none"/>
        </w:rPr>
        <w:t xml:space="preserve"> 地基土承载力深度修正系数</w:t>
      </w:r>
      <w:r>
        <w:rPr>
          <w:rFonts w:ascii="Times New Roman" w:hAnsi="Times New Roman" w:eastAsia="宋体"/>
          <w:b/>
          <w:bCs/>
          <w:i/>
          <w:iCs/>
          <w:color w:val="auto"/>
          <w:szCs w:val="21"/>
          <w:highlight w:val="none"/>
        </w:rPr>
        <w:t>k</w:t>
      </w:r>
      <w:r>
        <w:rPr>
          <w:rFonts w:ascii="Times New Roman" w:hAnsi="Times New Roman" w:eastAsia="宋体"/>
          <w:b/>
          <w:bCs/>
          <w:color w:val="auto"/>
          <w:szCs w:val="21"/>
          <w:highlight w:val="none"/>
          <w:vertAlign w:val="subscript"/>
        </w:rPr>
        <w:t>2</w:t>
      </w:r>
    </w:p>
    <w:tbl>
      <w:tblPr>
        <w:tblStyle w:val="22"/>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51"/>
        <w:gridCol w:w="1134"/>
        <w:gridCol w:w="850"/>
        <w:gridCol w:w="709"/>
        <w:gridCol w:w="1843"/>
        <w:gridCol w:w="113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gridSpan w:val="3"/>
            <w:tcBorders>
              <w:top w:val="single" w:color="auto" w:sz="12" w:space="0"/>
              <w:left w:val="single" w:color="auto" w:sz="12" w:space="0"/>
              <w:right w:val="single" w:color="auto" w:sz="4"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土类</w:t>
            </w:r>
          </w:p>
        </w:tc>
        <w:tc>
          <w:tcPr>
            <w:tcW w:w="850" w:type="dxa"/>
            <w:tcBorders>
              <w:top w:val="single" w:color="auto" w:sz="12" w:space="0"/>
              <w:left w:val="single" w:color="auto" w:sz="4" w:space="0"/>
              <w:right w:val="single" w:color="auto" w:sz="4" w:space="0"/>
            </w:tcBorders>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vertAlign w:val="subscript"/>
              </w:rPr>
              <w:t>2</w:t>
            </w:r>
          </w:p>
        </w:tc>
        <w:tc>
          <w:tcPr>
            <w:tcW w:w="3686" w:type="dxa"/>
            <w:gridSpan w:val="3"/>
            <w:tcBorders>
              <w:top w:val="single" w:color="auto" w:sz="12" w:space="0"/>
              <w:left w:val="single" w:color="auto" w:sz="4" w:space="0"/>
              <w:right w:val="single" w:color="auto" w:sz="4" w:space="0"/>
            </w:tcBorders>
          </w:tcPr>
          <w:p>
            <w:pPr>
              <w:jc w:val="center"/>
              <w:rPr>
                <w:rFonts w:ascii="Times New Roman" w:hAnsi="Times New Roman" w:eastAsia="宋体"/>
                <w:i/>
                <w:iCs/>
                <w:color w:val="auto"/>
                <w:sz w:val="20"/>
                <w:szCs w:val="20"/>
                <w:highlight w:val="none"/>
              </w:rPr>
            </w:pPr>
            <w:r>
              <w:rPr>
                <w:rFonts w:ascii="Times New Roman" w:hAnsi="Times New Roman" w:eastAsia="宋体"/>
                <w:color w:val="auto"/>
                <w:sz w:val="20"/>
                <w:szCs w:val="20"/>
                <w:highlight w:val="none"/>
              </w:rPr>
              <w:t>土类</w:t>
            </w:r>
          </w:p>
        </w:tc>
        <w:tc>
          <w:tcPr>
            <w:tcW w:w="992" w:type="dxa"/>
            <w:tcBorders>
              <w:top w:val="single" w:color="auto" w:sz="12" w:space="0"/>
              <w:left w:val="single" w:color="auto" w:sz="4" w:space="0"/>
              <w:right w:val="single" w:color="auto" w:sz="12" w:space="0"/>
            </w:tcBorders>
          </w:tcPr>
          <w:p>
            <w:pPr>
              <w:jc w:val="center"/>
              <w:rPr>
                <w:rFonts w:ascii="Times New Roman" w:hAnsi="Times New Roman" w:eastAsia="宋体"/>
                <w:i/>
                <w:iCs/>
                <w:color w:val="auto"/>
                <w:sz w:val="20"/>
                <w:szCs w:val="20"/>
                <w:highlight w:val="none"/>
              </w:rPr>
            </w:pP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tcBorders>
              <w:left w:val="single" w:color="auto" w:sz="12"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黏性土</w:t>
            </w:r>
          </w:p>
        </w:tc>
        <w:tc>
          <w:tcPr>
            <w:tcW w:w="1985" w:type="dxa"/>
            <w:gridSpan w:val="2"/>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老黏性土</w:t>
            </w:r>
          </w:p>
        </w:tc>
        <w:tc>
          <w:tcPr>
            <w:tcW w:w="850"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w:t>
            </w:r>
          </w:p>
        </w:tc>
        <w:tc>
          <w:tcPr>
            <w:tcW w:w="709" w:type="dxa"/>
            <w:vMerge w:val="restart"/>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碎石土</w:t>
            </w:r>
          </w:p>
        </w:tc>
        <w:tc>
          <w:tcPr>
            <w:tcW w:w="1843" w:type="dxa"/>
            <w:vMerge w:val="restart"/>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碎石、圆砾、角砾</w:t>
            </w: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密实</w:t>
            </w:r>
          </w:p>
        </w:tc>
        <w:tc>
          <w:tcPr>
            <w:tcW w:w="992" w:type="dxa"/>
            <w:tcBorders>
              <w:left w:val="single" w:color="auto" w:sz="4"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left w:val="single" w:color="auto" w:sz="12" w:space="0"/>
              <w:right w:val="single" w:color="auto" w:sz="4" w:space="0"/>
            </w:tcBorders>
            <w:vAlign w:val="center"/>
          </w:tcPr>
          <w:p>
            <w:pPr>
              <w:jc w:val="center"/>
              <w:rPr>
                <w:rFonts w:ascii="Times New Roman" w:hAnsi="Times New Roman" w:eastAsia="宋体"/>
                <w:color w:val="auto"/>
                <w:sz w:val="20"/>
                <w:szCs w:val="20"/>
                <w:highlight w:val="none"/>
              </w:rPr>
            </w:pPr>
          </w:p>
        </w:tc>
        <w:tc>
          <w:tcPr>
            <w:tcW w:w="851" w:type="dxa"/>
            <w:vMerge w:val="restart"/>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一般黏性土</w:t>
            </w: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I</w:t>
            </w:r>
            <w:r>
              <w:rPr>
                <w:rFonts w:ascii="Times New Roman" w:hAnsi="Times New Roman" w:eastAsia="宋体"/>
                <w:color w:val="auto"/>
                <w:sz w:val="20"/>
                <w:szCs w:val="20"/>
                <w:highlight w:val="none"/>
                <w:vertAlign w:val="subscript"/>
              </w:rPr>
              <w:t>L</w:t>
            </w:r>
            <w:r>
              <w:rPr>
                <w:rFonts w:ascii="Times New Roman" w:hAnsi="Times New Roman" w:eastAsia="宋体"/>
                <w:color w:val="auto"/>
                <w:sz w:val="20"/>
                <w:szCs w:val="20"/>
                <w:highlight w:val="none"/>
              </w:rPr>
              <w:t>&lt;0.5</w:t>
            </w:r>
          </w:p>
        </w:tc>
        <w:tc>
          <w:tcPr>
            <w:tcW w:w="850"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w:t>
            </w:r>
          </w:p>
        </w:tc>
        <w:tc>
          <w:tcPr>
            <w:tcW w:w="709"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843"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中密</w:t>
            </w:r>
          </w:p>
        </w:tc>
        <w:tc>
          <w:tcPr>
            <w:tcW w:w="992" w:type="dxa"/>
            <w:tcBorders>
              <w:left w:val="single" w:color="auto" w:sz="4"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left w:val="single" w:color="auto" w:sz="12" w:space="0"/>
              <w:right w:val="single" w:color="auto" w:sz="4" w:space="0"/>
            </w:tcBorders>
            <w:vAlign w:val="center"/>
          </w:tcPr>
          <w:p>
            <w:pPr>
              <w:jc w:val="center"/>
              <w:rPr>
                <w:rFonts w:ascii="Times New Roman" w:hAnsi="Times New Roman" w:eastAsia="宋体"/>
                <w:color w:val="auto"/>
                <w:sz w:val="20"/>
                <w:szCs w:val="20"/>
                <w:highlight w:val="none"/>
              </w:rPr>
            </w:pPr>
          </w:p>
        </w:tc>
        <w:tc>
          <w:tcPr>
            <w:tcW w:w="851"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I</w:t>
            </w:r>
            <w:r>
              <w:rPr>
                <w:rFonts w:ascii="Times New Roman" w:hAnsi="Times New Roman" w:eastAsia="宋体"/>
                <w:color w:val="auto"/>
                <w:sz w:val="20"/>
                <w:szCs w:val="20"/>
                <w:highlight w:val="none"/>
                <w:vertAlign w:val="subscript"/>
              </w:rPr>
              <w:t>L</w:t>
            </w:r>
            <w:r>
              <w:rPr>
                <w:rFonts w:ascii="Times New Roman" w:hAnsi="Times New Roman" w:eastAsia="宋体"/>
                <w:color w:val="auto"/>
                <w:sz w:val="20"/>
                <w:szCs w:val="20"/>
                <w:highlight w:val="none"/>
              </w:rPr>
              <w:t>≥0.5</w:t>
            </w:r>
          </w:p>
        </w:tc>
        <w:tc>
          <w:tcPr>
            <w:tcW w:w="850"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w:t>
            </w:r>
          </w:p>
        </w:tc>
        <w:tc>
          <w:tcPr>
            <w:tcW w:w="709"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843"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稍密/松散</w:t>
            </w:r>
          </w:p>
        </w:tc>
        <w:tc>
          <w:tcPr>
            <w:tcW w:w="992" w:type="dxa"/>
            <w:tcBorders>
              <w:left w:val="single" w:color="auto" w:sz="4"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left w:val="single" w:color="auto" w:sz="12" w:space="0"/>
              <w:right w:val="single" w:color="auto" w:sz="4" w:space="0"/>
            </w:tcBorders>
            <w:vAlign w:val="center"/>
          </w:tcPr>
          <w:p>
            <w:pPr>
              <w:jc w:val="center"/>
              <w:rPr>
                <w:rFonts w:ascii="Times New Roman" w:hAnsi="Times New Roman" w:eastAsia="宋体"/>
                <w:color w:val="auto"/>
                <w:sz w:val="20"/>
                <w:szCs w:val="20"/>
                <w:highlight w:val="none"/>
              </w:rPr>
            </w:pPr>
          </w:p>
        </w:tc>
        <w:tc>
          <w:tcPr>
            <w:tcW w:w="1985" w:type="dxa"/>
            <w:gridSpan w:val="2"/>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新近沉积黏性土</w:t>
            </w:r>
          </w:p>
        </w:tc>
        <w:tc>
          <w:tcPr>
            <w:tcW w:w="850"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p>
        </w:tc>
        <w:tc>
          <w:tcPr>
            <w:tcW w:w="709"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843" w:type="dxa"/>
            <w:vMerge w:val="restart"/>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卵石</w:t>
            </w: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密实</w:t>
            </w:r>
          </w:p>
        </w:tc>
        <w:tc>
          <w:tcPr>
            <w:tcW w:w="992" w:type="dxa"/>
            <w:tcBorders>
              <w:left w:val="single" w:color="auto" w:sz="4"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left w:val="single" w:color="auto" w:sz="12"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粉土</w:t>
            </w:r>
          </w:p>
        </w:tc>
        <w:tc>
          <w:tcPr>
            <w:tcW w:w="851"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850"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w:t>
            </w:r>
          </w:p>
        </w:tc>
        <w:tc>
          <w:tcPr>
            <w:tcW w:w="709"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843"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中密</w:t>
            </w:r>
          </w:p>
        </w:tc>
        <w:tc>
          <w:tcPr>
            <w:tcW w:w="992" w:type="dxa"/>
            <w:tcBorders>
              <w:left w:val="single" w:color="auto" w:sz="4"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tcBorders>
              <w:left w:val="single" w:color="auto" w:sz="12"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砂土</w:t>
            </w:r>
          </w:p>
        </w:tc>
        <w:tc>
          <w:tcPr>
            <w:tcW w:w="851" w:type="dxa"/>
            <w:vMerge w:val="restart"/>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粉砂</w:t>
            </w: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密实</w:t>
            </w:r>
          </w:p>
        </w:tc>
        <w:tc>
          <w:tcPr>
            <w:tcW w:w="850"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w:t>
            </w:r>
          </w:p>
        </w:tc>
        <w:tc>
          <w:tcPr>
            <w:tcW w:w="709"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843"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稍密/松散</w:t>
            </w:r>
          </w:p>
        </w:tc>
        <w:tc>
          <w:tcPr>
            <w:tcW w:w="992" w:type="dxa"/>
            <w:tcBorders>
              <w:left w:val="single" w:color="auto" w:sz="4"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left w:val="single" w:color="auto" w:sz="12" w:space="0"/>
              <w:right w:val="single" w:color="auto" w:sz="4" w:space="0"/>
            </w:tcBorders>
            <w:vAlign w:val="center"/>
          </w:tcPr>
          <w:p>
            <w:pPr>
              <w:jc w:val="center"/>
              <w:rPr>
                <w:rFonts w:ascii="Times New Roman" w:hAnsi="Times New Roman" w:eastAsia="宋体"/>
                <w:color w:val="auto"/>
                <w:sz w:val="20"/>
                <w:szCs w:val="20"/>
                <w:highlight w:val="none"/>
              </w:rPr>
            </w:pPr>
          </w:p>
        </w:tc>
        <w:tc>
          <w:tcPr>
            <w:tcW w:w="851"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中密</w:t>
            </w:r>
          </w:p>
        </w:tc>
        <w:tc>
          <w:tcPr>
            <w:tcW w:w="850"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w:t>
            </w:r>
          </w:p>
        </w:tc>
        <w:tc>
          <w:tcPr>
            <w:tcW w:w="709" w:type="dxa"/>
            <w:vMerge w:val="restart"/>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残积土</w:t>
            </w:r>
          </w:p>
        </w:tc>
        <w:tc>
          <w:tcPr>
            <w:tcW w:w="1843" w:type="dxa"/>
            <w:vMerge w:val="restart"/>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黏土/粉质黏土</w:t>
            </w: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可塑</w:t>
            </w:r>
          </w:p>
        </w:tc>
        <w:tc>
          <w:tcPr>
            <w:tcW w:w="992" w:type="dxa"/>
            <w:tcBorders>
              <w:left w:val="single" w:color="auto" w:sz="4"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left w:val="single" w:color="auto" w:sz="12" w:space="0"/>
              <w:right w:val="single" w:color="auto" w:sz="4" w:space="0"/>
            </w:tcBorders>
            <w:vAlign w:val="center"/>
          </w:tcPr>
          <w:p>
            <w:pPr>
              <w:jc w:val="center"/>
              <w:rPr>
                <w:rFonts w:ascii="Times New Roman" w:hAnsi="Times New Roman" w:eastAsia="宋体"/>
                <w:color w:val="auto"/>
                <w:sz w:val="20"/>
                <w:szCs w:val="20"/>
                <w:highlight w:val="none"/>
              </w:rPr>
            </w:pPr>
          </w:p>
        </w:tc>
        <w:tc>
          <w:tcPr>
            <w:tcW w:w="851"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稍密/松散</w:t>
            </w:r>
          </w:p>
        </w:tc>
        <w:tc>
          <w:tcPr>
            <w:tcW w:w="850"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p>
        </w:tc>
        <w:tc>
          <w:tcPr>
            <w:tcW w:w="709"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843"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硬塑</w:t>
            </w:r>
          </w:p>
        </w:tc>
        <w:tc>
          <w:tcPr>
            <w:tcW w:w="992" w:type="dxa"/>
            <w:tcBorders>
              <w:left w:val="single" w:color="auto" w:sz="4"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left w:val="single" w:color="auto" w:sz="12" w:space="0"/>
              <w:right w:val="single" w:color="auto" w:sz="4" w:space="0"/>
            </w:tcBorders>
            <w:vAlign w:val="center"/>
          </w:tcPr>
          <w:p>
            <w:pPr>
              <w:jc w:val="center"/>
              <w:rPr>
                <w:rFonts w:ascii="Times New Roman" w:hAnsi="Times New Roman" w:eastAsia="宋体"/>
                <w:color w:val="auto"/>
                <w:sz w:val="20"/>
                <w:szCs w:val="20"/>
                <w:highlight w:val="none"/>
              </w:rPr>
            </w:pPr>
          </w:p>
        </w:tc>
        <w:tc>
          <w:tcPr>
            <w:tcW w:w="851" w:type="dxa"/>
            <w:vMerge w:val="restart"/>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细砂</w:t>
            </w: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密实</w:t>
            </w:r>
          </w:p>
        </w:tc>
        <w:tc>
          <w:tcPr>
            <w:tcW w:w="850"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4.0</w:t>
            </w:r>
          </w:p>
        </w:tc>
        <w:tc>
          <w:tcPr>
            <w:tcW w:w="709"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843" w:type="dxa"/>
            <w:vMerge w:val="restart"/>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砂（砾）质黏性土</w:t>
            </w: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可塑</w:t>
            </w:r>
          </w:p>
        </w:tc>
        <w:tc>
          <w:tcPr>
            <w:tcW w:w="992" w:type="dxa"/>
            <w:tcBorders>
              <w:left w:val="single" w:color="auto" w:sz="4"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left w:val="single" w:color="auto" w:sz="12" w:space="0"/>
              <w:right w:val="single" w:color="auto" w:sz="4" w:space="0"/>
            </w:tcBorders>
            <w:vAlign w:val="center"/>
          </w:tcPr>
          <w:p>
            <w:pPr>
              <w:jc w:val="center"/>
              <w:rPr>
                <w:rFonts w:ascii="Times New Roman" w:hAnsi="Times New Roman" w:eastAsia="宋体"/>
                <w:color w:val="auto"/>
                <w:sz w:val="20"/>
                <w:szCs w:val="20"/>
                <w:highlight w:val="none"/>
              </w:rPr>
            </w:pPr>
          </w:p>
        </w:tc>
        <w:tc>
          <w:tcPr>
            <w:tcW w:w="851"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中密</w:t>
            </w:r>
          </w:p>
        </w:tc>
        <w:tc>
          <w:tcPr>
            <w:tcW w:w="850"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3.0</w:t>
            </w:r>
          </w:p>
        </w:tc>
        <w:tc>
          <w:tcPr>
            <w:tcW w:w="709"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843"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硬塑</w:t>
            </w:r>
          </w:p>
        </w:tc>
        <w:tc>
          <w:tcPr>
            <w:tcW w:w="992" w:type="dxa"/>
            <w:tcBorders>
              <w:left w:val="single" w:color="auto" w:sz="4"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left w:val="single" w:color="auto" w:sz="12" w:space="0"/>
              <w:right w:val="single" w:color="auto" w:sz="4" w:space="0"/>
            </w:tcBorders>
            <w:vAlign w:val="center"/>
          </w:tcPr>
          <w:p>
            <w:pPr>
              <w:jc w:val="center"/>
              <w:rPr>
                <w:rFonts w:ascii="Times New Roman" w:hAnsi="Times New Roman" w:eastAsia="宋体"/>
                <w:color w:val="auto"/>
                <w:sz w:val="20"/>
                <w:szCs w:val="20"/>
                <w:highlight w:val="none"/>
              </w:rPr>
            </w:pPr>
          </w:p>
        </w:tc>
        <w:tc>
          <w:tcPr>
            <w:tcW w:w="851"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稍密/松散</w:t>
            </w:r>
          </w:p>
        </w:tc>
        <w:tc>
          <w:tcPr>
            <w:tcW w:w="850"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w:t>
            </w:r>
          </w:p>
        </w:tc>
        <w:tc>
          <w:tcPr>
            <w:tcW w:w="709" w:type="dxa"/>
            <w:vMerge w:val="restart"/>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全风化岩</w:t>
            </w:r>
          </w:p>
        </w:tc>
        <w:tc>
          <w:tcPr>
            <w:tcW w:w="1843"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花岗岩类</w:t>
            </w: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992" w:type="dxa"/>
            <w:tcBorders>
              <w:left w:val="single" w:color="auto" w:sz="4"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left w:val="single" w:color="auto" w:sz="12" w:space="0"/>
              <w:right w:val="single" w:color="auto" w:sz="4" w:space="0"/>
            </w:tcBorders>
            <w:vAlign w:val="center"/>
          </w:tcPr>
          <w:p>
            <w:pPr>
              <w:jc w:val="center"/>
              <w:rPr>
                <w:rFonts w:ascii="Times New Roman" w:hAnsi="Times New Roman" w:eastAsia="宋体"/>
                <w:color w:val="auto"/>
                <w:sz w:val="20"/>
                <w:szCs w:val="20"/>
                <w:highlight w:val="none"/>
              </w:rPr>
            </w:pPr>
          </w:p>
        </w:tc>
        <w:tc>
          <w:tcPr>
            <w:tcW w:w="851" w:type="dxa"/>
            <w:vMerge w:val="restart"/>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中砂</w:t>
            </w: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密实</w:t>
            </w:r>
          </w:p>
        </w:tc>
        <w:tc>
          <w:tcPr>
            <w:tcW w:w="850"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5.5</w:t>
            </w:r>
          </w:p>
        </w:tc>
        <w:tc>
          <w:tcPr>
            <w:tcW w:w="709"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843"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其它岩类</w:t>
            </w: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992" w:type="dxa"/>
            <w:tcBorders>
              <w:left w:val="single" w:color="auto" w:sz="4"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left w:val="single" w:color="auto" w:sz="12" w:space="0"/>
              <w:right w:val="single" w:color="auto" w:sz="4" w:space="0"/>
            </w:tcBorders>
            <w:vAlign w:val="center"/>
          </w:tcPr>
          <w:p>
            <w:pPr>
              <w:jc w:val="center"/>
              <w:rPr>
                <w:rFonts w:ascii="Times New Roman" w:hAnsi="Times New Roman" w:eastAsia="宋体"/>
                <w:color w:val="auto"/>
                <w:sz w:val="20"/>
                <w:szCs w:val="20"/>
                <w:highlight w:val="none"/>
              </w:rPr>
            </w:pPr>
          </w:p>
        </w:tc>
        <w:tc>
          <w:tcPr>
            <w:tcW w:w="851"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中密</w:t>
            </w:r>
          </w:p>
        </w:tc>
        <w:tc>
          <w:tcPr>
            <w:tcW w:w="850"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4.0</w:t>
            </w:r>
          </w:p>
        </w:tc>
        <w:tc>
          <w:tcPr>
            <w:tcW w:w="709" w:type="dxa"/>
            <w:vMerge w:val="restart"/>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强风化岩</w:t>
            </w:r>
          </w:p>
        </w:tc>
        <w:tc>
          <w:tcPr>
            <w:tcW w:w="1843" w:type="dxa"/>
            <w:vMerge w:val="restart"/>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坚硬土柱状</w:t>
            </w: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花岗岩类</w:t>
            </w:r>
          </w:p>
        </w:tc>
        <w:tc>
          <w:tcPr>
            <w:tcW w:w="992" w:type="dxa"/>
            <w:tcBorders>
              <w:left w:val="single" w:color="auto" w:sz="4"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left w:val="single" w:color="auto" w:sz="12" w:space="0"/>
              <w:right w:val="single" w:color="auto" w:sz="4" w:space="0"/>
            </w:tcBorders>
            <w:vAlign w:val="center"/>
          </w:tcPr>
          <w:p>
            <w:pPr>
              <w:jc w:val="center"/>
              <w:rPr>
                <w:rFonts w:ascii="Times New Roman" w:hAnsi="Times New Roman" w:eastAsia="宋体"/>
                <w:color w:val="auto"/>
                <w:sz w:val="20"/>
                <w:szCs w:val="20"/>
                <w:highlight w:val="none"/>
              </w:rPr>
            </w:pPr>
          </w:p>
        </w:tc>
        <w:tc>
          <w:tcPr>
            <w:tcW w:w="851"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稍密/松散</w:t>
            </w:r>
          </w:p>
        </w:tc>
        <w:tc>
          <w:tcPr>
            <w:tcW w:w="850"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w:t>
            </w:r>
          </w:p>
        </w:tc>
        <w:tc>
          <w:tcPr>
            <w:tcW w:w="709"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843"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其它岩类</w:t>
            </w:r>
          </w:p>
        </w:tc>
        <w:tc>
          <w:tcPr>
            <w:tcW w:w="992" w:type="dxa"/>
            <w:tcBorders>
              <w:left w:val="single" w:color="auto" w:sz="4"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left w:val="single" w:color="auto" w:sz="12" w:space="0"/>
              <w:right w:val="single" w:color="auto" w:sz="4" w:space="0"/>
            </w:tcBorders>
            <w:vAlign w:val="center"/>
          </w:tcPr>
          <w:p>
            <w:pPr>
              <w:jc w:val="center"/>
              <w:rPr>
                <w:rFonts w:ascii="Times New Roman" w:hAnsi="Times New Roman" w:eastAsia="宋体"/>
                <w:color w:val="auto"/>
                <w:sz w:val="20"/>
                <w:szCs w:val="20"/>
                <w:highlight w:val="none"/>
              </w:rPr>
            </w:pPr>
          </w:p>
        </w:tc>
        <w:tc>
          <w:tcPr>
            <w:tcW w:w="851" w:type="dxa"/>
            <w:vMerge w:val="restart"/>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粗砂、砾砂</w:t>
            </w: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密实</w:t>
            </w:r>
          </w:p>
        </w:tc>
        <w:tc>
          <w:tcPr>
            <w:tcW w:w="850"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6.0</w:t>
            </w:r>
          </w:p>
        </w:tc>
        <w:tc>
          <w:tcPr>
            <w:tcW w:w="709"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843"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半岩半土状</w:t>
            </w: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992" w:type="dxa"/>
            <w:tcBorders>
              <w:left w:val="single" w:color="auto" w:sz="4"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left w:val="single" w:color="auto" w:sz="12" w:space="0"/>
              <w:right w:val="single" w:color="auto" w:sz="4" w:space="0"/>
            </w:tcBorders>
            <w:vAlign w:val="center"/>
          </w:tcPr>
          <w:p>
            <w:pPr>
              <w:jc w:val="center"/>
              <w:rPr>
                <w:rFonts w:ascii="Times New Roman" w:hAnsi="Times New Roman" w:eastAsia="宋体"/>
                <w:color w:val="auto"/>
                <w:sz w:val="20"/>
                <w:szCs w:val="20"/>
                <w:highlight w:val="none"/>
              </w:rPr>
            </w:pPr>
          </w:p>
        </w:tc>
        <w:tc>
          <w:tcPr>
            <w:tcW w:w="851"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中密</w:t>
            </w:r>
          </w:p>
        </w:tc>
        <w:tc>
          <w:tcPr>
            <w:tcW w:w="850"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5.0</w:t>
            </w:r>
          </w:p>
        </w:tc>
        <w:tc>
          <w:tcPr>
            <w:tcW w:w="709" w:type="dxa"/>
            <w:vMerge w:val="continue"/>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p>
        </w:tc>
        <w:tc>
          <w:tcPr>
            <w:tcW w:w="1843" w:type="dxa"/>
            <w:vMerge w:val="restart"/>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岩块状/碎块状</w:t>
            </w:r>
          </w:p>
        </w:tc>
        <w:tc>
          <w:tcPr>
            <w:tcW w:w="1134" w:type="dxa"/>
            <w:tcBorders>
              <w:left w:val="single" w:color="auto" w:sz="4"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软质岩</w:t>
            </w:r>
          </w:p>
        </w:tc>
        <w:tc>
          <w:tcPr>
            <w:tcW w:w="992" w:type="dxa"/>
            <w:tcBorders>
              <w:left w:val="single" w:color="auto" w:sz="4"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left w:val="single" w:color="auto" w:sz="12" w:space="0"/>
              <w:bottom w:val="single" w:color="auto" w:sz="12" w:space="0"/>
              <w:right w:val="single" w:color="auto" w:sz="4" w:space="0"/>
            </w:tcBorders>
            <w:vAlign w:val="center"/>
          </w:tcPr>
          <w:p>
            <w:pPr>
              <w:jc w:val="center"/>
              <w:rPr>
                <w:rFonts w:ascii="Times New Roman" w:hAnsi="Times New Roman" w:eastAsia="宋体"/>
                <w:color w:val="auto"/>
                <w:sz w:val="20"/>
                <w:szCs w:val="20"/>
                <w:highlight w:val="none"/>
              </w:rPr>
            </w:pPr>
          </w:p>
        </w:tc>
        <w:tc>
          <w:tcPr>
            <w:tcW w:w="851" w:type="dxa"/>
            <w:vMerge w:val="continue"/>
            <w:tcBorders>
              <w:left w:val="single" w:color="auto" w:sz="4" w:space="0"/>
              <w:bottom w:val="single" w:color="auto" w:sz="12" w:space="0"/>
              <w:right w:val="single" w:color="auto" w:sz="4" w:space="0"/>
            </w:tcBorders>
            <w:vAlign w:val="center"/>
          </w:tcPr>
          <w:p>
            <w:pPr>
              <w:jc w:val="center"/>
              <w:rPr>
                <w:rFonts w:ascii="Times New Roman" w:hAnsi="Times New Roman" w:eastAsia="宋体"/>
                <w:color w:val="auto"/>
                <w:sz w:val="20"/>
                <w:szCs w:val="20"/>
                <w:highlight w:val="none"/>
              </w:rPr>
            </w:pPr>
          </w:p>
        </w:tc>
        <w:tc>
          <w:tcPr>
            <w:tcW w:w="1134" w:type="dxa"/>
            <w:tcBorders>
              <w:left w:val="single" w:color="auto" w:sz="4" w:space="0"/>
              <w:bottom w:val="single" w:color="auto" w:sz="12"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稍密/松散</w:t>
            </w:r>
          </w:p>
        </w:tc>
        <w:tc>
          <w:tcPr>
            <w:tcW w:w="850" w:type="dxa"/>
            <w:tcBorders>
              <w:left w:val="single" w:color="auto" w:sz="4" w:space="0"/>
              <w:bottom w:val="single" w:color="auto" w:sz="12"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w:t>
            </w:r>
          </w:p>
        </w:tc>
        <w:tc>
          <w:tcPr>
            <w:tcW w:w="709" w:type="dxa"/>
            <w:vMerge w:val="continue"/>
            <w:tcBorders>
              <w:left w:val="single" w:color="auto" w:sz="4" w:space="0"/>
              <w:bottom w:val="single" w:color="auto" w:sz="12" w:space="0"/>
              <w:right w:val="single" w:color="auto" w:sz="4" w:space="0"/>
            </w:tcBorders>
            <w:vAlign w:val="center"/>
          </w:tcPr>
          <w:p>
            <w:pPr>
              <w:jc w:val="center"/>
              <w:rPr>
                <w:rFonts w:ascii="Times New Roman" w:hAnsi="Times New Roman" w:eastAsia="宋体"/>
                <w:color w:val="auto"/>
                <w:sz w:val="20"/>
                <w:szCs w:val="20"/>
                <w:highlight w:val="none"/>
              </w:rPr>
            </w:pPr>
          </w:p>
        </w:tc>
        <w:tc>
          <w:tcPr>
            <w:tcW w:w="1843" w:type="dxa"/>
            <w:vMerge w:val="continue"/>
            <w:tcBorders>
              <w:left w:val="single" w:color="auto" w:sz="4" w:space="0"/>
              <w:bottom w:val="single" w:color="auto" w:sz="12" w:space="0"/>
              <w:right w:val="single" w:color="auto" w:sz="4" w:space="0"/>
            </w:tcBorders>
            <w:vAlign w:val="center"/>
          </w:tcPr>
          <w:p>
            <w:pPr>
              <w:jc w:val="center"/>
              <w:rPr>
                <w:rFonts w:ascii="Times New Roman" w:hAnsi="Times New Roman" w:eastAsia="宋体"/>
                <w:color w:val="auto"/>
                <w:sz w:val="20"/>
                <w:szCs w:val="20"/>
                <w:highlight w:val="none"/>
              </w:rPr>
            </w:pPr>
          </w:p>
        </w:tc>
        <w:tc>
          <w:tcPr>
            <w:tcW w:w="1134" w:type="dxa"/>
            <w:tcBorders>
              <w:left w:val="single" w:color="auto" w:sz="4" w:space="0"/>
              <w:bottom w:val="single" w:color="auto" w:sz="12" w:space="0"/>
              <w:right w:val="single" w:color="auto" w:sz="4"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硬质岩</w:t>
            </w:r>
          </w:p>
        </w:tc>
        <w:tc>
          <w:tcPr>
            <w:tcW w:w="992" w:type="dxa"/>
            <w:tcBorders>
              <w:left w:val="single" w:color="auto" w:sz="4" w:space="0"/>
              <w:bottom w:val="single" w:color="auto" w:sz="12"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5.0</w:t>
            </w:r>
          </w:p>
        </w:tc>
      </w:tr>
    </w:tbl>
    <w:p>
      <w:pPr>
        <w:spacing w:line="360" w:lineRule="auto"/>
        <w:ind w:firstLine="420" w:firstLineChars="200"/>
        <w:rPr>
          <w:rFonts w:ascii="Times New Roman" w:hAnsi="Times New Roman" w:eastAsia="宋体"/>
          <w:color w:val="auto"/>
          <w:szCs w:val="21"/>
          <w:highlight w:val="none"/>
        </w:rPr>
      </w:pPr>
      <w:r>
        <w:rPr>
          <w:rFonts w:ascii="Times New Roman" w:hAnsi="Times New Roman" w:eastAsia="宋体"/>
          <w:color w:val="auto"/>
          <w:szCs w:val="21"/>
          <w:highlight w:val="none"/>
        </w:rPr>
        <w:t>基床系数</w:t>
      </w:r>
      <w:r>
        <w:rPr>
          <w:rFonts w:ascii="Times New Roman" w:hAnsi="Times New Roman" w:eastAsia="宋体"/>
          <w:i/>
          <w:iCs/>
          <w:color w:val="auto"/>
          <w:szCs w:val="21"/>
          <w:highlight w:val="none"/>
        </w:rPr>
        <w:t>k</w:t>
      </w:r>
      <w:r>
        <w:rPr>
          <w:rFonts w:ascii="Times New Roman" w:hAnsi="Times New Roman" w:eastAsia="宋体"/>
          <w:color w:val="auto"/>
          <w:szCs w:val="21"/>
          <w:highlight w:val="none"/>
        </w:rPr>
        <w:t>又称地层弹性压缩系数，也称基床反力系数或地基反力系数，是单位面积地基发生单位变形所需施加的力，包括水平基床系数</w:t>
      </w:r>
      <w:r>
        <w:rPr>
          <w:rFonts w:ascii="Times New Roman" w:hAnsi="Times New Roman" w:eastAsia="宋体"/>
          <w:i/>
          <w:iCs/>
          <w:color w:val="auto"/>
          <w:szCs w:val="21"/>
          <w:highlight w:val="none"/>
        </w:rPr>
        <w:t>k</w:t>
      </w:r>
      <w:r>
        <w:rPr>
          <w:rFonts w:ascii="Times New Roman" w:hAnsi="Times New Roman" w:eastAsia="宋体"/>
          <w:color w:val="auto"/>
          <w:szCs w:val="21"/>
          <w:highlight w:val="none"/>
          <w:vertAlign w:val="subscript"/>
        </w:rPr>
        <w:t>h</w:t>
      </w:r>
      <w:r>
        <w:rPr>
          <w:rFonts w:ascii="Times New Roman" w:hAnsi="Times New Roman" w:eastAsia="宋体"/>
          <w:color w:val="auto"/>
          <w:szCs w:val="21"/>
          <w:highlight w:val="none"/>
        </w:rPr>
        <w:t>和垂直基床系数</w:t>
      </w:r>
      <w:r>
        <w:rPr>
          <w:rFonts w:ascii="Times New Roman" w:hAnsi="Times New Roman" w:eastAsia="宋体"/>
          <w:i/>
          <w:iCs/>
          <w:color w:val="auto"/>
          <w:szCs w:val="21"/>
          <w:highlight w:val="none"/>
        </w:rPr>
        <w:t>k</w:t>
      </w:r>
      <w:r>
        <w:rPr>
          <w:rFonts w:ascii="Times New Roman" w:hAnsi="Times New Roman" w:eastAsia="宋体"/>
          <w:color w:val="auto"/>
          <w:szCs w:val="21"/>
          <w:highlight w:val="none"/>
          <w:vertAlign w:val="subscript"/>
        </w:rPr>
        <w:t>v</w:t>
      </w:r>
      <w:r>
        <w:rPr>
          <w:rFonts w:ascii="Times New Roman" w:hAnsi="Times New Roman" w:eastAsia="宋体"/>
          <w:color w:val="auto"/>
          <w:szCs w:val="21"/>
          <w:highlight w:val="none"/>
        </w:rPr>
        <w:t>；对于桩基，一般仅考虑水平向地基反力系数，称为地基水平抗力系数</w:t>
      </w:r>
      <w:r>
        <w:rPr>
          <w:rFonts w:ascii="Times New Roman" w:hAnsi="Times New Roman" w:eastAsia="宋体"/>
          <w:i/>
          <w:iCs/>
          <w:color w:val="auto"/>
          <w:szCs w:val="21"/>
          <w:highlight w:val="none"/>
        </w:rPr>
        <w:t>C</w:t>
      </w:r>
      <w:r>
        <w:rPr>
          <w:rFonts w:ascii="Times New Roman" w:hAnsi="Times New Roman" w:eastAsia="宋体"/>
          <w:color w:val="auto"/>
          <w:szCs w:val="21"/>
          <w:highlight w:val="none"/>
          <w:vertAlign w:val="subscript"/>
        </w:rPr>
        <w:t>h</w:t>
      </w:r>
      <w:r>
        <w:rPr>
          <w:rFonts w:ascii="Times New Roman" w:hAnsi="Times New Roman" w:eastAsia="宋体"/>
          <w:color w:val="auto"/>
          <w:szCs w:val="21"/>
          <w:highlight w:val="none"/>
        </w:rPr>
        <w:t>。在一定变形值内，基床系数</w:t>
      </w:r>
      <w:r>
        <w:rPr>
          <w:rFonts w:ascii="Times New Roman" w:hAnsi="Times New Roman" w:eastAsia="宋体"/>
          <w:i/>
          <w:iCs/>
          <w:color w:val="auto"/>
          <w:szCs w:val="21"/>
          <w:highlight w:val="none"/>
        </w:rPr>
        <w:t>k</w:t>
      </w:r>
      <w:r>
        <w:rPr>
          <w:rFonts w:ascii="Times New Roman" w:hAnsi="Times New Roman" w:eastAsia="宋体"/>
          <w:color w:val="auto"/>
          <w:szCs w:val="21"/>
          <w:highlight w:val="none"/>
        </w:rPr>
        <w:t>、地基水平抗力系数</w:t>
      </w:r>
      <w:r>
        <w:rPr>
          <w:rFonts w:ascii="Times New Roman" w:hAnsi="Times New Roman" w:eastAsia="宋体"/>
          <w:i/>
          <w:iCs/>
          <w:color w:val="auto"/>
          <w:szCs w:val="21"/>
          <w:highlight w:val="none"/>
        </w:rPr>
        <w:t>C</w:t>
      </w:r>
      <w:r>
        <w:rPr>
          <w:rFonts w:ascii="Times New Roman" w:hAnsi="Times New Roman" w:eastAsia="宋体"/>
          <w:color w:val="auto"/>
          <w:szCs w:val="21"/>
          <w:highlight w:val="none"/>
          <w:vertAlign w:val="subscript"/>
        </w:rPr>
        <w:t>h</w:t>
      </w:r>
      <w:r>
        <w:rPr>
          <w:rFonts w:ascii="Times New Roman" w:hAnsi="Times New Roman" w:eastAsia="宋体"/>
          <w:color w:val="auto"/>
          <w:szCs w:val="21"/>
          <w:highlight w:val="none"/>
        </w:rPr>
        <w:t>随深度呈近于线性变化，其线性变化系数</w:t>
      </w:r>
      <w:r>
        <w:rPr>
          <w:rFonts w:ascii="Times New Roman" w:hAnsi="Times New Roman" w:eastAsia="宋体"/>
          <w:i/>
          <w:iCs/>
          <w:color w:val="auto"/>
          <w:szCs w:val="21"/>
          <w:highlight w:val="none"/>
        </w:rPr>
        <w:t>m</w:t>
      </w:r>
      <w:r>
        <w:rPr>
          <w:rFonts w:ascii="Times New Roman" w:hAnsi="Times New Roman" w:eastAsia="宋体"/>
          <w:color w:val="auto"/>
          <w:szCs w:val="21"/>
          <w:highlight w:val="none"/>
        </w:rPr>
        <w:t>称为基床系数的比例系数或地基抗力系数的比例系数。</w:t>
      </w:r>
    </w:p>
    <w:p>
      <w:pPr>
        <w:spacing w:line="360" w:lineRule="auto"/>
        <w:ind w:firstLine="420" w:firstLineChars="200"/>
        <w:rPr>
          <w:rFonts w:ascii="Times New Roman" w:hAnsi="Times New Roman" w:eastAsia="宋体"/>
          <w:color w:val="auto"/>
          <w:szCs w:val="21"/>
          <w:highlight w:val="none"/>
        </w:rPr>
      </w:pPr>
      <w:r>
        <w:rPr>
          <w:rFonts w:ascii="Times New Roman" w:hAnsi="Times New Roman" w:eastAsia="宋体"/>
          <w:color w:val="auto"/>
          <w:szCs w:val="21"/>
          <w:highlight w:val="none"/>
        </w:rPr>
        <w:t>天然地基的基床系数</w:t>
      </w:r>
      <w:r>
        <w:rPr>
          <w:rFonts w:ascii="Times New Roman" w:hAnsi="Times New Roman" w:eastAsia="宋体"/>
          <w:i/>
          <w:iCs/>
          <w:color w:val="auto"/>
          <w:szCs w:val="21"/>
          <w:highlight w:val="none"/>
        </w:rPr>
        <w:t>k</w:t>
      </w:r>
      <w:r>
        <w:rPr>
          <w:rFonts w:ascii="Times New Roman" w:hAnsi="Times New Roman" w:eastAsia="宋体"/>
          <w:color w:val="auto"/>
          <w:szCs w:val="21"/>
          <w:highlight w:val="none"/>
        </w:rPr>
        <w:t>可参照表</w:t>
      </w:r>
      <w:r>
        <w:rPr>
          <w:rFonts w:hint="eastAsia" w:ascii="Times New Roman" w:hAnsi="Times New Roman" w:eastAsia="宋体"/>
          <w:color w:val="auto"/>
          <w:szCs w:val="21"/>
          <w:highlight w:val="none"/>
          <w:lang w:val="en-US" w:eastAsia="zh-CN"/>
        </w:rPr>
        <w:t>6-4</w:t>
      </w:r>
      <w:r>
        <w:rPr>
          <w:rFonts w:ascii="Times New Roman" w:hAnsi="Times New Roman" w:eastAsia="宋体"/>
          <w:color w:val="auto"/>
          <w:szCs w:val="21"/>
          <w:highlight w:val="none"/>
        </w:rPr>
        <w:t>取值。</w:t>
      </w:r>
    </w:p>
    <w:p>
      <w:pPr>
        <w:spacing w:line="360" w:lineRule="auto"/>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6-4</w:t>
      </w:r>
      <w:r>
        <w:rPr>
          <w:rFonts w:ascii="Times New Roman" w:hAnsi="Times New Roman" w:eastAsia="宋体"/>
          <w:b/>
          <w:bCs/>
          <w:color w:val="auto"/>
          <w:szCs w:val="21"/>
          <w:highlight w:val="none"/>
        </w:rPr>
        <w:t xml:space="preserve"> 基床系数</w:t>
      </w:r>
      <w:r>
        <w:rPr>
          <w:rFonts w:ascii="Times New Roman" w:hAnsi="Times New Roman" w:eastAsia="宋体"/>
          <w:b/>
          <w:bCs/>
          <w:i/>
          <w:iCs/>
          <w:color w:val="auto"/>
          <w:szCs w:val="21"/>
          <w:highlight w:val="none"/>
        </w:rPr>
        <w:t>k</w:t>
      </w:r>
      <w:bookmarkStart w:id="371" w:name="_Hlk75956509"/>
      <w:r>
        <w:rPr>
          <w:rFonts w:ascii="Times New Roman" w:hAnsi="Times New Roman" w:eastAsia="宋体"/>
          <w:b/>
          <w:bCs/>
          <w:color w:val="auto"/>
          <w:szCs w:val="21"/>
          <w:highlight w:val="none"/>
        </w:rPr>
        <w:t>的经验值</w:t>
      </w:r>
      <w:bookmarkEnd w:id="371"/>
      <w:r>
        <w:rPr>
          <w:rFonts w:ascii="Times New Roman" w:hAnsi="Times New Roman" w:eastAsia="宋体"/>
          <w:b/>
          <w:bCs/>
          <w:color w:val="auto"/>
          <w:szCs w:val="21"/>
          <w:highlight w:val="none"/>
        </w:rPr>
        <w:t>（MPa/m）</w:t>
      </w:r>
    </w:p>
    <w:tbl>
      <w:tblPr>
        <w:tblStyle w:val="22"/>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850"/>
        <w:gridCol w:w="2478"/>
        <w:gridCol w:w="2036"/>
        <w:gridCol w:w="1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tcBorders>
              <w:top w:val="single" w:color="auto" w:sz="12" w:space="0"/>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岩土类别</w:t>
            </w:r>
          </w:p>
        </w:tc>
        <w:tc>
          <w:tcPr>
            <w:tcW w:w="2478" w:type="dxa"/>
            <w:tcBorders>
              <w:top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状态/密实度</w:t>
            </w:r>
          </w:p>
        </w:tc>
        <w:tc>
          <w:tcPr>
            <w:tcW w:w="2036" w:type="dxa"/>
            <w:tcBorders>
              <w:top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水平基床系数</w:t>
            </w: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vertAlign w:val="subscript"/>
              </w:rPr>
              <w:t>h</w:t>
            </w:r>
          </w:p>
        </w:tc>
        <w:tc>
          <w:tcPr>
            <w:tcW w:w="1954" w:type="dxa"/>
            <w:tcBorders>
              <w:top w:val="single" w:color="auto" w:sz="12"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垂直基床系数</w:t>
            </w: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vertAlign w:val="subscript"/>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新近沉积土</w:t>
            </w:r>
          </w:p>
        </w:tc>
        <w:tc>
          <w:tcPr>
            <w:tcW w:w="850" w:type="dxa"/>
            <w:vMerge w:val="restart"/>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黏性土</w:t>
            </w: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软塑</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10~20</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850" w:type="dxa"/>
            <w:vMerge w:val="continue"/>
            <w:vAlign w:val="center"/>
          </w:tcPr>
          <w:p>
            <w:pPr>
              <w:jc w:val="center"/>
              <w:rPr>
                <w:rFonts w:ascii="Times New Roman" w:hAnsi="Times New Roman" w:eastAsia="宋体"/>
                <w:color w:val="auto"/>
                <w:sz w:val="20"/>
                <w:szCs w:val="20"/>
                <w:highlight w:val="none"/>
              </w:rPr>
            </w:pP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可塑</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12~30</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850" w:type="dxa"/>
            <w:vMerge w:val="restart"/>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粉土</w:t>
            </w: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稍密</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10~20</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850" w:type="dxa"/>
            <w:vMerge w:val="continue"/>
            <w:vAlign w:val="center"/>
          </w:tcPr>
          <w:p>
            <w:pPr>
              <w:jc w:val="center"/>
              <w:rPr>
                <w:rFonts w:ascii="Times New Roman" w:hAnsi="Times New Roman" w:eastAsia="宋体"/>
                <w:color w:val="auto"/>
                <w:sz w:val="20"/>
                <w:szCs w:val="20"/>
                <w:highlight w:val="none"/>
              </w:rPr>
            </w:pP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中密</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15~25</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软土</w:t>
            </w: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流塑</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1~12</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restart"/>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黏性土</w:t>
            </w: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流塑</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3~15</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软塑</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10~25</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可塑</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20~45</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硬塑</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30~65</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坚硬</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60~100</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restart"/>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粉土</w:t>
            </w: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稍密</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10~25</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中密</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15~40</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密实</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20~70</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restart"/>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砂土</w:t>
            </w: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松散</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3~15</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稍密</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10~30</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中密</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20~45</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密实</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25~60</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restart"/>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角砾、圆砾</w:t>
            </w: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稍密</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15~40</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中密</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25~55</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密实</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55~90</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restart"/>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碎石、卵石</w:t>
            </w: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稍密</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17~50</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中密</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25~85</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密实</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50~120</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restart"/>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全强风化岩</w:t>
            </w: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全风化</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35~39</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土状或半岩半土状强风化</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40~100</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碎块状或岩块状强风化</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60~135</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70~180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restart"/>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较完整岩体</w:t>
            </w: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&lt;10MPa</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60~150</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10~15MPa</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150~180</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15~20MPa</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180~240</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20~30MPa</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240~320</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300~400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30~40MPa</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320~480</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400~600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40~50MPa</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480~640</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600~800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50~60MPa</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640~960</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800~1200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247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60~80MPa</w:t>
            </w:r>
          </w:p>
        </w:tc>
        <w:tc>
          <w:tcPr>
            <w:tcW w:w="2036"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960~2000</w:t>
            </w:r>
          </w:p>
        </w:tc>
        <w:tc>
          <w:tcPr>
            <w:tcW w:w="1954"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1200~2500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vMerge w:val="continue"/>
            <w:tcBorders>
              <w:left w:val="single" w:color="auto" w:sz="12" w:space="0"/>
              <w:bottom w:val="single" w:color="auto" w:sz="12" w:space="0"/>
            </w:tcBorders>
            <w:vAlign w:val="center"/>
          </w:tcPr>
          <w:p>
            <w:pPr>
              <w:jc w:val="center"/>
              <w:rPr>
                <w:rFonts w:ascii="Times New Roman" w:hAnsi="Times New Roman" w:eastAsia="宋体"/>
                <w:color w:val="auto"/>
                <w:sz w:val="20"/>
                <w:szCs w:val="20"/>
                <w:highlight w:val="none"/>
              </w:rPr>
            </w:pPr>
          </w:p>
        </w:tc>
        <w:tc>
          <w:tcPr>
            <w:tcW w:w="2478" w:type="dxa"/>
            <w:tcBorders>
              <w:bottom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&gt;80MPa</w:t>
            </w:r>
          </w:p>
        </w:tc>
        <w:tc>
          <w:tcPr>
            <w:tcW w:w="2036" w:type="dxa"/>
            <w:tcBorders>
              <w:bottom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2000~15000</w:t>
            </w:r>
          </w:p>
        </w:tc>
        <w:tc>
          <w:tcPr>
            <w:tcW w:w="1954" w:type="dxa"/>
            <w:tcBorders>
              <w:bottom w:val="single" w:color="auto" w:sz="12"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2500~15000</w:t>
            </w:r>
          </w:p>
        </w:tc>
      </w:tr>
    </w:tbl>
    <w:p>
      <w:pPr>
        <w:spacing w:line="360" w:lineRule="auto"/>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注：基床系数宜采用</w:t>
      </w:r>
      <w:r>
        <w:rPr>
          <w:rFonts w:ascii="Times New Roman" w:hAnsi="Times New Roman" w:eastAsia="宋体"/>
          <w:i/>
          <w:iCs/>
          <w:color w:val="auto"/>
          <w:sz w:val="18"/>
          <w:szCs w:val="18"/>
          <w:highlight w:val="none"/>
        </w:rPr>
        <w:t>K</w:t>
      </w:r>
      <w:r>
        <w:rPr>
          <w:rFonts w:ascii="Times New Roman" w:hAnsi="Times New Roman" w:eastAsia="宋体"/>
          <w:color w:val="auto"/>
          <w:sz w:val="18"/>
          <w:szCs w:val="18"/>
          <w:highlight w:val="none"/>
          <w:vertAlign w:val="subscript"/>
        </w:rPr>
        <w:t>30</w:t>
      </w:r>
      <w:r>
        <w:rPr>
          <w:rFonts w:ascii="Times New Roman" w:hAnsi="Times New Roman" w:eastAsia="宋体"/>
          <w:color w:val="auto"/>
          <w:sz w:val="18"/>
          <w:szCs w:val="18"/>
          <w:highlight w:val="none"/>
        </w:rPr>
        <w:t>试验结合原位测试和室内试验以及当地经验综合确定。</w:t>
      </w:r>
    </w:p>
    <w:p>
      <w:pPr>
        <w:spacing w:line="360" w:lineRule="auto"/>
        <w:ind w:firstLine="420" w:firstLineChars="200"/>
        <w:rPr>
          <w:rFonts w:ascii="Times New Roman" w:hAnsi="Times New Roman" w:eastAsia="宋体"/>
          <w:color w:val="auto"/>
          <w:szCs w:val="21"/>
          <w:highlight w:val="none"/>
        </w:rPr>
      </w:pPr>
      <w:r>
        <w:rPr>
          <w:rFonts w:ascii="Times New Roman" w:hAnsi="Times New Roman" w:eastAsia="宋体"/>
          <w:color w:val="auto"/>
          <w:szCs w:val="21"/>
          <w:highlight w:val="none"/>
        </w:rPr>
        <w:t>表</w:t>
      </w:r>
      <w:r>
        <w:rPr>
          <w:rFonts w:hint="eastAsia" w:ascii="Times New Roman" w:hAnsi="Times New Roman" w:eastAsia="宋体"/>
          <w:color w:val="auto"/>
          <w:szCs w:val="21"/>
          <w:highlight w:val="none"/>
          <w:lang w:val="en-US" w:eastAsia="zh-CN"/>
        </w:rPr>
        <w:t>6-4</w:t>
      </w:r>
      <w:r>
        <w:rPr>
          <w:rFonts w:ascii="Times New Roman" w:hAnsi="Times New Roman" w:eastAsia="宋体"/>
          <w:color w:val="auto"/>
          <w:szCs w:val="21"/>
          <w:highlight w:val="none"/>
        </w:rPr>
        <w:t>主要引用《城市轨道交通岩土工程勘察规范》GB 50307-2012表H，并参照《建筑边坡工程技术规范》GB 50330-2013表G.0.1-1细化了岩层的数据。</w:t>
      </w:r>
    </w:p>
    <w:p>
      <w:pPr>
        <w:spacing w:line="360" w:lineRule="auto"/>
        <w:ind w:firstLine="420" w:firstLineChars="200"/>
        <w:rPr>
          <w:rFonts w:ascii="Times New Roman" w:hAnsi="Times New Roman" w:eastAsia="宋体"/>
          <w:color w:val="auto"/>
          <w:sz w:val="24"/>
          <w:szCs w:val="24"/>
          <w:highlight w:val="none"/>
        </w:rPr>
      </w:pPr>
      <w:r>
        <w:rPr>
          <w:rFonts w:ascii="Times New Roman" w:hAnsi="Times New Roman" w:eastAsia="宋体"/>
          <w:color w:val="auto"/>
          <w:szCs w:val="21"/>
          <w:highlight w:val="none"/>
        </w:rPr>
        <w:t>天然地基土的基床系数的比例系数</w:t>
      </w:r>
      <w:r>
        <w:rPr>
          <w:rFonts w:ascii="Times New Roman" w:hAnsi="Times New Roman" w:eastAsia="宋体"/>
          <w:i/>
          <w:iCs/>
          <w:color w:val="auto"/>
          <w:szCs w:val="21"/>
          <w:highlight w:val="none"/>
        </w:rPr>
        <w:t>m</w:t>
      </w:r>
      <w:r>
        <w:rPr>
          <w:rFonts w:ascii="Times New Roman" w:hAnsi="Times New Roman" w:eastAsia="宋体"/>
          <w:color w:val="auto"/>
          <w:szCs w:val="21"/>
          <w:highlight w:val="none"/>
        </w:rPr>
        <w:t>可参照表</w:t>
      </w:r>
      <w:r>
        <w:rPr>
          <w:rFonts w:hint="eastAsia" w:ascii="Times New Roman" w:hAnsi="Times New Roman" w:eastAsia="宋体"/>
          <w:color w:val="auto"/>
          <w:szCs w:val="21"/>
          <w:highlight w:val="none"/>
          <w:lang w:val="en-US" w:eastAsia="zh-CN"/>
        </w:rPr>
        <w:t>6-5</w:t>
      </w:r>
      <w:r>
        <w:rPr>
          <w:rFonts w:ascii="Times New Roman" w:hAnsi="Times New Roman" w:eastAsia="宋体"/>
          <w:color w:val="auto"/>
          <w:szCs w:val="21"/>
          <w:highlight w:val="none"/>
        </w:rPr>
        <w:t>取值。</w:t>
      </w:r>
    </w:p>
    <w:p>
      <w:pPr>
        <w:spacing w:line="360" w:lineRule="auto"/>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6-5</w:t>
      </w:r>
      <w:r>
        <w:rPr>
          <w:rFonts w:ascii="Times New Roman" w:hAnsi="Times New Roman" w:eastAsia="宋体"/>
          <w:b/>
          <w:bCs/>
          <w:color w:val="auto"/>
          <w:szCs w:val="21"/>
          <w:highlight w:val="none"/>
        </w:rPr>
        <w:t xml:space="preserve"> 土的基床系数的比例系数</w:t>
      </w:r>
      <w:r>
        <w:rPr>
          <w:rFonts w:ascii="Times New Roman" w:hAnsi="Times New Roman" w:eastAsia="宋体"/>
          <w:b/>
          <w:bCs/>
          <w:i/>
          <w:iCs/>
          <w:color w:val="auto"/>
          <w:szCs w:val="21"/>
          <w:highlight w:val="none"/>
        </w:rPr>
        <w:t>m</w:t>
      </w:r>
      <w:r>
        <w:rPr>
          <w:rFonts w:ascii="Times New Roman" w:hAnsi="Times New Roman" w:eastAsia="宋体"/>
          <w:b/>
          <w:bCs/>
          <w:color w:val="auto"/>
          <w:szCs w:val="21"/>
          <w:highlight w:val="none"/>
        </w:rPr>
        <w:t>的经验值（MPa/m</w:t>
      </w:r>
      <w:r>
        <w:rPr>
          <w:rFonts w:ascii="Times New Roman" w:hAnsi="Times New Roman" w:eastAsia="宋体"/>
          <w:b/>
          <w:bCs/>
          <w:color w:val="auto"/>
          <w:szCs w:val="21"/>
          <w:highlight w:val="none"/>
          <w:vertAlign w:val="superscript"/>
        </w:rPr>
        <w:t>2</w:t>
      </w:r>
      <w:r>
        <w:rPr>
          <w:rFonts w:ascii="Times New Roman" w:hAnsi="Times New Roman" w:eastAsia="宋体"/>
          <w:b/>
          <w:bCs/>
          <w:color w:val="auto"/>
          <w:szCs w:val="21"/>
          <w:highlight w:val="none"/>
        </w:rPr>
        <w:t>）</w:t>
      </w:r>
    </w:p>
    <w:tbl>
      <w:tblPr>
        <w:tblStyle w:val="22"/>
        <w:tblW w:w="8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4701"/>
        <w:gridCol w:w="1404"/>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top w:val="single" w:color="auto" w:sz="12" w:space="0"/>
              <w:lef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序号</w:t>
            </w:r>
          </w:p>
        </w:tc>
        <w:tc>
          <w:tcPr>
            <w:tcW w:w="4701" w:type="dxa"/>
            <w:tcBorders>
              <w:top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土的类别</w:t>
            </w:r>
          </w:p>
        </w:tc>
        <w:tc>
          <w:tcPr>
            <w:tcW w:w="1404" w:type="dxa"/>
            <w:tcBorders>
              <w:top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水平方向</w:t>
            </w:r>
            <w:r>
              <w:rPr>
                <w:rFonts w:ascii="Times New Roman" w:hAnsi="Times New Roman" w:eastAsia="宋体"/>
                <w:i/>
                <w:iCs/>
                <w:color w:val="auto"/>
                <w:sz w:val="20"/>
                <w:szCs w:val="20"/>
                <w:highlight w:val="none"/>
              </w:rPr>
              <w:t>m</w:t>
            </w:r>
          </w:p>
        </w:tc>
        <w:tc>
          <w:tcPr>
            <w:tcW w:w="1476" w:type="dxa"/>
            <w:tcBorders>
              <w:top w:val="single" w:color="auto" w:sz="12" w:space="0"/>
              <w:right w:val="single" w:color="auto" w:sz="12" w:space="0"/>
            </w:tcBorders>
          </w:tcPr>
          <w:p>
            <w:pPr>
              <w:jc w:val="center"/>
              <w:rPr>
                <w:rFonts w:ascii="Times New Roman" w:hAnsi="Times New Roman" w:eastAsia="宋体"/>
                <w:color w:val="auto"/>
                <w:sz w:val="20"/>
                <w:szCs w:val="20"/>
                <w:highlight w:val="none"/>
                <w:vertAlign w:val="subscript"/>
              </w:rPr>
            </w:pPr>
            <w:r>
              <w:rPr>
                <w:rFonts w:ascii="Times New Roman" w:hAnsi="Times New Roman" w:eastAsia="宋体"/>
                <w:color w:val="auto"/>
                <w:sz w:val="20"/>
                <w:szCs w:val="20"/>
                <w:highlight w:val="none"/>
              </w:rPr>
              <w:t>竖直方向</w:t>
            </w:r>
            <w:r>
              <w:rPr>
                <w:rFonts w:ascii="Times New Roman" w:hAnsi="Times New Roman" w:eastAsia="宋体"/>
                <w:i/>
                <w:iCs/>
                <w:color w:val="auto"/>
                <w:sz w:val="20"/>
                <w:szCs w:val="20"/>
                <w:highlight w:val="none"/>
              </w:rPr>
              <w:t>m</w:t>
            </w:r>
            <w:r>
              <w:rPr>
                <w:rFonts w:ascii="Times New Roman" w:hAnsi="Times New Roman" w:eastAsia="宋体"/>
                <w:color w:val="auto"/>
                <w:sz w:val="20"/>
                <w:szCs w:val="20"/>
                <w:highlight w:val="none"/>
                <w:vertAlign w:val="subscrip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lef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w:t>
            </w:r>
          </w:p>
        </w:tc>
        <w:tc>
          <w:tcPr>
            <w:tcW w:w="4701" w:type="dxa"/>
          </w:tcPr>
          <w:p>
            <w:pPr>
              <w:ind w:right="-105" w:rightChars="-50"/>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0.75&lt;</w:t>
            </w:r>
            <w:r>
              <w:rPr>
                <w:rFonts w:ascii="Times New Roman" w:hAnsi="Times New Roman" w:eastAsia="宋体"/>
                <w:i/>
                <w:iCs/>
                <w:color w:val="auto"/>
                <w:sz w:val="20"/>
                <w:szCs w:val="20"/>
                <w:highlight w:val="none"/>
              </w:rPr>
              <w:t>I</w:t>
            </w:r>
            <w:r>
              <w:rPr>
                <w:rFonts w:ascii="Times New Roman" w:hAnsi="Times New Roman" w:eastAsia="宋体"/>
                <w:color w:val="auto"/>
                <w:sz w:val="20"/>
                <w:szCs w:val="20"/>
                <w:highlight w:val="none"/>
                <w:vertAlign w:val="subscript"/>
              </w:rPr>
              <w:t>L</w:t>
            </w:r>
            <w:r>
              <w:rPr>
                <w:rFonts w:ascii="Times New Roman" w:hAnsi="Times New Roman" w:eastAsia="宋体"/>
                <w:color w:val="auto"/>
                <w:sz w:val="20"/>
                <w:szCs w:val="20"/>
                <w:highlight w:val="none"/>
              </w:rPr>
              <w:t>≤1.0的软塑黏土及粉质黏土；</w:t>
            </w:r>
            <w:r>
              <w:rPr>
                <w:rFonts w:ascii="Times New Roman" w:hAnsi="Times New Roman" w:eastAsia="宋体"/>
                <w:i/>
                <w:iCs/>
                <w:color w:val="auto"/>
                <w:sz w:val="20"/>
                <w:szCs w:val="20"/>
                <w:highlight w:val="none"/>
              </w:rPr>
              <w:t>I</w:t>
            </w:r>
            <w:r>
              <w:rPr>
                <w:rFonts w:ascii="Times New Roman" w:hAnsi="Times New Roman" w:eastAsia="宋体"/>
                <w:color w:val="auto"/>
                <w:sz w:val="20"/>
                <w:szCs w:val="20"/>
                <w:highlight w:val="none"/>
                <w:vertAlign w:val="subscript"/>
              </w:rPr>
              <w:t>L</w:t>
            </w:r>
            <w:r>
              <w:rPr>
                <w:rFonts w:ascii="Times New Roman" w:hAnsi="Times New Roman" w:eastAsia="宋体"/>
                <w:color w:val="auto"/>
                <w:sz w:val="20"/>
                <w:szCs w:val="20"/>
                <w:highlight w:val="none"/>
              </w:rPr>
              <w:t>&gt;1.0的软土</w:t>
            </w:r>
          </w:p>
        </w:tc>
        <w:tc>
          <w:tcPr>
            <w:tcW w:w="140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0.5~1.4</w:t>
            </w:r>
          </w:p>
        </w:tc>
        <w:tc>
          <w:tcPr>
            <w:tcW w:w="1476"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lef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w:t>
            </w:r>
          </w:p>
        </w:tc>
        <w:tc>
          <w:tcPr>
            <w:tcW w:w="4701" w:type="dxa"/>
          </w:tcPr>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0.25&lt;</w:t>
            </w:r>
            <w:r>
              <w:rPr>
                <w:rFonts w:ascii="Times New Roman" w:hAnsi="Times New Roman" w:eastAsia="宋体"/>
                <w:i/>
                <w:iCs/>
                <w:color w:val="auto"/>
                <w:sz w:val="20"/>
                <w:szCs w:val="20"/>
                <w:highlight w:val="none"/>
              </w:rPr>
              <w:t>I</w:t>
            </w:r>
            <w:r>
              <w:rPr>
                <w:rFonts w:ascii="Times New Roman" w:hAnsi="Times New Roman" w:eastAsia="宋体"/>
                <w:color w:val="auto"/>
                <w:sz w:val="20"/>
                <w:szCs w:val="20"/>
                <w:highlight w:val="none"/>
                <w:vertAlign w:val="subscript"/>
              </w:rPr>
              <w:t>L</w:t>
            </w:r>
            <w:r>
              <w:rPr>
                <w:rFonts w:ascii="Times New Roman" w:hAnsi="Times New Roman" w:eastAsia="宋体"/>
                <w:color w:val="auto"/>
                <w:sz w:val="20"/>
                <w:szCs w:val="20"/>
                <w:highlight w:val="none"/>
              </w:rPr>
              <w:t>≤0.75的可塑黏土及粉质黏土；粉土和粉砂</w:t>
            </w:r>
          </w:p>
        </w:tc>
        <w:tc>
          <w:tcPr>
            <w:tcW w:w="140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1~2.8</w:t>
            </w:r>
          </w:p>
        </w:tc>
        <w:tc>
          <w:tcPr>
            <w:tcW w:w="1476"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lef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w:t>
            </w:r>
          </w:p>
        </w:tc>
        <w:tc>
          <w:tcPr>
            <w:tcW w:w="4701" w:type="dxa"/>
          </w:tcPr>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0&lt;</w:t>
            </w:r>
            <w:r>
              <w:rPr>
                <w:rFonts w:ascii="Times New Roman" w:hAnsi="Times New Roman" w:eastAsia="宋体"/>
                <w:i/>
                <w:iCs/>
                <w:color w:val="auto"/>
                <w:sz w:val="20"/>
                <w:szCs w:val="20"/>
                <w:highlight w:val="none"/>
              </w:rPr>
              <w:t>I</w:t>
            </w:r>
            <w:r>
              <w:rPr>
                <w:rFonts w:ascii="Times New Roman" w:hAnsi="Times New Roman" w:eastAsia="宋体"/>
                <w:color w:val="auto"/>
                <w:sz w:val="20"/>
                <w:szCs w:val="20"/>
                <w:highlight w:val="none"/>
                <w:vertAlign w:val="subscript"/>
              </w:rPr>
              <w:t>L</w:t>
            </w:r>
            <w:r>
              <w:rPr>
                <w:rFonts w:ascii="Times New Roman" w:hAnsi="Times New Roman" w:eastAsia="宋体"/>
                <w:color w:val="auto"/>
                <w:sz w:val="20"/>
                <w:szCs w:val="20"/>
                <w:highlight w:val="none"/>
              </w:rPr>
              <w:t>≤0.25的硬塑黏土及粉质黏土；细砂和中砂</w:t>
            </w:r>
          </w:p>
        </w:tc>
        <w:tc>
          <w:tcPr>
            <w:tcW w:w="140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2~4.2</w:t>
            </w:r>
          </w:p>
        </w:tc>
        <w:tc>
          <w:tcPr>
            <w:tcW w:w="1476"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lef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w:t>
            </w:r>
          </w:p>
        </w:tc>
        <w:tc>
          <w:tcPr>
            <w:tcW w:w="4701" w:type="dxa"/>
          </w:tcPr>
          <w:p>
            <w:pPr>
              <w:jc w:val="left"/>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I</w:t>
            </w:r>
            <w:r>
              <w:rPr>
                <w:rFonts w:ascii="Times New Roman" w:hAnsi="Times New Roman" w:eastAsia="宋体"/>
                <w:color w:val="auto"/>
                <w:sz w:val="20"/>
                <w:szCs w:val="20"/>
                <w:highlight w:val="none"/>
                <w:vertAlign w:val="subscript"/>
              </w:rPr>
              <w:t>L</w:t>
            </w:r>
            <w:r>
              <w:rPr>
                <w:rFonts w:ascii="Times New Roman" w:hAnsi="Times New Roman" w:eastAsia="宋体"/>
                <w:color w:val="auto"/>
                <w:sz w:val="20"/>
                <w:szCs w:val="20"/>
                <w:highlight w:val="none"/>
              </w:rPr>
              <w:t>≤0的坚硬黏土及粉质黏土；粗砂</w:t>
            </w:r>
          </w:p>
        </w:tc>
        <w:tc>
          <w:tcPr>
            <w:tcW w:w="140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3~7</w:t>
            </w:r>
          </w:p>
        </w:tc>
        <w:tc>
          <w:tcPr>
            <w:tcW w:w="1476"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lef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w:t>
            </w:r>
          </w:p>
        </w:tc>
        <w:tc>
          <w:tcPr>
            <w:tcW w:w="4701" w:type="dxa"/>
          </w:tcPr>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砾砂；碎石土</w:t>
            </w:r>
          </w:p>
        </w:tc>
        <w:tc>
          <w:tcPr>
            <w:tcW w:w="1404" w:type="dxa"/>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5~14</w:t>
            </w:r>
          </w:p>
        </w:tc>
        <w:tc>
          <w:tcPr>
            <w:tcW w:w="1476" w:type="dxa"/>
            <w:tcBorders>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left w:val="single" w:color="auto" w:sz="12" w:space="0"/>
              <w:bottom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w:t>
            </w:r>
          </w:p>
        </w:tc>
        <w:tc>
          <w:tcPr>
            <w:tcW w:w="4701" w:type="dxa"/>
            <w:tcBorders>
              <w:bottom w:val="single" w:color="auto" w:sz="12" w:space="0"/>
            </w:tcBorders>
          </w:tcPr>
          <w:p>
            <w:pPr>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密实的大漂石</w:t>
            </w:r>
          </w:p>
        </w:tc>
        <w:tc>
          <w:tcPr>
            <w:tcW w:w="1404" w:type="dxa"/>
            <w:tcBorders>
              <w:bottom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40~84</w:t>
            </w:r>
          </w:p>
        </w:tc>
        <w:tc>
          <w:tcPr>
            <w:tcW w:w="1476" w:type="dxa"/>
            <w:tcBorders>
              <w:bottom w:val="single" w:color="auto" w:sz="12" w:space="0"/>
              <w:right w:val="single" w:color="auto" w:sz="12" w:space="0"/>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80~120</w:t>
            </w:r>
          </w:p>
        </w:tc>
      </w:tr>
    </w:tbl>
    <w:p>
      <w:pPr>
        <w:keepNext w:val="0"/>
        <w:keepLines w:val="0"/>
        <w:pageBreakBefore w:val="0"/>
        <w:widowControl w:val="0"/>
        <w:kinsoku/>
        <w:wordWrap/>
        <w:overflowPunct/>
        <w:topLinePunct w:val="0"/>
        <w:autoSpaceDE/>
        <w:autoSpaceDN/>
        <w:bidi w:val="0"/>
        <w:adjustRightInd/>
        <w:snapToGrid/>
        <w:spacing w:before="63" w:beforeLines="20" w:line="240" w:lineRule="auto"/>
        <w:jc w:val="left"/>
        <w:textAlignment w:val="auto"/>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注：1</w:t>
      </w:r>
      <w:r>
        <w:rPr>
          <w:rFonts w:hint="eastAsia"/>
          <w:color w:val="auto"/>
          <w:sz w:val="18"/>
          <w:szCs w:val="18"/>
          <w:highlight w:val="none"/>
          <w:lang w:val="en-US" w:eastAsia="zh-CN"/>
        </w:rPr>
        <w:t xml:space="preserve">  </w:t>
      </w:r>
      <w:r>
        <w:rPr>
          <w:rFonts w:ascii="Times New Roman" w:hAnsi="Times New Roman" w:eastAsia="宋体"/>
          <w:i/>
          <w:iCs/>
          <w:color w:val="auto"/>
          <w:sz w:val="18"/>
          <w:szCs w:val="18"/>
          <w:highlight w:val="none"/>
        </w:rPr>
        <w:t>I</w:t>
      </w:r>
      <w:r>
        <w:rPr>
          <w:rFonts w:ascii="Times New Roman" w:hAnsi="Times New Roman" w:eastAsia="宋体"/>
          <w:color w:val="auto"/>
          <w:sz w:val="18"/>
          <w:szCs w:val="18"/>
          <w:highlight w:val="none"/>
          <w:vertAlign w:val="subscript"/>
        </w:rPr>
        <w:t>L</w:t>
      </w:r>
      <w:r>
        <w:rPr>
          <w:rFonts w:ascii="Times New Roman" w:hAnsi="Times New Roman" w:eastAsia="宋体"/>
          <w:color w:val="auto"/>
          <w:sz w:val="18"/>
          <w:szCs w:val="18"/>
          <w:highlight w:val="none"/>
        </w:rPr>
        <w:t>——土的液性指数；</w:t>
      </w:r>
    </w:p>
    <w:p>
      <w:pPr>
        <w:ind w:left="357" w:leftChars="170"/>
        <w:jc w:val="left"/>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lang w:val="en-US" w:eastAsia="zh-CN"/>
        </w:rPr>
        <w:t>2</w:t>
      </w:r>
      <w:r>
        <w:rPr>
          <w:rFonts w:hint="eastAsia"/>
          <w:color w:val="auto"/>
          <w:sz w:val="18"/>
          <w:szCs w:val="18"/>
          <w:highlight w:val="none"/>
          <w:lang w:val="en-US" w:eastAsia="zh-CN"/>
        </w:rPr>
        <w:t xml:space="preserve"> </w:t>
      </w:r>
      <w:r>
        <w:rPr>
          <w:rFonts w:hint="eastAsia" w:ascii="Times New Roman" w:hAnsi="Times New Roman" w:eastAsia="宋体"/>
          <w:color w:val="auto"/>
          <w:sz w:val="18"/>
          <w:szCs w:val="18"/>
          <w:highlight w:val="none"/>
          <w:lang w:val="en-US" w:eastAsia="zh-CN"/>
        </w:rPr>
        <w:t xml:space="preserve"> </w:t>
      </w:r>
      <w:r>
        <w:rPr>
          <w:rFonts w:ascii="Times New Roman" w:hAnsi="Times New Roman" w:eastAsia="宋体"/>
          <w:color w:val="auto"/>
          <w:sz w:val="18"/>
          <w:szCs w:val="18"/>
          <w:highlight w:val="none"/>
        </w:rPr>
        <w:t>对于土质地基系数</w:t>
      </w:r>
      <w:r>
        <w:rPr>
          <w:rFonts w:ascii="Times New Roman" w:hAnsi="Times New Roman" w:eastAsia="宋体"/>
          <w:i/>
          <w:iCs/>
          <w:color w:val="auto"/>
          <w:sz w:val="18"/>
          <w:szCs w:val="18"/>
          <w:highlight w:val="none"/>
        </w:rPr>
        <w:t>m</w:t>
      </w:r>
      <w:r>
        <w:rPr>
          <w:rFonts w:ascii="Times New Roman" w:hAnsi="Times New Roman" w:eastAsia="宋体"/>
          <w:color w:val="auto"/>
          <w:sz w:val="18"/>
          <w:szCs w:val="18"/>
          <w:highlight w:val="none"/>
        </w:rPr>
        <w:t>和</w:t>
      </w:r>
      <w:r>
        <w:rPr>
          <w:rFonts w:ascii="Times New Roman" w:hAnsi="Times New Roman" w:eastAsia="宋体"/>
          <w:i/>
          <w:iCs/>
          <w:color w:val="auto"/>
          <w:sz w:val="18"/>
          <w:szCs w:val="18"/>
          <w:highlight w:val="none"/>
        </w:rPr>
        <w:t>m</w:t>
      </w:r>
      <w:r>
        <w:rPr>
          <w:rFonts w:ascii="Times New Roman" w:hAnsi="Times New Roman" w:eastAsia="宋体"/>
          <w:color w:val="auto"/>
          <w:sz w:val="18"/>
          <w:szCs w:val="18"/>
          <w:highlight w:val="none"/>
          <w:vertAlign w:val="subscript"/>
        </w:rPr>
        <w:t>0</w:t>
      </w:r>
      <w:r>
        <w:rPr>
          <w:rFonts w:ascii="Times New Roman" w:hAnsi="Times New Roman" w:eastAsia="宋体"/>
          <w:color w:val="auto"/>
          <w:sz w:val="18"/>
          <w:szCs w:val="18"/>
          <w:highlight w:val="none"/>
        </w:rPr>
        <w:t>，相应于桩顶位移6mm~10mm；</w:t>
      </w:r>
    </w:p>
    <w:p>
      <w:pPr>
        <w:ind w:left="357" w:leftChars="170"/>
        <w:jc w:val="left"/>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lang w:val="en-US" w:eastAsia="zh-CN"/>
        </w:rPr>
        <w:t>3</w:t>
      </w:r>
      <w:r>
        <w:rPr>
          <w:rFonts w:hint="eastAsia"/>
          <w:color w:val="auto"/>
          <w:sz w:val="18"/>
          <w:szCs w:val="18"/>
          <w:highlight w:val="none"/>
          <w:lang w:val="en-US" w:eastAsia="zh-CN"/>
        </w:rPr>
        <w:t xml:space="preserve"> </w:t>
      </w:r>
      <w:r>
        <w:rPr>
          <w:rFonts w:hint="eastAsia" w:ascii="Times New Roman" w:hAnsi="Times New Roman" w:eastAsia="宋体"/>
          <w:color w:val="auto"/>
          <w:sz w:val="18"/>
          <w:szCs w:val="18"/>
          <w:highlight w:val="none"/>
          <w:lang w:val="en-US" w:eastAsia="zh-CN"/>
        </w:rPr>
        <w:t xml:space="preserve"> </w:t>
      </w:r>
      <w:r>
        <w:rPr>
          <w:rFonts w:ascii="Times New Roman" w:hAnsi="Times New Roman" w:eastAsia="宋体"/>
          <w:color w:val="auto"/>
          <w:sz w:val="18"/>
          <w:szCs w:val="18"/>
          <w:highlight w:val="none"/>
        </w:rPr>
        <w:t>有可靠资料和经验时，可不受本表的限制。</w:t>
      </w:r>
    </w:p>
    <w:p>
      <w:pPr>
        <w:spacing w:line="360" w:lineRule="auto"/>
        <w:ind w:firstLine="420" w:firstLineChars="200"/>
        <w:jc w:val="left"/>
        <w:rPr>
          <w:rFonts w:ascii="Times New Roman" w:hAnsi="Times New Roman" w:eastAsia="宋体"/>
          <w:color w:val="auto"/>
          <w:sz w:val="20"/>
          <w:szCs w:val="20"/>
          <w:highlight w:val="none"/>
          <w:shd w:val="clear" w:color="auto" w:fill="FFFFFF"/>
        </w:rPr>
      </w:pPr>
      <w:r>
        <w:rPr>
          <w:rFonts w:ascii="Times New Roman" w:hAnsi="Times New Roman" w:eastAsia="宋体"/>
          <w:color w:val="auto"/>
          <w:szCs w:val="21"/>
          <w:highlight w:val="none"/>
        </w:rPr>
        <w:t>表</w:t>
      </w:r>
      <w:r>
        <w:rPr>
          <w:rFonts w:hint="eastAsia" w:ascii="Times New Roman" w:hAnsi="Times New Roman" w:eastAsia="宋体"/>
          <w:color w:val="auto"/>
          <w:szCs w:val="21"/>
          <w:highlight w:val="none"/>
          <w:lang w:val="en-US" w:eastAsia="zh-CN"/>
        </w:rPr>
        <w:t>6-5</w:t>
      </w:r>
      <w:r>
        <w:rPr>
          <w:rFonts w:ascii="Times New Roman" w:hAnsi="Times New Roman" w:eastAsia="宋体"/>
          <w:color w:val="auto"/>
          <w:szCs w:val="21"/>
          <w:highlight w:val="none"/>
        </w:rPr>
        <w:t>主要引用自《建筑边坡工程技术规范》GB 50330-2013表G.0.1-2。但该表有明显的错误，序号2对应的土的描述为</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0.5&lt;</w:t>
      </w:r>
      <w:r>
        <w:rPr>
          <w:rFonts w:ascii="Times New Roman" w:hAnsi="Times New Roman" w:eastAsia="宋体"/>
          <w:i/>
          <w:iCs/>
          <w:color w:val="auto"/>
          <w:szCs w:val="21"/>
          <w:highlight w:val="none"/>
        </w:rPr>
        <w:t>I</w:t>
      </w:r>
      <w:r>
        <w:rPr>
          <w:rFonts w:ascii="Times New Roman" w:hAnsi="Times New Roman" w:eastAsia="宋体"/>
          <w:color w:val="auto"/>
          <w:szCs w:val="21"/>
          <w:highlight w:val="none"/>
          <w:vertAlign w:val="subscript"/>
        </w:rPr>
        <w:t>L</w:t>
      </w:r>
      <w:r>
        <w:rPr>
          <w:rFonts w:ascii="Times New Roman" w:hAnsi="Times New Roman" w:eastAsia="宋体"/>
          <w:color w:val="auto"/>
          <w:szCs w:val="21"/>
          <w:highlight w:val="none"/>
        </w:rPr>
        <w:t>&lt;0.75的软塑粉质黏土及黏土</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，显然与上下文不匹配，且该液性指数是可塑土的范围。经参考</w:t>
      </w:r>
      <w:bookmarkStart w:id="372" w:name="_Hlk80352347"/>
      <w:r>
        <w:rPr>
          <w:rFonts w:ascii="Times New Roman" w:hAnsi="Times New Roman" w:eastAsia="宋体"/>
          <w:color w:val="auto"/>
          <w:szCs w:val="21"/>
          <w:highlight w:val="none"/>
        </w:rPr>
        <w:t>《港口工程桩基静载荷试验规程》JTJ 255</w:t>
      </w:r>
      <w:bookmarkEnd w:id="372"/>
      <w:r>
        <w:rPr>
          <w:rFonts w:ascii="Times New Roman" w:hAnsi="Times New Roman" w:eastAsia="宋体"/>
          <w:color w:val="auto"/>
          <w:szCs w:val="21"/>
          <w:highlight w:val="none"/>
        </w:rPr>
        <w:t>、</w:t>
      </w:r>
      <w:bookmarkStart w:id="373" w:name="_Hlk80352399"/>
      <w:r>
        <w:rPr>
          <w:rFonts w:ascii="Times New Roman" w:hAnsi="Times New Roman" w:eastAsia="宋体"/>
          <w:color w:val="auto"/>
          <w:szCs w:val="21"/>
          <w:highlight w:val="none"/>
        </w:rPr>
        <w:t>《建筑桩基技术规范》</w:t>
      </w:r>
      <w:r>
        <w:rPr>
          <w:rFonts w:ascii="Arial" w:hAnsi="Arial" w:cs="Arial"/>
          <w:color w:val="auto"/>
          <w:sz w:val="20"/>
          <w:szCs w:val="20"/>
          <w:highlight w:val="none"/>
          <w:shd w:val="clear" w:color="auto" w:fill="FFFFFF"/>
        </w:rPr>
        <w:t>JGJ 94</w:t>
      </w:r>
      <w:bookmarkEnd w:id="373"/>
      <w:r>
        <w:rPr>
          <w:rFonts w:ascii="Times New Roman" w:hAnsi="Times New Roman" w:eastAsia="宋体"/>
          <w:color w:val="auto"/>
          <w:szCs w:val="21"/>
          <w:highlight w:val="none"/>
        </w:rPr>
        <w:t>及</w:t>
      </w:r>
      <w:bookmarkStart w:id="374" w:name="_Hlk80352415"/>
      <w:r>
        <w:rPr>
          <w:rFonts w:ascii="Times New Roman" w:hAnsi="Times New Roman" w:eastAsia="宋体"/>
          <w:color w:val="auto"/>
          <w:szCs w:val="21"/>
          <w:highlight w:val="none"/>
        </w:rPr>
        <w:t>顾晓鲁等主编的《地基与基础》（第三版）</w:t>
      </w:r>
      <w:bookmarkEnd w:id="374"/>
      <w:r>
        <w:rPr>
          <w:rFonts w:ascii="Times New Roman" w:hAnsi="Times New Roman" w:eastAsia="宋体"/>
          <w:color w:val="auto"/>
          <w:szCs w:val="21"/>
          <w:highlight w:val="none"/>
        </w:rPr>
        <w:t>，确定该行的土的描述应当修改为</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0.25&lt;</w:t>
      </w:r>
      <w:r>
        <w:rPr>
          <w:rFonts w:ascii="Times New Roman" w:hAnsi="Times New Roman" w:eastAsia="宋体"/>
          <w:i/>
          <w:iCs/>
          <w:color w:val="auto"/>
          <w:szCs w:val="21"/>
          <w:highlight w:val="none"/>
        </w:rPr>
        <w:t>I</w:t>
      </w:r>
      <w:r>
        <w:rPr>
          <w:rFonts w:ascii="Times New Roman" w:hAnsi="Times New Roman" w:eastAsia="宋体"/>
          <w:color w:val="auto"/>
          <w:szCs w:val="21"/>
          <w:highlight w:val="none"/>
          <w:vertAlign w:val="subscript"/>
        </w:rPr>
        <w:t>L</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0.75的可塑黏土及粉质黏土</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，并增加了粉土和粉砂。与此同时，把</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淤泥</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改为</w:t>
      </w:r>
      <w:r>
        <w:rPr>
          <w:rFonts w:hint="eastAsia" w:ascii="宋体" w:hAnsi="宋体" w:eastAsia="宋体" w:cs="宋体"/>
          <w:color w:val="auto"/>
          <w:szCs w:val="21"/>
          <w:highlight w:val="none"/>
        </w:rPr>
        <w:t>“</w:t>
      </w:r>
      <w:r>
        <w:rPr>
          <w:rFonts w:ascii="Times New Roman" w:hAnsi="Times New Roman" w:eastAsia="宋体"/>
          <w:i/>
          <w:iCs/>
          <w:color w:val="auto"/>
          <w:szCs w:val="21"/>
          <w:highlight w:val="none"/>
        </w:rPr>
        <w:t>I</w:t>
      </w:r>
      <w:r>
        <w:rPr>
          <w:rFonts w:ascii="Times New Roman" w:hAnsi="Times New Roman" w:eastAsia="宋体"/>
          <w:color w:val="auto"/>
          <w:szCs w:val="21"/>
          <w:highlight w:val="none"/>
          <w:vertAlign w:val="subscript"/>
        </w:rPr>
        <w:t>L</w:t>
      </w:r>
      <w:r>
        <w:rPr>
          <w:rFonts w:ascii="Times New Roman" w:hAnsi="Times New Roman" w:eastAsia="宋体"/>
          <w:color w:val="auto"/>
          <w:szCs w:val="21"/>
          <w:highlight w:val="none"/>
        </w:rPr>
        <w:t>&gt;1.0的软土</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以更为全面；序号3、4对应的黏性土也调整成与序号1、2的表述形式一致。</w:t>
      </w:r>
    </w:p>
    <w:p>
      <w:pPr>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土的水平反力系数的比例系数</w:t>
      </w:r>
      <w:r>
        <w:rPr>
          <w:rFonts w:ascii="Times New Roman" w:hAnsi="Times New Roman" w:eastAsia="宋体"/>
          <w:i/>
          <w:iCs/>
          <w:color w:val="auto"/>
          <w:szCs w:val="21"/>
          <w:highlight w:val="none"/>
        </w:rPr>
        <w:t>m</w:t>
      </w:r>
      <w:r>
        <w:rPr>
          <w:rFonts w:ascii="Times New Roman" w:hAnsi="Times New Roman" w:eastAsia="宋体"/>
          <w:color w:val="auto"/>
          <w:szCs w:val="21"/>
          <w:highlight w:val="none"/>
        </w:rPr>
        <w:t>在缺少试验和经验时，可按下列公式计算：</w:t>
      </w:r>
    </w:p>
    <w:p>
      <w:pPr>
        <w:spacing w:line="360" w:lineRule="auto"/>
        <w:jc w:val="center"/>
        <w:rPr>
          <w:rFonts w:ascii="Times New Roman" w:hAnsi="Times New Roman" w:eastAsia="宋体"/>
          <w:color w:val="auto"/>
          <w:szCs w:val="21"/>
          <w:highlight w:val="none"/>
        </w:rPr>
      </w:pPr>
      <w:r>
        <w:rPr>
          <w:rFonts w:ascii="Times New Roman" w:hAnsi="Times New Roman" w:eastAsia="宋体"/>
          <w:color w:val="auto"/>
          <w:position w:val="-30"/>
          <w:szCs w:val="21"/>
          <w:highlight w:val="none"/>
        </w:rPr>
        <w:object>
          <v:shape id="_x0000_i1114" o:spt="75" type="#_x0000_t75" style="height:30.75pt;width:75.75pt;" o:ole="t" filled="f" o:preferrelative="t" stroked="f" coordsize="21600,21600">
            <v:path/>
            <v:fill on="f" focussize="0,0"/>
            <v:stroke on="f" joinstyle="miter"/>
            <v:imagedata r:id="rId83" o:title=""/>
            <o:lock v:ext="edit" aspectratio="t"/>
            <w10:wrap type="none"/>
            <w10:anchorlock/>
          </v:shape>
          <o:OLEObject Type="Embed" ProgID="Equation.3" ShapeID="_x0000_i1114" DrawAspect="Content" ObjectID="_1468075753" r:id="rId82">
            <o:LockedField>false</o:LockedField>
          </o:OLEObject>
        </w:object>
      </w:r>
    </w:p>
    <w:p>
      <w:pPr>
        <w:spacing w:line="360" w:lineRule="auto"/>
        <w:jc w:val="left"/>
        <w:rPr>
          <w:rFonts w:ascii="Times New Roman" w:hAnsi="Times New Roman" w:eastAsia="宋体"/>
          <w:color w:val="auto"/>
          <w:szCs w:val="21"/>
          <w:highlight w:val="none"/>
        </w:rPr>
      </w:pPr>
      <w:r>
        <w:rPr>
          <w:rFonts w:ascii="Times New Roman" w:hAnsi="Times New Roman" w:eastAsia="宋体"/>
          <w:color w:val="auto"/>
          <w:szCs w:val="21"/>
          <w:highlight w:val="none"/>
        </w:rPr>
        <w:t>其中，c——土的粘聚力（kPa）；</w:t>
      </w:r>
    </w:p>
    <w:p>
      <w:pPr>
        <w:spacing w:line="360" w:lineRule="auto"/>
        <w:ind w:left="630" w:leftChars="3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φ——土的内摩擦角（°）；</w:t>
      </w:r>
    </w:p>
    <w:p>
      <w:pPr>
        <w:spacing w:line="360" w:lineRule="auto"/>
        <w:ind w:left="1260" w:leftChars="300" w:hanging="630" w:hangingChars="300"/>
        <w:jc w:val="left"/>
        <w:rPr>
          <w:rFonts w:ascii="Times New Roman" w:hAnsi="Times New Roman" w:eastAsia="宋体"/>
          <w:color w:val="auto"/>
          <w:szCs w:val="21"/>
          <w:highlight w:val="none"/>
        </w:rPr>
      </w:pPr>
      <w:r>
        <w:rPr>
          <w:rFonts w:ascii="Times New Roman" w:hAnsi="Times New Roman" w:eastAsia="宋体"/>
          <w:color w:val="auto"/>
          <w:position w:val="-12"/>
          <w:szCs w:val="21"/>
          <w:highlight w:val="none"/>
        </w:rPr>
        <w:object>
          <v:shape id="_x0000_i1115" o:spt="75" type="#_x0000_t75" style="height:18pt;width:12.75pt;" o:ole="t" filled="f" o:preferrelative="t" stroked="f" coordsize="21600,21600">
            <v:path/>
            <v:fill on="f" focussize="0,0"/>
            <v:stroke on="f" joinstyle="miter"/>
            <v:imagedata r:id="rId85" o:title=""/>
            <o:lock v:ext="edit" aspectratio="t"/>
            <w10:wrap type="none"/>
            <w10:anchorlock/>
          </v:shape>
          <o:OLEObject Type="Embed" ProgID="Equation.3" ShapeID="_x0000_i1115" DrawAspect="Content" ObjectID="_1468075754" r:id="rId84">
            <o:LockedField>false</o:LockedField>
          </o:OLEObject>
        </w:object>
      </w:r>
      <w:r>
        <w:rPr>
          <w:rFonts w:ascii="Times New Roman" w:hAnsi="Times New Roman" w:eastAsia="宋体"/>
          <w:color w:val="auto"/>
          <w:szCs w:val="21"/>
          <w:highlight w:val="none"/>
        </w:rPr>
        <w:t>——挡土结构在坑底处的水平位移量（mm）。当</w:t>
      </w:r>
      <w:r>
        <w:rPr>
          <w:rFonts w:ascii="Times New Roman" w:hAnsi="Times New Roman" w:eastAsia="宋体"/>
          <w:color w:val="auto"/>
          <w:position w:val="-12"/>
          <w:szCs w:val="21"/>
          <w:highlight w:val="none"/>
        </w:rPr>
        <w:object>
          <v:shape id="_x0000_i1116" o:spt="75" type="#_x0000_t75" style="height:18pt;width:54pt;" o:ole="t" filled="f" o:preferrelative="t" stroked="f" coordsize="21600,21600">
            <v:path/>
            <v:fill on="f" focussize="0,0"/>
            <v:stroke on="f" joinstyle="miter"/>
            <v:imagedata r:id="rId87" o:title=""/>
            <o:lock v:ext="edit" aspectratio="t"/>
            <w10:wrap type="none"/>
            <w10:anchorlock/>
          </v:shape>
          <o:OLEObject Type="Embed" ProgID="Equation.3" ShapeID="_x0000_i1116" DrawAspect="Content" ObjectID="_1468075755" r:id="rId86">
            <o:LockedField>false</o:LockedField>
          </o:OLEObject>
        </w:object>
      </w:r>
      <w:r>
        <w:rPr>
          <w:rFonts w:ascii="Times New Roman" w:hAnsi="Times New Roman" w:eastAsia="宋体"/>
          <w:color w:val="auto"/>
          <w:szCs w:val="21"/>
          <w:highlight w:val="none"/>
        </w:rPr>
        <w:t>时，取</w:t>
      </w:r>
      <w:r>
        <w:rPr>
          <w:rFonts w:ascii="Times New Roman" w:hAnsi="Times New Roman" w:eastAsia="宋体"/>
          <w:color w:val="auto"/>
          <w:position w:val="-12"/>
          <w:szCs w:val="21"/>
          <w:highlight w:val="none"/>
        </w:rPr>
        <w:object>
          <v:shape id="_x0000_i1117" o:spt="75" type="#_x0000_t75" style="height:18pt;width:54pt;" o:ole="t" filled="f" o:preferrelative="t" stroked="f" coordsize="21600,21600">
            <v:path/>
            <v:fill on="f" focussize="0,0"/>
            <v:stroke on="f" joinstyle="miter"/>
            <v:imagedata r:id="rId89" o:title=""/>
            <o:lock v:ext="edit" aspectratio="t"/>
            <w10:wrap type="none"/>
            <w10:anchorlock/>
          </v:shape>
          <o:OLEObject Type="Embed" ProgID="Equation.3" ShapeID="_x0000_i1117" DrawAspect="Content" ObjectID="_1468075756" r:id="rId88">
            <o:LockedField>false</o:LockedField>
          </o:OLEObject>
        </w:object>
      </w:r>
      <w:r>
        <w:rPr>
          <w:rFonts w:ascii="Times New Roman" w:hAnsi="Times New Roman" w:eastAsia="宋体"/>
          <w:color w:val="auto"/>
          <w:szCs w:val="21"/>
          <w:highlight w:val="none"/>
        </w:rPr>
        <w:t>。</w:t>
      </w:r>
    </w:p>
    <w:p>
      <w:pPr>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对于桩基，地基土水平抗力系数的比例系数可参照表</w:t>
      </w:r>
      <w:r>
        <w:rPr>
          <w:rFonts w:hint="eastAsia" w:ascii="Times New Roman" w:hAnsi="Times New Roman" w:eastAsia="宋体"/>
          <w:color w:val="auto"/>
          <w:szCs w:val="21"/>
          <w:highlight w:val="none"/>
          <w:lang w:val="en-US" w:eastAsia="zh-CN"/>
        </w:rPr>
        <w:t>6-6</w:t>
      </w:r>
      <w:r>
        <w:rPr>
          <w:rFonts w:ascii="Times New Roman" w:hAnsi="Times New Roman" w:eastAsia="宋体"/>
          <w:color w:val="auto"/>
          <w:szCs w:val="21"/>
          <w:highlight w:val="none"/>
        </w:rPr>
        <w:t>取值。</w:t>
      </w:r>
    </w:p>
    <w:p>
      <w:pPr>
        <w:spacing w:line="360" w:lineRule="auto"/>
        <w:jc w:val="center"/>
        <w:rPr>
          <w:rFonts w:ascii="Times New Roman" w:hAnsi="Times New Roman" w:eastAsia="宋体"/>
          <w:color w:val="auto"/>
          <w:szCs w:val="21"/>
          <w:highlight w:val="none"/>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6-6</w:t>
      </w:r>
      <w:r>
        <w:rPr>
          <w:rFonts w:ascii="Times New Roman" w:hAnsi="Times New Roman" w:eastAsia="宋体"/>
          <w:b/>
          <w:bCs/>
          <w:color w:val="auto"/>
          <w:szCs w:val="21"/>
          <w:highlight w:val="none"/>
        </w:rPr>
        <w:t xml:space="preserve"> 地基土水平抗力系数的比例系数</w:t>
      </w:r>
      <w:r>
        <w:rPr>
          <w:rFonts w:ascii="Times New Roman" w:hAnsi="Times New Roman" w:eastAsia="宋体"/>
          <w:b/>
          <w:bCs/>
          <w:i/>
          <w:iCs/>
          <w:color w:val="auto"/>
          <w:szCs w:val="21"/>
          <w:highlight w:val="none"/>
        </w:rPr>
        <w:t>m</w:t>
      </w:r>
      <w:r>
        <w:rPr>
          <w:rFonts w:ascii="Times New Roman" w:hAnsi="Times New Roman" w:eastAsia="宋体"/>
          <w:b/>
          <w:bCs/>
          <w:color w:val="auto"/>
          <w:szCs w:val="21"/>
          <w:highlight w:val="none"/>
        </w:rPr>
        <w:t>的经验值</w:t>
      </w:r>
    </w:p>
    <w:tbl>
      <w:tblPr>
        <w:tblStyle w:val="22"/>
        <w:tblW w:w="8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5"/>
        <w:gridCol w:w="849"/>
        <w:gridCol w:w="909"/>
        <w:gridCol w:w="995"/>
        <w:gridCol w:w="928"/>
        <w:gridCol w:w="915"/>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25" w:type="dxa"/>
            <w:vMerge w:val="restart"/>
            <w:tcBorders>
              <w:top w:val="single" w:color="auto" w:sz="12" w:space="0"/>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地基土类别</w:t>
            </w:r>
          </w:p>
        </w:tc>
        <w:tc>
          <w:tcPr>
            <w:tcW w:w="1758" w:type="dxa"/>
            <w:gridSpan w:val="2"/>
            <w:vMerge w:val="restart"/>
            <w:tcBorders>
              <w:top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预制桩、钢桩</w:t>
            </w:r>
          </w:p>
        </w:tc>
        <w:tc>
          <w:tcPr>
            <w:tcW w:w="3813" w:type="dxa"/>
            <w:gridSpan w:val="4"/>
            <w:tcBorders>
              <w:top w:val="single" w:color="auto" w:sz="12"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灌注桩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2625"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1758" w:type="dxa"/>
            <w:gridSpan w:val="2"/>
            <w:vMerge w:val="continue"/>
            <w:vAlign w:val="center"/>
          </w:tcPr>
          <w:p>
            <w:pPr>
              <w:jc w:val="center"/>
              <w:rPr>
                <w:rFonts w:ascii="Times New Roman" w:hAnsi="Times New Roman" w:eastAsia="宋体"/>
                <w:color w:val="auto"/>
                <w:sz w:val="20"/>
                <w:szCs w:val="20"/>
                <w:highlight w:val="none"/>
              </w:rPr>
            </w:pPr>
          </w:p>
        </w:tc>
        <w:tc>
          <w:tcPr>
            <w:tcW w:w="1923" w:type="dxa"/>
            <w:gridSpan w:val="2"/>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建筑桩基</w:t>
            </w:r>
          </w:p>
        </w:tc>
        <w:tc>
          <w:tcPr>
            <w:tcW w:w="1890" w:type="dxa"/>
            <w:gridSpan w:val="2"/>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桥梁桩基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2625" w:type="dxa"/>
            <w:vMerge w:val="continue"/>
            <w:tcBorders>
              <w:left w:val="single" w:color="auto" w:sz="12" w:space="0"/>
            </w:tcBorders>
            <w:vAlign w:val="center"/>
          </w:tcPr>
          <w:p>
            <w:pPr>
              <w:jc w:val="center"/>
              <w:rPr>
                <w:rFonts w:ascii="Times New Roman" w:hAnsi="Times New Roman" w:eastAsia="宋体"/>
                <w:color w:val="auto"/>
                <w:sz w:val="20"/>
                <w:szCs w:val="20"/>
                <w:highlight w:val="none"/>
              </w:rPr>
            </w:pPr>
          </w:p>
        </w:tc>
        <w:tc>
          <w:tcPr>
            <w:tcW w:w="849" w:type="dxa"/>
            <w:vAlign w:val="center"/>
          </w:tcPr>
          <w:p>
            <w:pPr>
              <w:jc w:val="center"/>
              <w:rPr>
                <w:rFonts w:ascii="Times New Roman" w:hAnsi="Times New Roman" w:eastAsia="宋体"/>
                <w:i/>
                <w:iCs/>
                <w:color w:val="auto"/>
                <w:sz w:val="20"/>
                <w:szCs w:val="20"/>
                <w:highlight w:val="none"/>
              </w:rPr>
            </w:pPr>
            <w:r>
              <w:rPr>
                <w:rFonts w:ascii="Times New Roman" w:hAnsi="Times New Roman" w:eastAsia="宋体"/>
                <w:i/>
                <w:iCs/>
                <w:color w:val="auto"/>
                <w:sz w:val="20"/>
                <w:szCs w:val="20"/>
                <w:highlight w:val="none"/>
              </w:rPr>
              <w:t>m</w:t>
            </w:r>
          </w:p>
        </w:tc>
        <w:tc>
          <w:tcPr>
            <w:tcW w:w="909" w:type="dxa"/>
            <w:vAlign w:val="center"/>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相应单桩在地面处水平位移</w:t>
            </w:r>
          </w:p>
        </w:tc>
        <w:tc>
          <w:tcPr>
            <w:tcW w:w="995" w:type="dxa"/>
            <w:vAlign w:val="center"/>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m</w:t>
            </w:r>
          </w:p>
        </w:tc>
        <w:tc>
          <w:tcPr>
            <w:tcW w:w="928" w:type="dxa"/>
            <w:vAlign w:val="center"/>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相应单桩在地面处水平位移</w:t>
            </w:r>
          </w:p>
        </w:tc>
        <w:tc>
          <w:tcPr>
            <w:tcW w:w="915" w:type="dxa"/>
            <w:vAlign w:val="center"/>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m</w:t>
            </w:r>
          </w:p>
        </w:tc>
        <w:tc>
          <w:tcPr>
            <w:tcW w:w="975" w:type="dxa"/>
            <w:tcBorders>
              <w:right w:val="single" w:color="auto" w:sz="12" w:space="0"/>
            </w:tcBorders>
            <w:vAlign w:val="center"/>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相应单桩在地面处水平位移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5" w:type="dxa"/>
            <w:vMerge w:val="continue"/>
            <w:tcBorders>
              <w:left w:val="single" w:color="auto" w:sz="12" w:space="0"/>
            </w:tcBorders>
            <w:vAlign w:val="center"/>
          </w:tcPr>
          <w:p>
            <w:pPr>
              <w:jc w:val="left"/>
              <w:rPr>
                <w:rFonts w:ascii="Times New Roman" w:hAnsi="Times New Roman" w:eastAsia="宋体"/>
                <w:color w:val="auto"/>
                <w:sz w:val="20"/>
                <w:szCs w:val="20"/>
                <w:highlight w:val="none"/>
              </w:rPr>
            </w:pPr>
          </w:p>
        </w:tc>
        <w:tc>
          <w:tcPr>
            <w:tcW w:w="849" w:type="dxa"/>
            <w:vAlign w:val="center"/>
          </w:tcPr>
          <w:p>
            <w:pPr>
              <w:ind w:left="-105" w:leftChars="-50" w:right="-105" w:rightChars="-50"/>
              <w:jc w:val="center"/>
              <w:rPr>
                <w:rFonts w:ascii="Times New Roman" w:hAnsi="Times New Roman" w:eastAsia="宋体"/>
                <w:color w:val="auto"/>
                <w:sz w:val="20"/>
                <w:szCs w:val="20"/>
                <w:highlight w:val="none"/>
                <w:vertAlign w:val="superscript"/>
              </w:rPr>
            </w:pPr>
            <w:r>
              <w:rPr>
                <w:rFonts w:ascii="Times New Roman" w:hAnsi="Times New Roman" w:eastAsia="宋体"/>
                <w:color w:val="auto"/>
                <w:sz w:val="20"/>
                <w:szCs w:val="20"/>
                <w:highlight w:val="none"/>
              </w:rPr>
              <w:t>MPa/m</w:t>
            </w:r>
            <w:r>
              <w:rPr>
                <w:rFonts w:ascii="Times New Roman" w:hAnsi="Times New Roman" w:eastAsia="宋体"/>
                <w:color w:val="auto"/>
                <w:sz w:val="20"/>
                <w:szCs w:val="20"/>
                <w:highlight w:val="none"/>
                <w:vertAlign w:val="superscript"/>
              </w:rPr>
              <w:t>2</w:t>
            </w:r>
          </w:p>
        </w:tc>
        <w:tc>
          <w:tcPr>
            <w:tcW w:w="909"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mm</w:t>
            </w:r>
          </w:p>
        </w:tc>
        <w:tc>
          <w:tcPr>
            <w:tcW w:w="995" w:type="dxa"/>
            <w:vAlign w:val="center"/>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MPa/m</w:t>
            </w:r>
            <w:r>
              <w:rPr>
                <w:rFonts w:ascii="Times New Roman" w:hAnsi="Times New Roman" w:eastAsia="宋体"/>
                <w:color w:val="auto"/>
                <w:sz w:val="20"/>
                <w:szCs w:val="20"/>
                <w:highlight w:val="none"/>
                <w:vertAlign w:val="superscript"/>
              </w:rPr>
              <w:t>2</w:t>
            </w:r>
          </w:p>
        </w:tc>
        <w:tc>
          <w:tcPr>
            <w:tcW w:w="92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mm</w:t>
            </w:r>
          </w:p>
        </w:tc>
        <w:tc>
          <w:tcPr>
            <w:tcW w:w="915" w:type="dxa"/>
            <w:vAlign w:val="center"/>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MPa/m</w:t>
            </w:r>
            <w:r>
              <w:rPr>
                <w:rFonts w:ascii="Times New Roman" w:hAnsi="Times New Roman" w:eastAsia="宋体"/>
                <w:color w:val="auto"/>
                <w:sz w:val="20"/>
                <w:szCs w:val="20"/>
                <w:highlight w:val="none"/>
                <w:vertAlign w:val="superscript"/>
              </w:rPr>
              <w:t>2</w:t>
            </w:r>
          </w:p>
        </w:tc>
        <w:tc>
          <w:tcPr>
            <w:tcW w:w="975"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5" w:type="dxa"/>
            <w:tcBorders>
              <w:left w:val="single" w:color="auto" w:sz="12" w:space="0"/>
            </w:tcBorders>
            <w:vAlign w:val="center"/>
          </w:tcPr>
          <w:p>
            <w:pPr>
              <w:spacing w:before="62" w:beforeLines="20" w:after="62" w:afterLines="20"/>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淤泥、淤泥质土</w:t>
            </w:r>
          </w:p>
        </w:tc>
        <w:tc>
          <w:tcPr>
            <w:tcW w:w="849"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2~4.5</w:t>
            </w:r>
          </w:p>
        </w:tc>
        <w:tc>
          <w:tcPr>
            <w:tcW w:w="909"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p>
        </w:tc>
        <w:tc>
          <w:tcPr>
            <w:tcW w:w="995"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2.5~5</w:t>
            </w:r>
          </w:p>
        </w:tc>
        <w:tc>
          <w:tcPr>
            <w:tcW w:w="92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6~12</w:t>
            </w:r>
          </w:p>
        </w:tc>
        <w:tc>
          <w:tcPr>
            <w:tcW w:w="915"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3~4</w:t>
            </w:r>
          </w:p>
        </w:tc>
        <w:tc>
          <w:tcPr>
            <w:tcW w:w="975"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5" w:type="dxa"/>
            <w:tcBorders>
              <w:left w:val="single" w:color="auto" w:sz="12" w:space="0"/>
            </w:tcBorders>
            <w:vAlign w:val="center"/>
          </w:tcPr>
          <w:p>
            <w:pPr>
              <w:spacing w:before="62" w:beforeLines="20" w:after="62" w:afterLines="20"/>
              <w:jc w:val="left"/>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I</w:t>
            </w:r>
            <w:r>
              <w:rPr>
                <w:rFonts w:ascii="Times New Roman" w:hAnsi="Times New Roman" w:eastAsia="宋体"/>
                <w:color w:val="auto"/>
                <w:sz w:val="20"/>
                <w:szCs w:val="20"/>
                <w:highlight w:val="none"/>
                <w:vertAlign w:val="subscript"/>
              </w:rPr>
              <w:t>L</w:t>
            </w:r>
            <w:r>
              <w:rPr>
                <w:rFonts w:hint="eastAsia" w:ascii="宋体" w:hAnsi="宋体" w:eastAsia="宋体" w:cs="宋体"/>
                <w:color w:val="auto"/>
                <w:sz w:val="20"/>
                <w:szCs w:val="20"/>
                <w:highlight w:val="none"/>
              </w:rPr>
              <w:t>≥</w:t>
            </w:r>
            <w:r>
              <w:rPr>
                <w:rFonts w:ascii="Times New Roman" w:hAnsi="Times New Roman" w:eastAsia="宋体"/>
                <w:color w:val="auto"/>
                <w:sz w:val="20"/>
                <w:szCs w:val="20"/>
                <w:highlight w:val="none"/>
              </w:rPr>
              <w:t>0.75的黏性土；e&gt;0.9的粉土；松散的粉砂、细砂；松散、稍压实的填土</w:t>
            </w:r>
          </w:p>
        </w:tc>
        <w:tc>
          <w:tcPr>
            <w:tcW w:w="849"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4.5~6</w:t>
            </w:r>
          </w:p>
        </w:tc>
        <w:tc>
          <w:tcPr>
            <w:tcW w:w="909"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p>
        </w:tc>
        <w:tc>
          <w:tcPr>
            <w:tcW w:w="995"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5~12</w:t>
            </w:r>
          </w:p>
        </w:tc>
        <w:tc>
          <w:tcPr>
            <w:tcW w:w="92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4~8</w:t>
            </w:r>
          </w:p>
        </w:tc>
        <w:tc>
          <w:tcPr>
            <w:tcW w:w="915"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4~5</w:t>
            </w:r>
          </w:p>
        </w:tc>
        <w:tc>
          <w:tcPr>
            <w:tcW w:w="975"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5" w:type="dxa"/>
            <w:tcBorders>
              <w:left w:val="single" w:color="auto" w:sz="12" w:space="0"/>
            </w:tcBorders>
            <w:vAlign w:val="center"/>
          </w:tcPr>
          <w:p>
            <w:pPr>
              <w:spacing w:before="62" w:beforeLines="20" w:after="62" w:afterLines="20"/>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0.25&lt;</w:t>
            </w:r>
            <w:r>
              <w:rPr>
                <w:rFonts w:ascii="Times New Roman" w:hAnsi="Times New Roman" w:eastAsia="宋体"/>
                <w:i/>
                <w:iCs/>
                <w:color w:val="auto"/>
                <w:sz w:val="20"/>
                <w:szCs w:val="20"/>
                <w:highlight w:val="none"/>
              </w:rPr>
              <w:t>I</w:t>
            </w:r>
            <w:r>
              <w:rPr>
                <w:rFonts w:ascii="Times New Roman" w:hAnsi="Times New Roman" w:eastAsia="宋体"/>
                <w:color w:val="auto"/>
                <w:sz w:val="20"/>
                <w:szCs w:val="20"/>
                <w:highlight w:val="none"/>
                <w:vertAlign w:val="subscript"/>
              </w:rPr>
              <w:t>L</w:t>
            </w:r>
            <w:r>
              <w:rPr>
                <w:rFonts w:hint="eastAsia" w:ascii="宋体" w:hAnsi="宋体" w:eastAsia="宋体" w:cs="宋体"/>
                <w:color w:val="auto"/>
                <w:sz w:val="20"/>
                <w:szCs w:val="20"/>
                <w:highlight w:val="none"/>
              </w:rPr>
              <w:t>≤</w:t>
            </w:r>
            <w:r>
              <w:rPr>
                <w:rFonts w:ascii="Times New Roman" w:hAnsi="Times New Roman" w:eastAsia="宋体"/>
                <w:color w:val="auto"/>
                <w:sz w:val="20"/>
                <w:szCs w:val="20"/>
                <w:highlight w:val="none"/>
              </w:rPr>
              <w:t>0.75的黏性土；0.75&lt;</w:t>
            </w:r>
            <w:r>
              <w:rPr>
                <w:rFonts w:ascii="Times New Roman" w:hAnsi="Times New Roman" w:eastAsia="宋体"/>
                <w:i/>
                <w:iCs/>
                <w:color w:val="auto"/>
                <w:sz w:val="20"/>
                <w:szCs w:val="20"/>
                <w:highlight w:val="none"/>
              </w:rPr>
              <w:t>e</w:t>
            </w:r>
            <w:r>
              <w:rPr>
                <w:rFonts w:hint="eastAsia" w:ascii="宋体" w:hAnsi="宋体" w:eastAsia="宋体" w:cs="宋体"/>
                <w:color w:val="auto"/>
                <w:sz w:val="20"/>
                <w:szCs w:val="20"/>
                <w:highlight w:val="none"/>
              </w:rPr>
              <w:t>≤</w:t>
            </w:r>
            <w:r>
              <w:rPr>
                <w:rFonts w:ascii="Times New Roman" w:hAnsi="Times New Roman" w:eastAsia="宋体"/>
                <w:color w:val="auto"/>
                <w:sz w:val="20"/>
                <w:szCs w:val="20"/>
                <w:highlight w:val="none"/>
              </w:rPr>
              <w:t>0.9的粉土；稍密的粉砂、细砂；压实的填土</w:t>
            </w:r>
          </w:p>
        </w:tc>
        <w:tc>
          <w:tcPr>
            <w:tcW w:w="849"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6~10</w:t>
            </w:r>
          </w:p>
        </w:tc>
        <w:tc>
          <w:tcPr>
            <w:tcW w:w="909"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p>
        </w:tc>
        <w:tc>
          <w:tcPr>
            <w:tcW w:w="995"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12~35</w:t>
            </w:r>
          </w:p>
        </w:tc>
        <w:tc>
          <w:tcPr>
            <w:tcW w:w="92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3~6</w:t>
            </w:r>
          </w:p>
        </w:tc>
        <w:tc>
          <w:tcPr>
            <w:tcW w:w="915"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5~10</w:t>
            </w:r>
          </w:p>
        </w:tc>
        <w:tc>
          <w:tcPr>
            <w:tcW w:w="975"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5" w:type="dxa"/>
            <w:tcBorders>
              <w:left w:val="single" w:color="auto" w:sz="12" w:space="0"/>
            </w:tcBorders>
            <w:vAlign w:val="center"/>
          </w:tcPr>
          <w:p>
            <w:pPr>
              <w:spacing w:before="62" w:beforeLines="20" w:after="62" w:afterLines="20"/>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0&lt;</w:t>
            </w:r>
            <w:r>
              <w:rPr>
                <w:rFonts w:ascii="Times New Roman" w:hAnsi="Times New Roman" w:eastAsia="宋体"/>
                <w:i/>
                <w:iCs/>
                <w:color w:val="auto"/>
                <w:sz w:val="20"/>
                <w:szCs w:val="20"/>
                <w:highlight w:val="none"/>
              </w:rPr>
              <w:t>I</w:t>
            </w:r>
            <w:r>
              <w:rPr>
                <w:rFonts w:ascii="Times New Roman" w:hAnsi="Times New Roman" w:eastAsia="宋体"/>
                <w:color w:val="auto"/>
                <w:sz w:val="20"/>
                <w:szCs w:val="20"/>
                <w:highlight w:val="none"/>
                <w:vertAlign w:val="subscript"/>
              </w:rPr>
              <w:t>L</w:t>
            </w:r>
            <w:r>
              <w:rPr>
                <w:rFonts w:hint="eastAsia" w:ascii="宋体" w:hAnsi="宋体" w:eastAsia="宋体" w:cs="宋体"/>
                <w:color w:val="auto"/>
                <w:sz w:val="20"/>
                <w:szCs w:val="20"/>
                <w:highlight w:val="none"/>
              </w:rPr>
              <w:t>≤</w:t>
            </w:r>
            <w:r>
              <w:rPr>
                <w:rFonts w:ascii="Times New Roman" w:hAnsi="Times New Roman" w:eastAsia="宋体"/>
                <w:color w:val="auto"/>
                <w:sz w:val="20"/>
                <w:szCs w:val="20"/>
                <w:highlight w:val="none"/>
              </w:rPr>
              <w:t>0.25的黏性土；</w:t>
            </w:r>
            <w:r>
              <w:rPr>
                <w:rFonts w:ascii="Times New Roman" w:hAnsi="Times New Roman" w:eastAsia="宋体"/>
                <w:i/>
                <w:iCs/>
                <w:color w:val="auto"/>
                <w:sz w:val="20"/>
                <w:szCs w:val="20"/>
                <w:highlight w:val="none"/>
              </w:rPr>
              <w:t>e</w:t>
            </w:r>
            <w:r>
              <w:rPr>
                <w:rFonts w:ascii="Times New Roman" w:hAnsi="Times New Roman" w:eastAsia="宋体"/>
                <w:color w:val="auto"/>
                <w:sz w:val="20"/>
                <w:szCs w:val="20"/>
                <w:highlight w:val="none"/>
              </w:rPr>
              <w:t>&lt;0.75的粉土；中密的细砂、中砂、粗砂；密实老填土</w:t>
            </w:r>
          </w:p>
        </w:tc>
        <w:tc>
          <w:tcPr>
            <w:tcW w:w="849"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10~15</w:t>
            </w:r>
          </w:p>
        </w:tc>
        <w:tc>
          <w:tcPr>
            <w:tcW w:w="909"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p>
        </w:tc>
        <w:tc>
          <w:tcPr>
            <w:tcW w:w="995"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35~60</w:t>
            </w:r>
          </w:p>
        </w:tc>
        <w:tc>
          <w:tcPr>
            <w:tcW w:w="92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w:t>
            </w:r>
          </w:p>
        </w:tc>
        <w:tc>
          <w:tcPr>
            <w:tcW w:w="915"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10~20</w:t>
            </w:r>
          </w:p>
        </w:tc>
        <w:tc>
          <w:tcPr>
            <w:tcW w:w="975"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5" w:type="dxa"/>
            <w:tcBorders>
              <w:left w:val="single" w:color="auto" w:sz="12" w:space="0"/>
            </w:tcBorders>
            <w:vAlign w:val="center"/>
          </w:tcPr>
          <w:p>
            <w:pPr>
              <w:spacing w:before="62" w:beforeLines="20" w:after="62" w:afterLines="20"/>
              <w:jc w:val="left"/>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I</w:t>
            </w:r>
            <w:r>
              <w:rPr>
                <w:rFonts w:ascii="Times New Roman" w:hAnsi="Times New Roman" w:eastAsia="宋体"/>
                <w:color w:val="auto"/>
                <w:sz w:val="20"/>
                <w:szCs w:val="20"/>
                <w:highlight w:val="none"/>
                <w:vertAlign w:val="subscript"/>
              </w:rPr>
              <w:t>L</w:t>
            </w:r>
            <w:r>
              <w:rPr>
                <w:rFonts w:hint="eastAsia" w:ascii="宋体" w:hAnsi="宋体" w:eastAsia="宋体" w:cs="宋体"/>
                <w:color w:val="auto"/>
                <w:sz w:val="20"/>
                <w:szCs w:val="20"/>
                <w:highlight w:val="none"/>
              </w:rPr>
              <w:t>≤</w:t>
            </w:r>
            <w:r>
              <w:rPr>
                <w:rFonts w:ascii="Times New Roman" w:hAnsi="Times New Roman" w:eastAsia="宋体"/>
                <w:color w:val="auto"/>
                <w:sz w:val="20"/>
                <w:szCs w:val="20"/>
                <w:highlight w:val="none"/>
              </w:rPr>
              <w:t>0的黏性土；密实的中砂、粗砂</w:t>
            </w:r>
          </w:p>
        </w:tc>
        <w:tc>
          <w:tcPr>
            <w:tcW w:w="849"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15~22</w:t>
            </w:r>
          </w:p>
        </w:tc>
        <w:tc>
          <w:tcPr>
            <w:tcW w:w="909"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p>
        </w:tc>
        <w:tc>
          <w:tcPr>
            <w:tcW w:w="995"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60~100</w:t>
            </w:r>
          </w:p>
        </w:tc>
        <w:tc>
          <w:tcPr>
            <w:tcW w:w="92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w:t>
            </w:r>
          </w:p>
        </w:tc>
        <w:tc>
          <w:tcPr>
            <w:tcW w:w="915"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20~30</w:t>
            </w:r>
          </w:p>
        </w:tc>
        <w:tc>
          <w:tcPr>
            <w:tcW w:w="975"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2625" w:type="dxa"/>
            <w:tcBorders>
              <w:left w:val="single" w:color="auto" w:sz="12" w:space="0"/>
            </w:tcBorders>
            <w:vAlign w:val="center"/>
          </w:tcPr>
          <w:p>
            <w:pPr>
              <w:spacing w:before="62" w:beforeLines="20" w:after="62" w:afterLines="20"/>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中密、密实的砾砂；中密的碎石土；密实的圆砾、角砾、碎石</w:t>
            </w:r>
          </w:p>
        </w:tc>
        <w:tc>
          <w:tcPr>
            <w:tcW w:w="849"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909"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995"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100~200</w:t>
            </w:r>
          </w:p>
        </w:tc>
        <w:tc>
          <w:tcPr>
            <w:tcW w:w="928"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1.5~3</w:t>
            </w:r>
          </w:p>
        </w:tc>
        <w:tc>
          <w:tcPr>
            <w:tcW w:w="915"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20~80</w:t>
            </w:r>
          </w:p>
        </w:tc>
        <w:tc>
          <w:tcPr>
            <w:tcW w:w="975" w:type="dxa"/>
            <w:tcBorders>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5" w:type="dxa"/>
            <w:tcBorders>
              <w:left w:val="single" w:color="auto" w:sz="12" w:space="0"/>
              <w:bottom w:val="single" w:color="auto" w:sz="12" w:space="0"/>
            </w:tcBorders>
            <w:vAlign w:val="center"/>
          </w:tcPr>
          <w:p>
            <w:pPr>
              <w:spacing w:before="62" w:beforeLines="20" w:after="62" w:afterLines="20"/>
              <w:jc w:val="left"/>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密实的卵石、漂石、块石</w:t>
            </w:r>
          </w:p>
        </w:tc>
        <w:tc>
          <w:tcPr>
            <w:tcW w:w="849" w:type="dxa"/>
            <w:tcBorders>
              <w:bottom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909" w:type="dxa"/>
            <w:tcBorders>
              <w:bottom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995" w:type="dxa"/>
            <w:tcBorders>
              <w:bottom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200~300</w:t>
            </w:r>
          </w:p>
        </w:tc>
        <w:tc>
          <w:tcPr>
            <w:tcW w:w="928" w:type="dxa"/>
            <w:tcBorders>
              <w:bottom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1.5~3</w:t>
            </w:r>
          </w:p>
        </w:tc>
        <w:tc>
          <w:tcPr>
            <w:tcW w:w="915" w:type="dxa"/>
            <w:tcBorders>
              <w:bottom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80~120</w:t>
            </w:r>
          </w:p>
        </w:tc>
        <w:tc>
          <w:tcPr>
            <w:tcW w:w="975" w:type="dxa"/>
            <w:tcBorders>
              <w:bottom w:val="single" w:color="auto" w:sz="12"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w:t>
            </w:r>
          </w:p>
        </w:tc>
      </w:tr>
    </w:tbl>
    <w:p>
      <w:pPr>
        <w:ind w:left="540" w:hanging="540" w:hangingChars="300"/>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注：1</w:t>
      </w:r>
      <w:r>
        <w:rPr>
          <w:rFonts w:hint="eastAsia" w:ascii="Times New Roman" w:hAnsi="Times New Roman" w:eastAsia="宋体"/>
          <w:color w:val="auto"/>
          <w:sz w:val="18"/>
          <w:szCs w:val="18"/>
          <w:highlight w:val="none"/>
          <w:lang w:val="en-US" w:eastAsia="zh-CN"/>
        </w:rPr>
        <w:t>.</w:t>
      </w:r>
      <w:r>
        <w:rPr>
          <w:rFonts w:ascii="Times New Roman" w:hAnsi="Times New Roman" w:eastAsia="宋体"/>
          <w:color w:val="auto"/>
          <w:sz w:val="18"/>
          <w:szCs w:val="18"/>
          <w:highlight w:val="none"/>
        </w:rPr>
        <w:t xml:space="preserve"> 当桩顶位移大于表列数值或灌注桩配筋率较高（≥0.65%）时，</w:t>
      </w:r>
      <w:r>
        <w:rPr>
          <w:rFonts w:ascii="Times New Roman" w:hAnsi="Times New Roman" w:eastAsia="宋体"/>
          <w:i/>
          <w:iCs/>
          <w:color w:val="auto"/>
          <w:sz w:val="18"/>
          <w:szCs w:val="18"/>
          <w:highlight w:val="none"/>
        </w:rPr>
        <w:t>m</w:t>
      </w:r>
      <w:r>
        <w:rPr>
          <w:rFonts w:ascii="Times New Roman" w:hAnsi="Times New Roman" w:eastAsia="宋体"/>
          <w:color w:val="auto"/>
          <w:sz w:val="18"/>
          <w:szCs w:val="18"/>
          <w:highlight w:val="none"/>
        </w:rPr>
        <w:t>值应适当降低；当预制桩的水平位移小于10mm时，</w:t>
      </w:r>
      <w:r>
        <w:rPr>
          <w:rFonts w:ascii="Times New Roman" w:hAnsi="Times New Roman" w:eastAsia="宋体"/>
          <w:i/>
          <w:iCs/>
          <w:color w:val="auto"/>
          <w:sz w:val="18"/>
          <w:szCs w:val="18"/>
          <w:highlight w:val="none"/>
        </w:rPr>
        <w:t>m</w:t>
      </w:r>
      <w:r>
        <w:rPr>
          <w:rFonts w:ascii="Times New Roman" w:hAnsi="Times New Roman" w:eastAsia="宋体"/>
          <w:color w:val="auto"/>
          <w:sz w:val="18"/>
          <w:szCs w:val="18"/>
          <w:highlight w:val="none"/>
        </w:rPr>
        <w:t>值可适当提高；</w:t>
      </w:r>
    </w:p>
    <w:p>
      <w:pPr>
        <w:ind w:left="357" w:leftChars="170"/>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2</w:t>
      </w:r>
      <w:r>
        <w:rPr>
          <w:rFonts w:hint="eastAsia" w:ascii="Times New Roman" w:hAnsi="Times New Roman" w:eastAsia="宋体"/>
          <w:color w:val="auto"/>
          <w:sz w:val="18"/>
          <w:szCs w:val="18"/>
          <w:highlight w:val="none"/>
          <w:lang w:val="en-US" w:eastAsia="zh-CN"/>
        </w:rPr>
        <w:t>.</w:t>
      </w:r>
      <w:r>
        <w:rPr>
          <w:rFonts w:ascii="Times New Roman" w:hAnsi="Times New Roman" w:eastAsia="宋体"/>
          <w:color w:val="auto"/>
          <w:sz w:val="18"/>
          <w:szCs w:val="18"/>
          <w:highlight w:val="none"/>
        </w:rPr>
        <w:t xml:space="preserve"> 当水平荷载为长期或经常出现的荷载时，应讲表列数值乘以0.4降低采用；</w:t>
      </w:r>
    </w:p>
    <w:p>
      <w:pPr>
        <w:ind w:left="357" w:leftChars="170"/>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3</w:t>
      </w:r>
      <w:r>
        <w:rPr>
          <w:rFonts w:hint="eastAsia" w:ascii="Times New Roman" w:hAnsi="Times New Roman" w:eastAsia="宋体"/>
          <w:color w:val="auto"/>
          <w:sz w:val="18"/>
          <w:szCs w:val="18"/>
          <w:highlight w:val="none"/>
          <w:lang w:val="en-US" w:eastAsia="zh-CN"/>
        </w:rPr>
        <w:t>.</w:t>
      </w:r>
      <w:r>
        <w:rPr>
          <w:rFonts w:ascii="Times New Roman" w:hAnsi="Times New Roman" w:eastAsia="宋体"/>
          <w:color w:val="auto"/>
          <w:sz w:val="18"/>
          <w:szCs w:val="18"/>
          <w:highlight w:val="none"/>
        </w:rPr>
        <w:t xml:space="preserve"> 当地基为可液化土层时，应将表列数值乘以相应的液化影响折减系数。</w:t>
      </w:r>
    </w:p>
    <w:p>
      <w:pPr>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表</w:t>
      </w:r>
      <w:r>
        <w:rPr>
          <w:rFonts w:hint="eastAsia" w:ascii="Times New Roman" w:hAnsi="Times New Roman" w:eastAsia="宋体"/>
          <w:color w:val="auto"/>
          <w:szCs w:val="21"/>
          <w:highlight w:val="none"/>
          <w:lang w:val="en-US" w:eastAsia="zh-CN"/>
        </w:rPr>
        <w:t>6-6</w:t>
      </w:r>
      <w:r>
        <w:rPr>
          <w:rFonts w:ascii="Times New Roman" w:hAnsi="Times New Roman" w:eastAsia="宋体"/>
          <w:color w:val="auto"/>
          <w:szCs w:val="21"/>
          <w:highlight w:val="none"/>
        </w:rPr>
        <w:t>综合了主要引用自《建筑桩基技术规范》JGJ 94-2008表5.7.5和《公路桥涵地基与基础设计规范》JTG 3363-2019表L.0.2-1。</w:t>
      </w:r>
    </w:p>
    <w:p>
      <w:pPr>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对于桩基，岩石地基水平抗力系数不随岩层深度变化，可参照表</w:t>
      </w:r>
      <w:r>
        <w:rPr>
          <w:rFonts w:hint="eastAsia" w:ascii="Times New Roman" w:hAnsi="Times New Roman" w:eastAsia="宋体"/>
          <w:color w:val="auto"/>
          <w:szCs w:val="21"/>
          <w:highlight w:val="none"/>
          <w:lang w:val="en-US" w:eastAsia="zh-CN"/>
        </w:rPr>
        <w:t>6-7</w:t>
      </w:r>
      <w:r>
        <w:rPr>
          <w:rFonts w:ascii="Times New Roman" w:hAnsi="Times New Roman" w:eastAsia="宋体"/>
          <w:color w:val="auto"/>
          <w:szCs w:val="21"/>
          <w:highlight w:val="none"/>
        </w:rPr>
        <w:t>取值。</w:t>
      </w:r>
    </w:p>
    <w:p>
      <w:pPr>
        <w:spacing w:line="360" w:lineRule="auto"/>
        <w:jc w:val="center"/>
        <w:rPr>
          <w:rFonts w:ascii="Times New Roman" w:hAnsi="Times New Roman" w:eastAsia="宋体"/>
          <w:b/>
          <w:bCs/>
          <w:color w:val="auto"/>
          <w:szCs w:val="21"/>
          <w:highlight w:val="none"/>
        </w:rPr>
      </w:pPr>
      <w:r>
        <w:rPr>
          <w:rFonts w:hint="eastAsia" w:ascii="Times New Roman" w:hAnsi="Times New Roman" w:eastAsia="宋体"/>
          <w:b/>
          <w:bCs/>
          <w:color w:val="auto"/>
          <w:szCs w:val="21"/>
          <w:highlight w:val="none"/>
          <w:lang w:val="en-US" w:eastAsia="zh-CN"/>
        </w:rPr>
        <w:t>6-7</w:t>
      </w:r>
      <w:r>
        <w:rPr>
          <w:rFonts w:ascii="Times New Roman" w:hAnsi="Times New Roman" w:eastAsia="宋体"/>
          <w:color w:val="auto"/>
          <w:szCs w:val="21"/>
          <w:highlight w:val="none"/>
        </w:rPr>
        <w:t xml:space="preserve"> </w:t>
      </w:r>
      <w:r>
        <w:rPr>
          <w:rFonts w:ascii="Times New Roman" w:hAnsi="Times New Roman" w:eastAsia="宋体"/>
          <w:b/>
          <w:bCs/>
          <w:color w:val="auto"/>
          <w:szCs w:val="21"/>
          <w:highlight w:val="none"/>
        </w:rPr>
        <w:t>岩石地基抗力系数</w:t>
      </w:r>
      <w:r>
        <w:rPr>
          <w:rFonts w:ascii="Times New Roman" w:hAnsi="Times New Roman" w:eastAsia="宋体"/>
          <w:b/>
          <w:bCs/>
          <w:i/>
          <w:iCs/>
          <w:color w:val="auto"/>
          <w:szCs w:val="21"/>
          <w:highlight w:val="none"/>
        </w:rPr>
        <w:t>C</w:t>
      </w:r>
      <w:r>
        <w:rPr>
          <w:rFonts w:ascii="Times New Roman" w:hAnsi="Times New Roman" w:eastAsia="宋体"/>
          <w:b/>
          <w:bCs/>
          <w:color w:val="auto"/>
          <w:szCs w:val="21"/>
          <w:highlight w:val="none"/>
          <w:vertAlign w:val="subscript"/>
        </w:rPr>
        <w:t>0</w:t>
      </w:r>
      <w:r>
        <w:rPr>
          <w:rFonts w:ascii="Times New Roman" w:hAnsi="Times New Roman" w:eastAsia="宋体"/>
          <w:b/>
          <w:bCs/>
          <w:color w:val="auto"/>
          <w:szCs w:val="21"/>
          <w:highlight w:val="none"/>
        </w:rPr>
        <w:t>（MPa/m）</w:t>
      </w:r>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2985"/>
        <w:gridCol w:w="4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tcBorders>
              <w:top w:val="single" w:color="auto" w:sz="12" w:space="0"/>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序号</w:t>
            </w:r>
          </w:p>
        </w:tc>
        <w:tc>
          <w:tcPr>
            <w:tcW w:w="2985" w:type="dxa"/>
            <w:tcBorders>
              <w:top w:val="single" w:color="auto" w:sz="12" w:space="0"/>
            </w:tcBorders>
            <w:vAlign w:val="center"/>
          </w:tcPr>
          <w:p>
            <w:pPr>
              <w:jc w:val="center"/>
              <w:rPr>
                <w:rFonts w:ascii="Times New Roman" w:hAnsi="Times New Roman" w:eastAsia="宋体"/>
                <w:color w:val="auto"/>
                <w:sz w:val="20"/>
                <w:szCs w:val="20"/>
                <w:highlight w:val="none"/>
              </w:rPr>
            </w:pPr>
            <w:r>
              <w:rPr>
                <w:rFonts w:hint="eastAsia" w:ascii="Times New Roman" w:hAnsi="Times New Roman" w:eastAsia="宋体"/>
                <w:i/>
                <w:iCs/>
                <w:color w:val="auto"/>
                <w:sz w:val="20"/>
                <w:szCs w:val="20"/>
                <w:highlight w:val="none"/>
                <w:lang w:val="en-US" w:eastAsia="zh-CN"/>
              </w:rPr>
              <w:t>R</w:t>
            </w:r>
            <w:r>
              <w:rPr>
                <w:rFonts w:hint="eastAsia" w:ascii="Times New Roman" w:hAnsi="Times New Roman" w:eastAsia="宋体"/>
                <w:color w:val="auto"/>
                <w:sz w:val="20"/>
                <w:szCs w:val="20"/>
                <w:highlight w:val="none"/>
                <w:vertAlign w:val="subscript"/>
                <w:lang w:val="en-US" w:eastAsia="zh-CN"/>
              </w:rPr>
              <w:t>c</w:t>
            </w:r>
            <w:r>
              <w:rPr>
                <w:rFonts w:ascii="Times New Roman" w:hAnsi="Times New Roman" w:eastAsia="宋体"/>
                <w:color w:val="auto"/>
                <w:sz w:val="20"/>
                <w:szCs w:val="20"/>
                <w:highlight w:val="none"/>
              </w:rPr>
              <w:t>（MPa）</w:t>
            </w:r>
          </w:p>
        </w:tc>
        <w:tc>
          <w:tcPr>
            <w:tcW w:w="4186" w:type="dxa"/>
            <w:tcBorders>
              <w:top w:val="single" w:color="auto" w:sz="12"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C</w:t>
            </w:r>
            <w:r>
              <w:rPr>
                <w:rFonts w:ascii="Times New Roman" w:hAnsi="Times New Roman" w:eastAsia="宋体"/>
                <w:color w:val="auto"/>
                <w:sz w:val="20"/>
                <w:szCs w:val="20"/>
                <w:highlight w:val="none"/>
                <w:vertAlign w:val="subscrip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51" w:type="dxa"/>
            <w:tcBorders>
              <w:lef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w:t>
            </w:r>
          </w:p>
        </w:tc>
        <w:tc>
          <w:tcPr>
            <w:tcW w:w="2985" w:type="dxa"/>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1~25</w:t>
            </w:r>
          </w:p>
        </w:tc>
        <w:tc>
          <w:tcPr>
            <w:tcW w:w="4186" w:type="dxa"/>
            <w:tcBorders>
              <w:right w:val="single" w:color="auto" w:sz="12"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sz w:val="20"/>
                <w:szCs w:val="20"/>
                <w:highlight w:val="none"/>
              </w:rPr>
            </w:pPr>
            <w:r>
              <w:rPr>
                <w:rFonts w:ascii="Times New Roman" w:hAnsi="Times New Roman" w:eastAsia="宋体"/>
                <w:color w:val="auto"/>
                <w:position w:val="-12"/>
                <w:highlight w:val="none"/>
              </w:rPr>
              <w:object>
                <v:shape id="_x0000_i1118" o:spt="75" type="#_x0000_t75" style="height:15.5pt;width:86.85pt;" o:ole="t" filled="f" o:preferrelative="t" stroked="f" coordsize="21600,21600">
                  <v:path/>
                  <v:fill on="f" focussize="0,0"/>
                  <v:stroke on="f"/>
                  <v:imagedata r:id="rId91" o:title=""/>
                  <o:lock v:ext="edit" aspectratio="t"/>
                  <w10:wrap type="none"/>
                  <w10:anchorlock/>
                </v:shape>
                <o:OLEObject Type="Embed" ProgID="Equation.KSEE3" ShapeID="_x0000_i1118" DrawAspect="Content" ObjectID="_1468075757" r:id="rId9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tcBorders>
              <w:left w:val="single" w:color="auto" w:sz="12" w:space="0"/>
              <w:bottom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w:t>
            </w:r>
          </w:p>
        </w:tc>
        <w:tc>
          <w:tcPr>
            <w:tcW w:w="2985" w:type="dxa"/>
            <w:tcBorders>
              <w:bottom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w:t>
            </w:r>
          </w:p>
        </w:tc>
        <w:tc>
          <w:tcPr>
            <w:tcW w:w="4186" w:type="dxa"/>
            <w:tcBorders>
              <w:bottom w:val="single" w:color="auto" w:sz="12" w:space="0"/>
              <w:right w:val="single" w:color="auto" w:sz="12" w:space="0"/>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15000</w:t>
            </w:r>
          </w:p>
        </w:tc>
      </w:tr>
    </w:tbl>
    <w:p>
      <w:pPr>
        <w:spacing w:line="360" w:lineRule="auto"/>
        <w:jc w:val="left"/>
        <w:rPr>
          <w:rFonts w:ascii="Times New Roman" w:hAnsi="Times New Roman" w:eastAsia="宋体"/>
          <w:color w:val="auto"/>
          <w:sz w:val="24"/>
          <w:szCs w:val="24"/>
          <w:highlight w:val="none"/>
        </w:rPr>
      </w:pPr>
      <w:r>
        <w:rPr>
          <w:rFonts w:ascii="Times New Roman" w:hAnsi="Times New Roman" w:eastAsia="宋体"/>
          <w:color w:val="auto"/>
          <w:sz w:val="20"/>
          <w:szCs w:val="20"/>
          <w:highlight w:val="none"/>
        </w:rPr>
        <w:t>注：</w:t>
      </w:r>
      <w:r>
        <w:rPr>
          <w:rFonts w:hint="eastAsia" w:ascii="Times New Roman" w:hAnsi="Times New Roman" w:eastAsia="宋体"/>
          <w:i/>
          <w:iCs/>
          <w:color w:val="auto"/>
          <w:sz w:val="20"/>
          <w:szCs w:val="20"/>
          <w:highlight w:val="none"/>
          <w:lang w:val="en-US" w:eastAsia="zh-CN"/>
        </w:rPr>
        <w:t>R</w:t>
      </w:r>
      <w:r>
        <w:rPr>
          <w:rFonts w:hint="eastAsia" w:ascii="Times New Roman" w:hAnsi="Times New Roman" w:eastAsia="宋体"/>
          <w:color w:val="auto"/>
          <w:sz w:val="20"/>
          <w:szCs w:val="20"/>
          <w:highlight w:val="none"/>
          <w:vertAlign w:val="subscript"/>
          <w:lang w:val="en-US" w:eastAsia="zh-CN"/>
        </w:rPr>
        <w:t>c</w:t>
      </w:r>
      <w:r>
        <w:rPr>
          <w:rFonts w:ascii="Times New Roman" w:hAnsi="Times New Roman" w:eastAsia="宋体"/>
          <w:color w:val="auto"/>
          <w:sz w:val="20"/>
          <w:szCs w:val="20"/>
          <w:highlight w:val="none"/>
        </w:rPr>
        <w:t>——岩石单轴饱和抗压强度标准值，</w:t>
      </w:r>
      <w:r>
        <w:rPr>
          <w:rFonts w:hint="eastAsia" w:ascii="Times New Roman" w:hAnsi="Times New Roman" w:eastAsia="宋体"/>
          <w:i/>
          <w:iCs/>
          <w:color w:val="auto"/>
          <w:sz w:val="20"/>
          <w:szCs w:val="20"/>
          <w:highlight w:val="none"/>
          <w:lang w:val="en-US" w:eastAsia="zh-CN"/>
        </w:rPr>
        <w:t>R</w:t>
      </w:r>
      <w:r>
        <w:rPr>
          <w:rFonts w:hint="eastAsia" w:ascii="Times New Roman" w:hAnsi="Times New Roman" w:eastAsia="宋体"/>
          <w:color w:val="auto"/>
          <w:sz w:val="20"/>
          <w:szCs w:val="20"/>
          <w:highlight w:val="none"/>
          <w:vertAlign w:val="subscript"/>
          <w:lang w:val="en-US" w:eastAsia="zh-CN"/>
        </w:rPr>
        <w:t>c</w:t>
      </w:r>
      <w:r>
        <w:rPr>
          <w:rFonts w:ascii="Times New Roman" w:hAnsi="Times New Roman" w:eastAsia="宋体"/>
          <w:color w:val="auto"/>
          <w:sz w:val="20"/>
          <w:szCs w:val="20"/>
          <w:highlight w:val="none"/>
          <w:vertAlign w:val="subscript"/>
        </w:rPr>
        <w:t>k</w:t>
      </w:r>
      <w:r>
        <w:rPr>
          <w:rFonts w:hint="eastAsia" w:ascii="宋体" w:hAnsi="宋体" w:eastAsia="宋体" w:cs="宋体"/>
          <w:color w:val="auto"/>
          <w:sz w:val="20"/>
          <w:szCs w:val="20"/>
          <w:highlight w:val="none"/>
        </w:rPr>
        <w:t>≥</w:t>
      </w:r>
      <w:r>
        <w:rPr>
          <w:rFonts w:ascii="Times New Roman" w:hAnsi="Times New Roman" w:eastAsia="宋体"/>
          <w:color w:val="auto"/>
          <w:sz w:val="20"/>
          <w:szCs w:val="20"/>
          <w:highlight w:val="none"/>
        </w:rPr>
        <w:t>1MPa。</w:t>
      </w:r>
    </w:p>
    <w:p>
      <w:pPr>
        <w:pStyle w:val="44"/>
        <w:autoSpaceDE w:val="0"/>
        <w:autoSpaceDN w:val="0"/>
        <w:adjustRightInd w:val="0"/>
        <w:spacing w:line="360" w:lineRule="auto"/>
        <w:jc w:val="left"/>
        <w:rPr>
          <w:rFonts w:ascii="Times New Roman" w:hAnsi="Times New Roman" w:eastAsia="宋体"/>
          <w:color w:val="auto"/>
          <w:kern w:val="0"/>
          <w:highlight w:val="none"/>
        </w:rPr>
      </w:pPr>
      <w:r>
        <w:rPr>
          <w:rFonts w:hint="eastAsia" w:ascii="Times New Roman" w:hAnsi="Times New Roman" w:eastAsia="宋体"/>
          <w:color w:val="auto"/>
          <w:highlight w:val="none"/>
          <w:lang w:val="en-US" w:eastAsia="zh-CN"/>
        </w:rPr>
        <w:t>对</w:t>
      </w:r>
      <w:r>
        <w:rPr>
          <w:rFonts w:ascii="Times New Roman" w:hAnsi="Times New Roman" w:eastAsia="宋体"/>
          <w:color w:val="auto"/>
          <w:highlight w:val="none"/>
        </w:rPr>
        <w:t>水泥搅拌桩</w:t>
      </w:r>
      <w:r>
        <w:rPr>
          <w:rFonts w:ascii="Times New Roman" w:hAnsi="Times New Roman" w:eastAsia="宋体"/>
          <w:color w:val="auto"/>
          <w:kern w:val="0"/>
          <w:highlight w:val="none"/>
        </w:rPr>
        <w:t>，</w:t>
      </w:r>
      <w:r>
        <w:rPr>
          <w:rFonts w:hint="eastAsia"/>
          <w:color w:val="auto"/>
          <w:kern w:val="0"/>
          <w:highlight w:val="none"/>
          <w:lang w:val="en-US" w:eastAsia="zh-CN"/>
        </w:rPr>
        <w:t>需要</w:t>
      </w:r>
      <w:r>
        <w:rPr>
          <w:rFonts w:ascii="Times New Roman" w:hAnsi="Times New Roman" w:eastAsia="宋体"/>
          <w:color w:val="auto"/>
          <w:kern w:val="0"/>
          <w:highlight w:val="none"/>
        </w:rPr>
        <w:t>分析软土的有机质含量对搅拌桩成型的影响</w:t>
      </w:r>
      <w:r>
        <w:rPr>
          <w:rFonts w:hint="eastAsia" w:ascii="Times New Roman" w:hAnsi="Times New Roman" w:eastAsia="宋体"/>
          <w:color w:val="auto"/>
          <w:kern w:val="0"/>
          <w:highlight w:val="none"/>
          <w:lang w:eastAsia="zh-CN"/>
        </w:rPr>
        <w:t>，</w:t>
      </w:r>
      <w:r>
        <w:rPr>
          <w:rFonts w:hint="eastAsia" w:ascii="Times New Roman" w:hAnsi="Times New Roman" w:eastAsia="宋体"/>
          <w:color w:val="auto"/>
          <w:highlight w:val="none"/>
          <w:lang w:val="en-US" w:eastAsia="zh-CN"/>
        </w:rPr>
        <w:t>评价</w:t>
      </w:r>
      <w:r>
        <w:rPr>
          <w:rFonts w:ascii="Times New Roman" w:hAnsi="Times New Roman" w:eastAsia="宋体"/>
          <w:color w:val="auto"/>
          <w:highlight w:val="none"/>
        </w:rPr>
        <w:t>成桩的可</w:t>
      </w:r>
      <w:r>
        <w:rPr>
          <w:rFonts w:hint="eastAsia" w:ascii="Times New Roman" w:hAnsi="Times New Roman" w:eastAsia="宋体"/>
          <w:color w:val="auto"/>
          <w:highlight w:val="none"/>
          <w:lang w:val="en-US" w:eastAsia="zh-CN"/>
        </w:rPr>
        <w:t>行</w:t>
      </w:r>
      <w:r>
        <w:rPr>
          <w:rFonts w:ascii="Times New Roman" w:hAnsi="Times New Roman" w:eastAsia="宋体"/>
          <w:color w:val="auto"/>
          <w:highlight w:val="none"/>
        </w:rPr>
        <w:t>性</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提出试桩建议</w:t>
      </w:r>
      <w:r>
        <w:rPr>
          <w:rFonts w:ascii="Times New Roman" w:hAnsi="Times New Roman" w:eastAsia="宋体"/>
          <w:color w:val="auto"/>
          <w:kern w:val="0"/>
          <w:highlight w:val="none"/>
        </w:rPr>
        <w:t>；</w:t>
      </w:r>
      <w:r>
        <w:rPr>
          <w:rFonts w:hint="eastAsia" w:ascii="Times New Roman" w:hAnsi="Times New Roman" w:eastAsia="宋体"/>
          <w:color w:val="auto"/>
          <w:highlight w:val="none"/>
          <w:lang w:val="en-US" w:eastAsia="zh-CN"/>
        </w:rPr>
        <w:t>对预制桩，</w:t>
      </w:r>
      <w:r>
        <w:rPr>
          <w:rFonts w:hint="eastAsia"/>
          <w:color w:val="auto"/>
          <w:highlight w:val="none"/>
          <w:lang w:val="en-US" w:eastAsia="zh-CN"/>
        </w:rPr>
        <w:t>需要</w:t>
      </w:r>
      <w:r>
        <w:rPr>
          <w:rFonts w:hint="eastAsia" w:ascii="Times New Roman" w:hAnsi="Times New Roman" w:eastAsia="宋体"/>
          <w:color w:val="auto"/>
          <w:highlight w:val="none"/>
          <w:lang w:val="en-US" w:eastAsia="zh-CN"/>
        </w:rPr>
        <w:t>分析</w:t>
      </w:r>
      <w:r>
        <w:rPr>
          <w:rFonts w:ascii="Times New Roman" w:hAnsi="Times New Roman" w:eastAsia="宋体"/>
          <w:color w:val="auto"/>
          <w:highlight w:val="none"/>
        </w:rPr>
        <w:t>挤土效应的影响，提出</w:t>
      </w:r>
      <w:r>
        <w:rPr>
          <w:rFonts w:hint="eastAsia" w:ascii="Times New Roman" w:hAnsi="Times New Roman" w:eastAsia="宋体"/>
          <w:color w:val="auto"/>
          <w:highlight w:val="none"/>
          <w:lang w:val="en-US" w:eastAsia="zh-CN"/>
        </w:rPr>
        <w:t>施工</w:t>
      </w:r>
      <w:r>
        <w:rPr>
          <w:rFonts w:ascii="Times New Roman" w:hAnsi="Times New Roman" w:eastAsia="宋体"/>
          <w:color w:val="auto"/>
          <w:highlight w:val="none"/>
        </w:rPr>
        <w:t>建议</w:t>
      </w:r>
      <w:r>
        <w:rPr>
          <w:rFonts w:hint="eastAsia" w:ascii="Times New Roman" w:hAnsi="Times New Roman" w:eastAsia="宋体"/>
          <w:color w:val="auto"/>
          <w:highlight w:val="none"/>
          <w:lang w:eastAsia="zh-CN"/>
        </w:rPr>
        <w:t>。</w:t>
      </w:r>
    </w:p>
    <w:p>
      <w:pPr>
        <w:widowControl/>
        <w:jc w:val="left"/>
        <w:rPr>
          <w:rFonts w:ascii="Times New Roman" w:hAnsi="Times New Roman" w:eastAsia="宋体"/>
          <w:color w:val="auto"/>
          <w:highlight w:val="none"/>
        </w:rPr>
      </w:pPr>
      <w:r>
        <w:rPr>
          <w:rFonts w:ascii="Times New Roman" w:hAnsi="Times New Roman" w:eastAsia="宋体"/>
          <w:color w:val="auto"/>
          <w:highlight w:val="none"/>
        </w:rPr>
        <w:br w:type="page"/>
      </w:r>
    </w:p>
    <w:p>
      <w:pPr>
        <w:spacing w:line="360" w:lineRule="auto"/>
        <w:rPr>
          <w:rFonts w:ascii="Times New Roman" w:hAnsi="Times New Roman" w:eastAsia="宋体"/>
          <w:color w:val="auto"/>
          <w:highlight w:val="none"/>
        </w:rPr>
      </w:pPr>
    </w:p>
    <w:p>
      <w:pPr>
        <w:pStyle w:val="2"/>
        <w:rPr>
          <w:rFonts w:ascii="Times New Roman" w:hAnsi="Times New Roman" w:eastAsia="宋体"/>
          <w:color w:val="auto"/>
          <w:highlight w:val="none"/>
        </w:rPr>
      </w:pPr>
      <w:bookmarkStart w:id="375" w:name="_Toc17389"/>
      <w:bookmarkStart w:id="376" w:name="_Toc4555"/>
      <w:bookmarkStart w:id="377" w:name="_Toc76998273"/>
      <w:r>
        <w:rPr>
          <w:rFonts w:ascii="Times New Roman" w:hAnsi="Times New Roman" w:eastAsia="宋体"/>
          <w:color w:val="auto"/>
          <w:highlight w:val="none"/>
        </w:rPr>
        <w:t>7</w:t>
      </w:r>
      <w:r>
        <w:rPr>
          <w:rFonts w:hint="eastAsia" w:ascii="Times New Roman" w:hAnsi="Times New Roman" w:eastAsia="宋体"/>
          <w:color w:val="auto"/>
          <w:highlight w:val="none"/>
        </w:rPr>
        <w:t xml:space="preserve">  </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隧道工程</w:t>
      </w:r>
      <w:bookmarkEnd w:id="375"/>
      <w:bookmarkEnd w:id="376"/>
      <w:bookmarkEnd w:id="377"/>
    </w:p>
    <w:p>
      <w:pPr>
        <w:pStyle w:val="3"/>
        <w:jc w:val="center"/>
        <w:rPr>
          <w:rFonts w:ascii="Times New Roman" w:hAnsi="Times New Roman" w:eastAsia="宋体" w:cs="Times New Roman"/>
          <w:color w:val="auto"/>
          <w:sz w:val="24"/>
          <w:highlight w:val="none"/>
        </w:rPr>
      </w:pPr>
      <w:bookmarkStart w:id="378" w:name="_Toc76998274"/>
      <w:bookmarkStart w:id="379" w:name="_Toc26423"/>
      <w:bookmarkStart w:id="380" w:name="_Toc7133"/>
      <w:r>
        <w:rPr>
          <w:rFonts w:ascii="Times New Roman" w:hAnsi="Times New Roman" w:eastAsia="宋体" w:cs="Times New Roman"/>
          <w:color w:val="auto"/>
          <w:sz w:val="24"/>
          <w:highlight w:val="none"/>
        </w:rPr>
        <w:t xml:space="preserve">7.1 </w:t>
      </w:r>
      <w:r>
        <w:rPr>
          <w:rFonts w:hint="eastAsia" w:ascii="Times New Roman" w:hAnsi="Times New Roman" w:eastAsia="宋体" w:cs="Times New Roman"/>
          <w:color w:val="auto"/>
          <w:sz w:val="24"/>
          <w:highlight w:val="none"/>
          <w:lang w:val="en-US" w:eastAsia="zh-CN"/>
        </w:rPr>
        <w:t xml:space="preserve"> </w:t>
      </w:r>
      <w:r>
        <w:rPr>
          <w:rFonts w:ascii="Times New Roman" w:hAnsi="Times New Roman" w:eastAsia="宋体" w:cs="Times New Roman"/>
          <w:color w:val="auto"/>
          <w:sz w:val="24"/>
          <w:highlight w:val="none"/>
        </w:rPr>
        <w:t>一般规定</w:t>
      </w:r>
      <w:bookmarkEnd w:id="378"/>
      <w:bookmarkEnd w:id="379"/>
      <w:bookmarkEnd w:id="380"/>
    </w:p>
    <w:p>
      <w:pPr>
        <w:spacing w:line="360" w:lineRule="auto"/>
        <w:rPr>
          <w:rFonts w:ascii="Times New Roman" w:hAnsi="Times New Roman" w:eastAsia="宋体"/>
          <w:color w:val="auto"/>
          <w:highlight w:val="none"/>
        </w:rPr>
      </w:pPr>
      <w:r>
        <w:rPr>
          <w:rFonts w:ascii="Times New Roman" w:hAnsi="Times New Roman" w:eastAsia="宋体"/>
          <w:b/>
          <w:bCs/>
          <w:color w:val="auto"/>
          <w:highlight w:val="none"/>
        </w:rPr>
        <w:t xml:space="preserve">7.1.1  </w:t>
      </w:r>
      <w:r>
        <w:rPr>
          <w:rFonts w:hint="eastAsia" w:ascii="Times New Roman" w:hAnsi="Times New Roman" w:eastAsia="宋体"/>
          <w:color w:val="auto"/>
          <w:highlight w:val="none"/>
          <w:lang w:eastAsia="zh-CN"/>
        </w:rPr>
        <w:t>平原隧道</w:t>
      </w:r>
      <w:r>
        <w:rPr>
          <w:rFonts w:ascii="Times New Roman" w:hAnsi="Times New Roman" w:eastAsia="宋体"/>
          <w:color w:val="auto"/>
          <w:highlight w:val="none"/>
        </w:rPr>
        <w:t>指地表为陆</w:t>
      </w:r>
      <w:r>
        <w:rPr>
          <w:rFonts w:hint="eastAsia" w:ascii="Times New Roman" w:hAnsi="Times New Roman" w:eastAsia="宋体"/>
          <w:color w:val="auto"/>
          <w:highlight w:val="none"/>
          <w:lang w:val="en-US" w:eastAsia="zh-CN"/>
        </w:rPr>
        <w:t>域的非山岭</w:t>
      </w:r>
      <w:r>
        <w:rPr>
          <w:rFonts w:ascii="Times New Roman" w:hAnsi="Times New Roman" w:eastAsia="宋体"/>
          <w:color w:val="auto"/>
          <w:highlight w:val="none"/>
        </w:rPr>
        <w:t>隧道，水下隧道则为跨地表水域的隧道。</w:t>
      </w:r>
    </w:p>
    <w:p>
      <w:pPr>
        <w:spacing w:line="360" w:lineRule="auto"/>
        <w:ind w:firstLine="420" w:firstLineChars="20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平原隧道一般分为暗埋段（或半暗埋段）和敞开段。下沉式道路按平原隧道敞开段考虑。</w:t>
      </w:r>
    </w:p>
    <w:p>
      <w:pPr>
        <w:spacing w:line="360" w:lineRule="auto"/>
        <w:ind w:firstLine="420" w:firstLineChars="20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深层排水隧道是平原隧道的一种，但其功能不是用于交通，而是用于城市雨污水的大规模排放、输送或调蓄，是一种特殊的城市地下洞室。</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水下隧道</w:t>
      </w:r>
      <w:r>
        <w:rPr>
          <w:rFonts w:hint="eastAsia" w:ascii="Times New Roman" w:hAnsi="Times New Roman" w:eastAsia="宋体"/>
          <w:color w:val="auto"/>
          <w:highlight w:val="none"/>
          <w:lang w:val="en-US" w:eastAsia="zh-CN"/>
        </w:rPr>
        <w:t>包括水下暗挖隧道和沉管隧道。水下隧道</w:t>
      </w:r>
      <w:r>
        <w:rPr>
          <w:rFonts w:ascii="Times New Roman" w:hAnsi="Times New Roman" w:eastAsia="宋体"/>
          <w:color w:val="auto"/>
          <w:highlight w:val="none"/>
        </w:rPr>
        <w:t>岸上</w:t>
      </w:r>
      <w:r>
        <w:rPr>
          <w:rFonts w:hint="eastAsia" w:ascii="Times New Roman" w:hAnsi="Times New Roman" w:eastAsia="宋体"/>
          <w:color w:val="auto"/>
          <w:highlight w:val="none"/>
          <w:lang w:val="en-US" w:eastAsia="zh-CN"/>
        </w:rPr>
        <w:t>段，暗埋段</w:t>
      </w:r>
      <w:r>
        <w:rPr>
          <w:rFonts w:ascii="Times New Roman" w:hAnsi="Times New Roman" w:eastAsia="宋体"/>
          <w:color w:val="auto"/>
          <w:highlight w:val="none"/>
        </w:rPr>
        <w:t>按</w:t>
      </w:r>
      <w:r>
        <w:rPr>
          <w:rFonts w:hint="eastAsia" w:ascii="Times New Roman" w:hAnsi="Times New Roman" w:eastAsia="宋体"/>
          <w:color w:val="auto"/>
          <w:highlight w:val="none"/>
          <w:lang w:eastAsia="zh-CN"/>
        </w:rPr>
        <w:t>平原隧道</w:t>
      </w:r>
      <w:r>
        <w:rPr>
          <w:rFonts w:ascii="Times New Roman" w:hAnsi="Times New Roman" w:eastAsia="宋体"/>
          <w:color w:val="auto"/>
          <w:highlight w:val="none"/>
        </w:rPr>
        <w:t>考虑</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敞开段按下沉式道路考虑</w:t>
      </w:r>
      <w:r>
        <w:rPr>
          <w:rFonts w:ascii="Times New Roman" w:hAnsi="Times New Roman" w:eastAsia="宋体"/>
          <w:color w:val="auto"/>
          <w:highlight w:val="none"/>
        </w:rPr>
        <w:t>。</w:t>
      </w:r>
    </w:p>
    <w:p>
      <w:pPr>
        <w:spacing w:line="360" w:lineRule="auto"/>
        <w:rPr>
          <w:rFonts w:ascii="Times New Roman" w:hAnsi="Times New Roman" w:eastAsia="宋体"/>
          <w:color w:val="auto"/>
          <w:highlight w:val="none"/>
        </w:rPr>
      </w:pPr>
      <w:r>
        <w:rPr>
          <w:rFonts w:ascii="Times New Roman" w:hAnsi="Times New Roman" w:eastAsia="宋体"/>
          <w:b/>
          <w:bCs/>
          <w:color w:val="auto"/>
          <w:highlight w:val="none"/>
        </w:rPr>
        <w:t xml:space="preserve">7.1.2  </w:t>
      </w:r>
      <w:r>
        <w:rPr>
          <w:rFonts w:ascii="Times New Roman" w:hAnsi="Times New Roman" w:eastAsia="宋体"/>
          <w:color w:val="auto"/>
          <w:highlight w:val="none"/>
        </w:rPr>
        <w:t>隧道作为地下工程，水的作用对隧道建设的影响尤为关键，因此需要特别重视水文资料的搜集工作。</w:t>
      </w:r>
    </w:p>
    <w:p>
      <w:pPr>
        <w:spacing w:line="360" w:lineRule="auto"/>
        <w:rPr>
          <w:rFonts w:ascii="Times New Roman" w:hAnsi="Times New Roman" w:eastAsia="宋体"/>
          <w:color w:val="auto"/>
          <w:highlight w:val="none"/>
        </w:rPr>
      </w:pPr>
      <w:r>
        <w:rPr>
          <w:rFonts w:ascii="Times New Roman" w:hAnsi="Times New Roman" w:eastAsia="宋体"/>
          <w:b/>
          <w:bCs/>
          <w:color w:val="auto"/>
          <w:highlight w:val="none"/>
        </w:rPr>
        <w:t>7.1.</w:t>
      </w:r>
      <w:r>
        <w:rPr>
          <w:rFonts w:hint="eastAsia" w:ascii="Times New Roman" w:hAnsi="Times New Roman" w:eastAsia="宋体"/>
          <w:b/>
          <w:bCs/>
          <w:color w:val="auto"/>
          <w:highlight w:val="none"/>
          <w:lang w:val="en-US" w:eastAsia="zh-CN"/>
        </w:rPr>
        <w:t>3</w:t>
      </w:r>
      <w:r>
        <w:rPr>
          <w:rFonts w:ascii="Times New Roman" w:hAnsi="Times New Roman" w:eastAsia="宋体"/>
          <w:b/>
          <w:bCs/>
          <w:color w:val="auto"/>
          <w:highlight w:val="none"/>
        </w:rPr>
        <w:t xml:space="preserve">  </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隧道一般根据具体条件采用不同的施工工法。浅埋隧道一般采用明挖法，包括放坡开挖、支护开挖、盖挖法、沉管法，部分暗埋段采用新奥法；深埋隧道一般采用暗挖法，包括矿山法（含新奥法）或掘进机法（包括TBM法和盾构法）。表7-1为各类隧道所适用的工法。在广东省，矿山法多用于山岭隧道，而地下深埋隧道则多用盾构法施工。</w:t>
      </w:r>
    </w:p>
    <w:p>
      <w:pPr>
        <w:spacing w:line="360" w:lineRule="auto"/>
        <w:ind w:firstLine="422" w:firstLineChars="200"/>
        <w:jc w:val="center"/>
        <w:rPr>
          <w:rFonts w:ascii="Times New Roman" w:hAnsi="Times New Roman" w:eastAsia="宋体"/>
          <w:b/>
          <w:bCs/>
          <w:color w:val="auto"/>
          <w:highlight w:val="none"/>
        </w:rPr>
      </w:pPr>
      <w:r>
        <w:rPr>
          <w:rFonts w:ascii="Times New Roman" w:hAnsi="Times New Roman" w:eastAsia="宋体"/>
          <w:b/>
          <w:bCs/>
          <w:color w:val="auto"/>
          <w:highlight w:val="none"/>
        </w:rPr>
        <w:t>表7-1 各类型隧道所适用工法</w:t>
      </w: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2"/>
        <w:gridCol w:w="541"/>
        <w:gridCol w:w="675"/>
        <w:gridCol w:w="3557"/>
        <w:gridCol w:w="29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78" w:type="dxa"/>
            <w:gridSpan w:val="3"/>
            <w:tcBorders>
              <w:top w:val="single" w:color="000000" w:sz="12" w:space="0"/>
              <w:left w:val="single" w:color="000000" w:sz="12" w:space="0"/>
              <w:bottom w:val="single" w:color="000000" w:sz="4" w:space="0"/>
              <w:right w:val="single" w:color="000000" w:sz="4" w:space="0"/>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隧道类型</w:t>
            </w:r>
          </w:p>
        </w:tc>
        <w:tc>
          <w:tcPr>
            <w:tcW w:w="3557" w:type="dxa"/>
            <w:tcBorders>
              <w:top w:val="single" w:color="000000" w:sz="12" w:space="0"/>
              <w:left w:val="single" w:color="000000" w:sz="4" w:space="0"/>
              <w:bottom w:val="single" w:color="000000" w:sz="4" w:space="0"/>
              <w:right w:val="single" w:color="000000" w:sz="4" w:space="0"/>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适用工法</w:t>
            </w:r>
          </w:p>
        </w:tc>
        <w:tc>
          <w:tcPr>
            <w:tcW w:w="2961" w:type="dxa"/>
            <w:tcBorders>
              <w:top w:val="single" w:color="000000" w:sz="12" w:space="0"/>
              <w:left w:val="single" w:color="000000" w:sz="4" w:space="0"/>
              <w:bottom w:val="single" w:color="000000" w:sz="4" w:space="0"/>
              <w:right w:val="single" w:color="000000" w:sz="12" w:space="0"/>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jc w:val="center"/>
        </w:trPr>
        <w:tc>
          <w:tcPr>
            <w:tcW w:w="562" w:type="dxa"/>
            <w:vMerge w:val="restart"/>
            <w:tcBorders>
              <w:top w:val="single" w:color="000000" w:sz="4" w:space="0"/>
              <w:left w:val="single" w:color="000000" w:sz="12" w:space="0"/>
              <w:bottom w:val="single" w:color="000000" w:sz="4" w:space="0"/>
              <w:right w:val="single" w:color="000000" w:sz="4" w:space="0"/>
            </w:tcBorders>
            <w:shd w:val="clear" w:color="auto" w:fill="auto"/>
            <w:vAlign w:val="center"/>
          </w:tcPr>
          <w:p>
            <w:pPr>
              <w:ind w:left="-105" w:leftChars="-50" w:right="-105" w:rightChars="-50"/>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山岭隧道</w:t>
            </w:r>
          </w:p>
        </w:tc>
        <w:tc>
          <w:tcPr>
            <w:tcW w:w="12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洞口段</w:t>
            </w:r>
          </w:p>
        </w:tc>
        <w:tc>
          <w:tcPr>
            <w:tcW w:w="35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新奥法（管棚法，明洞暗进法等）</w:t>
            </w:r>
          </w:p>
        </w:tc>
        <w:tc>
          <w:tcPr>
            <w:tcW w:w="2961" w:type="dxa"/>
            <w:vMerge w:val="restart"/>
            <w:tcBorders>
              <w:top w:val="single" w:color="000000" w:sz="4" w:space="0"/>
              <w:left w:val="single" w:color="000000" w:sz="4" w:space="0"/>
              <w:bottom w:val="single" w:color="000000" w:sz="4" w:space="0"/>
              <w:right w:val="single" w:color="000000" w:sz="12" w:space="0"/>
            </w:tcBorders>
            <w:shd w:val="clear" w:color="auto" w:fill="auto"/>
          </w:tcPr>
          <w:p>
            <w:pP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新奥法属矿山法的一种。</w:t>
            </w:r>
          </w:p>
          <w:p>
            <w:pP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掘进机法分为全断面隧道掘进机法（简称</w:t>
            </w:r>
            <w:r>
              <w:rPr>
                <w:rFonts w:hint="eastAsia" w:ascii="宋体" w:hAnsi="宋体" w:eastAsia="宋体" w:cs="宋体"/>
                <w:color w:val="auto"/>
                <w:kern w:val="0"/>
                <w:sz w:val="20"/>
                <w:szCs w:val="20"/>
                <w:highlight w:val="none"/>
              </w:rPr>
              <w:t>“TBM法”）、盾构掘进机法（简称“盾构法”</w:t>
            </w:r>
            <w:r>
              <w:rPr>
                <w:rFonts w:ascii="Times New Roman" w:hAnsi="Times New Roman" w:eastAsia="宋体"/>
                <w:color w:val="auto"/>
                <w:kern w:val="0"/>
                <w:sz w:val="20"/>
                <w:szCs w:val="20"/>
                <w:highlight w:val="none"/>
              </w:rPr>
              <w:t>），前者只应用于岩石地层。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jc w:val="center"/>
        </w:trPr>
        <w:tc>
          <w:tcPr>
            <w:tcW w:w="562" w:type="dxa"/>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pPr>
              <w:ind w:left="-105" w:leftChars="-50" w:right="-105" w:rightChars="-50"/>
              <w:rPr>
                <w:rFonts w:ascii="Times New Roman" w:hAnsi="Times New Roman" w:eastAsia="宋体"/>
                <w:color w:val="auto"/>
                <w:kern w:val="0"/>
                <w:sz w:val="20"/>
                <w:szCs w:val="20"/>
                <w:highlight w:val="none"/>
              </w:rPr>
            </w:pPr>
          </w:p>
        </w:tc>
        <w:tc>
          <w:tcPr>
            <w:tcW w:w="12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洞身浅埋段</w:t>
            </w:r>
          </w:p>
        </w:tc>
        <w:tc>
          <w:tcPr>
            <w:tcW w:w="35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明挖法（支护开挖或盖挖法）</w:t>
            </w:r>
          </w:p>
        </w:tc>
        <w:tc>
          <w:tcPr>
            <w:tcW w:w="2961" w:type="dxa"/>
            <w:vMerge w:val="continue"/>
            <w:tcBorders>
              <w:top w:val="single" w:color="000000" w:sz="4" w:space="0"/>
              <w:left w:val="single" w:color="000000" w:sz="4" w:space="0"/>
              <w:bottom w:val="single" w:color="000000" w:sz="4" w:space="0"/>
              <w:right w:val="single" w:color="000000" w:sz="12" w:space="0"/>
            </w:tcBorders>
            <w:shd w:val="clear" w:color="auto" w:fill="auto"/>
          </w:tcPr>
          <w:p>
            <w:pPr>
              <w:rPr>
                <w:rFonts w:ascii="Times New Roman" w:hAnsi="Times New Roman" w:eastAsia="宋体"/>
                <w:color w:val="auto"/>
                <w:kern w:val="0"/>
                <w:sz w:val="20"/>
                <w:szCs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4" w:hRule="atLeast"/>
          <w:jc w:val="center"/>
        </w:trPr>
        <w:tc>
          <w:tcPr>
            <w:tcW w:w="562" w:type="dxa"/>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pPr>
              <w:ind w:left="-105" w:leftChars="-50" w:right="-105" w:rightChars="-50"/>
              <w:rPr>
                <w:rFonts w:ascii="Times New Roman" w:hAnsi="Times New Roman" w:eastAsia="宋体"/>
                <w:color w:val="auto"/>
                <w:kern w:val="0"/>
                <w:sz w:val="20"/>
                <w:szCs w:val="20"/>
                <w:highlight w:val="none"/>
              </w:rPr>
            </w:pPr>
          </w:p>
        </w:tc>
        <w:tc>
          <w:tcPr>
            <w:tcW w:w="12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洞身深埋段</w:t>
            </w:r>
          </w:p>
        </w:tc>
        <w:tc>
          <w:tcPr>
            <w:tcW w:w="35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矿山法，新奥法，TBM法，盾构法</w:t>
            </w:r>
          </w:p>
        </w:tc>
        <w:tc>
          <w:tcPr>
            <w:tcW w:w="2961" w:type="dxa"/>
            <w:vMerge w:val="continue"/>
            <w:tcBorders>
              <w:top w:val="single" w:color="000000" w:sz="4" w:space="0"/>
              <w:left w:val="single" w:color="000000" w:sz="4" w:space="0"/>
              <w:bottom w:val="single" w:color="000000" w:sz="4" w:space="0"/>
              <w:right w:val="single" w:color="000000" w:sz="12" w:space="0"/>
            </w:tcBorders>
            <w:shd w:val="clear" w:color="auto" w:fill="auto"/>
          </w:tcPr>
          <w:p>
            <w:pPr>
              <w:rPr>
                <w:rFonts w:ascii="Times New Roman" w:hAnsi="Times New Roman" w:eastAsia="宋体"/>
                <w:color w:val="auto"/>
                <w:kern w:val="0"/>
                <w:sz w:val="20"/>
                <w:szCs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vMerge w:val="restart"/>
            <w:tcBorders>
              <w:top w:val="single" w:color="000000" w:sz="4" w:space="0"/>
              <w:left w:val="single" w:color="000000" w:sz="12" w:space="0"/>
              <w:bottom w:val="single" w:color="000000" w:sz="4" w:space="0"/>
              <w:right w:val="single" w:color="000000" w:sz="4" w:space="0"/>
            </w:tcBorders>
            <w:shd w:val="clear" w:color="auto" w:fill="auto"/>
            <w:vAlign w:val="center"/>
          </w:tcPr>
          <w:p>
            <w:pPr>
              <w:ind w:left="-105" w:leftChars="-50" w:right="-105" w:rightChars="-50"/>
              <w:jc w:val="center"/>
              <w:rPr>
                <w:rFonts w:hint="eastAsia" w:ascii="Times New Roman" w:hAnsi="Times New Roman" w:eastAsia="宋体"/>
                <w:color w:val="auto"/>
                <w:kern w:val="0"/>
                <w:sz w:val="20"/>
                <w:szCs w:val="20"/>
                <w:highlight w:val="none"/>
                <w:lang w:eastAsia="zh-CN"/>
              </w:rPr>
            </w:pPr>
            <w:r>
              <w:rPr>
                <w:rFonts w:hint="eastAsia" w:ascii="Times New Roman" w:hAnsi="Times New Roman" w:eastAsia="宋体"/>
                <w:color w:val="auto"/>
                <w:kern w:val="0"/>
                <w:sz w:val="20"/>
                <w:szCs w:val="20"/>
                <w:highlight w:val="none"/>
                <w:lang w:eastAsia="zh-CN"/>
              </w:rPr>
              <w:t>平原隧道</w:t>
            </w:r>
          </w:p>
        </w:tc>
        <w:tc>
          <w:tcPr>
            <w:tcW w:w="1216" w:type="dxa"/>
            <w:gridSpan w:val="2"/>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敞开段</w:t>
            </w:r>
          </w:p>
        </w:tc>
        <w:tc>
          <w:tcPr>
            <w:tcW w:w="3557" w:type="dxa"/>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明挖法（放坡开挖或支护开挖）</w:t>
            </w:r>
          </w:p>
        </w:tc>
        <w:tc>
          <w:tcPr>
            <w:tcW w:w="2961" w:type="dxa"/>
            <w:vMerge w:val="restart"/>
            <w:tcBorders>
              <w:top w:val="single" w:color="000000" w:sz="4" w:space="0"/>
              <w:left w:val="single" w:color="000000" w:sz="4" w:space="0"/>
              <w:bottom w:val="single" w:color="000000" w:sz="4" w:space="0"/>
              <w:right w:val="single" w:color="000000" w:sz="12" w:space="0"/>
            </w:tcBorders>
            <w:shd w:val="clear" w:color="auto" w:fill="auto"/>
            <w:vAlign w:val="center"/>
          </w:tcPr>
          <w:p>
            <w:pP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广东省深埋隧道一般采用盾构法。盾构法一般要求覆土不小于盾构机直径。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pPr>
              <w:ind w:left="-105" w:leftChars="-50" w:right="-105" w:rightChars="-50"/>
              <w:jc w:val="center"/>
              <w:rPr>
                <w:rFonts w:ascii="Times New Roman" w:hAnsi="Times New Roman" w:eastAsia="宋体"/>
                <w:color w:val="auto"/>
                <w:kern w:val="0"/>
                <w:sz w:val="20"/>
                <w:szCs w:val="20"/>
                <w:highlight w:val="none"/>
              </w:rPr>
            </w:pPr>
          </w:p>
        </w:tc>
        <w:tc>
          <w:tcPr>
            <w:tcW w:w="5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暗埋段</w:t>
            </w:r>
          </w:p>
        </w:tc>
        <w:tc>
          <w:tcPr>
            <w:tcW w:w="675" w:type="dxa"/>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浅埋</w:t>
            </w:r>
          </w:p>
        </w:tc>
        <w:tc>
          <w:tcPr>
            <w:tcW w:w="3557" w:type="dxa"/>
            <w:tcBorders>
              <w:top w:val="single" w:color="000000" w:sz="4" w:space="0"/>
              <w:left w:val="single" w:color="000000" w:sz="4" w:space="0"/>
              <w:bottom w:val="single" w:color="000000" w:sz="4" w:space="0"/>
              <w:right w:val="single" w:color="000000" w:sz="4" w:space="0"/>
            </w:tcBorders>
            <w:shd w:val="clear" w:color="auto" w:fill="auto"/>
          </w:tcPr>
          <w:p>
            <w:pPr>
              <w:rPr>
                <w:rFonts w:hint="default" w:ascii="Times New Roman" w:hAnsi="Times New Roman" w:eastAsia="宋体"/>
                <w:color w:val="auto"/>
                <w:kern w:val="0"/>
                <w:sz w:val="20"/>
                <w:szCs w:val="20"/>
                <w:highlight w:val="none"/>
                <w:lang w:val="en-US" w:eastAsia="zh-CN"/>
              </w:rPr>
            </w:pPr>
            <w:r>
              <w:rPr>
                <w:rFonts w:ascii="Times New Roman" w:hAnsi="Times New Roman" w:eastAsia="宋体"/>
                <w:color w:val="auto"/>
                <w:kern w:val="0"/>
                <w:sz w:val="20"/>
                <w:szCs w:val="20"/>
                <w:highlight w:val="none"/>
              </w:rPr>
              <w:t>明挖法，新奥法</w:t>
            </w:r>
            <w:r>
              <w:rPr>
                <w:rFonts w:hint="eastAsia" w:ascii="Times New Roman" w:hAnsi="Times New Roman" w:eastAsia="宋体"/>
                <w:color w:val="auto"/>
                <w:kern w:val="0"/>
                <w:sz w:val="20"/>
                <w:szCs w:val="20"/>
                <w:highlight w:val="none"/>
                <w:lang w:eastAsia="zh-CN"/>
              </w:rPr>
              <w:t>，</w:t>
            </w:r>
            <w:r>
              <w:rPr>
                <w:rFonts w:hint="eastAsia" w:ascii="Times New Roman" w:hAnsi="Times New Roman" w:eastAsia="宋体"/>
                <w:color w:val="auto"/>
                <w:kern w:val="0"/>
                <w:sz w:val="20"/>
                <w:szCs w:val="20"/>
                <w:highlight w:val="none"/>
                <w:lang w:val="en-US" w:eastAsia="zh-CN"/>
              </w:rPr>
              <w:t>顶管法</w:t>
            </w:r>
          </w:p>
        </w:tc>
        <w:tc>
          <w:tcPr>
            <w:tcW w:w="2961" w:type="dxa"/>
            <w:vMerge w:val="continue"/>
            <w:tcBorders>
              <w:top w:val="single" w:color="000000" w:sz="4" w:space="0"/>
              <w:left w:val="single" w:color="000000" w:sz="4" w:space="0"/>
              <w:bottom w:val="single" w:color="000000" w:sz="4" w:space="0"/>
              <w:right w:val="single" w:color="000000" w:sz="12" w:space="0"/>
            </w:tcBorders>
            <w:shd w:val="clear" w:color="auto" w:fill="auto"/>
          </w:tcPr>
          <w:p>
            <w:pPr>
              <w:rPr>
                <w:rFonts w:ascii="Times New Roman" w:hAnsi="Times New Roman" w:eastAsia="宋体"/>
                <w:color w:val="auto"/>
                <w:kern w:val="0"/>
                <w:sz w:val="20"/>
                <w:szCs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pPr>
              <w:ind w:left="-105" w:leftChars="-50" w:right="-105" w:rightChars="-50"/>
              <w:jc w:val="center"/>
              <w:rPr>
                <w:rFonts w:ascii="Times New Roman" w:hAnsi="Times New Roman" w:eastAsia="宋体"/>
                <w:color w:val="auto"/>
                <w:kern w:val="0"/>
                <w:sz w:val="20"/>
                <w:szCs w:val="20"/>
                <w:highlight w:val="none"/>
              </w:rPr>
            </w:pPr>
          </w:p>
        </w:tc>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宋体"/>
                <w:color w:val="auto"/>
                <w:kern w:val="0"/>
                <w:sz w:val="20"/>
                <w:szCs w:val="20"/>
                <w:highlight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深埋</w:t>
            </w:r>
          </w:p>
        </w:tc>
        <w:tc>
          <w:tcPr>
            <w:tcW w:w="3557" w:type="dxa"/>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盾构法，矿山法，新奥法，TBM法</w:t>
            </w:r>
          </w:p>
        </w:tc>
        <w:tc>
          <w:tcPr>
            <w:tcW w:w="2961" w:type="dxa"/>
            <w:vMerge w:val="continue"/>
            <w:tcBorders>
              <w:top w:val="single" w:color="000000" w:sz="4" w:space="0"/>
              <w:left w:val="single" w:color="000000" w:sz="4" w:space="0"/>
              <w:bottom w:val="single" w:color="000000" w:sz="4" w:space="0"/>
              <w:right w:val="single" w:color="000000" w:sz="12" w:space="0"/>
            </w:tcBorders>
            <w:shd w:val="clear" w:color="auto" w:fill="auto"/>
          </w:tcPr>
          <w:p>
            <w:pPr>
              <w:rPr>
                <w:rFonts w:ascii="Times New Roman" w:hAnsi="Times New Roman" w:eastAsia="宋体"/>
                <w:color w:val="auto"/>
                <w:kern w:val="0"/>
                <w:sz w:val="20"/>
                <w:szCs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vMerge w:val="restart"/>
            <w:tcBorders>
              <w:top w:val="single" w:color="000000" w:sz="4" w:space="0"/>
              <w:left w:val="single" w:color="000000" w:sz="12" w:space="0"/>
              <w:bottom w:val="single" w:color="000000" w:sz="4" w:space="0"/>
              <w:right w:val="single" w:color="000000" w:sz="4" w:space="0"/>
            </w:tcBorders>
            <w:shd w:val="clear" w:color="auto" w:fill="auto"/>
            <w:vAlign w:val="center"/>
          </w:tcPr>
          <w:p>
            <w:pPr>
              <w:ind w:left="-105" w:leftChars="-50" w:right="-105" w:rightChars="-50"/>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水下隧道</w:t>
            </w:r>
          </w:p>
        </w:tc>
        <w:tc>
          <w:tcPr>
            <w:tcW w:w="1216" w:type="dxa"/>
            <w:gridSpan w:val="2"/>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沉管隧道</w:t>
            </w:r>
          </w:p>
        </w:tc>
        <w:tc>
          <w:tcPr>
            <w:tcW w:w="3557" w:type="dxa"/>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沉管法</w:t>
            </w:r>
          </w:p>
        </w:tc>
        <w:tc>
          <w:tcPr>
            <w:tcW w:w="2961" w:type="dxa"/>
            <w:vMerge w:val="restart"/>
            <w:tcBorders>
              <w:top w:val="single" w:color="000000" w:sz="4" w:space="0"/>
              <w:left w:val="single" w:color="000000" w:sz="4" w:space="0"/>
              <w:bottom w:val="single" w:color="000000" w:sz="4" w:space="0"/>
              <w:right w:val="single" w:color="000000" w:sz="12" w:space="0"/>
            </w:tcBorders>
            <w:shd w:val="clear" w:color="auto" w:fill="auto"/>
            <w:vAlign w:val="center"/>
          </w:tcPr>
          <w:p>
            <w:pP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水下暗埋隧道主要采用盾构法。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vMerge w:val="continue"/>
            <w:tcBorders>
              <w:top w:val="single" w:color="000000" w:sz="4" w:space="0"/>
              <w:left w:val="single" w:color="000000" w:sz="12" w:space="0"/>
              <w:bottom w:val="single" w:color="000000" w:sz="4" w:space="0"/>
              <w:right w:val="single" w:color="000000" w:sz="4" w:space="0"/>
            </w:tcBorders>
            <w:shd w:val="clear" w:color="auto" w:fill="auto"/>
          </w:tcPr>
          <w:p>
            <w:pPr>
              <w:rPr>
                <w:rFonts w:ascii="Times New Roman" w:hAnsi="Times New Roman" w:eastAsia="宋体"/>
                <w:color w:val="auto"/>
                <w:kern w:val="0"/>
                <w:sz w:val="20"/>
                <w:szCs w:val="20"/>
                <w:highlight w:val="none"/>
              </w:rPr>
            </w:pPr>
          </w:p>
        </w:tc>
        <w:tc>
          <w:tcPr>
            <w:tcW w:w="1216" w:type="dxa"/>
            <w:gridSpan w:val="2"/>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暗埋隧道</w:t>
            </w:r>
          </w:p>
        </w:tc>
        <w:tc>
          <w:tcPr>
            <w:tcW w:w="3557" w:type="dxa"/>
            <w:tcBorders>
              <w:top w:val="single" w:color="000000" w:sz="4" w:space="0"/>
              <w:left w:val="single" w:color="000000" w:sz="4" w:space="0"/>
              <w:bottom w:val="single" w:color="000000" w:sz="4" w:space="0"/>
              <w:right w:val="single" w:color="000000" w:sz="4" w:space="0"/>
            </w:tcBorders>
            <w:shd w:val="clear" w:color="auto" w:fill="auto"/>
          </w:tcPr>
          <w:p>
            <w:pPr>
              <w:rPr>
                <w:rFonts w:hint="default" w:ascii="Times New Roman" w:hAnsi="Times New Roman" w:eastAsia="宋体"/>
                <w:color w:val="auto"/>
                <w:kern w:val="0"/>
                <w:sz w:val="20"/>
                <w:szCs w:val="20"/>
                <w:highlight w:val="none"/>
                <w:lang w:val="en-US" w:eastAsia="zh-CN"/>
              </w:rPr>
            </w:pPr>
            <w:r>
              <w:rPr>
                <w:rFonts w:ascii="Times New Roman" w:hAnsi="Times New Roman" w:eastAsia="宋体"/>
                <w:color w:val="auto"/>
                <w:kern w:val="0"/>
                <w:sz w:val="20"/>
                <w:szCs w:val="20"/>
                <w:highlight w:val="none"/>
              </w:rPr>
              <w:t>盾构法，矿山法，围堰明挖法</w:t>
            </w:r>
            <w:r>
              <w:rPr>
                <w:rFonts w:hint="eastAsia" w:ascii="Times New Roman" w:hAnsi="Times New Roman" w:eastAsia="宋体"/>
                <w:color w:val="auto"/>
                <w:kern w:val="0"/>
                <w:sz w:val="20"/>
                <w:szCs w:val="20"/>
                <w:highlight w:val="none"/>
                <w:lang w:eastAsia="zh-CN"/>
              </w:rPr>
              <w:t>，</w:t>
            </w:r>
            <w:r>
              <w:rPr>
                <w:rFonts w:hint="eastAsia" w:ascii="Times New Roman" w:hAnsi="Times New Roman" w:eastAsia="宋体"/>
                <w:color w:val="auto"/>
                <w:kern w:val="0"/>
                <w:sz w:val="20"/>
                <w:szCs w:val="20"/>
                <w:highlight w:val="none"/>
                <w:lang w:val="en-US" w:eastAsia="zh-CN"/>
              </w:rPr>
              <w:t>顶管法</w:t>
            </w:r>
          </w:p>
        </w:tc>
        <w:tc>
          <w:tcPr>
            <w:tcW w:w="2961" w:type="dxa"/>
            <w:vMerge w:val="continue"/>
            <w:tcBorders>
              <w:top w:val="single" w:color="000000" w:sz="4" w:space="0"/>
              <w:left w:val="single" w:color="000000" w:sz="4" w:space="0"/>
              <w:bottom w:val="single" w:color="000000" w:sz="4" w:space="0"/>
              <w:right w:val="single" w:color="000000" w:sz="12" w:space="0"/>
            </w:tcBorders>
            <w:shd w:val="clear" w:color="auto" w:fill="auto"/>
          </w:tcPr>
          <w:p>
            <w:pPr>
              <w:rPr>
                <w:rFonts w:ascii="Times New Roman" w:hAnsi="Times New Roman" w:eastAsia="宋体"/>
                <w:color w:val="auto"/>
                <w:kern w:val="0"/>
                <w:sz w:val="20"/>
                <w:szCs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78" w:type="dxa"/>
            <w:gridSpan w:val="3"/>
            <w:tcBorders>
              <w:top w:val="single" w:color="000000" w:sz="4" w:space="0"/>
              <w:left w:val="single" w:color="000000" w:sz="12" w:space="0"/>
              <w:bottom w:val="single" w:color="000000" w:sz="12" w:space="0"/>
              <w:right w:val="single" w:color="000000" w:sz="4" w:space="0"/>
            </w:tcBorders>
            <w:shd w:val="clear" w:color="auto" w:fill="auto"/>
          </w:tcPr>
          <w:p>
            <w:pPr>
              <w:rPr>
                <w:rFonts w:hint="default" w:ascii="Times New Roman" w:hAnsi="Times New Roman" w:eastAsia="宋体"/>
                <w:color w:val="auto"/>
                <w:kern w:val="0"/>
                <w:sz w:val="20"/>
                <w:szCs w:val="20"/>
                <w:highlight w:val="none"/>
                <w:lang w:val="en-US" w:eastAsia="zh-CN"/>
              </w:rPr>
            </w:pPr>
            <w:r>
              <w:rPr>
                <w:rFonts w:hint="eastAsia" w:ascii="Times New Roman" w:hAnsi="Times New Roman" w:eastAsia="宋体"/>
                <w:color w:val="auto"/>
                <w:kern w:val="0"/>
                <w:sz w:val="20"/>
                <w:szCs w:val="20"/>
                <w:highlight w:val="none"/>
                <w:lang w:val="en-US" w:eastAsia="zh-CN"/>
              </w:rPr>
              <w:t>下沉式道路</w:t>
            </w:r>
          </w:p>
        </w:tc>
        <w:tc>
          <w:tcPr>
            <w:tcW w:w="3557" w:type="dxa"/>
            <w:tcBorders>
              <w:top w:val="single" w:color="000000" w:sz="4" w:space="0"/>
              <w:left w:val="single" w:color="000000" w:sz="4" w:space="0"/>
              <w:bottom w:val="single" w:color="000000" w:sz="12" w:space="0"/>
              <w:right w:val="single" w:color="000000" w:sz="4" w:space="0"/>
            </w:tcBorders>
            <w:shd w:val="clear" w:color="auto" w:fill="auto"/>
          </w:tcPr>
          <w:p>
            <w:pP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明挖法（放坡开挖或支护开挖）</w:t>
            </w:r>
          </w:p>
        </w:tc>
        <w:tc>
          <w:tcPr>
            <w:tcW w:w="2961" w:type="dxa"/>
            <w:tcBorders>
              <w:top w:val="single" w:color="000000" w:sz="4" w:space="0"/>
              <w:left w:val="single" w:color="000000" w:sz="4" w:space="0"/>
              <w:bottom w:val="single" w:color="000000" w:sz="12" w:space="0"/>
              <w:right w:val="single" w:color="000000" w:sz="12" w:space="0"/>
            </w:tcBorders>
            <w:shd w:val="clear" w:color="auto" w:fill="auto"/>
          </w:tcPr>
          <w:p>
            <w:pPr>
              <w:rPr>
                <w:rFonts w:hint="default" w:ascii="Times New Roman" w:hAnsi="Times New Roman" w:eastAsia="宋体"/>
                <w:color w:val="auto"/>
                <w:kern w:val="0"/>
                <w:sz w:val="20"/>
                <w:szCs w:val="20"/>
                <w:highlight w:val="none"/>
                <w:lang w:val="en-US" w:eastAsia="zh-CN"/>
              </w:rPr>
            </w:pPr>
            <w:r>
              <w:rPr>
                <w:rFonts w:hint="eastAsia" w:ascii="Times New Roman" w:hAnsi="Times New Roman" w:eastAsia="宋体"/>
                <w:color w:val="auto"/>
                <w:kern w:val="0"/>
                <w:sz w:val="20"/>
                <w:szCs w:val="20"/>
                <w:highlight w:val="none"/>
                <w:lang w:val="en-US" w:eastAsia="zh-CN"/>
              </w:rPr>
              <w:t>与平原隧道敞开段一致。</w:t>
            </w:r>
          </w:p>
        </w:tc>
      </w:tr>
    </w:tbl>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盖挖法本质上也是支护开挖法，只是顶部封闭后，顶部结构相当于刚性内支撑，作为了支护结构的一部分</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新奥法是一种特殊的矿山法；TBM法一般也视作一种特殊的盾构法。当然，</w:t>
      </w:r>
      <w:r>
        <w:rPr>
          <w:rFonts w:ascii="Times New Roman" w:hAnsi="Times New Roman" w:eastAsia="宋体"/>
          <w:color w:val="auto"/>
          <w:highlight w:val="none"/>
        </w:rPr>
        <w:t>从某种意义上</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沉管法</w:t>
      </w:r>
      <w:r>
        <w:rPr>
          <w:rFonts w:hint="eastAsia" w:ascii="Times New Roman" w:hAnsi="Times New Roman" w:eastAsia="宋体"/>
          <w:color w:val="auto"/>
          <w:highlight w:val="none"/>
          <w:lang w:val="en-US" w:eastAsia="zh-CN"/>
        </w:rPr>
        <w:t>也属于明挖法，是</w:t>
      </w:r>
      <w:r>
        <w:rPr>
          <w:rFonts w:ascii="Times New Roman" w:hAnsi="Times New Roman" w:eastAsia="宋体"/>
          <w:color w:val="auto"/>
          <w:highlight w:val="none"/>
        </w:rPr>
        <w:t>一种</w:t>
      </w:r>
      <w:r>
        <w:rPr>
          <w:rFonts w:hint="eastAsia" w:ascii="Times New Roman" w:hAnsi="Times New Roman" w:eastAsia="宋体"/>
          <w:color w:val="auto"/>
          <w:highlight w:val="none"/>
          <w:lang w:val="en-US" w:eastAsia="zh-CN"/>
        </w:rPr>
        <w:t>水下的</w:t>
      </w:r>
      <w:r>
        <w:rPr>
          <w:rFonts w:ascii="Times New Roman" w:hAnsi="Times New Roman" w:eastAsia="宋体"/>
          <w:color w:val="auto"/>
          <w:highlight w:val="none"/>
        </w:rPr>
        <w:t>放坡开挖法，管节属于预制的隧道结构</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但由于其涉及比较特殊的水下临时坡体稳定性分析与设计，且隧道结构对地基沉降变形特别敏感，故一般作为一种单独工法区分出来</w:t>
      </w:r>
      <w:r>
        <w:rPr>
          <w:rFonts w:ascii="Times New Roman" w:hAnsi="Times New Roman" w:eastAsia="宋体"/>
          <w:color w:val="auto"/>
          <w:highlight w:val="none"/>
        </w:rPr>
        <w:t>。</w:t>
      </w:r>
    </w:p>
    <w:p>
      <w:pPr>
        <w:spacing w:line="360" w:lineRule="auto"/>
        <w:ind w:firstLine="420" w:firstLineChars="20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所以本规范将隧道施工工法分为明挖法、沉管法和暗挖法，其中暗挖法又分为矿山法和盾构法。</w:t>
      </w:r>
      <w:r>
        <w:rPr>
          <w:rFonts w:ascii="Times New Roman" w:hAnsi="Times New Roman" w:eastAsia="宋体"/>
          <w:color w:val="auto"/>
          <w:highlight w:val="none"/>
        </w:rPr>
        <w:t>不同工法所需要解决的工程问题及所需要了解的岩土参数有所差异，因此，采用的工法不同，所制定的勘察方案也需相应调整。</w:t>
      </w:r>
      <w:r>
        <w:rPr>
          <w:rFonts w:hint="eastAsia" w:ascii="Times New Roman" w:hAnsi="Times New Roman" w:eastAsia="宋体"/>
          <w:color w:val="auto"/>
          <w:highlight w:val="none"/>
          <w:lang w:val="en-US" w:eastAsia="zh-CN"/>
        </w:rPr>
        <w:t>鉴于山岭隧道的特殊性，在暗挖法隧道的勘察中，一般又区分山岭隧道和非山岭隧道设定勘察技术方案。</w:t>
      </w:r>
    </w:p>
    <w:p>
      <w:pPr>
        <w:spacing w:line="360" w:lineRule="auto"/>
        <w:ind w:firstLine="420" w:firstLineChars="20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隧道</w:t>
      </w:r>
      <w:r>
        <w:rPr>
          <w:rFonts w:hint="eastAsia" w:ascii="Times New Roman" w:hAnsi="Times New Roman" w:eastAsia="宋体"/>
          <w:color w:val="auto"/>
          <w:highlight w:val="none"/>
          <w:lang w:val="en-US" w:eastAsia="zh-CN"/>
        </w:rPr>
        <w:t>按</w:t>
      </w:r>
      <w:r>
        <w:rPr>
          <w:rFonts w:ascii="Times New Roman" w:hAnsi="Times New Roman" w:eastAsia="宋体"/>
          <w:color w:val="auto"/>
          <w:highlight w:val="none"/>
        </w:rPr>
        <w:t>埋藏深度可分为浅埋隧道和深埋隧道</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可基于围岩级别和埋深按以下规定进行划分：</w:t>
      </w:r>
    </w:p>
    <w:p>
      <w:pPr>
        <w:spacing w:line="360" w:lineRule="auto"/>
        <w:ind w:firstLine="422" w:firstLineChars="200"/>
        <w:rPr>
          <w:rFonts w:hint="eastAsia" w:ascii="宋体" w:hAnsi="宋体" w:eastAsia="宋体" w:cs="宋体"/>
          <w:color w:val="auto"/>
          <w:highlight w:val="none"/>
          <w:lang w:val="en-US" w:eastAsia="zh-CN"/>
        </w:rPr>
      </w:pPr>
      <w:r>
        <w:rPr>
          <w:rFonts w:hint="eastAsia" w:ascii="Times New Roman" w:hAnsi="Times New Roman" w:eastAsia="宋体"/>
          <w:b/>
          <w:bCs/>
          <w:color w:val="auto"/>
          <w:highlight w:val="none"/>
          <w:lang w:val="en-US" w:eastAsia="zh-CN"/>
        </w:rPr>
        <w:t xml:space="preserve">1 </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对</w:t>
      </w:r>
      <w:r>
        <w:rPr>
          <w:rFonts w:hint="eastAsia" w:ascii="宋体" w:hAnsi="宋体" w:eastAsia="宋体" w:cs="宋体"/>
          <w:color w:val="auto"/>
          <w:highlight w:val="none"/>
          <w:lang w:val="en-US" w:eastAsia="zh-CN"/>
        </w:rPr>
        <w:t>Ⅰ</w:t>
      </w:r>
      <w:r>
        <w:rPr>
          <w:rFonts w:hint="default" w:ascii="Times New Roman" w:hAnsi="Times New Roman" w:eastAsia="宋体" w:cs="Times New Roman"/>
          <w:color w:val="auto"/>
          <w:highlight w:val="none"/>
          <w:lang w:val="en-US" w:eastAsia="zh-CN"/>
        </w:rPr>
        <w:t>~</w:t>
      </w:r>
      <w:r>
        <w:rPr>
          <w:rFonts w:hint="eastAsia" w:ascii="宋体" w:hAnsi="宋体" w:eastAsia="宋体" w:cs="宋体"/>
          <w:color w:val="auto"/>
          <w:highlight w:val="none"/>
          <w:lang w:val="en-US" w:eastAsia="zh-CN"/>
        </w:rPr>
        <w:t>Ⅲ级围岩，当埋深不超过2.0倍压力拱高度时为浅埋隧道，当埋深大于</w:t>
      </w:r>
      <w:r>
        <w:rPr>
          <w:rFonts w:hint="default" w:ascii="Times New Roman" w:hAnsi="Times New Roman" w:eastAsia="宋体" w:cs="Times New Roman"/>
          <w:color w:val="auto"/>
          <w:highlight w:val="none"/>
          <w:lang w:val="en-US" w:eastAsia="zh-CN"/>
        </w:rPr>
        <w:t>2.0</w:t>
      </w:r>
      <w:r>
        <w:rPr>
          <w:rFonts w:hint="eastAsia" w:ascii="宋体" w:hAnsi="宋体" w:eastAsia="宋体" w:cs="宋体"/>
          <w:color w:val="auto"/>
          <w:highlight w:val="none"/>
          <w:lang w:val="en-US" w:eastAsia="zh-CN"/>
        </w:rPr>
        <w:t>倍压力拱高度时为深埋隧道；</w:t>
      </w:r>
    </w:p>
    <w:p>
      <w:pPr>
        <w:spacing w:line="360" w:lineRule="auto"/>
        <w:ind w:firstLine="422" w:firstLineChars="200"/>
        <w:rPr>
          <w:rFonts w:ascii="Times New Roman" w:hAnsi="Times New Roman" w:eastAsia="宋体"/>
          <w:color w:val="auto"/>
          <w:highlight w:val="none"/>
        </w:rPr>
      </w:pPr>
      <w:r>
        <w:rPr>
          <w:rFonts w:hint="eastAsia" w:ascii="Times New Roman" w:hAnsi="Times New Roman" w:eastAsia="宋体"/>
          <w:b/>
          <w:bCs/>
          <w:color w:val="auto"/>
          <w:highlight w:val="none"/>
          <w:lang w:val="en-US" w:eastAsia="zh-CN"/>
        </w:rPr>
        <w:t xml:space="preserve">2 </w:t>
      </w:r>
      <w:r>
        <w:rPr>
          <w:rFonts w:hint="eastAsia"/>
          <w:b/>
          <w:bCs/>
          <w:color w:val="auto"/>
          <w:highlight w:val="none"/>
          <w:lang w:val="en-US" w:eastAsia="zh-CN"/>
        </w:rPr>
        <w:t xml:space="preserve"> </w:t>
      </w:r>
      <w:r>
        <w:rPr>
          <w:rFonts w:hint="eastAsia" w:ascii="宋体" w:hAnsi="宋体" w:eastAsia="宋体" w:cs="宋体"/>
          <w:color w:val="auto"/>
          <w:highlight w:val="none"/>
          <w:lang w:val="en-US" w:eastAsia="zh-CN"/>
        </w:rPr>
        <w:t>对Ⅳ</w:t>
      </w:r>
      <w:r>
        <w:rPr>
          <w:rFonts w:hint="default" w:ascii="Times New Roman" w:hAnsi="Times New Roman" w:eastAsia="宋体" w:cs="Times New Roman"/>
          <w:color w:val="auto"/>
          <w:highlight w:val="none"/>
          <w:lang w:val="en-US" w:eastAsia="zh-CN"/>
        </w:rPr>
        <w:t>~</w:t>
      </w:r>
      <w:r>
        <w:rPr>
          <w:rFonts w:hint="eastAsia" w:ascii="宋体" w:hAnsi="宋体" w:eastAsia="宋体" w:cs="宋体"/>
          <w:color w:val="auto"/>
          <w:highlight w:val="none"/>
          <w:lang w:val="en-US" w:eastAsia="zh-CN"/>
        </w:rPr>
        <w:t>Ⅵ级围岩，当埋深不超过2.5倍压力拱高度时为浅埋隧道，当埋深大于</w:t>
      </w:r>
      <w:r>
        <w:rPr>
          <w:rFonts w:hint="default" w:ascii="Times New Roman" w:hAnsi="Times New Roman" w:eastAsia="宋体" w:cs="Times New Roman"/>
          <w:color w:val="auto"/>
          <w:highlight w:val="none"/>
          <w:lang w:val="en-US" w:eastAsia="zh-CN"/>
        </w:rPr>
        <w:t>2.5</w:t>
      </w:r>
      <w:r>
        <w:rPr>
          <w:rFonts w:hint="eastAsia" w:ascii="宋体" w:hAnsi="宋体" w:eastAsia="宋体" w:cs="宋体"/>
          <w:color w:val="auto"/>
          <w:highlight w:val="none"/>
          <w:lang w:val="en-US" w:eastAsia="zh-CN"/>
        </w:rPr>
        <w:t>倍压力拱高度时为深埋隧道</w:t>
      </w:r>
      <w:r>
        <w:rPr>
          <w:rFonts w:ascii="Times New Roman" w:hAnsi="Times New Roman" w:eastAsia="宋体"/>
          <w:color w:val="auto"/>
          <w:highlight w:val="none"/>
        </w:rPr>
        <w:t>。</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其中，压力拱高度由下式确定：</w:t>
      </w:r>
    </w:p>
    <w:p>
      <w:pPr>
        <w:tabs>
          <w:tab w:val="center" w:pos="3969"/>
          <w:tab w:val="center" w:pos="7655"/>
        </w:tabs>
        <w:autoSpaceDE w:val="0"/>
        <w:autoSpaceDN w:val="0"/>
        <w:adjustRightInd w:val="0"/>
        <w:jc w:val="left"/>
        <w:rPr>
          <w:rFonts w:ascii="Times New Roman" w:hAnsi="Times New Roman" w:eastAsia="宋体"/>
          <w:color w:val="auto"/>
          <w:highlight w:val="none"/>
        </w:rPr>
      </w:pPr>
      <w:r>
        <w:rPr>
          <w:rFonts w:ascii="Times New Roman" w:hAnsi="Times New Roman" w:eastAsia="宋体"/>
          <w:color w:val="auto"/>
          <w:highlight w:val="none"/>
        </w:rPr>
        <w:tab/>
      </w:r>
      <m:oMath>
        <m:r>
          <m:rPr/>
          <w:rPr>
            <w:rFonts w:hint="default" w:ascii="Cambria Math" w:hAnsi="Cambria Math" w:eastAsia="宋体" w:cs="Times New Roman"/>
            <w:color w:val="auto"/>
            <w:kern w:val="2"/>
            <w:sz w:val="21"/>
            <w:szCs w:val="22"/>
            <w:highlight w:val="none"/>
            <w:lang w:val="en-US" w:eastAsia="zh-CN" w:bidi="ar-SA"/>
          </w:rPr>
          <m:t>ℎ</m:t>
        </m:r>
        <m:r>
          <m:rPr>
            <m:sty m:val="p"/>
          </m:rPr>
          <w:rPr>
            <w:rFonts w:hint="default" w:ascii="Cambria Math" w:hAnsi="Cambria Math" w:eastAsia="宋体" w:cs="Times New Roman"/>
            <w:color w:val="auto"/>
            <w:kern w:val="2"/>
            <w:sz w:val="21"/>
            <w:szCs w:val="22"/>
            <w:highlight w:val="none"/>
            <w:lang w:val="en-US" w:eastAsia="zh-CN" w:bidi="ar-SA"/>
          </w:rPr>
          <m:t>=0.45</m:t>
        </m:r>
        <m:r>
          <m:rPr>
            <m:sty m:val="p"/>
          </m:rPr>
          <w:rPr>
            <w:rFonts w:ascii="Cambria Math" w:hAnsi="Cambria Math" w:cs="Times New Roman"/>
            <w:color w:val="auto"/>
            <w:kern w:val="2"/>
            <w:sz w:val="21"/>
            <w:szCs w:val="22"/>
            <w:highlight w:val="none"/>
            <w:lang w:val="en-US" w:bidi="ar-SA"/>
          </w:rPr>
          <m:t>×</m:t>
        </m:r>
        <m:sSup>
          <m:sSupPr>
            <m:ctrlPr>
              <w:rPr>
                <w:rFonts w:hint="default" w:ascii="Cambria Math" w:hAnsi="Cambria Math" w:cs="Times New Roman"/>
                <w:color w:val="auto"/>
                <w:kern w:val="2"/>
                <w:sz w:val="21"/>
                <w:szCs w:val="22"/>
                <w:highlight w:val="none"/>
                <w:lang w:val="en-US" w:eastAsia="zh-CN" w:bidi="ar-SA"/>
              </w:rPr>
            </m:ctrlPr>
          </m:sSupPr>
          <m:e>
            <m:r>
              <m:rPr>
                <m:sty m:val="p"/>
              </m:rPr>
              <w:rPr>
                <w:rFonts w:hint="default" w:ascii="Cambria Math" w:hAnsi="Cambria Math" w:cs="Times New Roman"/>
                <w:color w:val="auto"/>
                <w:kern w:val="2"/>
                <w:sz w:val="21"/>
                <w:szCs w:val="22"/>
                <w:highlight w:val="none"/>
                <w:lang w:val="en-US" w:eastAsia="zh-CN" w:bidi="ar-SA"/>
              </w:rPr>
              <m:t>2</m:t>
            </m:r>
            <m:ctrlPr>
              <w:rPr>
                <w:rFonts w:hint="default" w:ascii="Cambria Math" w:hAnsi="Cambria Math" w:cs="Times New Roman"/>
                <w:color w:val="auto"/>
                <w:kern w:val="2"/>
                <w:sz w:val="21"/>
                <w:szCs w:val="22"/>
                <w:highlight w:val="none"/>
                <w:lang w:val="en-US" w:eastAsia="zh-CN" w:bidi="ar-SA"/>
              </w:rPr>
            </m:ctrlPr>
          </m:e>
          <m:sup>
            <m:r>
              <m:rPr/>
              <w:rPr>
                <w:rFonts w:hint="default" w:ascii="Cambria Math" w:hAnsi="Cambria Math" w:cs="Times New Roman"/>
                <w:color w:val="auto"/>
                <w:kern w:val="2"/>
                <w:sz w:val="21"/>
                <w:szCs w:val="22"/>
                <w:highlight w:val="none"/>
                <w:lang w:val="en-US" w:eastAsia="zh-CN" w:bidi="ar-SA"/>
              </w:rPr>
              <m:t>s</m:t>
            </m:r>
            <m:r>
              <m:rPr>
                <m:sty m:val="p"/>
              </m:rPr>
              <w:rPr>
                <w:rFonts w:hint="default" w:ascii="Cambria Math" w:hAnsi="Cambria Math" w:cs="Times New Roman"/>
                <w:color w:val="auto"/>
                <w:kern w:val="2"/>
                <w:sz w:val="21"/>
                <w:szCs w:val="22"/>
                <w:highlight w:val="none"/>
                <w:lang w:val="en-US" w:eastAsia="zh-CN" w:bidi="ar-SA"/>
              </w:rPr>
              <m:t>−1</m:t>
            </m:r>
            <m:ctrlPr>
              <w:rPr>
                <w:rFonts w:hint="default" w:ascii="Cambria Math" w:hAnsi="Cambria Math" w:cs="Times New Roman"/>
                <w:color w:val="auto"/>
                <w:kern w:val="2"/>
                <w:sz w:val="21"/>
                <w:szCs w:val="22"/>
                <w:highlight w:val="none"/>
                <w:lang w:val="en-US" w:eastAsia="zh-CN" w:bidi="ar-SA"/>
              </w:rPr>
            </m:ctrlPr>
          </m:sup>
        </m:sSup>
        <m:r>
          <m:rPr/>
          <w:rPr>
            <w:rFonts w:hint="default" w:ascii="Cambria Math" w:hAnsi="Cambria Math" w:cs="Times New Roman"/>
            <w:color w:val="auto"/>
            <w:kern w:val="2"/>
            <w:sz w:val="21"/>
            <w:szCs w:val="22"/>
            <w:highlight w:val="none"/>
            <w:lang w:val="en-US" w:bidi="ar-SA"/>
          </w:rPr>
          <m:t>ω</m:t>
        </m:r>
      </m:oMath>
      <w:r>
        <w:rPr>
          <w:rFonts w:ascii="Times New Roman" w:hAnsi="Times New Roman" w:eastAsia="宋体"/>
          <w:color w:val="auto"/>
          <w:highlight w:val="none"/>
        </w:rPr>
        <w:tab/>
      </w:r>
      <w:r>
        <w:rPr>
          <w:rFonts w:hint="eastAsia" w:ascii="Times New Roman" w:hAnsi="Times New Roman" w:eastAsia="宋体"/>
          <w:color w:val="auto"/>
          <w:highlight w:val="none"/>
        </w:rPr>
        <w:t>（7-1）</w:t>
      </w:r>
    </w:p>
    <w:p>
      <w:pPr>
        <w:keepNext w:val="0"/>
        <w:keepLines w:val="0"/>
        <w:pageBreakBefore w:val="0"/>
        <w:widowControl w:val="0"/>
        <w:tabs>
          <w:tab w:val="center" w:pos="3969"/>
          <w:tab w:val="center" w:pos="7655"/>
        </w:tabs>
        <w:kinsoku/>
        <w:wordWrap/>
        <w:overflowPunct/>
        <w:topLinePunct w:val="0"/>
        <w:autoSpaceDE w:val="0"/>
        <w:autoSpaceDN w:val="0"/>
        <w:bidi w:val="0"/>
        <w:adjustRightInd w:val="0"/>
        <w:snapToGrid/>
        <w:spacing w:before="157" w:beforeLines="50"/>
        <w:jc w:val="left"/>
        <w:textAlignment w:val="auto"/>
        <w:rPr>
          <w:rFonts w:ascii="Times New Roman" w:hAnsi="Times New Roman" w:eastAsia="宋体"/>
          <w:color w:val="auto"/>
          <w:highlight w:val="none"/>
        </w:rPr>
      </w:pPr>
      <w:r>
        <w:rPr>
          <w:rFonts w:ascii="Times New Roman" w:hAnsi="Times New Roman" w:eastAsia="宋体"/>
          <w:color w:val="auto"/>
          <w:highlight w:val="none"/>
        </w:rPr>
        <w:tab/>
      </w:r>
      <m:oMath>
        <m:r>
          <m:rPr/>
          <w:rPr>
            <w:rFonts w:hint="default" w:ascii="Cambria Math" w:hAnsi="Cambria Math"/>
            <w:color w:val="auto"/>
            <w:highlight w:val="none"/>
          </w:rPr>
          <m:t>ω</m:t>
        </m:r>
        <m:r>
          <m:rPr>
            <m:sty m:val="p"/>
          </m:rPr>
          <w:rPr>
            <w:rFonts w:hint="default" w:ascii="Cambria Math" w:hAnsi="Cambria Math"/>
            <w:color w:val="auto"/>
            <w:highlight w:val="none"/>
            <w:lang w:val="en-US" w:eastAsia="zh-CN"/>
          </w:rPr>
          <m:t>=1+</m:t>
        </m:r>
        <m:r>
          <m:rPr/>
          <w:rPr>
            <w:rFonts w:hint="default" w:ascii="Cambria Math" w:hAnsi="Cambria Math"/>
            <w:color w:val="auto"/>
            <w:highlight w:val="none"/>
            <w:lang w:val="en-US" w:eastAsia="zh-CN"/>
          </w:rPr>
          <m:t>i</m:t>
        </m:r>
        <m:d>
          <m:dPr>
            <m:ctrlPr>
              <w:rPr>
                <w:rFonts w:hint="default" w:ascii="Cambria Math" w:hAnsi="Cambria Math"/>
                <w:color w:val="auto"/>
                <w:highlight w:val="none"/>
                <w:lang w:val="en-US" w:eastAsia="zh-CN"/>
              </w:rPr>
            </m:ctrlPr>
          </m:dPr>
          <m:e>
            <m:r>
              <m:rPr/>
              <w:rPr>
                <w:rFonts w:hint="default" w:ascii="Cambria Math" w:hAnsi="Cambria Math"/>
                <w:color w:val="auto"/>
                <w:highlight w:val="none"/>
                <w:lang w:val="en-US" w:eastAsia="zh-CN"/>
              </w:rPr>
              <m:t>B</m:t>
            </m:r>
            <m:r>
              <m:rPr>
                <m:sty m:val="p"/>
              </m:rPr>
              <w:rPr>
                <w:rFonts w:hint="default" w:ascii="Cambria Math" w:hAnsi="Cambria Math"/>
                <w:color w:val="auto"/>
                <w:highlight w:val="none"/>
                <w:lang w:val="en-US" w:eastAsia="zh-CN"/>
              </w:rPr>
              <m:t>−5</m:t>
            </m:r>
            <m:ctrlPr>
              <w:rPr>
                <w:rFonts w:hint="default" w:ascii="Cambria Math" w:hAnsi="Cambria Math"/>
                <w:color w:val="auto"/>
                <w:highlight w:val="none"/>
                <w:lang w:val="en-US" w:eastAsia="zh-CN"/>
              </w:rPr>
            </m:ctrlPr>
          </m:e>
        </m:d>
      </m:oMath>
      <w:r>
        <w:rPr>
          <w:rFonts w:ascii="Times New Roman" w:hAnsi="Times New Roman" w:eastAsia="宋体"/>
          <w:color w:val="auto"/>
          <w:highlight w:val="none"/>
        </w:rPr>
        <w:tab/>
      </w:r>
      <w:r>
        <w:rPr>
          <w:rFonts w:hint="eastAsia" w:ascii="Times New Roman" w:hAnsi="Times New Roman" w:eastAsia="宋体"/>
          <w:color w:val="auto"/>
          <w:highlight w:val="none"/>
        </w:rPr>
        <w:t>（7-2）</w:t>
      </w:r>
    </w:p>
    <w:p>
      <w:pPr>
        <w:spacing w:line="360" w:lineRule="auto"/>
        <w:rPr>
          <w:rFonts w:ascii="Times New Roman" w:hAnsi="Times New Roman" w:eastAsia="宋体"/>
          <w:color w:val="auto"/>
          <w:highlight w:val="none"/>
        </w:rPr>
      </w:pPr>
      <w:r>
        <w:rPr>
          <w:rFonts w:ascii="Times New Roman" w:hAnsi="Times New Roman" w:eastAsia="宋体"/>
          <w:color w:val="auto"/>
          <w:highlight w:val="none"/>
        </w:rPr>
        <w:t>式中：</w:t>
      </w:r>
      <w:r>
        <w:rPr>
          <w:rFonts w:ascii="Times New Roman" w:hAnsi="Times New Roman" w:eastAsia="宋体"/>
          <w:i/>
          <w:iCs/>
          <w:color w:val="auto"/>
          <w:highlight w:val="none"/>
        </w:rPr>
        <w:t>h</w:t>
      </w:r>
      <w:r>
        <w:rPr>
          <w:rFonts w:ascii="Times New Roman" w:hAnsi="Times New Roman" w:eastAsia="宋体"/>
          <w:color w:val="auto"/>
          <w:highlight w:val="none"/>
        </w:rPr>
        <w:t>——压力拱高度，m；从隧道起拱点位置起算，矩形隧道为拱顶位置，弧形顶隧道为拱脚位置。</w:t>
      </w:r>
    </w:p>
    <w:p>
      <w:pPr>
        <w:spacing w:line="360" w:lineRule="auto"/>
        <w:ind w:firstLine="630" w:firstLineChars="300"/>
        <w:rPr>
          <w:rFonts w:ascii="Times New Roman" w:hAnsi="Times New Roman" w:eastAsia="宋体"/>
          <w:color w:val="auto"/>
          <w:highlight w:val="none"/>
        </w:rPr>
      </w:pPr>
      <w:r>
        <w:rPr>
          <w:rFonts w:ascii="Times New Roman" w:hAnsi="Times New Roman" w:eastAsia="宋体"/>
          <w:i/>
          <w:iCs/>
          <w:color w:val="auto"/>
          <w:highlight w:val="none"/>
        </w:rPr>
        <w:t>S</w:t>
      </w:r>
      <w:r>
        <w:rPr>
          <w:rFonts w:ascii="Times New Roman" w:hAnsi="Times New Roman" w:eastAsia="宋体"/>
          <w:color w:val="auto"/>
          <w:highlight w:val="none"/>
        </w:rPr>
        <w:t>——围岩级别；</w:t>
      </w:r>
    </w:p>
    <w:p>
      <w:pPr>
        <w:spacing w:line="360" w:lineRule="auto"/>
        <w:ind w:firstLine="630" w:firstLineChars="300"/>
        <w:rPr>
          <w:rFonts w:ascii="Times New Roman" w:hAnsi="Times New Roman" w:eastAsia="宋体"/>
          <w:color w:val="auto"/>
          <w:highlight w:val="none"/>
        </w:rPr>
      </w:pPr>
      <w:r>
        <w:rPr>
          <w:rFonts w:ascii="Times New Roman" w:hAnsi="Times New Roman" w:eastAsia="宋体"/>
          <w:i/>
          <w:iCs/>
          <w:color w:val="auto"/>
          <w:highlight w:val="none"/>
        </w:rPr>
        <w:t>ω</w:t>
      </w:r>
      <w:r>
        <w:rPr>
          <w:rFonts w:ascii="Times New Roman" w:hAnsi="Times New Roman" w:eastAsia="宋体"/>
          <w:color w:val="auto"/>
          <w:highlight w:val="none"/>
        </w:rPr>
        <w:t>——宽度影响系数；</w:t>
      </w:r>
    </w:p>
    <w:p>
      <w:pPr>
        <w:spacing w:line="360" w:lineRule="auto"/>
        <w:ind w:firstLine="630" w:firstLineChars="300"/>
        <w:rPr>
          <w:rFonts w:ascii="Times New Roman" w:hAnsi="Times New Roman" w:eastAsia="宋体"/>
          <w:color w:val="auto"/>
          <w:highlight w:val="none"/>
        </w:rPr>
      </w:pPr>
      <w:r>
        <w:rPr>
          <w:rFonts w:ascii="Times New Roman" w:hAnsi="Times New Roman" w:eastAsia="宋体"/>
          <w:i/>
          <w:iCs/>
          <w:color w:val="auto"/>
          <w:highlight w:val="none"/>
        </w:rPr>
        <w:t>B</w:t>
      </w:r>
      <w:r>
        <w:rPr>
          <w:rFonts w:ascii="Times New Roman" w:hAnsi="Times New Roman" w:eastAsia="宋体"/>
          <w:color w:val="auto"/>
          <w:highlight w:val="none"/>
        </w:rPr>
        <w:t>——隧道跨度，m；</w:t>
      </w:r>
    </w:p>
    <w:p>
      <w:pPr>
        <w:spacing w:line="360" w:lineRule="auto"/>
        <w:ind w:firstLine="630" w:firstLineChars="300"/>
        <w:rPr>
          <w:rFonts w:ascii="Times New Roman" w:hAnsi="Times New Roman" w:eastAsia="宋体"/>
          <w:color w:val="auto"/>
          <w:highlight w:val="none"/>
        </w:rPr>
      </w:pPr>
      <w:r>
        <w:rPr>
          <w:rFonts w:ascii="Times New Roman" w:hAnsi="Times New Roman" w:eastAsia="宋体"/>
          <w:i/>
          <w:iCs/>
          <w:color w:val="auto"/>
          <w:highlight w:val="none"/>
        </w:rPr>
        <w:t>i</w:t>
      </w:r>
      <w:r>
        <w:rPr>
          <w:rFonts w:ascii="Times New Roman" w:hAnsi="Times New Roman" w:eastAsia="宋体"/>
          <w:color w:val="auto"/>
          <w:highlight w:val="none"/>
        </w:rPr>
        <w:t>——围岩压力增减率。</w:t>
      </w:r>
      <w:r>
        <w:rPr>
          <w:rFonts w:ascii="Times New Roman" w:hAnsi="Times New Roman" w:eastAsia="宋体"/>
          <w:i/>
          <w:iCs/>
          <w:color w:val="auto"/>
          <w:highlight w:val="none"/>
        </w:rPr>
        <w:t>B</w:t>
      </w:r>
      <w:r>
        <w:rPr>
          <w:rFonts w:ascii="Times New Roman" w:hAnsi="Times New Roman" w:eastAsia="宋体"/>
          <w:color w:val="auto"/>
          <w:highlight w:val="none"/>
        </w:rPr>
        <w:t>&lt;5m时，</w:t>
      </w:r>
      <w:r>
        <w:rPr>
          <w:rFonts w:ascii="Times New Roman" w:hAnsi="Times New Roman" w:eastAsia="宋体"/>
          <w:i/>
          <w:iCs/>
          <w:color w:val="auto"/>
          <w:highlight w:val="none"/>
        </w:rPr>
        <w:t>i</w:t>
      </w:r>
      <w:r>
        <w:rPr>
          <w:rFonts w:ascii="Times New Roman" w:hAnsi="Times New Roman" w:eastAsia="宋体"/>
          <w:color w:val="auto"/>
          <w:highlight w:val="none"/>
        </w:rPr>
        <w:t>=0.2；</w:t>
      </w:r>
      <w:r>
        <w:rPr>
          <w:rFonts w:ascii="Times New Roman" w:hAnsi="Times New Roman" w:eastAsia="宋体"/>
          <w:i/>
          <w:iCs/>
          <w:color w:val="auto"/>
          <w:highlight w:val="none"/>
        </w:rPr>
        <w:t>B</w:t>
      </w:r>
      <w:r>
        <w:rPr>
          <w:rFonts w:hint="eastAsia" w:ascii="宋体" w:hAnsi="宋体" w:eastAsia="宋体" w:cs="宋体"/>
          <w:color w:val="auto"/>
          <w:highlight w:val="none"/>
        </w:rPr>
        <w:t>≥</w:t>
      </w:r>
      <w:r>
        <w:rPr>
          <w:rFonts w:ascii="Times New Roman" w:hAnsi="Times New Roman" w:eastAsia="宋体"/>
          <w:color w:val="auto"/>
          <w:highlight w:val="none"/>
        </w:rPr>
        <w:t>5m时，</w:t>
      </w:r>
      <w:r>
        <w:rPr>
          <w:rFonts w:ascii="Times New Roman" w:hAnsi="Times New Roman" w:eastAsia="宋体"/>
          <w:i/>
          <w:iCs/>
          <w:color w:val="auto"/>
          <w:highlight w:val="none"/>
        </w:rPr>
        <w:t>i</w:t>
      </w:r>
      <w:r>
        <w:rPr>
          <w:rFonts w:ascii="Times New Roman" w:hAnsi="Times New Roman" w:eastAsia="宋体"/>
          <w:color w:val="auto"/>
          <w:highlight w:val="none"/>
        </w:rPr>
        <w:t>=0.1。</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例如：某隧道跨度10m，Ⅳ</w:t>
      </w:r>
      <w:r>
        <w:rPr>
          <w:rFonts w:hint="eastAsia" w:ascii="宋体" w:hAnsi="宋体" w:eastAsia="宋体" w:cs="宋体"/>
          <w:color w:val="auto"/>
          <w:highlight w:val="none"/>
          <w:lang w:val="en-US" w:eastAsia="zh-CN"/>
        </w:rPr>
        <w:t>级</w:t>
      </w:r>
      <w:r>
        <w:rPr>
          <w:rFonts w:ascii="Times New Roman" w:hAnsi="Times New Roman" w:eastAsia="宋体"/>
          <w:color w:val="auto"/>
          <w:highlight w:val="none"/>
        </w:rPr>
        <w:t>围岩。可以算得：</w:t>
      </w:r>
      <w:r>
        <w:rPr>
          <w:rFonts w:ascii="Times New Roman" w:hAnsi="Times New Roman" w:eastAsia="宋体"/>
          <w:i/>
          <w:iCs/>
          <w:color w:val="auto"/>
          <w:highlight w:val="none"/>
        </w:rPr>
        <w:t>ω</w:t>
      </w:r>
      <w:r>
        <w:rPr>
          <w:rFonts w:ascii="Times New Roman" w:hAnsi="Times New Roman" w:eastAsia="宋体"/>
          <w:color w:val="auto"/>
          <w:highlight w:val="none"/>
        </w:rPr>
        <w:t>=1.5，</w:t>
      </w:r>
      <w:r>
        <w:rPr>
          <w:rFonts w:ascii="Times New Roman" w:hAnsi="Times New Roman" w:eastAsia="宋体"/>
          <w:i/>
          <w:iCs/>
          <w:color w:val="auto"/>
          <w:highlight w:val="none"/>
        </w:rPr>
        <w:t>h</w:t>
      </w:r>
      <w:r>
        <w:rPr>
          <w:rFonts w:ascii="Times New Roman" w:hAnsi="Times New Roman" w:eastAsia="宋体"/>
          <w:color w:val="auto"/>
          <w:highlight w:val="none"/>
        </w:rPr>
        <w:t>=5.4m</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2.5倍压力拱高度为13.5m</w:t>
      </w:r>
      <w:r>
        <w:rPr>
          <w:rFonts w:ascii="Times New Roman" w:hAnsi="Times New Roman" w:eastAsia="宋体"/>
          <w:color w:val="auto"/>
          <w:highlight w:val="none"/>
        </w:rPr>
        <w:t>。因此，当埋深</w:t>
      </w:r>
      <w:r>
        <w:rPr>
          <w:rFonts w:hint="eastAsia" w:ascii="宋体" w:hAnsi="宋体" w:eastAsia="宋体" w:cs="宋体"/>
          <w:color w:val="auto"/>
          <w:highlight w:val="none"/>
        </w:rPr>
        <w:t>≤</w:t>
      </w:r>
      <w:r>
        <w:rPr>
          <w:rFonts w:ascii="Times New Roman" w:hAnsi="Times New Roman" w:eastAsia="宋体"/>
          <w:color w:val="auto"/>
          <w:highlight w:val="none"/>
        </w:rPr>
        <w:t>13.5m时其为浅埋隧道，埋深&gt;13.5m时其为深埋隧道。</w:t>
      </w:r>
    </w:p>
    <w:p>
      <w:pPr>
        <w:spacing w:line="360" w:lineRule="auto"/>
        <w:ind w:firstLine="420" w:firstLineChars="20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而当围岩为</w:t>
      </w:r>
      <w:r>
        <w:rPr>
          <w:rFonts w:hint="eastAsia" w:ascii="宋体" w:hAnsi="宋体" w:eastAsia="宋体" w:cs="宋体"/>
          <w:color w:val="auto"/>
          <w:highlight w:val="none"/>
          <w:lang w:val="en-US" w:eastAsia="zh-CN"/>
        </w:rPr>
        <w:t>Ⅲ级围岩时，</w:t>
      </w:r>
      <w:r>
        <w:rPr>
          <w:rFonts w:ascii="Times New Roman" w:hAnsi="Times New Roman" w:eastAsia="宋体"/>
          <w:i/>
          <w:iCs/>
          <w:color w:val="auto"/>
          <w:highlight w:val="none"/>
        </w:rPr>
        <w:t>h</w:t>
      </w:r>
      <w:r>
        <w:rPr>
          <w:rFonts w:ascii="Times New Roman" w:hAnsi="Times New Roman" w:eastAsia="宋体"/>
          <w:color w:val="auto"/>
          <w:highlight w:val="none"/>
        </w:rPr>
        <w:t>=</w:t>
      </w:r>
      <w:r>
        <w:rPr>
          <w:rFonts w:hint="eastAsia" w:ascii="Times New Roman" w:hAnsi="Times New Roman" w:eastAsia="宋体"/>
          <w:color w:val="auto"/>
          <w:highlight w:val="none"/>
          <w:lang w:val="en-US" w:eastAsia="zh-CN"/>
        </w:rPr>
        <w:t>2.7</w:t>
      </w:r>
      <w:r>
        <w:rPr>
          <w:rFonts w:ascii="Times New Roman" w:hAnsi="Times New Roman" w:eastAsia="宋体"/>
          <w:color w:val="auto"/>
          <w:highlight w:val="none"/>
        </w:rPr>
        <w:t>m</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2.0倍压力拱高度为5.4m</w:t>
      </w:r>
      <w:r>
        <w:rPr>
          <w:rFonts w:ascii="Times New Roman" w:hAnsi="Times New Roman" w:eastAsia="宋体"/>
          <w:color w:val="auto"/>
          <w:highlight w:val="none"/>
        </w:rPr>
        <w:t>。因此，当埋深</w:t>
      </w:r>
      <w:r>
        <w:rPr>
          <w:rFonts w:hint="eastAsia" w:ascii="宋体" w:hAnsi="宋体" w:eastAsia="宋体" w:cs="宋体"/>
          <w:color w:val="auto"/>
          <w:highlight w:val="none"/>
        </w:rPr>
        <w:t>≤</w:t>
      </w:r>
      <w:r>
        <w:rPr>
          <w:rFonts w:hint="eastAsia" w:ascii="Times New Roman" w:hAnsi="Times New Roman" w:eastAsia="宋体"/>
          <w:color w:val="auto"/>
          <w:highlight w:val="none"/>
          <w:lang w:val="en-US" w:eastAsia="zh-CN"/>
        </w:rPr>
        <w:t>5.4</w:t>
      </w:r>
      <w:r>
        <w:rPr>
          <w:rFonts w:ascii="Times New Roman" w:hAnsi="Times New Roman" w:eastAsia="宋体"/>
          <w:color w:val="auto"/>
          <w:highlight w:val="none"/>
        </w:rPr>
        <w:t>m时其为浅埋隧道，埋深&gt;</w:t>
      </w:r>
      <w:r>
        <w:rPr>
          <w:rFonts w:hint="eastAsia" w:ascii="Times New Roman" w:hAnsi="Times New Roman" w:eastAsia="宋体"/>
          <w:color w:val="auto"/>
          <w:highlight w:val="none"/>
          <w:lang w:val="en-US" w:eastAsia="zh-CN"/>
        </w:rPr>
        <w:t>5.4</w:t>
      </w:r>
      <w:r>
        <w:rPr>
          <w:rFonts w:ascii="Times New Roman" w:hAnsi="Times New Roman" w:eastAsia="宋体"/>
          <w:color w:val="auto"/>
          <w:highlight w:val="none"/>
        </w:rPr>
        <w:t>m时其为深埋隧道。</w:t>
      </w:r>
    </w:p>
    <w:p>
      <w:pPr>
        <w:autoSpaceDE w:val="0"/>
        <w:autoSpaceDN w:val="0"/>
        <w:adjustRightInd w:val="0"/>
        <w:spacing w:line="360" w:lineRule="auto"/>
        <w:jc w:val="left"/>
        <w:rPr>
          <w:rFonts w:hint="default" w:ascii="Times New Roman" w:hAnsi="Times New Roman" w:eastAsia="宋体"/>
          <w:b w:val="0"/>
          <w:bCs w:val="0"/>
          <w:color w:val="auto"/>
          <w:highlight w:val="none"/>
          <w:lang w:val="en-US" w:eastAsia="zh-CN"/>
        </w:rPr>
      </w:pPr>
      <w:r>
        <w:rPr>
          <w:rFonts w:ascii="Times New Roman" w:hAnsi="Times New Roman" w:eastAsia="宋体"/>
          <w:b/>
          <w:bCs/>
          <w:color w:val="auto"/>
          <w:highlight w:val="none"/>
        </w:rPr>
        <w:t>7.1.</w:t>
      </w:r>
      <w:r>
        <w:rPr>
          <w:rFonts w:hint="eastAsia" w:ascii="Times New Roman" w:hAnsi="Times New Roman" w:eastAsia="宋体"/>
          <w:b/>
          <w:bCs/>
          <w:color w:val="auto"/>
          <w:highlight w:val="none"/>
          <w:lang w:val="en-US" w:eastAsia="zh-CN"/>
        </w:rPr>
        <w:t>4</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hint="eastAsia" w:ascii="Times New Roman" w:hAnsi="Times New Roman" w:eastAsia="宋体"/>
          <w:b w:val="0"/>
          <w:bCs w:val="0"/>
          <w:color w:val="auto"/>
          <w:highlight w:val="none"/>
          <w:lang w:val="en-US" w:eastAsia="zh-CN"/>
        </w:rPr>
        <w:t>对本条各款说明如下：</w:t>
      </w:r>
    </w:p>
    <w:p>
      <w:pPr>
        <w:autoSpaceDE w:val="0"/>
        <w:autoSpaceDN w:val="0"/>
        <w:adjustRightInd w:val="0"/>
        <w:spacing w:line="360" w:lineRule="auto"/>
        <w:ind w:firstLine="422" w:firstLineChars="200"/>
        <w:jc w:val="left"/>
        <w:rPr>
          <w:rFonts w:ascii="Times New Roman" w:hAnsi="Times New Roman" w:eastAsia="宋体"/>
          <w:color w:val="auto"/>
          <w:highlight w:val="none"/>
        </w:rPr>
      </w:pPr>
      <w:r>
        <w:rPr>
          <w:rFonts w:hint="eastAsia" w:ascii="Times New Roman" w:hAnsi="Times New Roman" w:eastAsia="宋体"/>
          <w:b/>
          <w:bCs/>
          <w:color w:val="auto"/>
          <w:highlight w:val="none"/>
          <w:lang w:val="en-US" w:eastAsia="zh-CN"/>
        </w:rPr>
        <w:t>1</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ascii="Times New Roman" w:hAnsi="Times New Roman" w:eastAsia="宋体"/>
          <w:color w:val="auto"/>
          <w:highlight w:val="none"/>
        </w:rPr>
        <w:t>《建筑边坡工程技术规范》GB 50330-2013规定，</w:t>
      </w:r>
      <w:r>
        <w:rPr>
          <w:rFonts w:hint="eastAsia" w:ascii="宋体" w:hAnsi="宋体" w:eastAsia="宋体" w:cs="宋体"/>
          <w:color w:val="auto"/>
          <w:highlight w:val="none"/>
        </w:rPr>
        <w:t>“</w:t>
      </w:r>
      <w:r>
        <w:rPr>
          <w:rFonts w:ascii="Times New Roman" w:hAnsi="Times New Roman" w:eastAsia="宋体"/>
          <w:color w:val="auto"/>
          <w:highlight w:val="none"/>
        </w:rPr>
        <w:t>边坡工程勘探范围应包括坡面区域和坡面外围一定的区</w:t>
      </w:r>
      <w:r>
        <w:rPr>
          <w:rFonts w:hint="eastAsia" w:ascii="宋体" w:hAnsi="宋体" w:eastAsia="宋体" w:cs="宋体"/>
          <w:color w:val="auto"/>
          <w:highlight w:val="none"/>
        </w:rPr>
        <w:t>域”，</w:t>
      </w:r>
      <w:r>
        <w:rPr>
          <w:rFonts w:hint="eastAsia" w:ascii="Times New Roman" w:hAnsi="Times New Roman" w:eastAsia="宋体"/>
          <w:color w:val="auto"/>
          <w:highlight w:val="none"/>
          <w:lang w:val="en-US" w:eastAsia="zh-CN"/>
        </w:rPr>
        <w:t>故</w:t>
      </w:r>
      <w:r>
        <w:rPr>
          <w:rFonts w:ascii="Times New Roman" w:hAnsi="Times New Roman" w:eastAsia="宋体"/>
          <w:color w:val="auto"/>
          <w:highlight w:val="none"/>
        </w:rPr>
        <w:t>此处规定</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沉管法隧道</w:t>
      </w:r>
      <w:r>
        <w:rPr>
          <w:rFonts w:hint="eastAsia" w:ascii="Times New Roman" w:hAnsi="Times New Roman" w:eastAsia="宋体"/>
          <w:color w:val="auto"/>
          <w:highlight w:val="none"/>
          <w:lang w:val="en-US" w:eastAsia="zh-CN"/>
        </w:rPr>
        <w:t>工程地质横断面长度宜延伸至两侧坡顶线外</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《建筑基坑支护技术规程》JGJ 120-2012的规定，</w:t>
      </w:r>
      <w:r>
        <w:rPr>
          <w:rFonts w:hint="eastAsia" w:ascii="宋体" w:hAnsi="宋体" w:eastAsia="宋体" w:cs="宋体"/>
          <w:color w:val="auto"/>
          <w:highlight w:val="none"/>
        </w:rPr>
        <w:t>“基</w:t>
      </w:r>
      <w:r>
        <w:rPr>
          <w:rFonts w:ascii="Times New Roman" w:hAnsi="Times New Roman" w:eastAsia="宋体"/>
          <w:color w:val="auto"/>
          <w:highlight w:val="none"/>
        </w:rPr>
        <w:t>坑外宜布置勘探点，其范围不宜小于基坑深度的1倍</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故此处规定，</w:t>
      </w:r>
      <w:r>
        <w:rPr>
          <w:rFonts w:hint="eastAsia" w:ascii="Times New Roman" w:hAnsi="Times New Roman" w:eastAsia="宋体"/>
          <w:color w:val="auto"/>
          <w:highlight w:val="none"/>
          <w:lang w:val="en-US" w:eastAsia="zh-CN"/>
        </w:rPr>
        <w:t>明挖</w:t>
      </w:r>
      <w:r>
        <w:rPr>
          <w:rFonts w:ascii="Times New Roman" w:hAnsi="Times New Roman" w:eastAsia="宋体"/>
          <w:color w:val="auto"/>
          <w:highlight w:val="none"/>
        </w:rPr>
        <w:t>法</w:t>
      </w:r>
      <w:r>
        <w:rPr>
          <w:rFonts w:hint="eastAsia" w:ascii="Times New Roman" w:hAnsi="Times New Roman" w:eastAsia="宋体"/>
          <w:color w:val="auto"/>
          <w:highlight w:val="none"/>
          <w:lang w:val="en-US" w:eastAsia="zh-CN"/>
        </w:rPr>
        <w:t>隧道可根据需要在开挖边线外1～2倍的开挖深度范围布置勘探点</w:t>
      </w:r>
      <w:r>
        <w:rPr>
          <w:rFonts w:ascii="Times New Roman" w:hAnsi="Times New Roman" w:eastAsia="宋体"/>
          <w:color w:val="auto"/>
          <w:highlight w:val="none"/>
        </w:rPr>
        <w:t>。</w:t>
      </w:r>
    </w:p>
    <w:p>
      <w:pPr>
        <w:autoSpaceDE w:val="0"/>
        <w:autoSpaceDN w:val="0"/>
        <w:adjustRightInd w:val="0"/>
        <w:spacing w:line="360" w:lineRule="auto"/>
        <w:ind w:firstLine="422" w:firstLineChars="200"/>
        <w:jc w:val="left"/>
        <w:rPr>
          <w:rFonts w:hint="default"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 xml:space="preserve">2 </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沉管法隧道和明挖法隧道都有底板结构，其对不均匀沉降较为敏感</w:t>
      </w:r>
      <w:r>
        <w:rPr>
          <w:rFonts w:ascii="Times New Roman" w:hAnsi="Times New Roman" w:eastAsia="宋体"/>
          <w:color w:val="auto"/>
          <w:highlight w:val="none"/>
        </w:rPr>
        <w:t>。</w:t>
      </w:r>
      <w:r>
        <w:rPr>
          <w:rFonts w:hint="eastAsia" w:ascii="Times New Roman" w:hAnsi="Times New Roman" w:eastAsia="宋体"/>
          <w:color w:val="auto"/>
          <w:highlight w:val="none"/>
          <w:lang w:val="en-US" w:eastAsia="zh-CN"/>
        </w:rPr>
        <w:t>因此，当隧道基槽的宽度较大时，宜在中线布置一排勘探孔，查明地层的横向变化。对于沉管法隧道，基槽中线上的勘探点可布置在前述的工程地质横断面上。</w:t>
      </w:r>
    </w:p>
    <w:p>
      <w:pPr>
        <w:autoSpaceDE w:val="0"/>
        <w:autoSpaceDN w:val="0"/>
        <w:adjustRightInd w:val="0"/>
        <w:spacing w:line="360" w:lineRule="auto"/>
        <w:ind w:firstLine="422" w:firstLineChars="200"/>
        <w:jc w:val="left"/>
        <w:rPr>
          <w:rFonts w:hint="eastAsia" w:ascii="Times New Roman" w:hAnsi="Times New Roman" w:eastAsia="宋体"/>
          <w:b w:val="0"/>
          <w:bCs w:val="0"/>
          <w:color w:val="auto"/>
          <w:highlight w:val="none"/>
          <w:lang w:val="en-US" w:eastAsia="zh-CN"/>
        </w:rPr>
      </w:pPr>
      <w:r>
        <w:rPr>
          <w:rFonts w:hint="eastAsia" w:ascii="Times New Roman" w:hAnsi="Times New Roman" w:eastAsia="宋体"/>
          <w:b/>
          <w:bCs/>
          <w:color w:val="auto"/>
          <w:highlight w:val="none"/>
          <w:lang w:val="en-US" w:eastAsia="zh-CN"/>
        </w:rPr>
        <w:t xml:space="preserve">3 </w:t>
      </w:r>
      <w:r>
        <w:rPr>
          <w:rFonts w:hint="eastAsia"/>
          <w:b/>
          <w:bCs/>
          <w:color w:val="auto"/>
          <w:highlight w:val="none"/>
          <w:lang w:val="en-US" w:eastAsia="zh-CN"/>
        </w:rPr>
        <w:t xml:space="preserve"> </w:t>
      </w:r>
      <w:r>
        <w:rPr>
          <w:rFonts w:hint="eastAsia" w:ascii="Times New Roman" w:hAnsi="Times New Roman" w:eastAsia="宋体"/>
          <w:b w:val="0"/>
          <w:bCs w:val="0"/>
          <w:color w:val="auto"/>
          <w:highlight w:val="none"/>
          <w:lang w:val="en-US" w:eastAsia="zh-CN"/>
        </w:rPr>
        <w:t>对暗挖法隧道，即便进行了封孔处理，勘探孔仍可能形成地下水运移通道，对隧道施工安全造成威胁，严重的可能导致隧道突涌事故。因此在勘探中，一般要求其离开隧道洞壁一定距离，以策安全。总体而言，在间距的要求上，水下隧道高过陆域隧道；而陆域隧道中，山岭隧道又应当高过平原隧道。这是因三者存在表7-2所示的差别而决定的。</w:t>
      </w:r>
    </w:p>
    <w:p>
      <w:pPr>
        <w:spacing w:line="360" w:lineRule="auto"/>
        <w:ind w:firstLine="422" w:firstLineChars="200"/>
        <w:jc w:val="center"/>
        <w:rPr>
          <w:rFonts w:hint="default" w:ascii="Times New Roman" w:hAnsi="Times New Roman" w:eastAsia="宋体"/>
          <w:b/>
          <w:bCs/>
          <w:color w:val="auto"/>
          <w:highlight w:val="none"/>
          <w:lang w:val="en-US" w:eastAsia="zh-CN"/>
        </w:rPr>
      </w:pPr>
      <w:r>
        <w:rPr>
          <w:rFonts w:ascii="Times New Roman" w:hAnsi="Times New Roman" w:eastAsia="宋体"/>
          <w:b/>
          <w:bCs/>
          <w:color w:val="auto"/>
          <w:highlight w:val="none"/>
        </w:rPr>
        <w:t>表7-</w:t>
      </w:r>
      <w:r>
        <w:rPr>
          <w:rFonts w:hint="eastAsia" w:ascii="Times New Roman" w:hAnsi="Times New Roman" w:eastAsia="宋体"/>
          <w:b/>
          <w:bCs/>
          <w:color w:val="auto"/>
          <w:highlight w:val="none"/>
          <w:lang w:val="en-US" w:eastAsia="zh-CN"/>
        </w:rPr>
        <w:t>2</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ascii="Times New Roman" w:hAnsi="Times New Roman" w:eastAsia="宋体"/>
          <w:b/>
          <w:bCs/>
          <w:color w:val="auto"/>
          <w:highlight w:val="none"/>
        </w:rPr>
        <w:t>各类</w:t>
      </w:r>
      <w:r>
        <w:rPr>
          <w:rFonts w:hint="eastAsia" w:ascii="Times New Roman" w:hAnsi="Times New Roman" w:eastAsia="宋体"/>
          <w:b/>
          <w:bCs/>
          <w:color w:val="auto"/>
          <w:highlight w:val="none"/>
          <w:lang w:val="en-US" w:eastAsia="zh-CN"/>
        </w:rPr>
        <w:t>暗挖法</w:t>
      </w:r>
      <w:r>
        <w:rPr>
          <w:rFonts w:ascii="Times New Roman" w:hAnsi="Times New Roman" w:eastAsia="宋体"/>
          <w:b/>
          <w:bCs/>
          <w:color w:val="auto"/>
          <w:highlight w:val="none"/>
        </w:rPr>
        <w:t>隧道</w:t>
      </w:r>
      <w:r>
        <w:rPr>
          <w:rFonts w:hint="eastAsia" w:ascii="Times New Roman" w:hAnsi="Times New Roman" w:eastAsia="宋体"/>
          <w:b/>
          <w:bCs/>
          <w:color w:val="auto"/>
          <w:highlight w:val="none"/>
          <w:lang w:val="en-US" w:eastAsia="zh-CN"/>
        </w:rPr>
        <w:t>钻孔的差别</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4"/>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auto" w:sz="12" w:space="0"/>
              <w:left w:val="single" w:color="auto" w:sz="12" w:space="0"/>
            </w:tcBorders>
          </w:tcPr>
          <w:p>
            <w:pPr>
              <w:jc w:val="center"/>
              <w:rPr>
                <w:rFonts w:hint="default" w:ascii="Times New Roman" w:hAnsi="Times New Roman" w:eastAsia="宋体"/>
                <w:color w:val="auto"/>
                <w:kern w:val="0"/>
                <w:sz w:val="20"/>
                <w:szCs w:val="20"/>
                <w:highlight w:val="none"/>
                <w:lang w:val="en-US" w:eastAsia="zh-CN"/>
              </w:rPr>
            </w:pPr>
            <w:r>
              <w:rPr>
                <w:rFonts w:hint="eastAsia" w:ascii="Times New Roman" w:hAnsi="Times New Roman" w:eastAsia="宋体"/>
                <w:color w:val="auto"/>
                <w:kern w:val="0"/>
                <w:sz w:val="20"/>
                <w:szCs w:val="20"/>
                <w:highlight w:val="none"/>
                <w:lang w:val="en-US" w:eastAsia="zh-CN"/>
              </w:rPr>
              <w:t>隧道类型</w:t>
            </w:r>
          </w:p>
        </w:tc>
        <w:tc>
          <w:tcPr>
            <w:tcW w:w="1704" w:type="dxa"/>
            <w:tcBorders>
              <w:top w:val="single" w:color="auto" w:sz="12" w:space="0"/>
            </w:tcBorders>
          </w:tcPr>
          <w:p>
            <w:pPr>
              <w:jc w:val="center"/>
              <w:rPr>
                <w:rFonts w:hint="default" w:ascii="Times New Roman" w:hAnsi="Times New Roman" w:eastAsia="宋体"/>
                <w:color w:val="auto"/>
                <w:kern w:val="0"/>
                <w:sz w:val="20"/>
                <w:szCs w:val="20"/>
                <w:highlight w:val="none"/>
                <w:lang w:val="en-US" w:eastAsia="zh-CN"/>
              </w:rPr>
            </w:pPr>
            <w:r>
              <w:rPr>
                <w:rFonts w:hint="eastAsia" w:ascii="Times New Roman" w:hAnsi="Times New Roman" w:eastAsia="宋体"/>
                <w:color w:val="auto"/>
                <w:kern w:val="0"/>
                <w:sz w:val="20"/>
                <w:szCs w:val="20"/>
                <w:highlight w:val="none"/>
                <w:lang w:val="en-US" w:eastAsia="zh-CN"/>
              </w:rPr>
              <w:t>地下水突涌风险</w:t>
            </w:r>
          </w:p>
        </w:tc>
        <w:tc>
          <w:tcPr>
            <w:tcW w:w="1704" w:type="dxa"/>
            <w:tcBorders>
              <w:top w:val="single" w:color="auto" w:sz="12" w:space="0"/>
            </w:tcBorders>
          </w:tcPr>
          <w:p>
            <w:pPr>
              <w:jc w:val="center"/>
              <w:rPr>
                <w:rFonts w:hint="default" w:ascii="Times New Roman" w:hAnsi="Times New Roman" w:eastAsia="宋体"/>
                <w:color w:val="auto"/>
                <w:kern w:val="0"/>
                <w:sz w:val="20"/>
                <w:szCs w:val="20"/>
                <w:highlight w:val="none"/>
                <w:lang w:val="en-US" w:eastAsia="zh-CN"/>
              </w:rPr>
            </w:pPr>
            <w:r>
              <w:rPr>
                <w:rFonts w:hint="eastAsia" w:ascii="Times New Roman" w:hAnsi="Times New Roman" w:eastAsia="宋体"/>
                <w:color w:val="auto"/>
                <w:kern w:val="0"/>
                <w:sz w:val="20"/>
                <w:szCs w:val="20"/>
                <w:highlight w:val="none"/>
                <w:lang w:val="en-US" w:eastAsia="zh-CN"/>
              </w:rPr>
              <w:t>钻孔定位难度</w:t>
            </w:r>
          </w:p>
        </w:tc>
        <w:tc>
          <w:tcPr>
            <w:tcW w:w="1704" w:type="dxa"/>
            <w:tcBorders>
              <w:top w:val="single" w:color="auto" w:sz="12" w:space="0"/>
            </w:tcBorders>
          </w:tcPr>
          <w:p>
            <w:pPr>
              <w:jc w:val="center"/>
              <w:rPr>
                <w:rFonts w:hint="default" w:ascii="Times New Roman" w:hAnsi="Times New Roman" w:eastAsia="宋体"/>
                <w:color w:val="auto"/>
                <w:kern w:val="0"/>
                <w:sz w:val="20"/>
                <w:szCs w:val="20"/>
                <w:highlight w:val="none"/>
                <w:lang w:val="en-US" w:eastAsia="zh-CN"/>
              </w:rPr>
            </w:pPr>
            <w:r>
              <w:rPr>
                <w:rFonts w:hint="eastAsia" w:ascii="Times New Roman" w:hAnsi="Times New Roman" w:eastAsia="宋体"/>
                <w:color w:val="auto"/>
                <w:kern w:val="0"/>
                <w:sz w:val="20"/>
                <w:szCs w:val="20"/>
                <w:highlight w:val="none"/>
                <w:lang w:val="en-US" w:eastAsia="zh-CN"/>
              </w:rPr>
              <w:t>隧道埋深</w:t>
            </w:r>
          </w:p>
        </w:tc>
        <w:tc>
          <w:tcPr>
            <w:tcW w:w="1706" w:type="dxa"/>
            <w:tcBorders>
              <w:top w:val="single" w:color="auto" w:sz="12" w:space="0"/>
              <w:right w:val="single" w:color="auto" w:sz="12" w:space="0"/>
            </w:tcBorders>
          </w:tcPr>
          <w:p>
            <w:pPr>
              <w:jc w:val="center"/>
              <w:rPr>
                <w:rFonts w:hint="default" w:ascii="Times New Roman" w:hAnsi="Times New Roman" w:eastAsia="宋体"/>
                <w:color w:val="auto"/>
                <w:kern w:val="0"/>
                <w:sz w:val="20"/>
                <w:szCs w:val="20"/>
                <w:highlight w:val="none"/>
                <w:lang w:val="en-US" w:eastAsia="zh-CN"/>
              </w:rPr>
            </w:pPr>
            <w:r>
              <w:rPr>
                <w:rFonts w:hint="eastAsia" w:ascii="Times New Roman" w:hAnsi="Times New Roman" w:eastAsia="宋体"/>
                <w:color w:val="auto"/>
                <w:kern w:val="0"/>
                <w:sz w:val="20"/>
                <w:szCs w:val="20"/>
                <w:highlight w:val="none"/>
                <w:lang w:val="en-US" w:eastAsia="zh-CN"/>
              </w:rPr>
              <w:t>移位所受限制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left w:val="single" w:color="auto" w:sz="12" w:space="0"/>
            </w:tcBorders>
            <w:vAlign w:val="center"/>
          </w:tcPr>
          <w:p>
            <w:pPr>
              <w:jc w:val="center"/>
              <w:rPr>
                <w:rFonts w:hint="default" w:ascii="Times New Roman" w:hAnsi="Times New Roman" w:eastAsia="宋体"/>
                <w:b w:val="0"/>
                <w:bCs w:val="0"/>
                <w:color w:val="auto"/>
                <w:highlight w:val="none"/>
                <w:vertAlign w:val="baseline"/>
                <w:lang w:val="en-US" w:eastAsia="zh-CN"/>
              </w:rPr>
            </w:pPr>
            <w:r>
              <w:rPr>
                <w:rFonts w:hint="eastAsia" w:ascii="Times New Roman" w:hAnsi="Times New Roman" w:eastAsia="宋体"/>
                <w:color w:val="auto"/>
                <w:kern w:val="0"/>
                <w:sz w:val="20"/>
                <w:szCs w:val="20"/>
                <w:highlight w:val="none"/>
                <w:lang w:val="en-US" w:eastAsia="zh-CN"/>
              </w:rPr>
              <w:t>山岭隧道</w:t>
            </w:r>
          </w:p>
        </w:tc>
        <w:tc>
          <w:tcPr>
            <w:tcW w:w="1704" w:type="dxa"/>
          </w:tcPr>
          <w:p>
            <w:pPr>
              <w:jc w:val="center"/>
              <w:rPr>
                <w:rFonts w:hint="default" w:ascii="Times New Roman" w:hAnsi="Times New Roman" w:eastAsia="宋体"/>
                <w:color w:val="auto"/>
                <w:kern w:val="0"/>
                <w:sz w:val="20"/>
                <w:szCs w:val="20"/>
                <w:highlight w:val="none"/>
                <w:lang w:val="en-US" w:eastAsia="zh-CN"/>
              </w:rPr>
            </w:pPr>
            <w:r>
              <w:rPr>
                <w:rFonts w:hint="eastAsia" w:ascii="Times New Roman" w:hAnsi="Times New Roman" w:eastAsia="宋体"/>
                <w:color w:val="auto"/>
                <w:kern w:val="0"/>
                <w:sz w:val="20"/>
                <w:szCs w:val="20"/>
                <w:highlight w:val="none"/>
                <w:lang w:val="en-US" w:eastAsia="zh-CN"/>
              </w:rPr>
              <w:t>高</w:t>
            </w:r>
          </w:p>
        </w:tc>
        <w:tc>
          <w:tcPr>
            <w:tcW w:w="1704" w:type="dxa"/>
          </w:tcPr>
          <w:p>
            <w:pPr>
              <w:jc w:val="center"/>
              <w:rPr>
                <w:rFonts w:hint="default" w:ascii="Times New Roman" w:hAnsi="Times New Roman" w:eastAsia="宋体"/>
                <w:color w:val="auto"/>
                <w:kern w:val="0"/>
                <w:sz w:val="20"/>
                <w:szCs w:val="20"/>
                <w:highlight w:val="none"/>
                <w:lang w:val="en-US" w:eastAsia="zh-CN"/>
              </w:rPr>
            </w:pPr>
            <w:r>
              <w:rPr>
                <w:rFonts w:hint="eastAsia" w:ascii="Times New Roman" w:hAnsi="Times New Roman" w:eastAsia="宋体"/>
                <w:color w:val="auto"/>
                <w:kern w:val="0"/>
                <w:sz w:val="20"/>
                <w:szCs w:val="20"/>
                <w:highlight w:val="none"/>
                <w:lang w:val="en-US" w:eastAsia="zh-CN"/>
              </w:rPr>
              <w:t>较难</w:t>
            </w:r>
          </w:p>
        </w:tc>
        <w:tc>
          <w:tcPr>
            <w:tcW w:w="1704" w:type="dxa"/>
          </w:tcPr>
          <w:p>
            <w:pPr>
              <w:jc w:val="center"/>
              <w:rPr>
                <w:rFonts w:hint="default" w:ascii="Times New Roman" w:hAnsi="Times New Roman" w:eastAsia="宋体"/>
                <w:color w:val="auto"/>
                <w:kern w:val="0"/>
                <w:sz w:val="20"/>
                <w:szCs w:val="20"/>
                <w:highlight w:val="none"/>
                <w:lang w:val="en-US" w:eastAsia="zh-CN"/>
              </w:rPr>
            </w:pPr>
            <w:r>
              <w:rPr>
                <w:rFonts w:hint="eastAsia" w:ascii="Times New Roman" w:hAnsi="Times New Roman" w:eastAsia="宋体"/>
                <w:color w:val="auto"/>
                <w:kern w:val="0"/>
                <w:sz w:val="20"/>
                <w:szCs w:val="20"/>
                <w:highlight w:val="none"/>
                <w:lang w:val="en-US" w:eastAsia="zh-CN"/>
              </w:rPr>
              <w:t>很深</w:t>
            </w:r>
          </w:p>
        </w:tc>
        <w:tc>
          <w:tcPr>
            <w:tcW w:w="1706" w:type="dxa"/>
            <w:tcBorders>
              <w:right w:val="single" w:color="auto" w:sz="12" w:space="0"/>
            </w:tcBorders>
          </w:tcPr>
          <w:p>
            <w:pPr>
              <w:jc w:val="center"/>
              <w:rPr>
                <w:rFonts w:hint="default" w:ascii="Times New Roman" w:hAnsi="Times New Roman" w:eastAsia="宋体"/>
                <w:color w:val="auto"/>
                <w:kern w:val="0"/>
                <w:sz w:val="20"/>
                <w:szCs w:val="20"/>
                <w:highlight w:val="none"/>
                <w:lang w:val="en-US" w:eastAsia="zh-CN"/>
              </w:rPr>
            </w:pPr>
            <w:r>
              <w:rPr>
                <w:rFonts w:hint="eastAsia" w:ascii="Times New Roman" w:hAnsi="Times New Roman" w:eastAsia="宋体"/>
                <w:color w:val="auto"/>
                <w:kern w:val="0"/>
                <w:sz w:val="20"/>
                <w:szCs w:val="20"/>
                <w:highlight w:val="none"/>
                <w:lang w:val="en-US" w:eastAsia="zh-CN"/>
              </w:rPr>
              <w:t>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left w:val="single" w:color="auto" w:sz="12" w:space="0"/>
            </w:tcBorders>
            <w:vAlign w:val="center"/>
          </w:tcPr>
          <w:p>
            <w:pPr>
              <w:jc w:val="center"/>
              <w:rPr>
                <w:rFonts w:hint="default" w:ascii="Times New Roman" w:hAnsi="Times New Roman" w:eastAsia="宋体"/>
                <w:b w:val="0"/>
                <w:bCs w:val="0"/>
                <w:color w:val="auto"/>
                <w:highlight w:val="none"/>
                <w:vertAlign w:val="baseline"/>
                <w:lang w:val="en-US" w:eastAsia="zh-CN"/>
              </w:rPr>
            </w:pPr>
            <w:r>
              <w:rPr>
                <w:rFonts w:hint="eastAsia" w:ascii="Times New Roman" w:hAnsi="Times New Roman" w:eastAsia="宋体"/>
                <w:color w:val="auto"/>
                <w:kern w:val="0"/>
                <w:sz w:val="20"/>
                <w:szCs w:val="20"/>
                <w:highlight w:val="none"/>
                <w:lang w:val="en-US" w:eastAsia="zh-CN"/>
              </w:rPr>
              <w:t>平原隧道</w:t>
            </w:r>
          </w:p>
        </w:tc>
        <w:tc>
          <w:tcPr>
            <w:tcW w:w="1704" w:type="dxa"/>
          </w:tcPr>
          <w:p>
            <w:pPr>
              <w:jc w:val="center"/>
              <w:rPr>
                <w:rFonts w:hint="default" w:ascii="Times New Roman" w:hAnsi="Times New Roman" w:eastAsia="宋体"/>
                <w:color w:val="auto"/>
                <w:kern w:val="0"/>
                <w:sz w:val="20"/>
                <w:szCs w:val="20"/>
                <w:highlight w:val="none"/>
                <w:lang w:val="en-US" w:eastAsia="zh-CN"/>
              </w:rPr>
            </w:pPr>
            <w:r>
              <w:rPr>
                <w:rFonts w:hint="eastAsia" w:ascii="Times New Roman" w:hAnsi="Times New Roman" w:eastAsia="宋体"/>
                <w:color w:val="auto"/>
                <w:kern w:val="0"/>
                <w:sz w:val="20"/>
                <w:szCs w:val="20"/>
                <w:highlight w:val="none"/>
                <w:lang w:val="en-US" w:eastAsia="zh-CN"/>
              </w:rPr>
              <w:t>较高</w:t>
            </w:r>
          </w:p>
        </w:tc>
        <w:tc>
          <w:tcPr>
            <w:tcW w:w="1704" w:type="dxa"/>
          </w:tcPr>
          <w:p>
            <w:pPr>
              <w:jc w:val="center"/>
              <w:rPr>
                <w:rFonts w:hint="default" w:ascii="Times New Roman" w:hAnsi="Times New Roman" w:eastAsia="宋体"/>
                <w:color w:val="auto"/>
                <w:kern w:val="0"/>
                <w:sz w:val="20"/>
                <w:szCs w:val="20"/>
                <w:highlight w:val="none"/>
                <w:lang w:val="en-US" w:eastAsia="zh-CN"/>
              </w:rPr>
            </w:pPr>
            <w:r>
              <w:rPr>
                <w:rFonts w:hint="eastAsia" w:ascii="Times New Roman" w:hAnsi="Times New Roman" w:eastAsia="宋体"/>
                <w:color w:val="auto"/>
                <w:kern w:val="0"/>
                <w:sz w:val="20"/>
                <w:szCs w:val="20"/>
                <w:highlight w:val="none"/>
                <w:lang w:val="en-US" w:eastAsia="zh-CN"/>
              </w:rPr>
              <w:t>易</w:t>
            </w:r>
          </w:p>
        </w:tc>
        <w:tc>
          <w:tcPr>
            <w:tcW w:w="1704" w:type="dxa"/>
          </w:tcPr>
          <w:p>
            <w:pPr>
              <w:jc w:val="center"/>
              <w:rPr>
                <w:rFonts w:hint="default" w:ascii="Times New Roman" w:hAnsi="Times New Roman" w:eastAsia="宋体"/>
                <w:color w:val="auto"/>
                <w:kern w:val="0"/>
                <w:sz w:val="20"/>
                <w:szCs w:val="20"/>
                <w:highlight w:val="none"/>
                <w:lang w:val="en-US" w:eastAsia="zh-CN"/>
              </w:rPr>
            </w:pPr>
            <w:r>
              <w:rPr>
                <w:rFonts w:hint="eastAsia" w:ascii="Times New Roman" w:hAnsi="Times New Roman" w:eastAsia="宋体"/>
                <w:color w:val="auto"/>
                <w:kern w:val="0"/>
                <w:sz w:val="20"/>
                <w:szCs w:val="20"/>
                <w:highlight w:val="none"/>
                <w:lang w:val="en-US" w:eastAsia="zh-CN"/>
              </w:rPr>
              <w:t>较浅~较深</w:t>
            </w:r>
          </w:p>
        </w:tc>
        <w:tc>
          <w:tcPr>
            <w:tcW w:w="1706" w:type="dxa"/>
            <w:tcBorders>
              <w:right w:val="single" w:color="auto" w:sz="12" w:space="0"/>
            </w:tcBorders>
          </w:tcPr>
          <w:p>
            <w:pPr>
              <w:jc w:val="center"/>
              <w:rPr>
                <w:rFonts w:hint="default" w:ascii="Times New Roman" w:hAnsi="Times New Roman" w:eastAsia="宋体"/>
                <w:color w:val="auto"/>
                <w:kern w:val="0"/>
                <w:sz w:val="20"/>
                <w:szCs w:val="20"/>
                <w:highlight w:val="none"/>
                <w:lang w:val="en-US" w:eastAsia="zh-CN"/>
              </w:rPr>
            </w:pPr>
            <w:r>
              <w:rPr>
                <w:rFonts w:hint="eastAsia" w:ascii="Times New Roman" w:hAnsi="Times New Roman" w:eastAsia="宋体"/>
                <w:color w:val="auto"/>
                <w:kern w:val="0"/>
                <w:sz w:val="20"/>
                <w:szCs w:val="20"/>
                <w:highlight w:val="none"/>
                <w:lang w:val="en-US" w:eastAsia="zh-CN"/>
              </w:rPr>
              <w:t>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left w:val="single" w:color="auto" w:sz="12" w:space="0"/>
              <w:bottom w:val="single" w:color="auto" w:sz="12" w:space="0"/>
            </w:tcBorders>
            <w:vAlign w:val="center"/>
          </w:tcPr>
          <w:p>
            <w:pPr>
              <w:jc w:val="center"/>
              <w:rPr>
                <w:rFonts w:hint="default" w:ascii="Times New Roman" w:hAnsi="Times New Roman" w:eastAsia="宋体"/>
                <w:b w:val="0"/>
                <w:bCs w:val="0"/>
                <w:color w:val="auto"/>
                <w:highlight w:val="none"/>
                <w:vertAlign w:val="baseline"/>
                <w:lang w:val="en-US" w:eastAsia="zh-CN"/>
              </w:rPr>
            </w:pPr>
            <w:r>
              <w:rPr>
                <w:rFonts w:hint="eastAsia" w:ascii="Times New Roman" w:hAnsi="Times New Roman" w:eastAsia="宋体"/>
                <w:color w:val="auto"/>
                <w:kern w:val="0"/>
                <w:sz w:val="20"/>
                <w:szCs w:val="20"/>
                <w:highlight w:val="none"/>
                <w:lang w:val="en-US" w:eastAsia="zh-CN"/>
              </w:rPr>
              <w:t>水下隧道</w:t>
            </w:r>
          </w:p>
        </w:tc>
        <w:tc>
          <w:tcPr>
            <w:tcW w:w="1704" w:type="dxa"/>
            <w:tcBorders>
              <w:bottom w:val="single" w:color="auto" w:sz="12" w:space="0"/>
            </w:tcBorders>
          </w:tcPr>
          <w:p>
            <w:pPr>
              <w:jc w:val="center"/>
              <w:rPr>
                <w:rFonts w:hint="default" w:ascii="Times New Roman" w:hAnsi="Times New Roman" w:eastAsia="宋体"/>
                <w:color w:val="auto"/>
                <w:kern w:val="0"/>
                <w:sz w:val="20"/>
                <w:szCs w:val="20"/>
                <w:highlight w:val="none"/>
                <w:lang w:val="en-US" w:eastAsia="zh-CN"/>
              </w:rPr>
            </w:pPr>
            <w:r>
              <w:rPr>
                <w:rFonts w:hint="eastAsia" w:ascii="Times New Roman" w:hAnsi="Times New Roman" w:eastAsia="宋体"/>
                <w:color w:val="auto"/>
                <w:kern w:val="0"/>
                <w:sz w:val="20"/>
                <w:szCs w:val="20"/>
                <w:highlight w:val="none"/>
                <w:lang w:val="en-US" w:eastAsia="zh-CN"/>
              </w:rPr>
              <w:t>很高</w:t>
            </w:r>
          </w:p>
        </w:tc>
        <w:tc>
          <w:tcPr>
            <w:tcW w:w="1704" w:type="dxa"/>
            <w:tcBorders>
              <w:bottom w:val="single" w:color="auto" w:sz="12" w:space="0"/>
            </w:tcBorders>
          </w:tcPr>
          <w:p>
            <w:pPr>
              <w:jc w:val="center"/>
              <w:rPr>
                <w:rFonts w:hint="default" w:ascii="Times New Roman" w:hAnsi="Times New Roman" w:eastAsia="宋体"/>
                <w:color w:val="auto"/>
                <w:kern w:val="0"/>
                <w:sz w:val="20"/>
                <w:szCs w:val="20"/>
                <w:highlight w:val="none"/>
                <w:lang w:val="en-US" w:eastAsia="zh-CN"/>
              </w:rPr>
            </w:pPr>
            <w:r>
              <w:rPr>
                <w:rFonts w:hint="eastAsia" w:ascii="Times New Roman" w:hAnsi="Times New Roman" w:eastAsia="宋体"/>
                <w:color w:val="auto"/>
                <w:kern w:val="0"/>
                <w:sz w:val="20"/>
                <w:szCs w:val="20"/>
                <w:highlight w:val="none"/>
                <w:lang w:val="en-US" w:eastAsia="zh-CN"/>
              </w:rPr>
              <w:t>难</w:t>
            </w:r>
          </w:p>
        </w:tc>
        <w:tc>
          <w:tcPr>
            <w:tcW w:w="1704" w:type="dxa"/>
            <w:tcBorders>
              <w:bottom w:val="single" w:color="auto" w:sz="12" w:space="0"/>
            </w:tcBorders>
          </w:tcPr>
          <w:p>
            <w:pPr>
              <w:jc w:val="center"/>
              <w:rPr>
                <w:rFonts w:hint="default" w:ascii="Times New Roman" w:hAnsi="Times New Roman" w:eastAsia="宋体"/>
                <w:color w:val="auto"/>
                <w:kern w:val="0"/>
                <w:sz w:val="20"/>
                <w:szCs w:val="20"/>
                <w:highlight w:val="none"/>
                <w:lang w:val="en-US" w:eastAsia="zh-CN"/>
              </w:rPr>
            </w:pPr>
            <w:r>
              <w:rPr>
                <w:rFonts w:hint="eastAsia" w:ascii="Times New Roman" w:hAnsi="Times New Roman" w:eastAsia="宋体"/>
                <w:color w:val="auto"/>
                <w:kern w:val="0"/>
                <w:sz w:val="20"/>
                <w:szCs w:val="20"/>
                <w:highlight w:val="none"/>
                <w:lang w:val="en-US" w:eastAsia="zh-CN"/>
              </w:rPr>
              <w:t>较深</w:t>
            </w:r>
          </w:p>
        </w:tc>
        <w:tc>
          <w:tcPr>
            <w:tcW w:w="1706" w:type="dxa"/>
            <w:tcBorders>
              <w:bottom w:val="single" w:color="auto" w:sz="12" w:space="0"/>
              <w:right w:val="single" w:color="auto" w:sz="12" w:space="0"/>
            </w:tcBorders>
          </w:tcPr>
          <w:p>
            <w:pPr>
              <w:jc w:val="center"/>
              <w:rPr>
                <w:rFonts w:hint="default" w:ascii="Times New Roman" w:hAnsi="Times New Roman" w:eastAsia="宋体"/>
                <w:color w:val="auto"/>
                <w:kern w:val="0"/>
                <w:sz w:val="20"/>
                <w:szCs w:val="20"/>
                <w:highlight w:val="none"/>
                <w:lang w:val="en-US" w:eastAsia="zh-CN"/>
              </w:rPr>
            </w:pPr>
            <w:r>
              <w:rPr>
                <w:rFonts w:hint="eastAsia" w:ascii="Times New Roman" w:hAnsi="Times New Roman" w:eastAsia="宋体"/>
                <w:color w:val="auto"/>
                <w:kern w:val="0"/>
                <w:sz w:val="20"/>
                <w:szCs w:val="20"/>
                <w:highlight w:val="none"/>
                <w:lang w:val="en-US" w:eastAsia="zh-CN"/>
              </w:rPr>
              <w:t>较少</w:t>
            </w:r>
          </w:p>
        </w:tc>
      </w:tr>
    </w:tbl>
    <w:p>
      <w:pPr>
        <w:autoSpaceDE w:val="0"/>
        <w:autoSpaceDN w:val="0"/>
        <w:adjustRightInd w:val="0"/>
        <w:spacing w:line="360" w:lineRule="auto"/>
        <w:ind w:firstLine="420" w:firstLineChars="200"/>
        <w:jc w:val="left"/>
        <w:rPr>
          <w:rFonts w:hint="default" w:ascii="Times New Roman" w:hAnsi="Times New Roman" w:eastAsia="宋体"/>
          <w:b w:val="0"/>
          <w:bCs w:val="0"/>
          <w:color w:val="auto"/>
          <w:highlight w:val="none"/>
          <w:lang w:val="en-US" w:eastAsia="zh-CN"/>
        </w:rPr>
      </w:pPr>
      <w:r>
        <w:rPr>
          <w:rFonts w:hint="eastAsia" w:ascii="Times New Roman" w:hAnsi="Times New Roman" w:eastAsia="宋体"/>
          <w:b w:val="0"/>
          <w:bCs w:val="0"/>
          <w:color w:val="auto"/>
          <w:highlight w:val="none"/>
          <w:lang w:val="en-US" w:eastAsia="zh-CN"/>
        </w:rPr>
        <w:t>以最常见的平原隧道来说，其地下水突涌风险虽存在，但相对于山岭隧道和水下隧道，无论从水压力还是水量看，风险均更小；在钻孔的定位上，参照物多，又不像水上钻孔受水流影响，最为方便也最为准确；由于埋深相对较浅，</w:t>
      </w:r>
      <w:r>
        <w:rPr>
          <w:rFonts w:ascii="Times New Roman" w:hAnsi="Times New Roman" w:eastAsia="宋体"/>
          <w:color w:val="auto"/>
          <w:highlight w:val="none"/>
        </w:rPr>
        <w:t>一般比山岭隧道小一个数量级，</w:t>
      </w:r>
      <w:r>
        <w:rPr>
          <w:rFonts w:hint="eastAsia" w:ascii="Times New Roman" w:hAnsi="Times New Roman" w:eastAsia="宋体"/>
          <w:b w:val="0"/>
          <w:bCs w:val="0"/>
          <w:color w:val="auto"/>
          <w:highlight w:val="none"/>
          <w:lang w:val="en-US" w:eastAsia="zh-CN"/>
        </w:rPr>
        <w:t>钻杆偏斜的风险也小。因此，允许钻孔布置在离洞壁稍近的位置。与此同时，平原隧道多位于人类活动相对活跃、建构筑物相对密集区域，钻孔移位所受限制多，勘探范围不宜外扩过大。</w:t>
      </w:r>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平原隧道和水下隧道容许偏离隧道洞壁的距离与行标</w:t>
      </w:r>
      <w:r>
        <w:rPr>
          <w:rFonts w:hint="default" w:ascii="Times New Roman" w:hAnsi="Times New Roman" w:eastAsia="宋体"/>
          <w:color w:val="auto"/>
          <w:highlight w:val="none"/>
          <w:lang w:val="en-US" w:eastAsia="zh-CN"/>
        </w:rPr>
        <w:t>《市政工程勘察规范》CJJ 56</w:t>
      </w:r>
      <w:r>
        <w:rPr>
          <w:rFonts w:hint="eastAsia" w:ascii="Times New Roman" w:hAnsi="Times New Roman" w:eastAsia="宋体"/>
          <w:color w:val="auto"/>
          <w:highlight w:val="none"/>
          <w:lang w:val="en-US" w:eastAsia="zh-CN"/>
        </w:rPr>
        <w:t>-2012一致；山岭隧道容许偏离隧道洞壁的距离，则考虑了前述的分析基础上，参考了</w:t>
      </w:r>
      <w:r>
        <w:rPr>
          <w:rFonts w:ascii="Times New Roman" w:hAnsi="Times New Roman" w:eastAsia="宋体"/>
          <w:color w:val="auto"/>
          <w:highlight w:val="none"/>
        </w:rPr>
        <w:t>《公路工程地质勘察规范》JTG C20-2011</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钻孔应在洞壁外侧不小于5m布置</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及《铁路工程地质勘察规范》TB 10012-2007“洞身地段的钻孔位置宜布置在中线外8~10m”的</w:t>
      </w:r>
      <w:r>
        <w:rPr>
          <w:rFonts w:ascii="Times New Roman" w:hAnsi="Times New Roman" w:eastAsia="宋体"/>
          <w:color w:val="auto"/>
          <w:highlight w:val="none"/>
        </w:rPr>
        <w:t>规定。</w:t>
      </w:r>
    </w:p>
    <w:p>
      <w:pPr>
        <w:autoSpaceDE w:val="0"/>
        <w:autoSpaceDN w:val="0"/>
        <w:adjustRightInd w:val="0"/>
        <w:spacing w:line="360" w:lineRule="auto"/>
        <w:ind w:firstLine="420" w:firstLineChars="200"/>
        <w:jc w:val="left"/>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考虑以上因素，根据洞壁间距大小不同，双洞隧道可按图7-1的方式布置勘探点。</w:t>
      </w:r>
    </w:p>
    <w:p>
      <w:pPr>
        <w:autoSpaceDE w:val="0"/>
        <w:autoSpaceDN w:val="0"/>
        <w:adjustRightInd w:val="0"/>
        <w:spacing w:line="360" w:lineRule="auto"/>
        <w:ind w:firstLine="420" w:firstLineChars="200"/>
        <w:jc w:val="left"/>
        <w:rPr>
          <w:rFonts w:hint="eastAsia" w:ascii="Times New Roman" w:hAnsi="Times New Roman" w:eastAsia="宋体"/>
          <w:color w:val="auto"/>
          <w:highlight w:val="none"/>
          <w:lang w:val="en-US" w:eastAsia="zh-CN"/>
        </w:rPr>
      </w:pPr>
      <w:r>
        <w:rPr>
          <w:color w:val="auto"/>
          <w:sz w:val="21"/>
          <w:highlight w:val="none"/>
        </w:rPr>
        <mc:AlternateContent>
          <mc:Choice Requires="wps">
            <w:drawing>
              <wp:anchor distT="0" distB="0" distL="114300" distR="114300" simplePos="0" relativeHeight="251709440" behindDoc="0" locked="0" layoutInCell="1" allowOverlap="1">
                <wp:simplePos x="0" y="0"/>
                <wp:positionH relativeFrom="column">
                  <wp:posOffset>808990</wp:posOffset>
                </wp:positionH>
                <wp:positionV relativeFrom="paragraph">
                  <wp:posOffset>255905</wp:posOffset>
                </wp:positionV>
                <wp:extent cx="3714750" cy="190500"/>
                <wp:effectExtent l="6350" t="6350" r="12700" b="12700"/>
                <wp:wrapNone/>
                <wp:docPr id="119" name="矩形 119"/>
                <wp:cNvGraphicFramePr/>
                <a:graphic xmlns:a="http://schemas.openxmlformats.org/drawingml/2006/main">
                  <a:graphicData uri="http://schemas.microsoft.com/office/word/2010/wordprocessingShape">
                    <wps:wsp>
                      <wps:cNvSpPr/>
                      <wps:spPr>
                        <a:xfrm>
                          <a:off x="1931035" y="5151755"/>
                          <a:ext cx="3714750"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7pt;margin-top:20.15pt;height:15pt;width:292.5pt;z-index:251709440;v-text-anchor:middle;mso-width-relative:page;mso-height-relative:page;" fillcolor="#4472C4 [3204]" filled="t" stroked="t" coordsize="21600,21600" o:gfxdata="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h1v6tgA&#10;AAAJAQAADwAAAAAAAAABACAAAAAiAAAAZHJzL2Rvd25yZXYueG1sUEsBAhQAFAAAAAgAh07iQD9O&#10;GveRAgAAJQUAAA4AAAAAAAAAAQAgAAAAJwEAAGRycy9lMm9Eb2MueG1sUEsFBgAAAAAGAAYAWQEA&#10;ACoGAAAAAA==&#10;">
                <v:fill on="t" focussize="0,0"/>
                <v:stroke weight="1pt" color="#2F528F [3204]" miterlimit="8" joinstyle="miter"/>
                <v:imagedata o:title=""/>
                <o:lock v:ext="edit" aspectratio="f"/>
              </v:rect>
            </w:pict>
          </mc:Fallback>
        </mc:AlternateContent>
      </w:r>
      <w:r>
        <w:rPr>
          <w:color w:val="auto"/>
          <w:sz w:val="21"/>
          <w:highlight w:val="none"/>
        </w:rPr>
        <mc:AlternateContent>
          <mc:Choice Requires="wpg">
            <w:drawing>
              <wp:anchor distT="0" distB="0" distL="114300" distR="114300" simplePos="0" relativeHeight="251697152" behindDoc="0" locked="0" layoutInCell="1" allowOverlap="1">
                <wp:simplePos x="0" y="0"/>
                <wp:positionH relativeFrom="column">
                  <wp:posOffset>358140</wp:posOffset>
                </wp:positionH>
                <wp:positionV relativeFrom="paragraph">
                  <wp:posOffset>85725</wp:posOffset>
                </wp:positionV>
                <wp:extent cx="4168775" cy="1548765"/>
                <wp:effectExtent l="0" t="6350" r="3175" b="6985"/>
                <wp:wrapNone/>
                <wp:docPr id="148" name="组合 148"/>
                <wp:cNvGraphicFramePr/>
                <a:graphic xmlns:a="http://schemas.openxmlformats.org/drawingml/2006/main">
                  <a:graphicData uri="http://schemas.microsoft.com/office/word/2010/wordprocessingGroup">
                    <wpg:wgp>
                      <wpg:cNvGrpSpPr/>
                      <wpg:grpSpPr>
                        <a:xfrm>
                          <a:off x="0" y="0"/>
                          <a:ext cx="4168775" cy="1548765"/>
                          <a:chOff x="2647" y="745911"/>
                          <a:chExt cx="6565" cy="2439"/>
                        </a:xfrm>
                      </wpg:grpSpPr>
                      <wps:wsp>
                        <wps:cNvPr id="133" name="文本框 99"/>
                        <wps:cNvSpPr txBox="1"/>
                        <wps:spPr>
                          <a:xfrm>
                            <a:off x="2647" y="747159"/>
                            <a:ext cx="719" cy="4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sz w:val="18"/>
                                  <w:szCs w:val="20"/>
                                  <w:lang w:val="en-US" w:eastAsia="zh-CN"/>
                                </w:rPr>
                              </w:pPr>
                              <w:r>
                                <w:rPr>
                                  <w:rFonts w:hint="eastAsia"/>
                                  <w:sz w:val="18"/>
                                  <w:szCs w:val="20"/>
                                  <w:lang w:val="en-US" w:eastAsia="zh-CN"/>
                                </w:rPr>
                                <w:t xml:space="preserve">右洞 </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34" name="组合 27"/>
                        <wpg:cNvGrpSpPr/>
                        <wpg:grpSpPr>
                          <a:xfrm rot="0">
                            <a:off x="2672" y="745911"/>
                            <a:ext cx="5924" cy="830"/>
                            <a:chOff x="4976" y="419608"/>
                            <a:chExt cx="5924" cy="830"/>
                          </a:xfrm>
                        </wpg:grpSpPr>
                        <wps:wsp>
                          <wps:cNvPr id="135" name="文本框 30"/>
                          <wps:cNvSpPr txBox="1"/>
                          <wps:spPr>
                            <a:xfrm>
                              <a:off x="4976" y="419783"/>
                              <a:ext cx="719" cy="4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sz w:val="18"/>
                                    <w:szCs w:val="20"/>
                                    <w:lang w:val="en-US" w:eastAsia="zh-CN"/>
                                  </w:rPr>
                                </w:pPr>
                                <w:r>
                                  <w:rPr>
                                    <w:rFonts w:hint="eastAsia"/>
                                    <w:sz w:val="18"/>
                                    <w:szCs w:val="20"/>
                                    <w:lang w:val="en-US" w:eastAsia="zh-CN"/>
                                  </w:rPr>
                                  <w:t xml:space="preserve">左洞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 name="椭圆 23"/>
                          <wps:cNvSpPr/>
                          <wps:spPr>
                            <a:xfrm>
                              <a:off x="6015" y="419608"/>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9" name="椭圆 24"/>
                          <wps:cNvSpPr/>
                          <wps:spPr>
                            <a:xfrm>
                              <a:off x="8395" y="420288"/>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0" name="椭圆 26"/>
                          <wps:cNvSpPr/>
                          <wps:spPr>
                            <a:xfrm>
                              <a:off x="10750" y="419618"/>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41" name="组合 82"/>
                        <wpg:cNvGrpSpPr/>
                        <wpg:grpSpPr>
                          <a:xfrm rot="0">
                            <a:off x="3345" y="747001"/>
                            <a:ext cx="5867" cy="1349"/>
                            <a:chOff x="5609" y="419628"/>
                            <a:chExt cx="5867" cy="1349"/>
                          </a:xfrm>
                        </wpg:grpSpPr>
                        <wps:wsp>
                          <wps:cNvPr id="142" name="直接连接符 17"/>
                          <wps:cNvCnPr/>
                          <wps:spPr>
                            <a:xfrm flipV="1">
                              <a:off x="5609" y="419853"/>
                              <a:ext cx="5867" cy="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4" name="椭圆 23"/>
                          <wps:cNvSpPr/>
                          <wps:spPr>
                            <a:xfrm>
                              <a:off x="6015" y="419628"/>
                              <a:ext cx="150" cy="15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5" name="椭圆 26"/>
                          <wps:cNvSpPr/>
                          <wps:spPr>
                            <a:xfrm>
                              <a:off x="10750" y="419638"/>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6" name="文本框 34"/>
                          <wps:cNvSpPr txBox="1"/>
                          <wps:spPr>
                            <a:xfrm>
                              <a:off x="7746" y="420544"/>
                              <a:ext cx="1978" cy="4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sz w:val="18"/>
                                    <w:szCs w:val="20"/>
                                    <w:lang w:val="en-US" w:eastAsia="zh-CN"/>
                                  </w:rPr>
                                </w:pPr>
                                <w:r>
                                  <w:rPr>
                                    <w:rFonts w:hint="eastAsia"/>
                                    <w:sz w:val="18"/>
                                    <w:szCs w:val="20"/>
                                    <w:lang w:val="en-US" w:eastAsia="zh-CN"/>
                                  </w:rPr>
                                  <w:t>(a)</w:t>
                                </w:r>
                                <w:r>
                                  <w:rPr>
                                    <w:rFonts w:hint="eastAsia" w:ascii="Times New Roman" w:hAnsi="Times New Roman" w:eastAsia="宋体"/>
                                    <w:highlight w:val="none"/>
                                    <w:lang w:val="en-US" w:eastAsia="zh-CN"/>
                                  </w:rPr>
                                  <w:t>洞壁间距大的</w:t>
                                </w:r>
                                <w:r>
                                  <w:rPr>
                                    <w:rFonts w:hint="eastAsia"/>
                                    <w:sz w:val="18"/>
                                    <w:szCs w:val="20"/>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47" name="椭圆 24"/>
                        <wps:cNvSpPr/>
                        <wps:spPr>
                          <a:xfrm>
                            <a:off x="6091" y="747641"/>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2pt;margin-top:6.75pt;height:121.95pt;width:328.25pt;z-index:251697152;mso-width-relative:page;mso-height-relative:page;" coordorigin="2647,745911" coordsize="6565,2439" o:gfxdata="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">
                <o:lock v:ext="edit" aspectratio="f"/>
                <v:shape id="文本框 99" o:spid="_x0000_s1026" o:spt="202" type="#_x0000_t202" style="position:absolute;left:2647;top:747159;height:433;width:719;" fillcolor="#FFFFFF [3201]" filled="t" stroked="f" coordsize="21600,21600" o:gfxdata="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kDo+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rFonts w:hint="default" w:eastAsia="等线"/>
                            <w:sz w:val="18"/>
                            <w:szCs w:val="20"/>
                            <w:lang w:val="en-US" w:eastAsia="zh-CN"/>
                          </w:rPr>
                        </w:pPr>
                        <w:r>
                          <w:rPr>
                            <w:rFonts w:hint="eastAsia"/>
                            <w:sz w:val="18"/>
                            <w:szCs w:val="20"/>
                            <w:lang w:val="en-US" w:eastAsia="zh-CN"/>
                          </w:rPr>
                          <w:t xml:space="preserve">右洞 </w:t>
                        </w:r>
                      </w:p>
                    </w:txbxContent>
                  </v:textbox>
                </v:shape>
                <v:group id="组合 27" o:spid="_x0000_s1026" o:spt="203" style="position:absolute;left:2672;top:745911;height:830;width:5924;" coordorigin="4976,419608" coordsize="5924,830" o:gfxdata="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zVFvvAAAANwAAAAPAAAAAAAAAAEAIAAAACIAAABkcnMvZG93bnJldi54bWxQ&#10;SwECFAAUAAAACACHTuJAMy8FnjsAAAA5AAAAFQAAAAAAAAABACAAAAALAQAAZHJzL2dyb3Vwc2hh&#10;cGV4bWwueG1sUEsFBgAAAAAGAAYAYAEAAMgDAAAAAA==&#10;">
                  <o:lock v:ext="edit" aspectratio="f"/>
                  <v:shape id="文本框 30" o:spid="_x0000_s1026" o:spt="202" type="#_x0000_t202" style="position:absolute;left:4976;top:419783;height:433;width:719;" fillcolor="#FFFFFF [3201]" filled="t" stroked="f" coordsize="21600,21600" o:gfxdata="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BM2C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rFonts w:hint="default" w:eastAsia="等线"/>
                              <w:sz w:val="18"/>
                              <w:szCs w:val="20"/>
                              <w:lang w:val="en-US" w:eastAsia="zh-CN"/>
                            </w:rPr>
                          </w:pPr>
                          <w:r>
                            <w:rPr>
                              <w:rFonts w:hint="eastAsia"/>
                              <w:sz w:val="18"/>
                              <w:szCs w:val="20"/>
                              <w:lang w:val="en-US" w:eastAsia="zh-CN"/>
                            </w:rPr>
                            <w:t xml:space="preserve">左洞 </w:t>
                          </w:r>
                        </w:p>
                      </w:txbxContent>
                    </v:textbox>
                  </v:shape>
                  <v:shape id="椭圆 23" o:spid="_x0000_s1026" o:spt="3" type="#_x0000_t3" style="position:absolute;left:6015;top:419608;height:150;width:150;v-text-anchor:middle;" fillcolor="#4472C4 [3204]" filled="t" stroked="t" coordsize="21600,21600" o:gfxdata="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Zs5GvQAA&#10;ANwAAAAPAAAAAAAAAAEAIAAAACIAAABkcnMvZG93bnJldi54bWxQSwECFAAUAAAACACHTuJAMy8F&#10;njsAAAA5AAAAEAAAAAAAAAABACAAAAAMAQAAZHJzL3NoYXBleG1sLnhtbFBLBQYAAAAABgAGAFsB&#10;AAC2AwAAAAA=&#10;">
                    <v:fill on="t" focussize="0,0"/>
                    <v:stroke weight="1pt" color="#2F528F [3204]" miterlimit="8" joinstyle="miter"/>
                    <v:imagedata o:title=""/>
                    <o:lock v:ext="edit" aspectratio="f"/>
                  </v:shape>
                  <v:shape id="椭圆 24" o:spid="_x0000_s1026" o:spt="3" type="#_x0000_t3" style="position:absolute;left:8395;top:420288;height:150;width:150;v-text-anchor:middle;" fillcolor="#4472C4 [3204]" filled="t" stroked="t" coordsize="21600,21600" o:gfxdata="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KmvdugAAANwA&#10;AAAPAAAAAAAAAAEAIAAAACIAAABkcnMvZG93bnJldi54bWxQSwECFAAUAAAACACHTuJAMy8FnjsA&#10;AAA5AAAAEAAAAAAAAAABACAAAAAJAQAAZHJzL3NoYXBleG1sLnhtbFBLBQYAAAAABgAGAFsBAACz&#10;AwAAAAA=&#10;">
                    <v:fill on="t" focussize="0,0"/>
                    <v:stroke weight="1pt" color="#2F528F [3204]" miterlimit="8" joinstyle="miter"/>
                    <v:imagedata o:title=""/>
                    <o:lock v:ext="edit" aspectratio="f"/>
                  </v:shape>
                  <v:shape id="椭圆 26" o:spid="_x0000_s1026" o:spt="3" type="#_x0000_t3" style="position:absolute;left:10750;top:419618;height:150;width:150;v-text-anchor:middle;" fillcolor="#4472C4 [3204]" filled="t" stroked="t" coordsize="21600,21600" o:gfxdata="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FrE9vQAA&#10;ANwAAAAPAAAAAAAAAAEAIAAAACIAAABkcnMvZG93bnJldi54bWxQSwECFAAUAAAACACHTuJAMy8F&#10;njsAAAA5AAAAEAAAAAAAAAABACAAAAAMAQAAZHJzL3NoYXBleG1sLnhtbFBLBQYAAAAABgAGAFsB&#10;AAC2AwAAAAA=&#10;">
                    <v:fill on="t" focussize="0,0"/>
                    <v:stroke weight="1pt" color="#2F528F [3204]" miterlimit="8" joinstyle="miter"/>
                    <v:imagedata o:title=""/>
                    <o:lock v:ext="edit" aspectratio="f"/>
                  </v:shape>
                </v:group>
                <v:group id="组合 82" o:spid="_x0000_s1026" o:spt="203" style="position:absolute;left:3345;top:747001;height:1349;width:5867;" coordorigin="5609,419628" coordsize="5867,1349" o:gfxdata="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0vIGKvAAAANwAAAAPAAAAAAAAAAEAIAAAACIAAABkcnMvZG93bnJldi54bWxQ&#10;SwECFAAUAAAACACHTuJAMy8FnjsAAAA5AAAAFQAAAAAAAAABACAAAAALAQAAZHJzL2dyb3Vwc2hh&#10;cGV4bWwueG1sUEsFBgAAAAAGAAYAYAEAAMgDAAAAAA==&#10;">
                  <o:lock v:ext="edit" aspectratio="f"/>
                  <v:line id="直接连接符 17" o:spid="_x0000_s1026" o:spt="20" style="position:absolute;left:5609;top:419853;flip:y;height:6;width:5867;" filled="f" stroked="t" coordsize="21600,21600" o:gfxdata="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gCuLsAAADc&#10;AAAADwAAAAAAAAABACAAAAAiAAAAZHJzL2Rvd25yZXYueG1sUEsBAhQAFAAAAAgAh07iQDMvBZ47&#10;AAAAOQAAABAAAAAAAAAAAQAgAAAACgEAAGRycy9zaGFwZXhtbC54bWxQSwUGAAAAAAYABgBbAQAA&#10;tAMAAAAA&#10;">
                    <v:fill on="f" focussize="0,0"/>
                    <v:stroke weight="0.5pt" color="#4472C4 [3204]" miterlimit="8" joinstyle="miter"/>
                    <v:imagedata o:title=""/>
                    <o:lock v:ext="edit" aspectratio="f"/>
                  </v:line>
                  <v:shape id="椭圆 23" o:spid="_x0000_s1026" o:spt="3" type="#_x0000_t3" style="position:absolute;left:6015;top:419628;height:151;width:150;v-text-anchor:middle;" fillcolor="#4472C4 [3204]" filled="t" stroked="t" coordsize="21600,21600" o:gfxdata="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Lbc+ugAAANwA&#10;AAAPAAAAAAAAAAEAIAAAACIAAABkcnMvZG93bnJldi54bWxQSwECFAAUAAAACACHTuJAMy8FnjsA&#10;AAA5AAAAEAAAAAAAAAABACAAAAAJAQAAZHJzL3NoYXBleG1sLnhtbFBLBQYAAAAABgAGAFsBAACz&#10;AwAAAAA=&#10;">
                    <v:fill on="t" focussize="0,0"/>
                    <v:stroke weight="1pt" color="#2F528F [3204]" miterlimit="8" joinstyle="miter"/>
                    <v:imagedata o:title=""/>
                    <o:lock v:ext="edit" aspectratio="f"/>
                  </v:shape>
                  <v:shape id="椭圆 26" o:spid="_x0000_s1026" o:spt="3" type="#_x0000_t3" style="position:absolute;left:10750;top:419638;height:150;width:150;v-text-anchor:middle;" fillcolor="#4472C4 [3204]" filled="t" stroked="t" coordsize="21600,21600" o:gfxdata="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YRKlugAAANwA&#10;AAAPAAAAAAAAAAEAIAAAACIAAABkcnMvZG93bnJldi54bWxQSwECFAAUAAAACACHTuJAMy8FnjsA&#10;AAA5AAAAEAAAAAAAAAABACAAAAAJAQAAZHJzL3NoYXBleG1sLnhtbFBLBQYAAAAABgAGAFsBAACz&#10;AwAAAAA=&#10;">
                    <v:fill on="t" focussize="0,0"/>
                    <v:stroke weight="1pt" color="#2F528F [3204]" miterlimit="8" joinstyle="miter"/>
                    <v:imagedata o:title=""/>
                    <o:lock v:ext="edit" aspectratio="f"/>
                  </v:shape>
                  <v:shape id="文本框 34" o:spid="_x0000_s1026" o:spt="202" type="#_x0000_t202" style="position:absolute;left:7746;top:420544;height:433;width:1978;" fillcolor="#FFFFFF [3201]" filled="t" stroked="f" coordsize="21600,21600" o:gfxdata="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VXearUAAADc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rPr>
                              <w:rFonts w:hint="default" w:eastAsia="等线"/>
                              <w:sz w:val="18"/>
                              <w:szCs w:val="20"/>
                              <w:lang w:val="en-US" w:eastAsia="zh-CN"/>
                            </w:rPr>
                          </w:pPr>
                          <w:r>
                            <w:rPr>
                              <w:rFonts w:hint="eastAsia"/>
                              <w:sz w:val="18"/>
                              <w:szCs w:val="20"/>
                              <w:lang w:val="en-US" w:eastAsia="zh-CN"/>
                            </w:rPr>
                            <w:t>(a)</w:t>
                          </w:r>
                          <w:r>
                            <w:rPr>
                              <w:rFonts w:hint="eastAsia" w:ascii="Times New Roman" w:hAnsi="Times New Roman" w:eastAsia="宋体"/>
                              <w:highlight w:val="none"/>
                              <w:lang w:val="en-US" w:eastAsia="zh-CN"/>
                            </w:rPr>
                            <w:t>洞壁间距大的</w:t>
                          </w:r>
                          <w:r>
                            <w:rPr>
                              <w:rFonts w:hint="eastAsia"/>
                              <w:sz w:val="18"/>
                              <w:szCs w:val="20"/>
                              <w:lang w:val="en-US" w:eastAsia="zh-CN"/>
                            </w:rPr>
                            <w:t xml:space="preserve"> </w:t>
                          </w:r>
                        </w:p>
                      </w:txbxContent>
                    </v:textbox>
                  </v:shape>
                </v:group>
                <v:shape id="椭圆 24" o:spid="_x0000_s1026" o:spt="3" type="#_x0000_t3" style="position:absolute;left:6091;top:747641;height:150;width:150;v-text-anchor:middle;" fillcolor="#4472C4 [3204]" filled="t" stroked="t" coordsize="21600,21600" o:gfxdata="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ylJugAAANwA&#10;AAAPAAAAAAAAAAEAIAAAACIAAABkcnMvZG93bnJldi54bWxQSwECFAAUAAAACACHTuJAMy8FnjsA&#10;AAA5AAAAEAAAAAAAAAABACAAAAAJAQAAZHJzL3NoYXBleG1sLnhtbFBLBQYAAAAABgAGAFsBAACz&#10;AwAAAAA=&#10;">
                  <v:fill on="t" focussize="0,0"/>
                  <v:stroke weight="1pt" color="#2F528F [3204]" miterlimit="8" joinstyle="miter"/>
                  <v:imagedata o:title=""/>
                  <o:lock v:ext="edit" aspectratio="f"/>
                </v:shape>
              </v:group>
            </w:pict>
          </mc:Fallback>
        </mc:AlternateContent>
      </w:r>
    </w:p>
    <w:p>
      <w:pPr>
        <w:autoSpaceDE w:val="0"/>
        <w:autoSpaceDN w:val="0"/>
        <w:adjustRightInd w:val="0"/>
        <w:spacing w:line="360" w:lineRule="auto"/>
        <w:ind w:firstLine="420" w:firstLineChars="200"/>
        <w:jc w:val="left"/>
        <w:rPr>
          <w:rFonts w:hint="eastAsia" w:ascii="Times New Roman" w:hAnsi="Times New Roman" w:eastAsia="宋体"/>
          <w:color w:val="auto"/>
          <w:highlight w:val="none"/>
          <w:lang w:val="en-US" w:eastAsia="zh-CN"/>
        </w:rPr>
      </w:pPr>
    </w:p>
    <w:p>
      <w:pPr>
        <w:autoSpaceDE w:val="0"/>
        <w:autoSpaceDN w:val="0"/>
        <w:adjustRightInd w:val="0"/>
        <w:spacing w:line="360" w:lineRule="auto"/>
        <w:ind w:firstLine="420" w:firstLineChars="200"/>
        <w:jc w:val="left"/>
        <w:rPr>
          <w:rFonts w:hint="eastAsia" w:ascii="Times New Roman" w:hAnsi="Times New Roman" w:eastAsia="宋体"/>
          <w:color w:val="auto"/>
          <w:highlight w:val="none"/>
          <w:lang w:val="en-US" w:eastAsia="zh-CN"/>
        </w:rPr>
      </w:pPr>
    </w:p>
    <w:p>
      <w:pPr>
        <w:autoSpaceDE w:val="0"/>
        <w:autoSpaceDN w:val="0"/>
        <w:adjustRightInd w:val="0"/>
        <w:spacing w:line="360" w:lineRule="auto"/>
        <w:ind w:firstLine="420" w:firstLineChars="200"/>
        <w:jc w:val="left"/>
        <w:rPr>
          <w:rFonts w:hint="eastAsia" w:ascii="Times New Roman" w:hAnsi="Times New Roman" w:eastAsia="宋体"/>
          <w:color w:val="auto"/>
          <w:highlight w:val="none"/>
          <w:lang w:val="en-US" w:eastAsia="zh-CN"/>
        </w:rPr>
      </w:pPr>
      <w:r>
        <w:rPr>
          <w:color w:val="auto"/>
          <w:sz w:val="21"/>
          <w:highlight w:val="none"/>
        </w:rPr>
        <mc:AlternateContent>
          <mc:Choice Requires="wps">
            <w:drawing>
              <wp:anchor distT="0" distB="0" distL="114300" distR="114300" simplePos="0" relativeHeight="251710464" behindDoc="0" locked="0" layoutInCell="1" allowOverlap="1">
                <wp:simplePos x="0" y="0"/>
                <wp:positionH relativeFrom="column">
                  <wp:posOffset>808355</wp:posOffset>
                </wp:positionH>
                <wp:positionV relativeFrom="paragraph">
                  <wp:posOffset>36830</wp:posOffset>
                </wp:positionV>
                <wp:extent cx="3714750" cy="190500"/>
                <wp:effectExtent l="6350" t="6350" r="12700" b="12700"/>
                <wp:wrapNone/>
                <wp:docPr id="122" name="矩形 122"/>
                <wp:cNvGraphicFramePr/>
                <a:graphic xmlns:a="http://schemas.openxmlformats.org/drawingml/2006/main">
                  <a:graphicData uri="http://schemas.microsoft.com/office/word/2010/wordprocessingShape">
                    <wps:wsp>
                      <wps:cNvSpPr/>
                      <wps:spPr>
                        <a:xfrm>
                          <a:off x="0" y="0"/>
                          <a:ext cx="3714750"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65pt;margin-top:2.9pt;height:15pt;width:292.5pt;z-index:251710464;v-text-anchor:middle;mso-width-relative:page;mso-height-relative:page;" fillcolor="#4472C4 [3204]" filled="t" stroked="t" coordsize="21600,21600" o:gfxdata="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7psU39cAAAAIAQAADwAAAAAAAAAB&#10;ACAAAAAiAAAAZHJzL2Rvd25yZXYueG1sUEsBAhQAFAAAAAgAh07iQKijBD2DAgAAGQUAAA4AAAAA&#10;AAAAAQAgAAAAJgEAAGRycy9lMm9Eb2MueG1sUEsFBgAAAAAGAAYAWQEAABsGAAAAAA==&#10;">
                <v:fill on="t" focussize="0,0"/>
                <v:stroke weight="1pt" color="#2F528F [3204]" miterlimit="8" joinstyle="miter"/>
                <v:imagedata o:title=""/>
                <o:lock v:ext="edit" aspectratio="f"/>
              </v:rect>
            </w:pict>
          </mc:Fallback>
        </mc:AlternateContent>
      </w:r>
    </w:p>
    <w:p>
      <w:pPr>
        <w:autoSpaceDE/>
        <w:autoSpaceDN/>
        <w:adjustRightInd/>
        <w:spacing w:line="240" w:lineRule="auto"/>
        <w:ind w:firstLine="0" w:firstLineChars="0"/>
        <w:jc w:val="left"/>
        <w:rPr>
          <w:rFonts w:hint="default" w:ascii="Times New Roman" w:hAnsi="Times New Roman" w:eastAsia="宋体"/>
          <w:color w:val="auto"/>
          <w:highlight w:val="none"/>
          <w:lang w:val="en-US" w:eastAsia="zh-CN"/>
        </w:rPr>
      </w:pPr>
    </w:p>
    <w:p>
      <w:pPr>
        <w:autoSpaceDE w:val="0"/>
        <w:autoSpaceDN w:val="0"/>
        <w:adjustRightInd w:val="0"/>
        <w:spacing w:line="360" w:lineRule="auto"/>
        <w:ind w:firstLine="420" w:firstLineChars="200"/>
        <w:jc w:val="left"/>
        <w:rPr>
          <w:rFonts w:ascii="Times New Roman" w:hAnsi="Times New Roman" w:eastAsia="宋体"/>
          <w:color w:val="auto"/>
          <w:szCs w:val="21"/>
          <w:highlight w:val="none"/>
        </w:rPr>
      </w:pPr>
      <w:r>
        <w:rPr>
          <w:color w:val="auto"/>
          <w:sz w:val="21"/>
          <w:highlight w:val="none"/>
        </w:rPr>
        <mc:AlternateContent>
          <mc:Choice Requires="wps">
            <w:drawing>
              <wp:anchor distT="0" distB="0" distL="114300" distR="114300" simplePos="0" relativeHeight="251711488" behindDoc="0" locked="0" layoutInCell="1" allowOverlap="1">
                <wp:simplePos x="0" y="0"/>
                <wp:positionH relativeFrom="column">
                  <wp:posOffset>807720</wp:posOffset>
                </wp:positionH>
                <wp:positionV relativeFrom="paragraph">
                  <wp:posOffset>229235</wp:posOffset>
                </wp:positionV>
                <wp:extent cx="3714750" cy="190500"/>
                <wp:effectExtent l="6350" t="6350" r="12700" b="12700"/>
                <wp:wrapNone/>
                <wp:docPr id="123" name="矩形 123"/>
                <wp:cNvGraphicFramePr/>
                <a:graphic xmlns:a="http://schemas.openxmlformats.org/drawingml/2006/main">
                  <a:graphicData uri="http://schemas.microsoft.com/office/word/2010/wordprocessingShape">
                    <wps:wsp>
                      <wps:cNvSpPr/>
                      <wps:spPr>
                        <a:xfrm>
                          <a:off x="0" y="0"/>
                          <a:ext cx="3714750"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6pt;margin-top:18.05pt;height:15pt;width:292.5pt;z-index:251711488;v-text-anchor:middle;mso-width-relative:page;mso-height-relative:page;" fillcolor="#4472C4 [3204]" filled="t" stroked="t" coordsize="21600,21600" o:gfxdata="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TlgZbYAAAACQEAAA8AAAAAAAAA&#10;AQAgAAAAIgAAAGRycy9kb3ducmV2LnhtbFBLAQIUABQAAAAIAIdO4kCtjmTBgwIAABkFAAAOAAAA&#10;AAAAAAEAIAAAACcBAABkcnMvZTJvRG9jLnhtbFBLBQYAAAAABgAGAFkBAAAcBgAAAAA=&#10;">
                <v:fill on="t" focussize="0,0"/>
                <v:stroke weight="1pt" color="#2F528F [3204]" miterlimit="8" joinstyle="miter"/>
                <v:imagedata o:title=""/>
                <o:lock v:ext="edit" aspectratio="f"/>
              </v:rect>
            </w:pict>
          </mc:Fallback>
        </mc:AlternateContent>
      </w:r>
      <w:r>
        <w:rPr>
          <w:color w:val="auto"/>
          <w:sz w:val="21"/>
          <w:highlight w:val="none"/>
        </w:rPr>
        <mc:AlternateContent>
          <mc:Choice Requires="wpg">
            <w:drawing>
              <wp:anchor distT="0" distB="0" distL="114300" distR="114300" simplePos="0" relativeHeight="251695104" behindDoc="0" locked="0" layoutInCell="1" allowOverlap="1">
                <wp:simplePos x="0" y="0"/>
                <wp:positionH relativeFrom="column">
                  <wp:posOffset>377190</wp:posOffset>
                </wp:positionH>
                <wp:positionV relativeFrom="paragraph">
                  <wp:posOffset>48895</wp:posOffset>
                </wp:positionV>
                <wp:extent cx="3803015" cy="1519555"/>
                <wp:effectExtent l="0" t="6350" r="6985" b="17145"/>
                <wp:wrapNone/>
                <wp:docPr id="130" name="组合 130"/>
                <wp:cNvGraphicFramePr/>
                <a:graphic xmlns:a="http://schemas.openxmlformats.org/drawingml/2006/main">
                  <a:graphicData uri="http://schemas.microsoft.com/office/word/2010/wordprocessingGroup">
                    <wpg:wgp>
                      <wpg:cNvGrpSpPr/>
                      <wpg:grpSpPr>
                        <a:xfrm>
                          <a:off x="0" y="0"/>
                          <a:ext cx="3803015" cy="1519555"/>
                          <a:chOff x="2677" y="745853"/>
                          <a:chExt cx="5989" cy="2393"/>
                        </a:xfrm>
                      </wpg:grpSpPr>
                      <wps:wsp>
                        <wps:cNvPr id="99" name="文本框 99"/>
                        <wps:cNvSpPr txBox="1"/>
                        <wps:spPr>
                          <a:xfrm>
                            <a:off x="2677" y="747011"/>
                            <a:ext cx="719" cy="4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sz w:val="18"/>
                                  <w:szCs w:val="20"/>
                                  <w:lang w:val="en-US" w:eastAsia="zh-CN"/>
                                </w:rPr>
                              </w:pPr>
                              <w:r>
                                <w:rPr>
                                  <w:rFonts w:hint="eastAsia"/>
                                  <w:sz w:val="18"/>
                                  <w:szCs w:val="20"/>
                                  <w:lang w:val="en-US" w:eastAsia="zh-CN"/>
                                </w:rPr>
                                <w:t xml:space="preserve">右洞 </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7" name="组合 27"/>
                        <wpg:cNvGrpSpPr/>
                        <wpg:grpSpPr>
                          <a:xfrm>
                            <a:off x="2702" y="745853"/>
                            <a:ext cx="5924" cy="980"/>
                            <a:chOff x="4976" y="419598"/>
                            <a:chExt cx="5924" cy="980"/>
                          </a:xfrm>
                        </wpg:grpSpPr>
                        <wps:wsp>
                          <wps:cNvPr id="28" name="文本框 30"/>
                          <wps:cNvSpPr txBox="1"/>
                          <wps:spPr>
                            <a:xfrm>
                              <a:off x="4976" y="419783"/>
                              <a:ext cx="719" cy="4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sz w:val="18"/>
                                    <w:szCs w:val="20"/>
                                    <w:lang w:val="en-US" w:eastAsia="zh-CN"/>
                                  </w:rPr>
                                </w:pPr>
                                <w:r>
                                  <w:rPr>
                                    <w:rFonts w:hint="eastAsia"/>
                                    <w:sz w:val="18"/>
                                    <w:szCs w:val="20"/>
                                    <w:lang w:val="en-US" w:eastAsia="zh-CN"/>
                                  </w:rPr>
                                  <w:t xml:space="preserve">左洞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 name="椭圆 23"/>
                          <wps:cNvSpPr/>
                          <wps:spPr>
                            <a:xfrm>
                              <a:off x="6015" y="419598"/>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3" name="椭圆 24"/>
                          <wps:cNvSpPr/>
                          <wps:spPr>
                            <a:xfrm>
                              <a:off x="8395" y="420428"/>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椭圆 26"/>
                          <wps:cNvSpPr/>
                          <wps:spPr>
                            <a:xfrm>
                              <a:off x="10750" y="419608"/>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2" name="组合 82"/>
                        <wpg:cNvGrpSpPr/>
                        <wpg:grpSpPr>
                          <a:xfrm>
                            <a:off x="3781" y="747513"/>
                            <a:ext cx="4885" cy="733"/>
                            <a:chOff x="6015" y="420288"/>
                            <a:chExt cx="4885" cy="733"/>
                          </a:xfrm>
                        </wpg:grpSpPr>
                        <wps:wsp>
                          <wps:cNvPr id="95" name="椭圆 23"/>
                          <wps:cNvSpPr/>
                          <wps:spPr>
                            <a:xfrm>
                              <a:off x="6015" y="420288"/>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7" name="椭圆 26"/>
                          <wps:cNvSpPr/>
                          <wps:spPr>
                            <a:xfrm>
                              <a:off x="10750" y="420288"/>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8" name="文本框 34"/>
                          <wps:cNvSpPr txBox="1"/>
                          <wps:spPr>
                            <a:xfrm>
                              <a:off x="7746" y="420588"/>
                              <a:ext cx="1978" cy="4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sz w:val="18"/>
                                    <w:szCs w:val="20"/>
                                    <w:lang w:val="en-US" w:eastAsia="zh-CN"/>
                                  </w:rPr>
                                </w:pPr>
                                <w:r>
                                  <w:rPr>
                                    <w:rFonts w:hint="eastAsia"/>
                                    <w:sz w:val="18"/>
                                    <w:szCs w:val="20"/>
                                    <w:lang w:val="en-US" w:eastAsia="zh-CN"/>
                                  </w:rPr>
                                  <w:t>(b)</w:t>
                                </w:r>
                                <w:r>
                                  <w:rPr>
                                    <w:rFonts w:hint="eastAsia" w:ascii="Times New Roman" w:hAnsi="Times New Roman" w:eastAsia="宋体"/>
                                    <w:highlight w:val="none"/>
                                    <w:lang w:val="en-US" w:eastAsia="zh-CN"/>
                                  </w:rPr>
                                  <w:t>洞壁间距较大的</w:t>
                                </w:r>
                                <w:r>
                                  <w:rPr>
                                    <w:rFonts w:hint="eastAsia"/>
                                    <w:sz w:val="18"/>
                                    <w:szCs w:val="20"/>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9.7pt;margin-top:3.85pt;height:119.65pt;width:299.45pt;z-index:251695104;mso-width-relative:page;mso-height-relative:page;" coordorigin="2677,745853" coordsize="5989,2393" o:gfxdata="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">
                <o:lock v:ext="edit" aspectratio="f"/>
                <v:shape id="_x0000_s1026" o:spid="_x0000_s1026" o:spt="202" type="#_x0000_t202" style="position:absolute;left:2677;top:747011;height:433;width:719;" fillcolor="#FFFFFF [3201]" filled="t" stroked="f" coordsize="21600,21600" o:gfxdata="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dZAHG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rFonts w:hint="default" w:eastAsia="等线"/>
                            <w:sz w:val="18"/>
                            <w:szCs w:val="20"/>
                            <w:lang w:val="en-US" w:eastAsia="zh-CN"/>
                          </w:rPr>
                        </w:pPr>
                        <w:r>
                          <w:rPr>
                            <w:rFonts w:hint="eastAsia"/>
                            <w:sz w:val="18"/>
                            <w:szCs w:val="20"/>
                            <w:lang w:val="en-US" w:eastAsia="zh-CN"/>
                          </w:rPr>
                          <w:t xml:space="preserve">右洞 </w:t>
                        </w:r>
                      </w:p>
                    </w:txbxContent>
                  </v:textbox>
                </v:shape>
                <v:group id="_x0000_s1026" o:spid="_x0000_s1026" o:spt="203" style="position:absolute;left:2702;top:745853;height:980;width:5924;" coordorigin="4976,419598" coordsize="5924,980"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文本框 30" o:spid="_x0000_s1026" o:spt="202" type="#_x0000_t202" style="position:absolute;left:4976;top:419783;height:433;width:719;" fillcolor="#FFFFFF [3201]" filled="t" stroked="f" coordsize="21600,21600" o:gfxdata="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EuqbA2zAAAA2w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pPr>
                            <w:rPr>
                              <w:rFonts w:hint="default" w:eastAsia="等线"/>
                              <w:sz w:val="18"/>
                              <w:szCs w:val="20"/>
                              <w:lang w:val="en-US" w:eastAsia="zh-CN"/>
                            </w:rPr>
                          </w:pPr>
                          <w:r>
                            <w:rPr>
                              <w:rFonts w:hint="eastAsia"/>
                              <w:sz w:val="18"/>
                              <w:szCs w:val="20"/>
                              <w:lang w:val="en-US" w:eastAsia="zh-CN"/>
                            </w:rPr>
                            <w:t xml:space="preserve">左洞 </w:t>
                          </w:r>
                        </w:p>
                      </w:txbxContent>
                    </v:textbox>
                  </v:shape>
                  <v:shape id="椭圆 23" o:spid="_x0000_s1026" o:spt="3" type="#_x0000_t3" style="position:absolute;left:6015;top:419598;height:150;width:150;v-text-anchor:middle;" fillcolor="#4472C4 [3204]" filled="t" stroked="t" coordsize="21600,21600" o:gfxdata="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BM7m8AAAA&#10;2wAAAA8AAAAAAAAAAQAgAAAAIgAAAGRycy9kb3ducmV2LnhtbFBLAQIUABQAAAAIAIdO4kAzLwWe&#10;OwAAADkAAAAQAAAAAAAAAAEAIAAAAAsBAABkcnMvc2hhcGV4bWwueG1sUEsFBgAAAAAGAAYAWwEA&#10;ALUDAAAAAA==&#10;">
                    <v:fill on="t" focussize="0,0"/>
                    <v:stroke weight="1pt" color="#2F528F [3204]" miterlimit="8" joinstyle="miter"/>
                    <v:imagedata o:title=""/>
                    <o:lock v:ext="edit" aspectratio="f"/>
                  </v:shape>
                  <v:shape id="椭圆 24" o:spid="_x0000_s1026" o:spt="3" type="#_x0000_t3" style="position:absolute;left:8395;top:420428;height:150;width:150;v-text-anchor:middle;" fillcolor="#4472C4 [3204]" filled="t" stroked="t" coordsize="21600,21600" o:gfxdata="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wko68AAAA&#10;2wAAAA8AAAAAAAAAAQAgAAAAIgAAAGRycy9kb3ducmV2LnhtbFBLAQIUABQAAAAIAIdO4kAzLwWe&#10;OwAAADkAAAAQAAAAAAAAAAEAIAAAAAsBAABkcnMvc2hhcGV4bWwueG1sUEsFBgAAAAAGAAYAWwEA&#10;ALUDAAAAAA==&#10;">
                    <v:fill on="t" focussize="0,0"/>
                    <v:stroke weight="1pt" color="#2F528F [3204]" miterlimit="8" joinstyle="miter"/>
                    <v:imagedata o:title=""/>
                    <o:lock v:ext="edit" aspectratio="f"/>
                  </v:shape>
                  <v:shape id="椭圆 26" o:spid="_x0000_s1026" o:spt="3" type="#_x0000_t3" style="position:absolute;left:10750;top:419608;height:150;width:150;v-text-anchor:middle;" fillcolor="#4472C4 [3204]" filled="t" stroked="t" coordsize="21600,21600" o:gfxdata="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YpWS8AAAA&#10;2wAAAA8AAAAAAAAAAQAgAAAAIgAAAGRycy9kb3ducmV2LnhtbFBLAQIUABQAAAAIAIdO4kAzLwWe&#10;OwAAADkAAAAQAAAAAAAAAAEAIAAAAAsBAABkcnMvc2hhcGV4bWwueG1sUEsFBgAAAAAGAAYAWwEA&#10;ALUDAAAAAA==&#10;">
                    <v:fill on="t" focussize="0,0"/>
                    <v:stroke weight="1pt" color="#2F528F [3204]" miterlimit="8" joinstyle="miter"/>
                    <v:imagedata o:title=""/>
                    <o:lock v:ext="edit" aspectratio="f"/>
                  </v:shape>
                </v:group>
                <v:group id="_x0000_s1026" o:spid="_x0000_s1026" o:spt="203" style="position:absolute;left:3781;top:747513;height:733;width:4885;" coordorigin="6015,420288" coordsize="4885,733"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shape id="椭圆 23" o:spid="_x0000_s1026" o:spt="3" type="#_x0000_t3" style="position:absolute;left:6015;top:420288;height:150;width:150;v-text-anchor:middle;" fillcolor="#4472C4 [3204]" filled="t" stroked="t" coordsize="21600,21600" o:gfxdata="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ZSZu8AAAA&#10;2wAAAA8AAAAAAAAAAQAgAAAAIgAAAGRycy9kb3ducmV2LnhtbFBLAQIUABQAAAAIAIdO4kAzLwWe&#10;OwAAADkAAAAQAAAAAAAAAAEAIAAAAAsBAABkcnMvc2hhcGV4bWwueG1sUEsFBgAAAAAGAAYAWwEA&#10;ALUDAAAAAA==&#10;">
                    <v:fill on="t" focussize="0,0"/>
                    <v:stroke weight="1pt" color="#2F528F [3204]" miterlimit="8" joinstyle="miter"/>
                    <v:imagedata o:title=""/>
                    <o:lock v:ext="edit" aspectratio="f"/>
                  </v:shape>
                  <v:shape id="椭圆 26" o:spid="_x0000_s1026" o:spt="3" type="#_x0000_t3" style="position:absolute;left:10750;top:420288;height:150;width:150;v-text-anchor:middle;" fillcolor="#4472C4 [3204]" filled="t" stroked="t" coordsize="21600,21600" o:gfxdata="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Hcne8AAAA&#10;2wAAAA8AAAAAAAAAAQAgAAAAIgAAAGRycy9kb3ducmV2LnhtbFBLAQIUABQAAAAIAIdO4kAzLwWe&#10;OwAAADkAAAAQAAAAAAAAAAEAIAAAAAsBAABkcnMvc2hhcGV4bWwueG1sUEsFBgAAAAAGAAYAWwEA&#10;ALUDAAAAAA==&#10;">
                    <v:fill on="t" focussize="0,0"/>
                    <v:stroke weight="1pt" color="#2F528F [3204]" miterlimit="8" joinstyle="miter"/>
                    <v:imagedata o:title=""/>
                    <o:lock v:ext="edit" aspectratio="f"/>
                  </v:shape>
                  <v:shape id="文本框 34" o:spid="_x0000_s1026" o:spt="202" type="#_x0000_t202" style="position:absolute;left:7746;top:420588;height:433;width:1978;" fillcolor="#FFFFFF [3201]" filled="t" stroked="f" coordsize="21600,21600" o:gfxdata="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oFaXq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rPr>
                              <w:rFonts w:hint="default" w:eastAsia="等线"/>
                              <w:sz w:val="18"/>
                              <w:szCs w:val="20"/>
                              <w:lang w:val="en-US" w:eastAsia="zh-CN"/>
                            </w:rPr>
                          </w:pPr>
                          <w:r>
                            <w:rPr>
                              <w:rFonts w:hint="eastAsia"/>
                              <w:sz w:val="18"/>
                              <w:szCs w:val="20"/>
                              <w:lang w:val="en-US" w:eastAsia="zh-CN"/>
                            </w:rPr>
                            <w:t>(b)</w:t>
                          </w:r>
                          <w:r>
                            <w:rPr>
                              <w:rFonts w:hint="eastAsia" w:ascii="Times New Roman" w:hAnsi="Times New Roman" w:eastAsia="宋体"/>
                              <w:highlight w:val="none"/>
                              <w:lang w:val="en-US" w:eastAsia="zh-CN"/>
                            </w:rPr>
                            <w:t>洞壁间距较大的</w:t>
                          </w:r>
                          <w:r>
                            <w:rPr>
                              <w:rFonts w:hint="eastAsia"/>
                              <w:sz w:val="18"/>
                              <w:szCs w:val="20"/>
                              <w:lang w:val="en-US" w:eastAsia="zh-CN"/>
                            </w:rPr>
                            <w:t xml:space="preserve"> </w:t>
                          </w:r>
                        </w:p>
                      </w:txbxContent>
                    </v:textbox>
                  </v:shape>
                </v:group>
              </v:group>
            </w:pict>
          </mc:Fallback>
        </mc:AlternateContent>
      </w:r>
    </w:p>
    <w:p>
      <w:pPr>
        <w:autoSpaceDE w:val="0"/>
        <w:autoSpaceDN w:val="0"/>
        <w:adjustRightInd w:val="0"/>
        <w:spacing w:line="360" w:lineRule="auto"/>
        <w:ind w:firstLine="420" w:firstLineChars="200"/>
        <w:jc w:val="left"/>
        <w:rPr>
          <w:rFonts w:ascii="Times New Roman" w:hAnsi="Times New Roman" w:eastAsia="宋体"/>
          <w:color w:val="auto"/>
          <w:szCs w:val="21"/>
          <w:highlight w:val="none"/>
        </w:rPr>
      </w:pPr>
    </w:p>
    <w:p>
      <w:pPr>
        <w:autoSpaceDE w:val="0"/>
        <w:autoSpaceDN w:val="0"/>
        <w:adjustRightInd w:val="0"/>
        <w:spacing w:line="360" w:lineRule="auto"/>
        <w:ind w:firstLine="420" w:firstLineChars="200"/>
        <w:jc w:val="left"/>
        <w:rPr>
          <w:rFonts w:ascii="Times New Roman" w:hAnsi="Times New Roman" w:eastAsia="宋体"/>
          <w:color w:val="auto"/>
          <w:szCs w:val="21"/>
          <w:highlight w:val="none"/>
        </w:rPr>
      </w:pPr>
      <w:r>
        <w:rPr>
          <w:color w:val="auto"/>
          <w:sz w:val="21"/>
          <w:highlight w:val="none"/>
        </w:rPr>
        <mc:AlternateContent>
          <mc:Choice Requires="wps">
            <w:drawing>
              <wp:anchor distT="0" distB="0" distL="114300" distR="114300" simplePos="0" relativeHeight="251712512" behindDoc="0" locked="0" layoutInCell="1" allowOverlap="1">
                <wp:simplePos x="0" y="0"/>
                <wp:positionH relativeFrom="column">
                  <wp:posOffset>809625</wp:posOffset>
                </wp:positionH>
                <wp:positionV relativeFrom="paragraph">
                  <wp:posOffset>243840</wp:posOffset>
                </wp:positionV>
                <wp:extent cx="3714750" cy="190500"/>
                <wp:effectExtent l="6350" t="6350" r="12700" b="12700"/>
                <wp:wrapNone/>
                <wp:docPr id="126" name="矩形 126"/>
                <wp:cNvGraphicFramePr/>
                <a:graphic xmlns:a="http://schemas.openxmlformats.org/drawingml/2006/main">
                  <a:graphicData uri="http://schemas.microsoft.com/office/word/2010/wordprocessingShape">
                    <wps:wsp>
                      <wps:cNvSpPr/>
                      <wps:spPr>
                        <a:xfrm>
                          <a:off x="0" y="0"/>
                          <a:ext cx="3714750"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75pt;margin-top:19.2pt;height:15pt;width:292.5pt;z-index:251712512;v-text-anchor:middle;mso-width-relative:page;mso-height-relative:page;" fillcolor="#4472C4 [3204]" filled="t" stroked="t" coordsize="21600,21600" o:gfxdata="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2TunDYAAAACQEAAA8AAAAAAAAA&#10;AQAgAAAAIgAAAGRycy9kb3ducmV2LnhtbFBLAQIUABQAAAAIAIdO4kA+G2Z6gwIAABkFAAAOAAAA&#10;AAAAAAEAIAAAACcBAABkcnMvZTJvRG9jLnhtbFBLBQYAAAAABgAGAFkBAAAcBgAAAAA=&#10;">
                <v:fill on="t" focussize="0,0"/>
                <v:stroke weight="1pt" color="#2F528F [3204]" miterlimit="8" joinstyle="miter"/>
                <v:imagedata o:title=""/>
                <o:lock v:ext="edit" aspectratio="f"/>
              </v:rect>
            </w:pict>
          </mc:Fallback>
        </mc:AlternateContent>
      </w:r>
    </w:p>
    <w:p>
      <w:pPr>
        <w:autoSpaceDE w:val="0"/>
        <w:autoSpaceDN w:val="0"/>
        <w:adjustRightInd w:val="0"/>
        <w:spacing w:line="360" w:lineRule="auto"/>
        <w:ind w:firstLine="420" w:firstLineChars="200"/>
        <w:jc w:val="left"/>
        <w:rPr>
          <w:rFonts w:ascii="Times New Roman" w:hAnsi="Times New Roman" w:eastAsia="宋体"/>
          <w:color w:val="auto"/>
          <w:szCs w:val="21"/>
          <w:highlight w:val="none"/>
        </w:rPr>
      </w:pPr>
    </w:p>
    <w:p>
      <w:pPr>
        <w:autoSpaceDE w:val="0"/>
        <w:autoSpaceDN w:val="0"/>
        <w:adjustRightInd w:val="0"/>
        <w:spacing w:line="360" w:lineRule="auto"/>
        <w:ind w:firstLine="420" w:firstLineChars="200"/>
        <w:jc w:val="left"/>
        <w:rPr>
          <w:rFonts w:ascii="Times New Roman" w:hAnsi="Times New Roman" w:eastAsia="宋体"/>
          <w:color w:val="auto"/>
          <w:szCs w:val="21"/>
          <w:highlight w:val="none"/>
        </w:rPr>
      </w:pPr>
    </w:p>
    <w:p>
      <w:pPr>
        <w:autoSpaceDE w:val="0"/>
        <w:autoSpaceDN w:val="0"/>
        <w:adjustRightInd w:val="0"/>
        <w:spacing w:line="360" w:lineRule="auto"/>
        <w:ind w:firstLine="420" w:firstLineChars="200"/>
        <w:jc w:val="left"/>
        <w:rPr>
          <w:rFonts w:ascii="Times New Roman" w:hAnsi="Times New Roman" w:eastAsia="宋体"/>
          <w:color w:val="auto"/>
          <w:szCs w:val="21"/>
          <w:highlight w:val="none"/>
        </w:rPr>
      </w:pPr>
      <w:r>
        <w:rPr>
          <w:color w:val="auto"/>
          <w:sz w:val="21"/>
          <w:highlight w:val="none"/>
        </w:rPr>
        <mc:AlternateContent>
          <mc:Choice Requires="wpg">
            <w:drawing>
              <wp:anchor distT="0" distB="0" distL="114300" distR="114300" simplePos="0" relativeHeight="251696128" behindDoc="0" locked="0" layoutInCell="1" allowOverlap="1">
                <wp:simplePos x="0" y="0"/>
                <wp:positionH relativeFrom="column">
                  <wp:posOffset>383540</wp:posOffset>
                </wp:positionH>
                <wp:positionV relativeFrom="paragraph">
                  <wp:posOffset>215265</wp:posOffset>
                </wp:positionV>
                <wp:extent cx="3796665" cy="1411605"/>
                <wp:effectExtent l="0" t="6350" r="13335" b="10795"/>
                <wp:wrapNone/>
                <wp:docPr id="131" name="组合 131"/>
                <wp:cNvGraphicFramePr/>
                <a:graphic xmlns:a="http://schemas.openxmlformats.org/drawingml/2006/main">
                  <a:graphicData uri="http://schemas.microsoft.com/office/word/2010/wordprocessingGroup">
                    <wpg:wgp>
                      <wpg:cNvGrpSpPr/>
                      <wpg:grpSpPr>
                        <a:xfrm>
                          <a:off x="0" y="0"/>
                          <a:ext cx="3796665" cy="1411605"/>
                          <a:chOff x="2752" y="748493"/>
                          <a:chExt cx="5979" cy="2223"/>
                        </a:xfrm>
                      </wpg:grpSpPr>
                      <wps:wsp>
                        <wps:cNvPr id="115" name="文本框 115"/>
                        <wps:cNvSpPr txBox="1"/>
                        <wps:spPr>
                          <a:xfrm>
                            <a:off x="2767" y="749511"/>
                            <a:ext cx="719" cy="4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sz w:val="18"/>
                                  <w:szCs w:val="20"/>
                                  <w:lang w:val="en-US" w:eastAsia="zh-CN"/>
                                </w:rPr>
                              </w:pPr>
                              <w:r>
                                <w:rPr>
                                  <w:rFonts w:hint="eastAsia"/>
                                  <w:sz w:val="18"/>
                                  <w:szCs w:val="20"/>
                                  <w:lang w:val="en-US" w:eastAsia="zh-CN"/>
                                </w:rPr>
                                <w:t xml:space="preserve">右洞 </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0" name="组合 100"/>
                        <wpg:cNvGrpSpPr/>
                        <wpg:grpSpPr>
                          <a:xfrm>
                            <a:off x="2752" y="748493"/>
                            <a:ext cx="5979" cy="1670"/>
                            <a:chOff x="4976" y="419608"/>
                            <a:chExt cx="5979" cy="1670"/>
                          </a:xfrm>
                        </wpg:grpSpPr>
                        <wps:wsp>
                          <wps:cNvPr id="101" name="文本框 30"/>
                          <wps:cNvSpPr txBox="1"/>
                          <wps:spPr>
                            <a:xfrm>
                              <a:off x="4976" y="419783"/>
                              <a:ext cx="719" cy="4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sz w:val="18"/>
                                    <w:szCs w:val="20"/>
                                    <w:lang w:val="en-US" w:eastAsia="zh-CN"/>
                                  </w:rPr>
                                </w:pPr>
                                <w:r>
                                  <w:rPr>
                                    <w:rFonts w:hint="eastAsia"/>
                                    <w:sz w:val="18"/>
                                    <w:szCs w:val="20"/>
                                    <w:lang w:val="en-US" w:eastAsia="zh-CN"/>
                                  </w:rPr>
                                  <w:t xml:space="preserve">左洞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椭圆 23"/>
                          <wps:cNvSpPr/>
                          <wps:spPr>
                            <a:xfrm>
                              <a:off x="6048" y="419608"/>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6" name="椭圆 24"/>
                          <wps:cNvSpPr/>
                          <wps:spPr>
                            <a:xfrm>
                              <a:off x="8417" y="421128"/>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 name="椭圆 26"/>
                          <wps:cNvSpPr/>
                          <wps:spPr>
                            <a:xfrm>
                              <a:off x="10805" y="419608"/>
                              <a:ext cx="150" cy="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14" name="文本框 34"/>
                        <wps:cNvSpPr txBox="1"/>
                        <wps:spPr>
                          <a:xfrm>
                            <a:off x="4843" y="750283"/>
                            <a:ext cx="3247" cy="4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sz w:val="18"/>
                                  <w:szCs w:val="20"/>
                                  <w:lang w:val="en-US" w:eastAsia="zh-CN"/>
                                </w:rPr>
                              </w:pPr>
                              <w:r>
                                <w:rPr>
                                  <w:rFonts w:hint="eastAsia"/>
                                  <w:sz w:val="18"/>
                                  <w:szCs w:val="20"/>
                                  <w:lang w:val="en-US" w:eastAsia="zh-CN"/>
                                </w:rPr>
                                <w:t>(c)</w:t>
                              </w:r>
                              <w:r>
                                <w:rPr>
                                  <w:rFonts w:hint="eastAsia" w:ascii="Times New Roman" w:hAnsi="Times New Roman" w:eastAsia="宋体"/>
                                  <w:highlight w:val="none"/>
                                  <w:lang w:val="en-US" w:eastAsia="zh-CN"/>
                                </w:rPr>
                                <w:t>洞壁间距较小的或小净距隧道</w:t>
                              </w:r>
                              <w:r>
                                <w:rPr>
                                  <w:rFonts w:hint="eastAsia"/>
                                  <w:sz w:val="18"/>
                                  <w:szCs w:val="20"/>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0.2pt;margin-top:16.95pt;height:111.15pt;width:298.95pt;z-index:251696128;mso-width-relative:page;mso-height-relative:page;" coordorigin="2752,748493" coordsize="5979,2223" o:gfxdata="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">
                <o:lock v:ext="edit" aspectratio="f"/>
                <v:shape id="_x0000_s1026" o:spid="_x0000_s1026" o:spt="202" type="#_x0000_t202" style="position:absolute;left:2767;top:749511;height:433;width:719;" fillcolor="#FFFFFF [3201]" filled="t" stroked="f" coordsize="21600,21600" o:gfxdata="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I0bwC2AAAA3A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rPr>
                            <w:rFonts w:hint="default" w:eastAsia="等线"/>
                            <w:sz w:val="18"/>
                            <w:szCs w:val="20"/>
                            <w:lang w:val="en-US" w:eastAsia="zh-CN"/>
                          </w:rPr>
                        </w:pPr>
                        <w:r>
                          <w:rPr>
                            <w:rFonts w:hint="eastAsia"/>
                            <w:sz w:val="18"/>
                            <w:szCs w:val="20"/>
                            <w:lang w:val="en-US" w:eastAsia="zh-CN"/>
                          </w:rPr>
                          <w:t xml:space="preserve">右洞 </w:t>
                        </w:r>
                      </w:p>
                    </w:txbxContent>
                  </v:textbox>
                </v:shape>
                <v:group id="_x0000_s1026" o:spid="_x0000_s1026" o:spt="203" style="position:absolute;left:2752;top:748493;height:1670;width:5979;" coordorigin="4976,419608" coordsize="5979,1670" o:gfxdata="UEsDBAoAAAAAAIdO4kAAAAAAAAAAAAAAAAAEAAAAZHJzL1BLAwQUAAAACACHTuJAjZqd0b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mp3RvwAAANwAAAAPAAAAAAAAAAEAIAAAACIAAABkcnMvZG93bnJldi54&#10;bWxQSwECFAAUAAAACACHTuJAMy8FnjsAAAA5AAAAFQAAAAAAAAABACAAAAAOAQAAZHJzL2dyb3Vw&#10;c2hhcGV4bWwueG1sUEsFBgAAAAAGAAYAYAEAAMsDAAAAAA==&#10;">
                  <o:lock v:ext="edit" aspectratio="f"/>
                  <v:shape id="文本框 30" o:spid="_x0000_s1026" o:spt="202" type="#_x0000_t202" style="position:absolute;left:4976;top:419783;height:433;width:719;" fillcolor="#FFFFFF [3201]" filled="t" stroked="f" coordsize="21600,21600" o:gfxdata="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1v/e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rPr>
                              <w:rFonts w:hint="default" w:eastAsia="等线"/>
                              <w:sz w:val="18"/>
                              <w:szCs w:val="20"/>
                              <w:lang w:val="en-US" w:eastAsia="zh-CN"/>
                            </w:rPr>
                          </w:pPr>
                          <w:r>
                            <w:rPr>
                              <w:rFonts w:hint="eastAsia"/>
                              <w:sz w:val="18"/>
                              <w:szCs w:val="20"/>
                              <w:lang w:val="en-US" w:eastAsia="zh-CN"/>
                            </w:rPr>
                            <w:t xml:space="preserve">左洞 </w:t>
                          </w:r>
                        </w:p>
                      </w:txbxContent>
                    </v:textbox>
                  </v:shape>
                  <v:shape id="椭圆 23" o:spid="_x0000_s1026" o:spt="3" type="#_x0000_t3" style="position:absolute;left:6048;top:419608;height:150;width:150;v-text-anchor:middle;" fillcolor="#4472C4 [3204]" filled="t" stroked="t" coordsize="21600,21600" o:gfxdata="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C6tlugAAANwA&#10;AAAPAAAAAAAAAAEAIAAAACIAAABkcnMvZG93bnJldi54bWxQSwECFAAUAAAACACHTuJAMy8FnjsA&#10;AAA5AAAAEAAAAAAAAAABACAAAAAJAQAAZHJzL3NoYXBleG1sLnhtbFBLBQYAAAAABgAGAFsBAACz&#10;AwAAAAA=&#10;">
                    <v:fill on="t" focussize="0,0"/>
                    <v:stroke weight="1pt" color="#2F528F [3204]" miterlimit="8" joinstyle="miter"/>
                    <v:imagedata o:title=""/>
                    <o:lock v:ext="edit" aspectratio="f"/>
                  </v:shape>
                  <v:shape id="椭圆 24" o:spid="_x0000_s1026" o:spt="3" type="#_x0000_t3" style="position:absolute;left:8417;top:421128;height:150;width:150;v-text-anchor:middle;" fillcolor="#4472C4 [3204]" filled="t" stroked="t" coordsize="21600,21600" o:gfxdata="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ZNRK5AAAA3AAA&#10;AA8AAAAAAAAAAQAgAAAAIgAAAGRycy9kb3ducmV2LnhtbFBLAQIUABQAAAAIAIdO4kAzLwWeOwAA&#10;ADkAAAAQAAAAAAAAAAEAIAAAAAgBAABkcnMvc2hhcGV4bWwueG1sUEsFBgAAAAAGAAYAWwEAALID&#10;AAAAAA==&#10;">
                    <v:fill on="t" focussize="0,0"/>
                    <v:stroke weight="1pt" color="#2F528F [3204]" miterlimit="8" joinstyle="miter"/>
                    <v:imagedata o:title=""/>
                    <o:lock v:ext="edit" aspectratio="f"/>
                  </v:shape>
                  <v:shape id="椭圆 26" o:spid="_x0000_s1026" o:spt="3" type="#_x0000_t3" style="position:absolute;left:10805;top:419608;height:150;width:150;v-text-anchor:middle;" fillcolor="#4472C4 [3204]" filled="t" stroked="t" coordsize="21600,21600" o:gfxdata="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qVkIm5AAAA3AAA&#10;AA8AAAAAAAAAAQAgAAAAIgAAAGRycy9kb3ducmV2LnhtbFBLAQIUABQAAAAIAIdO4kAzLwWeOwAA&#10;ADkAAAAQAAAAAAAAAAEAIAAAAAgBAABkcnMvc2hhcGV4bWwueG1sUEsFBgAAAAAGAAYAWwEAALID&#10;AAAAAA==&#10;">
                    <v:fill on="t" focussize="0,0"/>
                    <v:stroke weight="1pt" color="#2F528F [3204]" miterlimit="8" joinstyle="miter"/>
                    <v:imagedata o:title=""/>
                    <o:lock v:ext="edit" aspectratio="f"/>
                  </v:shape>
                </v:group>
                <v:shape id="文本框 34" o:spid="_x0000_s1026" o:spt="202" type="#_x0000_t202" style="position:absolute;left:4843;top:750283;height:433;width:3247;" fillcolor="#FFFFFF [3201]" filled="t" stroked="f" coordsize="21600,21600" o:gfxdata="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XjKm7UAAADc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rPr>
                            <w:rFonts w:hint="default" w:eastAsia="等线"/>
                            <w:sz w:val="18"/>
                            <w:szCs w:val="20"/>
                            <w:lang w:val="en-US" w:eastAsia="zh-CN"/>
                          </w:rPr>
                        </w:pPr>
                        <w:r>
                          <w:rPr>
                            <w:rFonts w:hint="eastAsia"/>
                            <w:sz w:val="18"/>
                            <w:szCs w:val="20"/>
                            <w:lang w:val="en-US" w:eastAsia="zh-CN"/>
                          </w:rPr>
                          <w:t>(c)</w:t>
                        </w:r>
                        <w:r>
                          <w:rPr>
                            <w:rFonts w:hint="eastAsia" w:ascii="Times New Roman" w:hAnsi="Times New Roman" w:eastAsia="宋体"/>
                            <w:highlight w:val="none"/>
                            <w:lang w:val="en-US" w:eastAsia="zh-CN"/>
                          </w:rPr>
                          <w:t>洞壁间距较小的或小净距隧道</w:t>
                        </w:r>
                        <w:r>
                          <w:rPr>
                            <w:rFonts w:hint="eastAsia"/>
                            <w:sz w:val="18"/>
                            <w:szCs w:val="20"/>
                            <w:lang w:val="en-US" w:eastAsia="zh-CN"/>
                          </w:rPr>
                          <w:t xml:space="preserve"> </w:t>
                        </w:r>
                      </w:p>
                    </w:txbxContent>
                  </v:textbox>
                </v:shape>
              </v:group>
            </w:pict>
          </mc:Fallback>
        </mc:AlternateContent>
      </w:r>
    </w:p>
    <w:p>
      <w:pPr>
        <w:autoSpaceDE w:val="0"/>
        <w:autoSpaceDN w:val="0"/>
        <w:adjustRightInd w:val="0"/>
        <w:spacing w:line="360" w:lineRule="auto"/>
        <w:ind w:firstLine="420" w:firstLineChars="200"/>
        <w:jc w:val="left"/>
        <w:rPr>
          <w:rFonts w:ascii="Times New Roman" w:hAnsi="Times New Roman" w:eastAsia="宋体"/>
          <w:color w:val="auto"/>
          <w:szCs w:val="21"/>
          <w:highlight w:val="none"/>
        </w:rPr>
      </w:pPr>
      <w:r>
        <w:rPr>
          <w:color w:val="auto"/>
          <w:sz w:val="21"/>
          <w:highlight w:val="none"/>
        </w:rPr>
        <mc:AlternateContent>
          <mc:Choice Requires="wps">
            <w:drawing>
              <wp:anchor distT="0" distB="0" distL="114300" distR="114300" simplePos="0" relativeHeight="251713536" behindDoc="0" locked="0" layoutInCell="1" allowOverlap="1">
                <wp:simplePos x="0" y="0"/>
                <wp:positionH relativeFrom="column">
                  <wp:posOffset>806450</wp:posOffset>
                </wp:positionH>
                <wp:positionV relativeFrom="paragraph">
                  <wp:posOffset>76835</wp:posOffset>
                </wp:positionV>
                <wp:extent cx="3714750" cy="190500"/>
                <wp:effectExtent l="6350" t="6350" r="12700" b="12700"/>
                <wp:wrapNone/>
                <wp:docPr id="132" name="矩形 132"/>
                <wp:cNvGraphicFramePr/>
                <a:graphic xmlns:a="http://schemas.openxmlformats.org/drawingml/2006/main">
                  <a:graphicData uri="http://schemas.microsoft.com/office/word/2010/wordprocessingShape">
                    <wps:wsp>
                      <wps:cNvSpPr/>
                      <wps:spPr>
                        <a:xfrm>
                          <a:off x="0" y="0"/>
                          <a:ext cx="3714750"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5pt;margin-top:6.05pt;height:15pt;width:292.5pt;z-index:251713536;v-text-anchor:middle;mso-width-relative:page;mso-height-relative:page;" fillcolor="#4472C4 [3204]" filled="t" stroked="t" coordsize="21600,21600" o:gfxdata="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OLTG9YAAAAJAQAADwAAAAAAAAAB&#10;ACAAAAAiAAAAZHJzL2Rvd25yZXYueG1sUEsBAhQAFAAAAAgAh07iQAo3kk2EAgAAGQUAAA4AAAAA&#10;AAAAAQAgAAAAJQEAAGRycy9lMm9Eb2MueG1sUEsFBgAAAAAGAAYAWQEAABsGAAAAAA==&#10;">
                <v:fill on="t" focussize="0,0"/>
                <v:stroke weight="1pt" color="#2F528F [3204]" miterlimit="8" joinstyle="miter"/>
                <v:imagedata o:title=""/>
                <o:lock v:ext="edit" aspectratio="f"/>
              </v:rect>
            </w:pict>
          </mc:Fallback>
        </mc:AlternateContent>
      </w:r>
    </w:p>
    <w:p>
      <w:pPr>
        <w:autoSpaceDE w:val="0"/>
        <w:autoSpaceDN w:val="0"/>
        <w:adjustRightInd w:val="0"/>
        <w:spacing w:line="360" w:lineRule="auto"/>
        <w:ind w:firstLine="420" w:firstLineChars="200"/>
        <w:jc w:val="left"/>
        <w:rPr>
          <w:rFonts w:ascii="Times New Roman" w:hAnsi="Times New Roman" w:eastAsia="宋体"/>
          <w:color w:val="auto"/>
          <w:szCs w:val="21"/>
          <w:highlight w:val="none"/>
        </w:rPr>
      </w:pPr>
    </w:p>
    <w:p>
      <w:pPr>
        <w:autoSpaceDE w:val="0"/>
        <w:autoSpaceDN w:val="0"/>
        <w:adjustRightInd w:val="0"/>
        <w:spacing w:line="360" w:lineRule="auto"/>
        <w:ind w:firstLine="420" w:firstLineChars="200"/>
        <w:jc w:val="left"/>
        <w:rPr>
          <w:rFonts w:ascii="Times New Roman" w:hAnsi="Times New Roman" w:eastAsia="宋体"/>
          <w:color w:val="auto"/>
          <w:szCs w:val="21"/>
          <w:highlight w:val="none"/>
        </w:rPr>
      </w:pPr>
      <w:r>
        <w:rPr>
          <w:color w:val="auto"/>
          <w:sz w:val="21"/>
          <w:highlight w:val="none"/>
        </w:rPr>
        <mc:AlternateContent>
          <mc:Choice Requires="wps">
            <w:drawing>
              <wp:anchor distT="0" distB="0" distL="114300" distR="114300" simplePos="0" relativeHeight="251714560" behindDoc="0" locked="0" layoutInCell="1" allowOverlap="1">
                <wp:simplePos x="0" y="0"/>
                <wp:positionH relativeFrom="column">
                  <wp:posOffset>807720</wp:posOffset>
                </wp:positionH>
                <wp:positionV relativeFrom="paragraph">
                  <wp:posOffset>9525</wp:posOffset>
                </wp:positionV>
                <wp:extent cx="3714750" cy="190500"/>
                <wp:effectExtent l="6350" t="6350" r="12700" b="12700"/>
                <wp:wrapNone/>
                <wp:docPr id="158" name="矩形 158"/>
                <wp:cNvGraphicFramePr/>
                <a:graphic xmlns:a="http://schemas.openxmlformats.org/drawingml/2006/main">
                  <a:graphicData uri="http://schemas.microsoft.com/office/word/2010/wordprocessingShape">
                    <wps:wsp>
                      <wps:cNvSpPr/>
                      <wps:spPr>
                        <a:xfrm>
                          <a:off x="0" y="0"/>
                          <a:ext cx="3714750"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6pt;margin-top:0.75pt;height:15pt;width:292.5pt;z-index:251714560;v-text-anchor:middle;mso-width-relative:page;mso-height-relative:page;" fillcolor="#4472C4 [3204]" filled="t" stroked="t" coordsize="21600,21600" o:gfxdata="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oWaePNcAAAAIAQAADwAAAAAAAAAB&#10;ACAAAAAiAAAAZHJzL2Rvd25yZXYueG1sUEsBAhQAFAAAAAgAh07iQOBn4BiDAgAAGQUAAA4AAAAA&#10;AAAAAQAgAAAAJgEAAGRycy9lMm9Eb2MueG1sUEsFBgAAAAAGAAYAWQEAABsGAAAAAA==&#10;">
                <v:fill on="t" focussize="0,0"/>
                <v:stroke weight="1pt" color="#2F528F [3204]" miterlimit="8" joinstyle="miter"/>
                <v:imagedata o:title=""/>
                <o:lock v:ext="edit" aspectratio="f"/>
              </v:rect>
            </w:pict>
          </mc:Fallback>
        </mc:AlternateContent>
      </w:r>
    </w:p>
    <w:p>
      <w:pPr>
        <w:autoSpaceDE w:val="0"/>
        <w:autoSpaceDN w:val="0"/>
        <w:adjustRightInd w:val="0"/>
        <w:spacing w:line="360" w:lineRule="auto"/>
        <w:ind w:firstLine="420" w:firstLineChars="200"/>
        <w:jc w:val="left"/>
        <w:rPr>
          <w:rFonts w:ascii="Times New Roman" w:hAnsi="Times New Roman" w:eastAsia="宋体"/>
          <w:color w:val="auto"/>
          <w:szCs w:val="21"/>
          <w:highlight w:val="none"/>
        </w:rPr>
      </w:pPr>
    </w:p>
    <w:p>
      <w:pPr>
        <w:spacing w:line="360" w:lineRule="auto"/>
        <w:jc w:val="center"/>
        <w:rPr>
          <w:rFonts w:hint="eastAsia" w:ascii="Times New Roman" w:hAnsi="Times New Roman" w:eastAsia="宋体"/>
          <w:b/>
          <w:bCs/>
          <w:color w:val="auto"/>
          <w:highlight w:val="none"/>
          <w:lang w:val="en-US" w:eastAsia="zh-CN"/>
        </w:rPr>
      </w:pPr>
    </w:p>
    <w:p>
      <w:pPr>
        <w:spacing w:line="360" w:lineRule="auto"/>
        <w:jc w:val="center"/>
        <w:rPr>
          <w:rFonts w:hint="default"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图7-1 双洞隧道勘探点布置形式示意图</w:t>
      </w:r>
    </w:p>
    <w:p>
      <w:pPr>
        <w:autoSpaceDE w:val="0"/>
        <w:autoSpaceDN w:val="0"/>
        <w:adjustRightInd w:val="0"/>
        <w:spacing w:line="360" w:lineRule="auto"/>
        <w:ind w:firstLine="420" w:firstLineChars="200"/>
        <w:jc w:val="left"/>
        <w:rPr>
          <w:rFonts w:hint="eastAsia" w:ascii="Times New Roman" w:hAnsi="Times New Roman" w:eastAsia="宋体"/>
          <w:color w:val="auto"/>
          <w:szCs w:val="21"/>
          <w:highlight w:val="none"/>
          <w:lang w:val="en-US" w:eastAsia="zh-CN"/>
        </w:rPr>
      </w:pPr>
      <w:r>
        <w:rPr>
          <w:rFonts w:ascii="Times New Roman" w:hAnsi="Times New Roman" w:eastAsia="宋体"/>
          <w:color w:val="auto"/>
          <w:szCs w:val="21"/>
          <w:highlight w:val="none"/>
        </w:rPr>
        <w:t>根据《公路隧道设计规范》JTG 3370.1-2018</w:t>
      </w:r>
      <w:r>
        <w:rPr>
          <w:rFonts w:hint="eastAsia" w:ascii="Times New Roman" w:hAnsi="Times New Roman" w:eastAsia="宋体"/>
          <w:color w:val="auto"/>
          <w:szCs w:val="21"/>
          <w:highlight w:val="none"/>
          <w:lang w:val="en-US" w:eastAsia="zh-CN"/>
        </w:rPr>
        <w:t>第4.3.3条</w:t>
      </w:r>
      <w:r>
        <w:rPr>
          <w:rFonts w:hint="eastAsia" w:ascii="Times New Roman" w:hAnsi="Times New Roman" w:eastAsia="宋体"/>
          <w:color w:val="auto"/>
          <w:szCs w:val="21"/>
          <w:highlight w:val="none"/>
          <w:lang w:eastAsia="zh-CN"/>
        </w:rPr>
        <w:t>，</w:t>
      </w:r>
      <w:r>
        <w:rPr>
          <w:rFonts w:hint="eastAsia" w:ascii="Times New Roman" w:hAnsi="Times New Roman" w:eastAsia="宋体"/>
          <w:color w:val="auto"/>
          <w:szCs w:val="21"/>
          <w:highlight w:val="none"/>
          <w:lang w:val="en-US" w:eastAsia="zh-CN"/>
        </w:rPr>
        <w:t>双洞隧道一般要求洞壁间距为开挖宽度的0.8~2.0倍。据查，城市隧道洞径一般为7.5m~15m，故而双洞隧道的洞壁间距一般为6m~30m。根据第11.2.2条，小净距隧道双洞洞壁间距可小于0.8倍开挖宽度。</w:t>
      </w:r>
    </w:p>
    <w:p>
      <w:pPr>
        <w:autoSpaceDE w:val="0"/>
        <w:autoSpaceDN w:val="0"/>
        <w:adjustRightInd w:val="0"/>
        <w:spacing w:line="360" w:lineRule="auto"/>
        <w:ind w:firstLine="420" w:firstLineChars="200"/>
        <w:jc w:val="left"/>
        <w:rPr>
          <w:rFonts w:hint="default" w:ascii="Times New Roman" w:hAnsi="Times New Roman" w:eastAsia="宋体"/>
          <w:color w:val="auto"/>
          <w:highlight w:val="none"/>
          <w:lang w:val="en-US" w:eastAsia="zh-CN"/>
        </w:rPr>
      </w:pPr>
      <w:r>
        <w:rPr>
          <w:rFonts w:hint="eastAsia" w:ascii="Times New Roman" w:hAnsi="Times New Roman" w:eastAsia="宋体"/>
          <w:color w:val="auto"/>
          <w:szCs w:val="21"/>
          <w:highlight w:val="none"/>
          <w:lang w:val="en-US" w:eastAsia="zh-CN"/>
        </w:rPr>
        <w:t>表7.1.4中，双洞隧道两洞间间距的大小划分，基本原则为：超过勘探点布置要求的洞壁外容许距离上限（山岭隧道8m，平原隧道5m，水下隧道10m）的（2.5~3.0）倍为大，小于0.8倍洞径（即属于</w:t>
      </w:r>
      <w:r>
        <w:rPr>
          <w:rFonts w:hint="eastAsia" w:ascii="Times New Roman" w:hAnsi="Times New Roman" w:eastAsia="宋体"/>
          <w:color w:val="auto"/>
          <w:highlight w:val="none"/>
          <w:lang w:val="en-US" w:eastAsia="zh-CN"/>
        </w:rPr>
        <w:t>小净距双洞隧道时）为小，比0.8倍洞径大2m以内为较小，余下范围为较大。间距大的，宜两个洞分别布孔；间距较大的，可共用中间钻孔；间距较小的，可参考较大的，也可参考小的；间距小的，宜当作一个洞布孔。</w:t>
      </w:r>
    </w:p>
    <w:p>
      <w:pPr>
        <w:spacing w:line="360" w:lineRule="auto"/>
        <w:rPr>
          <w:rFonts w:ascii="Times New Roman" w:hAnsi="Times New Roman" w:eastAsia="宋体"/>
          <w:b/>
          <w:bCs/>
          <w:color w:val="auto"/>
          <w:highlight w:val="none"/>
        </w:rPr>
      </w:pPr>
      <w:r>
        <w:rPr>
          <w:rFonts w:ascii="Times New Roman" w:hAnsi="Times New Roman" w:eastAsia="宋体"/>
          <w:b/>
          <w:bCs/>
          <w:color w:val="auto"/>
          <w:highlight w:val="none"/>
        </w:rPr>
        <w:t>7.1.</w:t>
      </w:r>
      <w:r>
        <w:rPr>
          <w:rFonts w:hint="eastAsia" w:ascii="Times New Roman" w:hAnsi="Times New Roman" w:eastAsia="宋体"/>
          <w:b/>
          <w:bCs/>
          <w:color w:val="auto"/>
          <w:highlight w:val="none"/>
          <w:lang w:val="en-US" w:eastAsia="zh-CN"/>
        </w:rPr>
        <w:t xml:space="preserve">5 </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就本条第1~3款说明如下：</w:t>
      </w:r>
    </w:p>
    <w:p>
      <w:pPr>
        <w:autoSpaceDE w:val="0"/>
        <w:autoSpaceDN w:val="0"/>
        <w:adjustRightInd w:val="0"/>
        <w:spacing w:line="360" w:lineRule="auto"/>
        <w:ind w:firstLine="422" w:firstLineChars="200"/>
        <w:jc w:val="left"/>
        <w:rPr>
          <w:rFonts w:ascii="Times New Roman" w:hAnsi="Times New Roman" w:eastAsia="宋体"/>
          <w:color w:val="auto"/>
          <w:highlight w:val="none"/>
        </w:rPr>
      </w:pPr>
      <w:r>
        <w:rPr>
          <w:rFonts w:ascii="Times New Roman" w:hAnsi="Times New Roman" w:eastAsia="宋体"/>
          <w:b/>
          <w:bCs/>
          <w:color w:val="auto"/>
          <w:highlight w:val="none"/>
        </w:rPr>
        <w:t xml:space="preserve">1 </w:t>
      </w:r>
      <w:r>
        <w:rPr>
          <w:rFonts w:hint="eastAsia"/>
          <w:b/>
          <w:bCs/>
          <w:color w:val="auto"/>
          <w:highlight w:val="none"/>
          <w:lang w:val="en-US" w:eastAsia="zh-CN"/>
        </w:rPr>
        <w:t xml:space="preserve"> </w:t>
      </w:r>
      <w:r>
        <w:rPr>
          <w:rFonts w:ascii="Times New Roman" w:hAnsi="Times New Roman" w:eastAsia="宋体"/>
          <w:color w:val="auto"/>
          <w:highlight w:val="none"/>
        </w:rPr>
        <w:t>放坡开挖或沉管法隧道，边坡一般采取自然放坡，需要判断地基承载力和边坡稳定坡率，浅部土层的物理力学性质是关键；支护开挖、盖挖法隧道一般有对撑，支护结构的嵌固深度一般在0.5倍开挖深度范围内，在此深度以上部分地层的物理力学参数是设计的重要依据。故这些范围的土层应加强采样和测试工作。松散地层内的盾构法、矿山法、新奥法隧道，设计洞底标高以上的土体涉及洞身的稳定，洞底至其下的浅层土关系到地基承载力，需要取土样。考虑到一般隧道暗埋段比明挖段基底破坏后更难修复，设计荷载也更大，所以本条要求取样的厚度范围也比上一条要求的厚度范围大。松散地层指土层、岩土混合层、和全、强风化层岩层。取样测试孔的原位测试间距宜结合取样进行控制。</w:t>
      </w:r>
    </w:p>
    <w:p>
      <w:pPr>
        <w:autoSpaceDE w:val="0"/>
        <w:autoSpaceDN w:val="0"/>
        <w:adjustRightInd w:val="0"/>
        <w:spacing w:line="360" w:lineRule="auto"/>
        <w:ind w:firstLine="422" w:firstLineChars="200"/>
        <w:jc w:val="left"/>
        <w:rPr>
          <w:rFonts w:ascii="Times New Roman" w:hAnsi="Times New Roman" w:eastAsia="宋体"/>
          <w:color w:val="auto"/>
          <w:highlight w:val="none"/>
        </w:rPr>
      </w:pPr>
      <w:r>
        <w:rPr>
          <w:rFonts w:ascii="Times New Roman" w:hAnsi="Times New Roman" w:eastAsia="宋体"/>
          <w:b/>
          <w:bCs/>
          <w:color w:val="auto"/>
          <w:highlight w:val="none"/>
        </w:rPr>
        <w:t xml:space="preserve">2 </w:t>
      </w:r>
      <w:r>
        <w:rPr>
          <w:rFonts w:hint="eastAsia"/>
          <w:b/>
          <w:bCs/>
          <w:color w:val="auto"/>
          <w:highlight w:val="none"/>
          <w:lang w:val="en-US" w:eastAsia="zh-CN"/>
        </w:rPr>
        <w:t xml:space="preserve"> </w:t>
      </w:r>
      <w:r>
        <w:rPr>
          <w:rFonts w:ascii="Times New Roman" w:hAnsi="Times New Roman" w:eastAsia="宋体"/>
          <w:color w:val="auto"/>
          <w:highlight w:val="none"/>
        </w:rPr>
        <w:t>穿越岩体的隧道，其取样与测试要求主要参照</w:t>
      </w:r>
      <w:r>
        <w:rPr>
          <w:rFonts w:ascii="Times New Roman" w:hAnsi="Times New Roman" w:eastAsia="宋体"/>
          <w:color w:val="auto"/>
          <w:kern w:val="0"/>
          <w:szCs w:val="21"/>
          <w:highlight w:val="none"/>
        </w:rPr>
        <w:t>《公路工程地质勘察规范》JTG C20基础上增加了取样间距的要求；而该规范中</w:t>
      </w:r>
      <w:r>
        <w:rPr>
          <w:rFonts w:hint="eastAsia" w:ascii="宋体" w:hAnsi="宋体" w:eastAsia="宋体" w:cs="宋体"/>
          <w:color w:val="auto"/>
          <w:kern w:val="0"/>
          <w:szCs w:val="21"/>
          <w:highlight w:val="none"/>
        </w:rPr>
        <w:t>“</w:t>
      </w:r>
      <w:r>
        <w:rPr>
          <w:rFonts w:ascii="Times New Roman" w:hAnsi="Times New Roman" w:eastAsia="宋体"/>
          <w:color w:val="auto"/>
          <w:kern w:val="0"/>
          <w:szCs w:val="21"/>
          <w:highlight w:val="none"/>
        </w:rPr>
        <w:t>设计高程以上</w:t>
      </w:r>
      <w:r>
        <w:rPr>
          <w:rFonts w:ascii="Times New Roman" w:hAnsi="Times New Roman" w:eastAsia="宋体"/>
          <w:color w:val="auto"/>
          <w:highlight w:val="none"/>
        </w:rPr>
        <w:t>3~5</w:t>
      </w:r>
      <w:r>
        <w:rPr>
          <w:rFonts w:ascii="Times New Roman" w:hAnsi="Times New Roman" w:eastAsia="宋体"/>
          <w:color w:val="auto"/>
          <w:kern w:val="0"/>
          <w:szCs w:val="21"/>
          <w:highlight w:val="none"/>
        </w:rPr>
        <w:t>倍洞径范围</w:t>
      </w:r>
      <w:r>
        <w:rPr>
          <w:rFonts w:hint="eastAsia" w:ascii="宋体" w:hAnsi="宋体" w:eastAsia="宋体" w:cs="宋体"/>
          <w:color w:val="auto"/>
          <w:kern w:val="0"/>
          <w:szCs w:val="21"/>
          <w:highlight w:val="none"/>
        </w:rPr>
        <w:t>内”的</w:t>
      </w:r>
      <w:r>
        <w:rPr>
          <w:rFonts w:ascii="Times New Roman" w:hAnsi="Times New Roman" w:eastAsia="宋体"/>
          <w:color w:val="auto"/>
          <w:kern w:val="0"/>
          <w:szCs w:val="21"/>
          <w:highlight w:val="none"/>
        </w:rPr>
        <w:t>表述易产生歧义，即设计高程是洞底高程还是洞顶高程有歧义，甚至可能被理解成洞顶以上3倍洞径至洞顶以上5倍洞径范围，故在此修改为</w:t>
      </w:r>
      <w:r>
        <w:rPr>
          <w:rFonts w:hint="eastAsia" w:ascii="宋体" w:hAnsi="宋体" w:eastAsia="宋体" w:cs="宋体"/>
          <w:color w:val="auto"/>
          <w:kern w:val="0"/>
          <w:szCs w:val="21"/>
          <w:highlight w:val="none"/>
        </w:rPr>
        <w:t>“</w:t>
      </w:r>
      <w:r>
        <w:rPr>
          <w:rFonts w:ascii="Times New Roman" w:hAnsi="Times New Roman" w:eastAsia="宋体"/>
          <w:color w:val="auto"/>
          <w:kern w:val="0"/>
          <w:szCs w:val="21"/>
          <w:highlight w:val="none"/>
        </w:rPr>
        <w:t>设计洞底标高至其上</w:t>
      </w:r>
      <w:r>
        <w:rPr>
          <w:rFonts w:ascii="Times New Roman" w:hAnsi="Times New Roman" w:eastAsia="宋体"/>
          <w:color w:val="auto"/>
          <w:highlight w:val="none"/>
        </w:rPr>
        <w:t>3~5</w:t>
      </w:r>
      <w:r>
        <w:rPr>
          <w:rFonts w:ascii="Times New Roman" w:hAnsi="Times New Roman" w:eastAsia="宋体"/>
          <w:color w:val="auto"/>
          <w:kern w:val="0"/>
          <w:szCs w:val="21"/>
          <w:highlight w:val="none"/>
        </w:rPr>
        <w:t>倍洞径范围</w:t>
      </w:r>
      <w:r>
        <w:rPr>
          <w:rFonts w:hint="eastAsia" w:ascii="宋体" w:hAnsi="宋体" w:eastAsia="宋体" w:cs="宋体"/>
          <w:color w:val="auto"/>
          <w:kern w:val="0"/>
          <w:szCs w:val="21"/>
          <w:highlight w:val="none"/>
        </w:rPr>
        <w:t>内”</w:t>
      </w:r>
      <w:r>
        <w:rPr>
          <w:rFonts w:ascii="Times New Roman" w:hAnsi="Times New Roman" w:eastAsia="宋体"/>
          <w:color w:val="auto"/>
          <w:kern w:val="0"/>
          <w:szCs w:val="21"/>
          <w:highlight w:val="none"/>
        </w:rPr>
        <w:t>而消除歧义</w:t>
      </w:r>
      <w:r>
        <w:rPr>
          <w:rFonts w:ascii="Times New Roman" w:hAnsi="Times New Roman" w:eastAsia="宋体"/>
          <w:color w:val="auto"/>
          <w:highlight w:val="none"/>
        </w:rPr>
        <w:t>。由于岩体相较松散地层稳定性更好，故取样间距要求比松散地层略为放宽。</w:t>
      </w:r>
      <w:bookmarkStart w:id="381" w:name="_Hlk78895477"/>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ascii="Times New Roman" w:hAnsi="Times New Roman" w:eastAsia="宋体"/>
          <w:color w:val="auto"/>
          <w:highlight w:val="none"/>
        </w:rPr>
        <w:t>同时，岩体内的隧道，轴向长度一般比较大，地层变化可能较小，但是节理、裂隙、夹层、岩脉、风化程度差异等可能导致同一岩层的岩样强度试验值较为离散，若按6组取样，可能对准确判断围岩工程性质带来较大困扰；而岩体内的市政隧道都是很重要的隧道，故特此提高了岩体取样数量</w:t>
      </w:r>
      <w:bookmarkEnd w:id="381"/>
      <w:r>
        <w:rPr>
          <w:rFonts w:ascii="Times New Roman" w:hAnsi="Times New Roman" w:eastAsia="宋体"/>
          <w:color w:val="auto"/>
          <w:highlight w:val="none"/>
        </w:rPr>
        <w:t>要求，要求同一主要岩层中，岩样的数量宜不少于12组。</w:t>
      </w:r>
    </w:p>
    <w:p>
      <w:pPr>
        <w:autoSpaceDE w:val="0"/>
        <w:autoSpaceDN w:val="0"/>
        <w:adjustRightInd w:val="0"/>
        <w:spacing w:line="360" w:lineRule="auto"/>
        <w:ind w:firstLine="422" w:firstLineChars="200"/>
        <w:jc w:val="left"/>
        <w:rPr>
          <w:rFonts w:hint="eastAsia" w:ascii="Times New Roman" w:hAnsi="Times New Roman" w:eastAsia="宋体"/>
          <w:color w:val="auto"/>
          <w:highlight w:val="none"/>
        </w:rPr>
      </w:pPr>
      <w:r>
        <w:rPr>
          <w:rFonts w:hint="eastAsia" w:ascii="Times New Roman" w:hAnsi="Times New Roman" w:eastAsia="宋体"/>
          <w:b/>
          <w:bCs/>
          <w:color w:val="auto"/>
          <w:highlight w:val="none"/>
          <w:lang w:val="en-US" w:eastAsia="zh-CN"/>
        </w:rPr>
        <w:t>4</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根据</w:t>
      </w:r>
      <w:r>
        <w:rPr>
          <w:rFonts w:ascii="Times New Roman" w:hAnsi="Times New Roman" w:eastAsia="宋体"/>
          <w:color w:val="auto"/>
          <w:highlight w:val="none"/>
        </w:rPr>
        <w:t>《公路工程地质勘察规范》JTG C20-2011</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深埋隧道及高应力区</w:t>
      </w:r>
      <w:r>
        <w:rPr>
          <w:rFonts w:ascii="Times New Roman" w:hAnsi="Times New Roman" w:eastAsia="宋体"/>
          <w:color w:val="auto"/>
          <w:highlight w:val="none"/>
        </w:rPr>
        <w:t>隧道</w:t>
      </w:r>
      <w:r>
        <w:rPr>
          <w:rFonts w:hint="eastAsia" w:ascii="Times New Roman" w:hAnsi="Times New Roman" w:eastAsia="宋体"/>
          <w:color w:val="auto"/>
          <w:highlight w:val="none"/>
          <w:lang w:val="en-US" w:eastAsia="zh-CN"/>
        </w:rPr>
        <w:t>应进行地应力测试，宜采用水压致裂法</w:t>
      </w:r>
      <w:r>
        <w:rPr>
          <w:rFonts w:hint="eastAsia" w:ascii="Times New Roman" w:hAnsi="Times New Roman" w:eastAsia="宋体"/>
          <w:color w:val="auto"/>
          <w:highlight w:val="none"/>
        </w:rPr>
        <w:t>。</w:t>
      </w:r>
    </w:p>
    <w:p>
      <w:pPr>
        <w:autoSpaceDE w:val="0"/>
        <w:autoSpaceDN w:val="0"/>
        <w:adjustRightInd w:val="0"/>
        <w:spacing w:line="360" w:lineRule="auto"/>
        <w:ind w:firstLine="420" w:firstLineChars="200"/>
        <w:jc w:val="left"/>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含有害气体的地层则比较复杂，有可能是生活垃圾、淤泥释放的沼气，工业垃圾释放的化学气体，也可能是岩体内的瓦斯等。</w:t>
      </w:r>
    </w:p>
    <w:p>
      <w:pPr>
        <w:autoSpaceDE w:val="0"/>
        <w:autoSpaceDN w:val="0"/>
        <w:adjustRightInd w:val="0"/>
        <w:spacing w:line="360" w:lineRule="auto"/>
        <w:jc w:val="left"/>
        <w:rPr>
          <w:rFonts w:hint="default" w:ascii="Times New Roman" w:hAnsi="Times New Roman" w:eastAsia="宋体"/>
          <w:color w:val="auto"/>
          <w:highlight w:val="none"/>
          <w:lang w:val="en-US" w:eastAsia="zh-CN"/>
        </w:rPr>
      </w:pPr>
      <w:bookmarkStart w:id="382" w:name="_Toc76998275"/>
      <w:r>
        <w:rPr>
          <w:rFonts w:hint="eastAsia" w:ascii="Times New Roman" w:hAnsi="Times New Roman" w:eastAsia="宋体"/>
          <w:b/>
          <w:bCs/>
          <w:color w:val="auto"/>
          <w:highlight w:val="none"/>
          <w:lang w:val="en-US" w:eastAsia="zh-CN"/>
        </w:rPr>
        <w:t>7.1.6</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下穿水域、铁路或重要建构筑物的隧道工程风险较大，如长距离缺少地质资料，设计缺乏地质依据，施工风险不可控，应采用非常规勘探方法查明地质条件。</w:t>
      </w:r>
    </w:p>
    <w:p>
      <w:pPr>
        <w:autoSpaceDE w:val="0"/>
        <w:autoSpaceDN w:val="0"/>
        <w:adjustRightInd w:val="0"/>
        <w:spacing w:line="360" w:lineRule="auto"/>
        <w:jc w:val="left"/>
        <w:rPr>
          <w:rFonts w:ascii="Times New Roman" w:hAnsi="Times New Roman" w:eastAsia="宋体"/>
          <w:color w:val="auto"/>
          <w:highlight w:val="none"/>
        </w:rPr>
      </w:pPr>
      <w:r>
        <w:rPr>
          <w:rFonts w:ascii="Times New Roman" w:hAnsi="Times New Roman" w:eastAsia="宋体"/>
          <w:b/>
          <w:bCs/>
          <w:color w:val="auto"/>
          <w:highlight w:val="none"/>
        </w:rPr>
        <w:t>7.</w:t>
      </w:r>
      <w:r>
        <w:rPr>
          <w:rFonts w:hint="eastAsia" w:ascii="Times New Roman" w:hAnsi="Times New Roman" w:eastAsia="宋体"/>
          <w:b/>
          <w:bCs/>
          <w:color w:val="auto"/>
          <w:highlight w:val="none"/>
          <w:lang w:val="en-US" w:eastAsia="zh-CN"/>
        </w:rPr>
        <w:t>1.7</w:t>
      </w:r>
      <w:r>
        <w:rPr>
          <w:rFonts w:hint="eastAsia"/>
          <w:b/>
          <w:bCs/>
          <w:color w:val="auto"/>
          <w:highlight w:val="none"/>
          <w:lang w:val="en-US" w:eastAsia="zh-CN"/>
        </w:rPr>
        <w:t xml:space="preserve"> </w:t>
      </w:r>
      <w:r>
        <w:rPr>
          <w:rFonts w:ascii="Times New Roman" w:hAnsi="Times New Roman" w:eastAsia="宋体"/>
          <w:b/>
          <w:bCs/>
          <w:color w:val="auto"/>
          <w:highlight w:val="none"/>
        </w:rPr>
        <w:t xml:space="preserve"> </w:t>
      </w:r>
      <w:r>
        <w:rPr>
          <w:rFonts w:hint="eastAsia" w:ascii="Times New Roman" w:hAnsi="Times New Roman" w:eastAsia="宋体"/>
          <w:color w:val="auto"/>
          <w:highlight w:val="none"/>
          <w:lang w:val="en-US" w:eastAsia="zh-CN"/>
        </w:rPr>
        <w:t>物探一般用于初步辨别</w:t>
      </w:r>
      <w:r>
        <w:rPr>
          <w:rFonts w:ascii="Times New Roman" w:hAnsi="Times New Roman" w:eastAsia="宋体"/>
          <w:color w:val="auto"/>
          <w:highlight w:val="none"/>
        </w:rPr>
        <w:t>物性指标相互差异较明显的地层。一般可将地层分为软弱土、一般土、强风化岩和中微风化岩4大类，跨类地层的软硬程度差异</w:t>
      </w:r>
      <w:r>
        <w:rPr>
          <w:rFonts w:hint="eastAsia" w:ascii="Times New Roman" w:hAnsi="Times New Roman" w:eastAsia="宋体"/>
          <w:color w:val="auto"/>
          <w:highlight w:val="none"/>
          <w:lang w:val="en-US" w:eastAsia="zh-CN"/>
        </w:rPr>
        <w:t>一般</w:t>
      </w:r>
      <w:r>
        <w:rPr>
          <w:rFonts w:ascii="Times New Roman" w:hAnsi="Times New Roman" w:eastAsia="宋体"/>
          <w:color w:val="auto"/>
          <w:highlight w:val="none"/>
        </w:rPr>
        <w:t>较为明显。采用地球物理探测技术能较有效区分、辨别这4类地层。</w:t>
      </w:r>
    </w:p>
    <w:p>
      <w:pPr>
        <w:autoSpaceDE w:val="0"/>
        <w:autoSpaceDN w:val="0"/>
        <w:adjustRightInd w:val="0"/>
        <w:spacing w:line="360" w:lineRule="auto"/>
        <w:ind w:firstLine="422" w:firstLineChars="200"/>
        <w:jc w:val="left"/>
        <w:rPr>
          <w:rFonts w:ascii="Times New Roman" w:hAnsi="Times New Roman" w:eastAsia="宋体"/>
          <w:color w:val="auto"/>
          <w:highlight w:val="none"/>
        </w:rPr>
      </w:pPr>
      <w:r>
        <w:rPr>
          <w:rFonts w:hint="eastAsia" w:ascii="Times New Roman" w:hAnsi="Times New Roman" w:eastAsia="宋体"/>
          <w:b/>
          <w:bCs/>
          <w:color w:val="auto"/>
          <w:highlight w:val="none"/>
          <w:lang w:val="en-US" w:eastAsia="zh-CN"/>
        </w:rPr>
        <w:t>1</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ascii="Times New Roman" w:hAnsi="Times New Roman" w:eastAsia="宋体"/>
          <w:color w:val="auto"/>
          <w:highlight w:val="none"/>
        </w:rPr>
        <w:t>穿越岩体的隧道一般都需要从宏观上初步了解岩面的起伏、断层的分布和产状、岩层破碎带和富水带，在调查这些地质条件方面，物探有显著的优势。</w:t>
      </w:r>
    </w:p>
    <w:p>
      <w:pPr>
        <w:autoSpaceDE w:val="0"/>
        <w:autoSpaceDN w:val="0"/>
        <w:adjustRightInd w:val="0"/>
        <w:spacing w:line="360" w:lineRule="auto"/>
        <w:ind w:firstLine="422" w:firstLineChars="200"/>
        <w:jc w:val="left"/>
        <w:rPr>
          <w:rFonts w:ascii="Times New Roman" w:hAnsi="Times New Roman" w:eastAsia="宋体"/>
          <w:color w:val="auto"/>
          <w:highlight w:val="none"/>
        </w:rPr>
      </w:pPr>
      <w:r>
        <w:rPr>
          <w:rFonts w:ascii="Times New Roman" w:hAnsi="Times New Roman" w:eastAsia="宋体"/>
          <w:b/>
          <w:bCs/>
          <w:color w:val="auto"/>
          <w:highlight w:val="none"/>
        </w:rPr>
        <w:t>2</w:t>
      </w:r>
      <w:r>
        <w:rPr>
          <w:rFonts w:hint="eastAsia"/>
          <w:b/>
          <w:bCs/>
          <w:color w:val="auto"/>
          <w:highlight w:val="none"/>
          <w:lang w:val="en-US" w:eastAsia="zh-CN"/>
        </w:rPr>
        <w:t xml:space="preserve"> </w:t>
      </w:r>
      <w:r>
        <w:rPr>
          <w:rFonts w:ascii="Times New Roman" w:hAnsi="Times New Roman" w:eastAsia="宋体"/>
          <w:b/>
          <w:bCs/>
          <w:color w:val="auto"/>
          <w:highlight w:val="none"/>
        </w:rPr>
        <w:t xml:space="preserve"> </w:t>
      </w:r>
      <w:r>
        <w:rPr>
          <w:rFonts w:ascii="Times New Roman" w:hAnsi="Times New Roman" w:eastAsia="宋体"/>
          <w:color w:val="auto"/>
          <w:kern w:val="0"/>
          <w:highlight w:val="none"/>
        </w:rPr>
        <w:t>隧道范围内多处岩面高程起伏坡率超过1:1的</w:t>
      </w:r>
      <w:r>
        <w:rPr>
          <w:rFonts w:hint="eastAsia" w:ascii="Times New Roman" w:hAnsi="Times New Roman" w:eastAsia="宋体"/>
          <w:color w:val="auto"/>
          <w:kern w:val="0"/>
          <w:highlight w:val="none"/>
          <w:lang w:val="en-US" w:eastAsia="zh-CN"/>
        </w:rPr>
        <w:t>可视作剧烈起伏。</w:t>
      </w:r>
      <w:r>
        <w:rPr>
          <w:rFonts w:hint="eastAsia" w:ascii="Times New Roman" w:hAnsi="Times New Roman" w:eastAsia="宋体"/>
          <w:color w:val="auto"/>
          <w:highlight w:val="none"/>
          <w:lang w:val="en-US" w:eastAsia="zh-CN"/>
        </w:rPr>
        <w:t>比如存在岩礁或风化深槽的，对隧道建设影响很大，但岩面起伏仅仅通过勘探可能很难查清，物探是很好的补充</w:t>
      </w:r>
      <w:r>
        <w:rPr>
          <w:rFonts w:ascii="Times New Roman" w:hAnsi="Times New Roman" w:eastAsia="宋体"/>
          <w:color w:val="auto"/>
          <w:highlight w:val="none"/>
        </w:rPr>
        <w:t>。</w:t>
      </w:r>
    </w:p>
    <w:p>
      <w:pPr>
        <w:autoSpaceDE w:val="0"/>
        <w:autoSpaceDN w:val="0"/>
        <w:adjustRightInd w:val="0"/>
        <w:spacing w:line="360" w:lineRule="auto"/>
        <w:ind w:firstLine="422" w:firstLineChars="200"/>
        <w:jc w:val="left"/>
        <w:rPr>
          <w:rFonts w:ascii="Times New Roman" w:hAnsi="Times New Roman" w:eastAsia="宋体"/>
          <w:color w:val="auto"/>
          <w:highlight w:val="none"/>
        </w:rPr>
      </w:pPr>
      <w:r>
        <w:rPr>
          <w:rFonts w:hint="eastAsia" w:ascii="Times New Roman" w:hAnsi="Times New Roman" w:eastAsia="宋体"/>
          <w:b/>
          <w:bCs/>
          <w:color w:val="auto"/>
          <w:highlight w:val="none"/>
          <w:lang w:val="en-US" w:eastAsia="zh-CN"/>
        </w:rPr>
        <w:t>5</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ascii="Times New Roman" w:hAnsi="Times New Roman" w:eastAsia="宋体"/>
          <w:color w:val="auto"/>
          <w:highlight w:val="none"/>
        </w:rPr>
        <w:t>过水域的隧道往往由于航道报批</w:t>
      </w:r>
      <w:r>
        <w:rPr>
          <w:rFonts w:hint="eastAsia" w:ascii="Times New Roman" w:hAnsi="Times New Roman" w:eastAsia="宋体"/>
          <w:color w:val="auto"/>
          <w:highlight w:val="none"/>
          <w:lang w:val="en-US" w:eastAsia="zh-CN"/>
        </w:rPr>
        <w:t>原因</w:t>
      </w:r>
      <w:r>
        <w:rPr>
          <w:rFonts w:ascii="Times New Roman" w:hAnsi="Times New Roman" w:eastAsia="宋体"/>
          <w:color w:val="auto"/>
          <w:highlight w:val="none"/>
        </w:rPr>
        <w:t>，很难分初勘、详勘两阶段进场，而初步设计需要地质资料时一般还难以开展详勘，或只能完成无需封航段的部分钻孔。结合水上物探工作，能暂时在一定程度上弥补</w:t>
      </w:r>
      <w:r>
        <w:rPr>
          <w:rFonts w:hint="eastAsia" w:ascii="Times New Roman" w:hAnsi="Times New Roman" w:eastAsia="宋体"/>
          <w:color w:val="auto"/>
          <w:highlight w:val="none"/>
          <w:lang w:eastAsia="zh-CN"/>
        </w:rPr>
        <w:t>勘探</w:t>
      </w:r>
      <w:r>
        <w:rPr>
          <w:rFonts w:ascii="Times New Roman" w:hAnsi="Times New Roman" w:eastAsia="宋体"/>
          <w:color w:val="auto"/>
          <w:highlight w:val="none"/>
        </w:rPr>
        <w:t>资料的不足。</w:t>
      </w:r>
    </w:p>
    <w:p>
      <w:pPr>
        <w:pStyle w:val="3"/>
        <w:jc w:val="center"/>
        <w:rPr>
          <w:rFonts w:ascii="Times New Roman" w:hAnsi="Times New Roman" w:eastAsia="宋体" w:cs="Times New Roman"/>
          <w:color w:val="auto"/>
          <w:sz w:val="24"/>
          <w:highlight w:val="none"/>
        </w:rPr>
      </w:pPr>
      <w:bookmarkStart w:id="383" w:name="_Toc4288"/>
      <w:bookmarkStart w:id="384" w:name="_Toc8421"/>
      <w:r>
        <w:rPr>
          <w:rFonts w:ascii="Times New Roman" w:hAnsi="Times New Roman" w:eastAsia="宋体" w:cs="Times New Roman"/>
          <w:color w:val="auto"/>
          <w:sz w:val="24"/>
          <w:highlight w:val="none"/>
        </w:rPr>
        <w:t xml:space="preserve">7.2 </w:t>
      </w:r>
      <w:r>
        <w:rPr>
          <w:rFonts w:hint="eastAsia" w:ascii="Times New Roman" w:hAnsi="Times New Roman" w:eastAsia="宋体" w:cs="Times New Roman"/>
          <w:color w:val="auto"/>
          <w:sz w:val="24"/>
          <w:highlight w:val="none"/>
          <w:lang w:val="en-US" w:eastAsia="zh-CN"/>
        </w:rPr>
        <w:t xml:space="preserve"> </w:t>
      </w:r>
      <w:r>
        <w:rPr>
          <w:rFonts w:ascii="Times New Roman" w:hAnsi="Times New Roman" w:eastAsia="宋体" w:cs="Times New Roman"/>
          <w:color w:val="auto"/>
          <w:sz w:val="24"/>
          <w:highlight w:val="none"/>
        </w:rPr>
        <w:t>可行性研究勘察</w:t>
      </w:r>
      <w:bookmarkEnd w:id="382"/>
      <w:bookmarkEnd w:id="383"/>
      <w:bookmarkEnd w:id="384"/>
    </w:p>
    <w:p>
      <w:pPr>
        <w:autoSpaceDE w:val="0"/>
        <w:autoSpaceDN w:val="0"/>
        <w:adjustRightInd w:val="0"/>
        <w:spacing w:line="360" w:lineRule="auto"/>
        <w:jc w:val="left"/>
        <w:rPr>
          <w:rFonts w:ascii="Times New Roman" w:hAnsi="Times New Roman" w:eastAsia="宋体"/>
          <w:b/>
          <w:bCs/>
          <w:color w:val="auto"/>
          <w:highlight w:val="none"/>
        </w:rPr>
      </w:pPr>
      <w:r>
        <w:rPr>
          <w:rFonts w:ascii="Times New Roman" w:hAnsi="Times New Roman" w:eastAsia="宋体"/>
          <w:b/>
          <w:bCs/>
          <w:color w:val="auto"/>
          <w:highlight w:val="none"/>
        </w:rPr>
        <w:t xml:space="preserve">7.2.2 </w:t>
      </w:r>
      <w:r>
        <w:rPr>
          <w:rFonts w:hint="eastAsia"/>
          <w:b/>
          <w:bCs/>
          <w:color w:val="auto"/>
          <w:highlight w:val="none"/>
          <w:lang w:val="en-US" w:eastAsia="zh-CN"/>
        </w:rPr>
        <w:t xml:space="preserve"> </w:t>
      </w:r>
      <w:r>
        <w:rPr>
          <w:rFonts w:ascii="Times New Roman" w:hAnsi="Times New Roman" w:eastAsia="宋体"/>
          <w:color w:val="auto"/>
          <w:highlight w:val="none"/>
        </w:rPr>
        <w:t>沉管法隧道的</w:t>
      </w:r>
      <w:r>
        <w:rPr>
          <w:rFonts w:hint="eastAsia" w:ascii="Times New Roman" w:hAnsi="Times New Roman" w:eastAsia="宋体"/>
          <w:color w:val="auto"/>
          <w:highlight w:val="none"/>
          <w:lang w:val="en-US" w:eastAsia="zh-CN"/>
        </w:rPr>
        <w:t>勘探点</w:t>
      </w:r>
      <w:r>
        <w:rPr>
          <w:rFonts w:ascii="Times New Roman" w:hAnsi="Times New Roman" w:eastAsia="宋体"/>
          <w:color w:val="auto"/>
          <w:highlight w:val="none"/>
        </w:rPr>
        <w:t>间距</w:t>
      </w:r>
      <w:r>
        <w:rPr>
          <w:rFonts w:hint="eastAsia" w:ascii="Times New Roman" w:hAnsi="Times New Roman" w:eastAsia="宋体"/>
          <w:color w:val="auto"/>
          <w:highlight w:val="none"/>
          <w:lang w:val="en-US" w:eastAsia="zh-CN"/>
        </w:rPr>
        <w:t>规定</w:t>
      </w:r>
      <w:r>
        <w:rPr>
          <w:rFonts w:ascii="Times New Roman" w:hAnsi="Times New Roman" w:eastAsia="宋体"/>
          <w:color w:val="auto"/>
          <w:highlight w:val="none"/>
        </w:rPr>
        <w:t>依照国标《沉管法隧道设计标准》GB∕T 51318-2019。</w:t>
      </w:r>
    </w:p>
    <w:p>
      <w:pPr>
        <w:autoSpaceDE w:val="0"/>
        <w:autoSpaceDN w:val="0"/>
        <w:adjustRightInd w:val="0"/>
        <w:spacing w:line="360" w:lineRule="auto"/>
        <w:jc w:val="left"/>
        <w:rPr>
          <w:rFonts w:ascii="Times New Roman" w:hAnsi="Times New Roman" w:eastAsia="宋体"/>
          <w:color w:val="auto"/>
          <w:highlight w:val="none"/>
        </w:rPr>
      </w:pPr>
      <w:r>
        <w:rPr>
          <w:rFonts w:ascii="Times New Roman" w:hAnsi="Times New Roman" w:eastAsia="宋体"/>
          <w:b/>
          <w:bCs/>
          <w:color w:val="auto"/>
          <w:highlight w:val="none"/>
        </w:rPr>
        <w:t xml:space="preserve">7.2.3 </w:t>
      </w:r>
      <w:r>
        <w:rPr>
          <w:rFonts w:hint="eastAsia"/>
          <w:b/>
          <w:bCs/>
          <w:color w:val="auto"/>
          <w:highlight w:val="none"/>
          <w:lang w:val="en-US" w:eastAsia="zh-CN"/>
        </w:rPr>
        <w:t xml:space="preserve"> </w:t>
      </w:r>
      <w:r>
        <w:rPr>
          <w:rFonts w:ascii="Times New Roman" w:hAnsi="Times New Roman" w:eastAsia="宋体"/>
          <w:color w:val="auto"/>
          <w:highlight w:val="none"/>
        </w:rPr>
        <w:t>隧道线路可行性研究勘察要充分考虑隧道的可能方案及其</w:t>
      </w:r>
      <w:r>
        <w:rPr>
          <w:rFonts w:hint="eastAsia" w:ascii="Times New Roman" w:hAnsi="Times New Roman" w:eastAsia="宋体"/>
          <w:color w:val="auto"/>
          <w:highlight w:val="none"/>
          <w:lang w:val="en-US" w:eastAsia="zh-CN"/>
        </w:rPr>
        <w:t>比</w:t>
      </w:r>
      <w:r>
        <w:rPr>
          <w:rFonts w:ascii="Times New Roman" w:hAnsi="Times New Roman" w:eastAsia="宋体"/>
          <w:color w:val="auto"/>
          <w:highlight w:val="none"/>
        </w:rPr>
        <w:t>选，</w:t>
      </w:r>
      <w:r>
        <w:rPr>
          <w:rFonts w:hint="eastAsia" w:ascii="Times New Roman" w:hAnsi="Times New Roman" w:eastAsia="宋体"/>
          <w:color w:val="auto"/>
          <w:highlight w:val="none"/>
          <w:lang w:val="en-US" w:eastAsia="zh-CN"/>
        </w:rPr>
        <w:t>故</w:t>
      </w:r>
      <w:r>
        <w:rPr>
          <w:rFonts w:ascii="Times New Roman" w:hAnsi="Times New Roman" w:eastAsia="宋体"/>
          <w:color w:val="auto"/>
          <w:highlight w:val="none"/>
        </w:rPr>
        <w:t>勘探孔</w:t>
      </w:r>
      <w:r>
        <w:rPr>
          <w:rFonts w:hint="eastAsia" w:ascii="Times New Roman" w:hAnsi="Times New Roman" w:eastAsia="宋体"/>
          <w:color w:val="auto"/>
          <w:highlight w:val="none"/>
          <w:lang w:val="en-US" w:eastAsia="zh-CN"/>
        </w:rPr>
        <w:t>宜</w:t>
      </w:r>
      <w:r>
        <w:rPr>
          <w:rFonts w:ascii="Times New Roman" w:hAnsi="Times New Roman" w:eastAsia="宋体"/>
          <w:color w:val="auto"/>
          <w:highlight w:val="none"/>
        </w:rPr>
        <w:t>适当加深。</w:t>
      </w:r>
    </w:p>
    <w:p>
      <w:pPr>
        <w:spacing w:line="360" w:lineRule="auto"/>
        <w:rPr>
          <w:rFonts w:ascii="Times New Roman" w:hAnsi="Times New Roman" w:eastAsia="宋体"/>
          <w:color w:val="auto"/>
          <w:highlight w:val="none"/>
        </w:rPr>
      </w:pPr>
      <w:bookmarkStart w:id="385" w:name="_Toc76998276"/>
      <w:r>
        <w:rPr>
          <w:rFonts w:ascii="Times New Roman" w:hAnsi="Times New Roman" w:eastAsia="宋体"/>
          <w:b/>
          <w:bCs/>
          <w:color w:val="auto"/>
          <w:highlight w:val="none"/>
        </w:rPr>
        <w:t>7.</w:t>
      </w:r>
      <w:r>
        <w:rPr>
          <w:rFonts w:hint="eastAsia" w:ascii="Times New Roman" w:hAnsi="Times New Roman" w:eastAsia="宋体"/>
          <w:b/>
          <w:bCs/>
          <w:color w:val="auto"/>
          <w:highlight w:val="none"/>
          <w:lang w:val="en-US" w:eastAsia="zh-CN"/>
        </w:rPr>
        <w:t>2.4</w:t>
      </w:r>
      <w:r>
        <w:rPr>
          <w:rFonts w:ascii="Times New Roman" w:hAnsi="Times New Roman" w:eastAsia="宋体"/>
          <w:b/>
          <w:bCs/>
          <w:color w:val="auto"/>
          <w:highlight w:val="none"/>
        </w:rPr>
        <w:t xml:space="preserve">  </w:t>
      </w:r>
      <w:r>
        <w:rPr>
          <w:rFonts w:ascii="Times New Roman" w:hAnsi="Times New Roman" w:eastAsia="宋体"/>
          <w:color w:val="auto"/>
          <w:highlight w:val="none"/>
        </w:rPr>
        <w:t>作为地下工程，隧道建设将造成周围岩土体的应力重分布，以及地下水的升降变化，从而导致岩土体的变形。</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中，各类既有重要设施较多，如地铁、文物、人防工程、码头、重要建筑物、重要地下管线等，都可能受到邻近隧道工程建设的影响，也可能危及隧道工程假设的安全。</w:t>
      </w:r>
      <w:r>
        <w:rPr>
          <w:rFonts w:hint="eastAsia" w:ascii="Times New Roman" w:hAnsi="Times New Roman" w:eastAsia="宋体"/>
          <w:color w:val="auto"/>
          <w:highlight w:val="none"/>
          <w:lang w:val="en-US" w:eastAsia="zh-CN"/>
        </w:rPr>
        <w:t>可行性研究</w:t>
      </w:r>
      <w:r>
        <w:rPr>
          <w:rFonts w:ascii="Times New Roman" w:hAnsi="Times New Roman" w:eastAsia="宋体"/>
          <w:color w:val="auto"/>
          <w:highlight w:val="none"/>
        </w:rPr>
        <w:t>勘察阶段</w:t>
      </w:r>
      <w:r>
        <w:rPr>
          <w:rFonts w:hint="eastAsia"/>
          <w:color w:val="auto"/>
          <w:highlight w:val="none"/>
          <w:lang w:val="en-US" w:eastAsia="zh-CN"/>
        </w:rPr>
        <w:t>需要</w:t>
      </w:r>
      <w:r>
        <w:rPr>
          <w:rFonts w:ascii="Times New Roman" w:hAnsi="Times New Roman" w:eastAsia="宋体"/>
          <w:color w:val="auto"/>
          <w:highlight w:val="none"/>
        </w:rPr>
        <w:t>通过踏勘、调绘给出建议与评价。</w:t>
      </w:r>
    </w:p>
    <w:p>
      <w:pPr>
        <w:pStyle w:val="3"/>
        <w:jc w:val="center"/>
        <w:rPr>
          <w:rFonts w:ascii="Times New Roman" w:hAnsi="Times New Roman" w:eastAsia="宋体" w:cs="Times New Roman"/>
          <w:color w:val="auto"/>
          <w:sz w:val="24"/>
          <w:highlight w:val="none"/>
        </w:rPr>
      </w:pPr>
      <w:bookmarkStart w:id="386" w:name="_Toc12646"/>
      <w:bookmarkStart w:id="387" w:name="_Toc16062"/>
      <w:r>
        <w:rPr>
          <w:rFonts w:ascii="Times New Roman" w:hAnsi="Times New Roman" w:eastAsia="宋体" w:cs="Times New Roman"/>
          <w:color w:val="auto"/>
          <w:sz w:val="24"/>
          <w:highlight w:val="none"/>
        </w:rPr>
        <w:t xml:space="preserve">7.3 </w:t>
      </w:r>
      <w:r>
        <w:rPr>
          <w:rFonts w:hint="eastAsia" w:ascii="Times New Roman" w:hAnsi="Times New Roman" w:eastAsia="宋体" w:cs="Times New Roman"/>
          <w:color w:val="auto"/>
          <w:sz w:val="24"/>
          <w:highlight w:val="none"/>
          <w:lang w:val="en-US" w:eastAsia="zh-CN"/>
        </w:rPr>
        <w:t xml:space="preserve"> </w:t>
      </w:r>
      <w:r>
        <w:rPr>
          <w:rFonts w:ascii="Times New Roman" w:hAnsi="Times New Roman" w:eastAsia="宋体" w:cs="Times New Roman"/>
          <w:color w:val="auto"/>
          <w:sz w:val="24"/>
          <w:highlight w:val="none"/>
        </w:rPr>
        <w:t>初步勘察</w:t>
      </w:r>
      <w:bookmarkEnd w:id="385"/>
      <w:bookmarkEnd w:id="386"/>
      <w:bookmarkEnd w:id="387"/>
    </w:p>
    <w:p>
      <w:pPr>
        <w:autoSpaceDE w:val="0"/>
        <w:autoSpaceDN w:val="0"/>
        <w:adjustRightInd w:val="0"/>
        <w:spacing w:line="360" w:lineRule="auto"/>
        <w:jc w:val="left"/>
        <w:rPr>
          <w:rFonts w:ascii="Times New Roman" w:hAnsi="Times New Roman" w:eastAsia="宋体"/>
          <w:color w:val="auto"/>
          <w:highlight w:val="none"/>
        </w:rPr>
      </w:pPr>
      <w:r>
        <w:rPr>
          <w:rFonts w:ascii="Times New Roman" w:hAnsi="Times New Roman" w:eastAsia="宋体"/>
          <w:b/>
          <w:bCs/>
          <w:color w:val="auto"/>
          <w:highlight w:val="none"/>
        </w:rPr>
        <w:t>7.3.</w:t>
      </w:r>
      <w:r>
        <w:rPr>
          <w:rFonts w:hint="eastAsia" w:ascii="Times New Roman" w:hAnsi="Times New Roman" w:eastAsia="宋体"/>
          <w:b/>
          <w:bCs/>
          <w:color w:val="auto"/>
          <w:highlight w:val="none"/>
          <w:lang w:val="en-US" w:eastAsia="zh-CN"/>
        </w:rPr>
        <w:t>1</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ascii="Times New Roman" w:hAnsi="Times New Roman" w:eastAsia="宋体"/>
          <w:color w:val="auto"/>
          <w:highlight w:val="none"/>
        </w:rPr>
        <w:t>工程地质测绘仍是本阶段勘察的主要手段。同时提倡采用多种物探进行综合勘探，以便互相印证，确地勘察成果的准确性和可靠性。初勘阶段钻孔应</w:t>
      </w:r>
      <w:r>
        <w:rPr>
          <w:rFonts w:hint="eastAsia"/>
          <w:color w:val="auto"/>
          <w:highlight w:val="none"/>
          <w:lang w:val="en-US" w:eastAsia="zh-CN"/>
        </w:rPr>
        <w:t>当</w:t>
      </w:r>
      <w:r>
        <w:rPr>
          <w:rFonts w:ascii="Times New Roman" w:hAnsi="Times New Roman" w:eastAsia="宋体"/>
          <w:color w:val="auto"/>
          <w:highlight w:val="none"/>
        </w:rPr>
        <w:t>少而精，重点是对物探发现的构造破碎带或其他不良地质地段进行验证。一般上，山岭隧道的勘察方法以地质调查和测绘、</w:t>
      </w:r>
      <w:r>
        <w:rPr>
          <w:rFonts w:hint="eastAsia" w:ascii="Times New Roman" w:hAnsi="Times New Roman" w:eastAsia="宋体"/>
          <w:color w:val="auto"/>
          <w:highlight w:val="none"/>
          <w:lang w:eastAsia="zh-CN"/>
        </w:rPr>
        <w:t>勘探</w:t>
      </w:r>
      <w:r>
        <w:rPr>
          <w:rFonts w:ascii="Times New Roman" w:hAnsi="Times New Roman" w:eastAsia="宋体"/>
          <w:color w:val="auto"/>
          <w:highlight w:val="none"/>
        </w:rPr>
        <w:t>、物探为主；</w:t>
      </w:r>
      <w:r>
        <w:rPr>
          <w:rFonts w:hint="eastAsia" w:ascii="Times New Roman" w:hAnsi="Times New Roman" w:eastAsia="宋体"/>
          <w:color w:val="auto"/>
          <w:highlight w:val="none"/>
          <w:lang w:val="en-US" w:eastAsia="zh-CN"/>
        </w:rPr>
        <w:t>平原</w:t>
      </w:r>
      <w:r>
        <w:rPr>
          <w:rFonts w:ascii="Times New Roman" w:hAnsi="Times New Roman" w:eastAsia="宋体"/>
          <w:color w:val="auto"/>
          <w:highlight w:val="none"/>
        </w:rPr>
        <w:t>隧道</w:t>
      </w:r>
      <w:r>
        <w:rPr>
          <w:rFonts w:hint="eastAsia" w:ascii="Times New Roman" w:hAnsi="Times New Roman" w:eastAsia="宋体"/>
          <w:color w:val="auto"/>
          <w:highlight w:val="none"/>
          <w:lang w:val="en-US" w:eastAsia="zh-CN"/>
        </w:rPr>
        <w:t>和下沉式道路</w:t>
      </w:r>
      <w:r>
        <w:rPr>
          <w:rFonts w:ascii="Times New Roman" w:hAnsi="Times New Roman" w:eastAsia="宋体"/>
          <w:color w:val="auto"/>
          <w:highlight w:val="none"/>
        </w:rPr>
        <w:t>的勘察方法以地质调查和测绘及</w:t>
      </w:r>
      <w:r>
        <w:rPr>
          <w:rFonts w:hint="eastAsia" w:ascii="Times New Roman" w:hAnsi="Times New Roman" w:eastAsia="宋体"/>
          <w:color w:val="auto"/>
          <w:highlight w:val="none"/>
          <w:lang w:eastAsia="zh-CN"/>
        </w:rPr>
        <w:t>勘探</w:t>
      </w:r>
      <w:r>
        <w:rPr>
          <w:rFonts w:ascii="Times New Roman" w:hAnsi="Times New Roman" w:eastAsia="宋体"/>
          <w:color w:val="auto"/>
          <w:highlight w:val="none"/>
        </w:rPr>
        <w:t>为主；水下隧道的勘察方法以物探和</w:t>
      </w:r>
      <w:r>
        <w:rPr>
          <w:rFonts w:hint="eastAsia" w:ascii="Times New Roman" w:hAnsi="Times New Roman" w:eastAsia="宋体"/>
          <w:color w:val="auto"/>
          <w:highlight w:val="none"/>
          <w:lang w:eastAsia="zh-CN"/>
        </w:rPr>
        <w:t>勘探</w:t>
      </w:r>
      <w:r>
        <w:rPr>
          <w:rFonts w:ascii="Times New Roman" w:hAnsi="Times New Roman" w:eastAsia="宋体"/>
          <w:color w:val="auto"/>
          <w:highlight w:val="none"/>
        </w:rPr>
        <w:t>为主。</w:t>
      </w:r>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ascii="Times New Roman" w:hAnsi="Times New Roman" w:eastAsia="宋体"/>
          <w:color w:val="auto"/>
          <w:highlight w:val="none"/>
        </w:rPr>
        <w:t>填海区陆域隧道初勘阶段</w:t>
      </w:r>
      <w:r>
        <w:rPr>
          <w:rFonts w:hint="eastAsia"/>
          <w:color w:val="auto"/>
          <w:highlight w:val="none"/>
          <w:lang w:val="en-US" w:eastAsia="zh-CN"/>
        </w:rPr>
        <w:t>需要</w:t>
      </w:r>
      <w:r>
        <w:rPr>
          <w:rFonts w:ascii="Times New Roman" w:hAnsi="Times New Roman" w:eastAsia="宋体"/>
          <w:color w:val="auto"/>
          <w:highlight w:val="none"/>
        </w:rPr>
        <w:t>调查线路通过区的地基是否经过软基处理，以及软基处理的范围、深度和方法；还</w:t>
      </w:r>
      <w:r>
        <w:rPr>
          <w:rFonts w:hint="eastAsia"/>
          <w:color w:val="auto"/>
          <w:highlight w:val="none"/>
          <w:lang w:val="en-US" w:eastAsia="zh-CN"/>
        </w:rPr>
        <w:t>需要</w:t>
      </w:r>
      <w:r>
        <w:rPr>
          <w:rFonts w:ascii="Times New Roman" w:hAnsi="Times New Roman" w:eastAsia="宋体"/>
          <w:color w:val="auto"/>
          <w:highlight w:val="none"/>
        </w:rPr>
        <w:t>调查是否存</w:t>
      </w:r>
      <w:r>
        <w:rPr>
          <w:rFonts w:hint="eastAsia" w:ascii="宋体" w:hAnsi="宋体" w:eastAsia="宋体" w:cs="宋体"/>
          <w:color w:val="auto"/>
          <w:highlight w:val="none"/>
        </w:rPr>
        <w:t>在“抛石挤淤”</w:t>
      </w:r>
      <w:r>
        <w:rPr>
          <w:rFonts w:ascii="Times New Roman" w:hAnsi="Times New Roman" w:eastAsia="宋体"/>
          <w:color w:val="auto"/>
          <w:highlight w:val="none"/>
        </w:rPr>
        <w:t>填石、或者混凝土桩竖向刚性增强体。这些因素对隧道工程掘进、开挖和造价影响大。</w:t>
      </w:r>
    </w:p>
    <w:p>
      <w:pPr>
        <w:spacing w:line="360" w:lineRule="auto"/>
        <w:rPr>
          <w:rFonts w:ascii="Times New Roman" w:hAnsi="Times New Roman" w:eastAsia="宋体"/>
          <w:b/>
          <w:bCs/>
          <w:color w:val="auto"/>
          <w:highlight w:val="none"/>
        </w:rPr>
      </w:pPr>
      <w:r>
        <w:rPr>
          <w:rFonts w:ascii="Times New Roman" w:hAnsi="Times New Roman" w:eastAsia="宋体"/>
          <w:b/>
          <w:bCs/>
          <w:color w:val="auto"/>
          <w:highlight w:val="none"/>
        </w:rPr>
        <w:t>7.3.</w:t>
      </w:r>
      <w:r>
        <w:rPr>
          <w:rFonts w:hint="eastAsia" w:ascii="Times New Roman" w:hAnsi="Times New Roman" w:eastAsia="宋体"/>
          <w:b/>
          <w:bCs/>
          <w:color w:val="auto"/>
          <w:highlight w:val="none"/>
          <w:lang w:val="en-US" w:eastAsia="zh-CN"/>
        </w:rPr>
        <w:t xml:space="preserve">4 </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就本条款作说明如下：</w:t>
      </w:r>
    </w:p>
    <w:p>
      <w:pPr>
        <w:autoSpaceDE w:val="0"/>
        <w:autoSpaceDN w:val="0"/>
        <w:adjustRightInd w:val="0"/>
        <w:spacing w:line="360" w:lineRule="auto"/>
        <w:ind w:firstLine="422" w:firstLineChars="200"/>
        <w:jc w:val="left"/>
        <w:rPr>
          <w:rFonts w:ascii="Times New Roman" w:hAnsi="Times New Roman" w:eastAsia="宋体"/>
          <w:color w:val="auto"/>
          <w:highlight w:val="none"/>
        </w:rPr>
      </w:pPr>
      <w:r>
        <w:rPr>
          <w:rFonts w:hint="eastAsia" w:ascii="Times New Roman" w:hAnsi="Times New Roman" w:eastAsia="宋体"/>
          <w:b/>
          <w:bCs/>
          <w:color w:val="auto"/>
          <w:highlight w:val="none"/>
          <w:lang w:val="en-US" w:eastAsia="zh-CN"/>
        </w:rPr>
        <w:t>1</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ascii="Times New Roman" w:hAnsi="Times New Roman" w:eastAsia="宋体"/>
          <w:color w:val="auto"/>
          <w:highlight w:val="none"/>
        </w:rPr>
        <w:t>对于市政项目，矿山法</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含</w:t>
      </w:r>
      <w:r>
        <w:rPr>
          <w:rFonts w:ascii="Times New Roman" w:hAnsi="Times New Roman" w:eastAsia="宋体"/>
          <w:color w:val="auto"/>
          <w:highlight w:val="none"/>
        </w:rPr>
        <w:t>新奥法</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一般仅用于山岭隧道，而山岭隧道的场地条件复杂程度一般均属一级，故矿山法未规定场地或岩土条件复杂程度二级、三级的情况。</w:t>
      </w:r>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ascii="Times New Roman" w:hAnsi="Times New Roman" w:eastAsia="宋体"/>
          <w:color w:val="auto"/>
          <w:highlight w:val="none"/>
        </w:rPr>
        <w:t>上海地区《岩土工程勘察规范》DGJ08-37-2012规定，沉管法隧道勘探点间距宜为100~200m，此处在参考该规范基础上按场地或岩土条件复杂程度进行了细化。</w:t>
      </w:r>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事实上，鉴于</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水域大多较为繁忙，</w:t>
      </w:r>
      <w:r>
        <w:rPr>
          <w:rFonts w:hint="eastAsia" w:ascii="Times New Roman" w:hAnsi="Times New Roman" w:eastAsia="宋体"/>
          <w:color w:val="auto"/>
          <w:highlight w:val="none"/>
          <w:lang w:eastAsia="zh-CN"/>
        </w:rPr>
        <w:t>勘探</w:t>
      </w:r>
      <w:r>
        <w:rPr>
          <w:rFonts w:ascii="Times New Roman" w:hAnsi="Times New Roman" w:eastAsia="宋体"/>
          <w:color w:val="auto"/>
          <w:highlight w:val="none"/>
        </w:rPr>
        <w:t>施工报批难度大，</w:t>
      </w:r>
      <w:r>
        <w:rPr>
          <w:rFonts w:hint="eastAsia" w:ascii="Times New Roman" w:hAnsi="Times New Roman" w:eastAsia="宋体"/>
          <w:color w:val="auto"/>
          <w:highlight w:val="none"/>
          <w:lang w:val="en-US" w:eastAsia="zh-CN"/>
        </w:rPr>
        <w:t>穿越</w:t>
      </w:r>
      <w:r>
        <w:rPr>
          <w:rFonts w:ascii="Times New Roman" w:hAnsi="Times New Roman" w:eastAsia="宋体"/>
          <w:color w:val="auto"/>
          <w:highlight w:val="none"/>
        </w:rPr>
        <w:t>水域隧道段的勘察往往难以分阶段报批</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故</w:t>
      </w:r>
      <w:r>
        <w:rPr>
          <w:rFonts w:hint="eastAsia" w:ascii="Times New Roman" w:hAnsi="Times New Roman" w:eastAsia="宋体"/>
          <w:color w:val="auto"/>
          <w:highlight w:val="none"/>
          <w:lang w:val="en-US" w:eastAsia="zh-CN"/>
        </w:rPr>
        <w:t>对于穿越</w:t>
      </w:r>
      <w:r>
        <w:rPr>
          <w:rFonts w:ascii="Times New Roman" w:hAnsi="Times New Roman" w:eastAsia="宋体"/>
          <w:color w:val="auto"/>
          <w:highlight w:val="none"/>
        </w:rPr>
        <w:t>水域</w:t>
      </w:r>
      <w:r>
        <w:rPr>
          <w:rFonts w:hint="eastAsia" w:ascii="Times New Roman" w:hAnsi="Times New Roman" w:eastAsia="宋体"/>
          <w:color w:val="auto"/>
          <w:highlight w:val="none"/>
          <w:lang w:val="en-US" w:eastAsia="zh-CN"/>
        </w:rPr>
        <w:t>的</w:t>
      </w:r>
      <w:r>
        <w:rPr>
          <w:rFonts w:ascii="Times New Roman" w:hAnsi="Times New Roman" w:eastAsia="宋体"/>
          <w:color w:val="auto"/>
          <w:highlight w:val="none"/>
        </w:rPr>
        <w:t>隧道段</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初勘阶段往往主要通过物探加个别验证性勘探孔提供地质资料，</w:t>
      </w:r>
      <w:r>
        <w:rPr>
          <w:rFonts w:ascii="Times New Roman" w:hAnsi="Times New Roman" w:eastAsia="宋体"/>
          <w:color w:val="auto"/>
          <w:highlight w:val="none"/>
        </w:rPr>
        <w:t>初勘孔</w:t>
      </w:r>
      <w:r>
        <w:rPr>
          <w:rFonts w:hint="eastAsia" w:ascii="Times New Roman" w:hAnsi="Times New Roman" w:eastAsia="宋体"/>
          <w:color w:val="auto"/>
          <w:highlight w:val="none"/>
          <w:lang w:val="en-US" w:eastAsia="zh-CN"/>
        </w:rPr>
        <w:t>则</w:t>
      </w:r>
      <w:r>
        <w:rPr>
          <w:rFonts w:ascii="Times New Roman" w:hAnsi="Times New Roman" w:eastAsia="宋体"/>
          <w:color w:val="auto"/>
          <w:highlight w:val="none"/>
        </w:rPr>
        <w:t>待详勘阶段合并实施，一次性完成水上</w:t>
      </w:r>
      <w:r>
        <w:rPr>
          <w:rFonts w:hint="eastAsia" w:ascii="Times New Roman" w:hAnsi="Times New Roman" w:eastAsia="宋体"/>
          <w:color w:val="auto"/>
          <w:highlight w:val="none"/>
          <w:lang w:eastAsia="zh-CN"/>
        </w:rPr>
        <w:t>勘探</w:t>
      </w:r>
      <w:r>
        <w:rPr>
          <w:rFonts w:ascii="Times New Roman" w:hAnsi="Times New Roman" w:eastAsia="宋体"/>
          <w:color w:val="auto"/>
          <w:highlight w:val="none"/>
        </w:rPr>
        <w:t>工作。</w:t>
      </w:r>
    </w:p>
    <w:p>
      <w:pPr>
        <w:spacing w:line="360" w:lineRule="auto"/>
        <w:ind w:firstLine="422" w:firstLineChars="200"/>
        <w:rPr>
          <w:rFonts w:ascii="Times New Roman" w:hAnsi="Times New Roman" w:eastAsia="宋体"/>
          <w:color w:val="auto"/>
          <w:highlight w:val="none"/>
        </w:rPr>
      </w:pPr>
      <w:r>
        <w:rPr>
          <w:rFonts w:hint="eastAsia" w:ascii="Times New Roman" w:hAnsi="Times New Roman" w:eastAsia="宋体"/>
          <w:b/>
          <w:bCs/>
          <w:color w:val="auto"/>
          <w:highlight w:val="none"/>
          <w:lang w:val="en-US" w:eastAsia="zh-CN"/>
        </w:rPr>
        <w:t>2</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ascii="Times New Roman" w:hAnsi="Times New Roman" w:eastAsia="宋体"/>
          <w:color w:val="auto"/>
          <w:highlight w:val="none"/>
        </w:rPr>
        <w:t>洞口位置是整个隧道的关键，故要求洞口处有勘探孔控制。</w:t>
      </w:r>
    </w:p>
    <w:p>
      <w:pPr>
        <w:spacing w:line="360" w:lineRule="auto"/>
        <w:rPr>
          <w:rFonts w:hint="eastAsia" w:ascii="Times New Roman" w:hAnsi="Times New Roman" w:eastAsia="宋体"/>
          <w:b/>
          <w:bCs/>
          <w:color w:val="auto"/>
          <w:highlight w:val="none"/>
          <w:lang w:val="en-US" w:eastAsia="zh-CN"/>
        </w:rPr>
      </w:pPr>
      <w:r>
        <w:rPr>
          <w:rFonts w:ascii="Times New Roman" w:hAnsi="Times New Roman" w:eastAsia="宋体"/>
          <w:b/>
          <w:bCs/>
          <w:color w:val="auto"/>
          <w:highlight w:val="none"/>
        </w:rPr>
        <w:t>7.3.</w:t>
      </w:r>
      <w:r>
        <w:rPr>
          <w:rFonts w:hint="eastAsia" w:ascii="Times New Roman" w:hAnsi="Times New Roman" w:eastAsia="宋体"/>
          <w:b/>
          <w:bCs/>
          <w:color w:val="auto"/>
          <w:highlight w:val="none"/>
          <w:lang w:val="en-US" w:eastAsia="zh-CN"/>
        </w:rPr>
        <w:t>5</w:t>
      </w:r>
      <w:r>
        <w:rPr>
          <w:rFonts w:hint="eastAsia"/>
          <w:b/>
          <w:bCs/>
          <w:color w:val="auto"/>
          <w:highlight w:val="none"/>
          <w:lang w:val="en-US" w:eastAsia="zh-CN"/>
        </w:rPr>
        <w:t xml:space="preserve"> </w:t>
      </w:r>
      <w:r>
        <w:rPr>
          <w:rFonts w:hint="eastAsia" w:ascii="Times New Roman" w:hAnsi="Times New Roman" w:eastAsia="宋体"/>
          <w:b/>
          <w:bCs/>
          <w:color w:val="auto"/>
          <w:highlight w:val="none"/>
          <w:lang w:val="en-US" w:eastAsia="zh-CN"/>
        </w:rPr>
        <w:t xml:space="preserve"> </w:t>
      </w:r>
      <w:r>
        <w:rPr>
          <w:rFonts w:hint="eastAsia" w:ascii="Times New Roman" w:hAnsi="Times New Roman" w:eastAsia="宋体"/>
          <w:color w:val="auto"/>
          <w:highlight w:val="none"/>
          <w:lang w:val="en-US" w:eastAsia="zh-CN"/>
        </w:rPr>
        <w:t>就本条第1~2款说明如下：</w:t>
      </w:r>
    </w:p>
    <w:p>
      <w:pPr>
        <w:autoSpaceDE w:val="0"/>
        <w:autoSpaceDN w:val="0"/>
        <w:adjustRightInd w:val="0"/>
        <w:spacing w:line="360" w:lineRule="auto"/>
        <w:ind w:firstLine="422" w:firstLineChars="200"/>
        <w:jc w:val="left"/>
        <w:rPr>
          <w:rFonts w:ascii="Times New Roman" w:hAnsi="Times New Roman" w:eastAsia="宋体"/>
          <w:color w:val="auto"/>
          <w:highlight w:val="none"/>
        </w:rPr>
      </w:pPr>
      <w:r>
        <w:rPr>
          <w:rFonts w:ascii="Times New Roman" w:hAnsi="Times New Roman" w:eastAsia="宋体"/>
          <w:b/>
          <w:bCs/>
          <w:color w:val="auto"/>
          <w:highlight w:val="none"/>
        </w:rPr>
        <w:t xml:space="preserve">1 </w:t>
      </w:r>
      <w:r>
        <w:rPr>
          <w:rFonts w:hint="eastAsia"/>
          <w:b/>
          <w:bCs/>
          <w:color w:val="auto"/>
          <w:highlight w:val="none"/>
          <w:lang w:val="en-US" w:eastAsia="zh-CN"/>
        </w:rPr>
        <w:t xml:space="preserve"> </w:t>
      </w:r>
      <w:r>
        <w:rPr>
          <w:rFonts w:ascii="Times New Roman" w:hAnsi="Times New Roman" w:eastAsia="宋体"/>
          <w:color w:val="auto"/>
          <w:highlight w:val="none"/>
        </w:rPr>
        <w:t>松散地层是《市政工程勘察规范》CJJ 56-2012中出现的概念，规范中未作解释，但在其出现的位置可以看到，其相对的基本上是中、微风化岩，因此松散地层大致可视作与《建筑抗震设计规范》GB 50011中的</w:t>
      </w:r>
      <w:r>
        <w:rPr>
          <w:rFonts w:hint="eastAsia" w:ascii="宋体" w:hAnsi="宋体" w:eastAsia="宋体" w:cs="宋体"/>
          <w:color w:val="auto"/>
          <w:highlight w:val="none"/>
        </w:rPr>
        <w:t>“覆盖层”</w:t>
      </w:r>
      <w:r>
        <w:rPr>
          <w:rFonts w:ascii="Times New Roman" w:hAnsi="Times New Roman" w:eastAsia="宋体"/>
          <w:color w:val="auto"/>
          <w:highlight w:val="none"/>
        </w:rPr>
        <w:t>概念等效，或者就是指地面至中、微风化带顶面的地层。但考虑到全、强风化岩或极软岩的承载力高、稳定性好，在《城市轨道交通岩土工程勘察规范》GB 50307-2012中也将其区分开来，故此</w:t>
      </w:r>
      <w:r>
        <w:rPr>
          <w:rFonts w:hint="eastAsia" w:ascii="宋体" w:hAnsi="宋体" w:eastAsia="宋体" w:cs="宋体"/>
          <w:color w:val="auto"/>
          <w:highlight w:val="none"/>
        </w:rPr>
        <w:t>处“松散地层”的</w:t>
      </w:r>
      <w:r>
        <w:rPr>
          <w:rFonts w:ascii="Times New Roman" w:hAnsi="Times New Roman" w:eastAsia="宋体"/>
          <w:color w:val="auto"/>
          <w:highlight w:val="none"/>
        </w:rPr>
        <w:t>概念仅指不包含全、强风化岩的覆盖层，其地层的剪切波速一般小于300m/s。</w:t>
      </w:r>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ascii="Times New Roman" w:hAnsi="Times New Roman" w:eastAsia="宋体"/>
          <w:color w:val="auto"/>
          <w:highlight w:val="none"/>
        </w:rPr>
        <w:t>表7.3.</w:t>
      </w:r>
      <w:r>
        <w:rPr>
          <w:rFonts w:hint="eastAsia" w:ascii="Times New Roman" w:hAnsi="Times New Roman" w:eastAsia="宋体"/>
          <w:color w:val="auto"/>
          <w:highlight w:val="none"/>
          <w:lang w:val="en-US" w:eastAsia="zh-CN"/>
        </w:rPr>
        <w:t>5</w:t>
      </w:r>
      <w:r>
        <w:rPr>
          <w:rFonts w:ascii="Times New Roman" w:hAnsi="Times New Roman" w:eastAsia="宋体"/>
          <w:color w:val="auto"/>
          <w:highlight w:val="none"/>
        </w:rPr>
        <w:t>的勘探孔深度控制原则基于以下考虑制定：</w:t>
      </w:r>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ascii="Times New Roman" w:hAnsi="Times New Roman" w:eastAsia="宋体"/>
          <w:color w:val="auto"/>
          <w:highlight w:val="none"/>
        </w:rPr>
        <w:t>1）初步勘察阶段隧道方案可能不稳定，隧道埋深可能发生调整，故勘探孔深度宜适当加深，尤其是结构底板位于松散地层之上的情况。</w:t>
      </w:r>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ascii="Times New Roman" w:hAnsi="Times New Roman" w:eastAsia="宋体"/>
          <w:color w:val="auto"/>
          <w:highlight w:val="none"/>
        </w:rPr>
        <w:t>2）《市政工程勘察规范》CJJ 56-2012规定</w:t>
      </w:r>
      <w:r>
        <w:rPr>
          <w:rFonts w:hint="eastAsia" w:ascii="宋体" w:hAnsi="宋体" w:eastAsia="宋体" w:cs="宋体"/>
          <w:color w:val="auto"/>
          <w:highlight w:val="none"/>
        </w:rPr>
        <w:t>“</w:t>
      </w:r>
      <w:r>
        <w:rPr>
          <w:rFonts w:ascii="Times New Roman" w:hAnsi="Times New Roman" w:eastAsia="宋体"/>
          <w:color w:val="auto"/>
          <w:highlight w:val="none"/>
        </w:rPr>
        <w:t>在松散地层中，一般性勘探孔应进入隧道底板以下不小于1.5倍隧道高度，控制性勘探孔应进入隧道底板以下不小于2.5倍隧道高度；在微风化及中等风化岩石中，应进入隧道底板以下，且不宜小于1.0倍隧道高度</w:t>
      </w:r>
      <w:r>
        <w:rPr>
          <w:rFonts w:hint="eastAsia" w:ascii="宋体" w:hAnsi="宋体" w:eastAsia="宋体" w:cs="宋体"/>
          <w:color w:val="auto"/>
          <w:highlight w:val="none"/>
        </w:rPr>
        <w:t>”</w:t>
      </w:r>
      <w:r>
        <w:rPr>
          <w:rFonts w:ascii="Times New Roman" w:hAnsi="Times New Roman" w:eastAsia="宋体"/>
          <w:color w:val="auto"/>
          <w:highlight w:val="none"/>
        </w:rPr>
        <w:t>。</w:t>
      </w:r>
    </w:p>
    <w:p>
      <w:pPr>
        <w:autoSpaceDE w:val="0"/>
        <w:autoSpaceDN w:val="0"/>
        <w:adjustRightInd w:val="0"/>
        <w:spacing w:line="360" w:lineRule="auto"/>
        <w:ind w:firstLine="420" w:firstLineChars="200"/>
        <w:jc w:val="left"/>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明</w:t>
      </w:r>
      <w:r>
        <w:rPr>
          <w:rFonts w:ascii="Times New Roman" w:hAnsi="Times New Roman" w:eastAsia="宋体"/>
          <w:color w:val="auto"/>
          <w:highlight w:val="none"/>
        </w:rPr>
        <w:t>挖法隧道主要需要考虑隧道两侧坡体的稳定性，故隧道开挖深度</w:t>
      </w:r>
      <w:r>
        <w:rPr>
          <w:rFonts w:ascii="Times New Roman" w:hAnsi="Times New Roman" w:eastAsia="宋体"/>
          <w:i/>
          <w:iCs/>
          <w:color w:val="auto"/>
          <w:highlight w:val="none"/>
        </w:rPr>
        <w:t>h</w:t>
      </w:r>
      <w:r>
        <w:rPr>
          <w:rFonts w:ascii="Times New Roman" w:hAnsi="Times New Roman" w:eastAsia="宋体"/>
          <w:color w:val="auto"/>
          <w:highlight w:val="none"/>
        </w:rPr>
        <w:t>是</w:t>
      </w:r>
      <w:r>
        <w:rPr>
          <w:rFonts w:hint="eastAsia" w:ascii="Times New Roman" w:hAnsi="Times New Roman" w:eastAsia="宋体"/>
          <w:color w:val="auto"/>
          <w:highlight w:val="none"/>
          <w:lang w:eastAsia="zh-CN"/>
        </w:rPr>
        <w:t>勘探</w:t>
      </w:r>
      <w:r>
        <w:rPr>
          <w:rFonts w:ascii="Times New Roman" w:hAnsi="Times New Roman" w:eastAsia="宋体"/>
          <w:color w:val="auto"/>
          <w:highlight w:val="none"/>
        </w:rPr>
        <w:t>深度的主要对照参数。《建筑边坡工程技术规范》GB 50330-2013规定详勘阶段</w:t>
      </w:r>
      <w:r>
        <w:rPr>
          <w:rFonts w:hint="eastAsia" w:ascii="宋体" w:hAnsi="宋体" w:eastAsia="宋体" w:cs="宋体"/>
          <w:color w:val="auto"/>
          <w:highlight w:val="none"/>
        </w:rPr>
        <w:t>“边</w:t>
      </w:r>
      <w:r>
        <w:rPr>
          <w:rFonts w:ascii="Times New Roman" w:hAnsi="Times New Roman" w:eastAsia="宋体"/>
          <w:color w:val="auto"/>
          <w:highlight w:val="none"/>
        </w:rPr>
        <w:t>坡工程勘探点深度应进入最下潜在滑面2.0m~5.0m</w:t>
      </w:r>
      <w:r>
        <w:rPr>
          <w:rFonts w:hint="eastAsia" w:ascii="宋体" w:hAnsi="宋体" w:eastAsia="宋体" w:cs="宋体"/>
          <w:color w:val="auto"/>
          <w:highlight w:val="none"/>
        </w:rPr>
        <w:t>”“</w:t>
      </w:r>
      <w:r>
        <w:rPr>
          <w:rFonts w:ascii="Times New Roman" w:hAnsi="Times New Roman" w:eastAsia="宋体"/>
          <w:color w:val="auto"/>
          <w:highlight w:val="none"/>
        </w:rPr>
        <w:t>对于悬臂桩进入嵌固段的深度</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土质时不宜小于悬臂长度的1.0倍，岩质时不小于0.7倍</w:t>
      </w:r>
      <w:r>
        <w:rPr>
          <w:rFonts w:hint="eastAsia" w:ascii="宋体" w:hAnsi="宋体" w:eastAsia="宋体" w:cs="宋体"/>
          <w:color w:val="auto"/>
          <w:highlight w:val="none"/>
        </w:rPr>
        <w:t>”</w:t>
      </w:r>
      <w:r>
        <w:rPr>
          <w:rFonts w:ascii="Times New Roman" w:hAnsi="Times New Roman" w:eastAsia="宋体"/>
          <w:color w:val="auto"/>
          <w:highlight w:val="none"/>
        </w:rPr>
        <w:t>，《建筑基坑支护技术规程》JGJ 120-2012则规定</w:t>
      </w:r>
      <w:r>
        <w:rPr>
          <w:rFonts w:hint="eastAsia" w:ascii="宋体" w:hAnsi="宋体" w:eastAsia="宋体" w:cs="宋体"/>
          <w:color w:val="auto"/>
          <w:highlight w:val="none"/>
        </w:rPr>
        <w:t>“</w:t>
      </w:r>
      <w:r>
        <w:rPr>
          <w:rFonts w:ascii="Times New Roman" w:hAnsi="Times New Roman" w:eastAsia="宋体"/>
          <w:color w:val="auto"/>
          <w:highlight w:val="none"/>
        </w:rPr>
        <w:t>基坑周边勘探孔的深度不宜小于基坑深度的2倍</w:t>
      </w:r>
      <w:r>
        <w:rPr>
          <w:rFonts w:hint="eastAsia" w:ascii="宋体" w:hAnsi="宋体" w:eastAsia="宋体" w:cs="宋体"/>
          <w:color w:val="auto"/>
          <w:highlight w:val="none"/>
        </w:rPr>
        <w:t>”</w:t>
      </w:r>
      <w:r>
        <w:rPr>
          <w:rFonts w:ascii="Times New Roman" w:hAnsi="Times New Roman" w:eastAsia="宋体"/>
          <w:color w:val="auto"/>
          <w:highlight w:val="none"/>
        </w:rPr>
        <w:t>。综合考虑，</w:t>
      </w:r>
      <w:r>
        <w:rPr>
          <w:rFonts w:hint="eastAsia" w:ascii="Times New Roman" w:hAnsi="Times New Roman" w:eastAsia="宋体"/>
          <w:color w:val="auto"/>
          <w:highlight w:val="none"/>
          <w:lang w:val="en-US" w:eastAsia="zh-CN"/>
        </w:rPr>
        <w:t>初勘阶段明</w:t>
      </w:r>
      <w:r>
        <w:rPr>
          <w:rFonts w:ascii="Times New Roman" w:hAnsi="Times New Roman" w:eastAsia="宋体"/>
          <w:color w:val="auto"/>
          <w:highlight w:val="none"/>
        </w:rPr>
        <w:t>挖情况下，松散地层和中、微风化岩的钻孔深度分别按不小于隧道底板以下</w:t>
      </w:r>
      <w:r>
        <w:rPr>
          <w:rFonts w:hint="eastAsia" w:ascii="Times New Roman" w:hAnsi="Times New Roman" w:eastAsia="宋体"/>
          <w:color w:val="auto"/>
          <w:highlight w:val="none"/>
          <w:lang w:val="en-US" w:eastAsia="zh-CN"/>
        </w:rPr>
        <w:t>1.5</w:t>
      </w:r>
      <w:r>
        <w:rPr>
          <w:rFonts w:ascii="Times New Roman" w:hAnsi="Times New Roman" w:eastAsia="宋体"/>
          <w:i/>
          <w:iCs/>
          <w:color w:val="auto"/>
          <w:highlight w:val="none"/>
        </w:rPr>
        <w:t>h</w:t>
      </w:r>
      <w:r>
        <w:rPr>
          <w:rFonts w:hint="eastAsia" w:ascii="Times New Roman" w:hAnsi="Times New Roman" w:eastAsia="宋体"/>
          <w:color w:val="auto"/>
          <w:highlight w:val="none"/>
        </w:rPr>
        <w:t>且≥</w:t>
      </w:r>
      <w:r>
        <w:rPr>
          <w:rFonts w:hint="eastAsia" w:ascii="Times New Roman" w:hAnsi="Times New Roman" w:eastAsia="宋体"/>
          <w:color w:val="auto"/>
          <w:highlight w:val="none"/>
          <w:lang w:val="en-US" w:eastAsia="zh-CN"/>
        </w:rPr>
        <w:t>15</w:t>
      </w:r>
      <w:r>
        <w:rPr>
          <w:rFonts w:ascii="Times New Roman" w:hAnsi="Times New Roman" w:eastAsia="宋体"/>
          <w:color w:val="auto"/>
          <w:highlight w:val="none"/>
        </w:rPr>
        <w:t>m和</w:t>
      </w:r>
      <w:r>
        <w:rPr>
          <w:rFonts w:hint="eastAsia" w:ascii="Times New Roman" w:hAnsi="Times New Roman" w:eastAsia="宋体"/>
          <w:color w:val="auto"/>
          <w:highlight w:val="none"/>
          <w:lang w:val="en-US" w:eastAsia="zh-CN"/>
        </w:rPr>
        <w:t>6m</w:t>
      </w:r>
      <w:r>
        <w:rPr>
          <w:rFonts w:ascii="Times New Roman" w:hAnsi="Times New Roman" w:eastAsia="宋体"/>
          <w:color w:val="auto"/>
          <w:highlight w:val="none"/>
        </w:rPr>
        <w:t>控制；全、强风化岩与极软岩介于松散地层和中、微风化岩之间，故按不小于隧道底板以下</w:t>
      </w:r>
      <w:r>
        <w:rPr>
          <w:rFonts w:hint="eastAsia" w:ascii="Times New Roman" w:hAnsi="Times New Roman" w:eastAsia="宋体"/>
          <w:color w:val="auto"/>
          <w:highlight w:val="none"/>
          <w:lang w:val="en-US" w:eastAsia="zh-CN"/>
        </w:rPr>
        <w:t>1.0</w:t>
      </w:r>
      <w:r>
        <w:rPr>
          <w:rFonts w:ascii="Times New Roman" w:hAnsi="Times New Roman" w:eastAsia="宋体"/>
          <w:i/>
          <w:iCs/>
          <w:color w:val="auto"/>
          <w:highlight w:val="none"/>
        </w:rPr>
        <w:t>h</w:t>
      </w:r>
      <w:r>
        <w:rPr>
          <w:rFonts w:hint="eastAsia" w:ascii="Times New Roman" w:hAnsi="Times New Roman" w:eastAsia="宋体"/>
          <w:color w:val="auto"/>
          <w:highlight w:val="none"/>
        </w:rPr>
        <w:t>且≥</w:t>
      </w:r>
      <w:r>
        <w:rPr>
          <w:rFonts w:hint="eastAsia" w:ascii="Times New Roman" w:hAnsi="Times New Roman" w:eastAsia="宋体"/>
          <w:color w:val="auto"/>
          <w:highlight w:val="none"/>
          <w:lang w:val="en-US" w:eastAsia="zh-CN"/>
        </w:rPr>
        <w:t>10</w:t>
      </w:r>
      <w:r>
        <w:rPr>
          <w:rFonts w:ascii="Times New Roman" w:hAnsi="Times New Roman" w:eastAsia="宋体"/>
          <w:color w:val="auto"/>
          <w:highlight w:val="none"/>
        </w:rPr>
        <w:t>m控制。</w:t>
      </w:r>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ascii="Times New Roman" w:hAnsi="Times New Roman" w:eastAsia="宋体"/>
          <w:color w:val="auto"/>
          <w:highlight w:val="none"/>
        </w:rPr>
        <w:t>3）沉管法隧道的勘探孔深度参考上海地区《岩土工程勘察规范》DGJ 08-37-2012，在松散地层中按不小于隧道底板以下1.0</w:t>
      </w:r>
      <w:r>
        <w:rPr>
          <w:rFonts w:ascii="Times New Roman" w:hAnsi="Times New Roman" w:eastAsia="宋体"/>
          <w:i/>
          <w:iCs/>
          <w:color w:val="auto"/>
          <w:kern w:val="0"/>
          <w:sz w:val="18"/>
          <w:szCs w:val="11"/>
          <w:highlight w:val="none"/>
        </w:rPr>
        <w:t>w</w:t>
      </w:r>
      <w:r>
        <w:rPr>
          <w:rFonts w:ascii="Times New Roman" w:hAnsi="Times New Roman" w:eastAsia="宋体"/>
          <w:color w:val="auto"/>
          <w:highlight w:val="none"/>
        </w:rPr>
        <w:t>控制。底板为岩体时，则对照陆上</w:t>
      </w:r>
      <w:r>
        <w:rPr>
          <w:rFonts w:hint="eastAsia" w:ascii="Times New Roman" w:hAnsi="Times New Roman" w:eastAsia="宋体"/>
          <w:color w:val="auto"/>
          <w:highlight w:val="none"/>
          <w:lang w:val="en-US" w:eastAsia="zh-CN"/>
        </w:rPr>
        <w:t>明</w:t>
      </w:r>
      <w:r>
        <w:rPr>
          <w:rFonts w:ascii="Times New Roman" w:hAnsi="Times New Roman" w:eastAsia="宋体"/>
          <w:color w:val="auto"/>
          <w:highlight w:val="none"/>
        </w:rPr>
        <w:t>挖时不同地层类型的控制深度，大致等比例进行折减。</w:t>
      </w:r>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ascii="Times New Roman" w:hAnsi="Times New Roman" w:eastAsia="宋体"/>
          <w:color w:val="auto"/>
          <w:highlight w:val="none"/>
        </w:rPr>
        <w:t>《沉管法隧道设计规范》GB/T 51318-2019关于初勘孔深度的规定是：在松散地层中，一般性勘探孔深度进入隧道底板以下不应小于1.5倍隧道高度，控制性勘探孔进入隧道底板以下不应小于2.5倍隧道高度；在微风化及中等风化岩石中，勘探孔进入隧道底板以下不应小于1倍隧道高度。</w:t>
      </w:r>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ascii="Times New Roman" w:hAnsi="Times New Roman" w:eastAsia="宋体"/>
          <w:color w:val="auto"/>
          <w:highlight w:val="none"/>
        </w:rPr>
        <w:t>对于沉管隧道，地基沉降是主要控制因素。而在地基基础设计规范中，关于沉降的计算主要与底板的宽度相关，而非高度。因此，沉管隧道的勘探孔深度要求以隧道底板宽度为参照比之以隧道高度为参照更为合理。故本规范采纳了上海地区《岩土工程勘察规范》的标准并进行了细化。</w:t>
      </w:r>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ascii="Times New Roman" w:hAnsi="Times New Roman" w:eastAsia="宋体"/>
          <w:color w:val="auto"/>
          <w:highlight w:val="none"/>
        </w:rPr>
        <w:t>4）</w:t>
      </w:r>
      <w:r>
        <w:rPr>
          <w:rFonts w:hint="eastAsia" w:ascii="Times New Roman" w:hAnsi="Times New Roman" w:eastAsia="宋体"/>
          <w:color w:val="auto"/>
          <w:highlight w:val="none"/>
          <w:lang w:val="en-US" w:eastAsia="zh-CN"/>
        </w:rPr>
        <w:t>暗</w:t>
      </w:r>
      <w:r>
        <w:rPr>
          <w:rFonts w:ascii="Times New Roman" w:hAnsi="Times New Roman" w:eastAsia="宋体"/>
          <w:color w:val="auto"/>
          <w:highlight w:val="none"/>
        </w:rPr>
        <w:t>法隧道的勘探孔深度主要参照《城市轨道交通岩土工程勘察规范》GB 50307-2012</w:t>
      </w:r>
      <w:r>
        <w:rPr>
          <w:rFonts w:hint="eastAsia" w:ascii="Times New Roman" w:hAnsi="Times New Roman" w:eastAsia="宋体"/>
          <w:color w:val="auto"/>
          <w:highlight w:val="none"/>
          <w:lang w:val="en-US" w:eastAsia="zh-CN"/>
        </w:rPr>
        <w:t>第6.3.5条</w:t>
      </w:r>
      <w:r>
        <w:rPr>
          <w:rFonts w:ascii="Times New Roman" w:hAnsi="Times New Roman" w:eastAsia="宋体"/>
          <w:color w:val="auto"/>
          <w:highlight w:val="none"/>
        </w:rPr>
        <w:t>的控制性勘探孔</w:t>
      </w:r>
      <w:r>
        <w:rPr>
          <w:rFonts w:hint="eastAsia" w:ascii="Times New Roman" w:hAnsi="Times New Roman" w:eastAsia="宋体"/>
          <w:color w:val="auto"/>
          <w:highlight w:val="none"/>
          <w:lang w:val="en-US" w:eastAsia="zh-CN"/>
        </w:rPr>
        <w:t>深度</w:t>
      </w:r>
      <w:r>
        <w:rPr>
          <w:rFonts w:ascii="Times New Roman" w:hAnsi="Times New Roman" w:eastAsia="宋体"/>
          <w:color w:val="auto"/>
          <w:highlight w:val="none"/>
        </w:rPr>
        <w:t>控制。</w:t>
      </w:r>
    </w:p>
    <w:p>
      <w:pPr>
        <w:autoSpaceDE w:val="0"/>
        <w:autoSpaceDN w:val="0"/>
        <w:adjustRightInd w:val="0"/>
        <w:spacing w:line="360" w:lineRule="auto"/>
        <w:ind w:firstLine="422" w:firstLineChars="200"/>
        <w:jc w:val="left"/>
        <w:rPr>
          <w:rFonts w:ascii="Times New Roman" w:hAnsi="Times New Roman" w:eastAsia="宋体"/>
          <w:color w:val="auto"/>
          <w:highlight w:val="none"/>
        </w:rPr>
      </w:pPr>
      <w:r>
        <w:rPr>
          <w:rFonts w:ascii="Times New Roman" w:hAnsi="Times New Roman" w:eastAsia="宋体"/>
          <w:b/>
          <w:bCs/>
          <w:color w:val="auto"/>
          <w:highlight w:val="none"/>
        </w:rPr>
        <w:t>2</w:t>
      </w:r>
      <w:r>
        <w:rPr>
          <w:rFonts w:hint="eastAsia"/>
          <w:b/>
          <w:bCs/>
          <w:color w:val="auto"/>
          <w:highlight w:val="none"/>
          <w:lang w:val="en-US" w:eastAsia="zh-CN"/>
        </w:rPr>
        <w:t xml:space="preserve"> </w:t>
      </w:r>
      <w:r>
        <w:rPr>
          <w:rFonts w:ascii="Times New Roman" w:hAnsi="Times New Roman" w:eastAsia="宋体"/>
          <w:b/>
          <w:bCs/>
          <w:color w:val="auto"/>
          <w:highlight w:val="none"/>
        </w:rPr>
        <w:t xml:space="preserve"> </w:t>
      </w:r>
      <w:r>
        <w:rPr>
          <w:rFonts w:ascii="Times New Roman" w:hAnsi="Times New Roman" w:eastAsia="宋体"/>
          <w:color w:val="auto"/>
          <w:highlight w:val="none"/>
        </w:rPr>
        <w:t>本条款参照市政工程勘察规范（CJJ56-2012）。</w:t>
      </w:r>
    </w:p>
    <w:p>
      <w:pPr>
        <w:autoSpaceDE w:val="0"/>
        <w:autoSpaceDN w:val="0"/>
        <w:adjustRightInd w:val="0"/>
        <w:spacing w:line="360" w:lineRule="auto"/>
        <w:jc w:val="left"/>
        <w:rPr>
          <w:rFonts w:ascii="Times New Roman" w:hAnsi="Times New Roman" w:eastAsia="宋体"/>
          <w:color w:val="auto"/>
          <w:highlight w:val="none"/>
        </w:rPr>
      </w:pPr>
      <w:r>
        <w:rPr>
          <w:rFonts w:ascii="Times New Roman" w:hAnsi="Times New Roman" w:eastAsia="宋体"/>
          <w:b/>
          <w:bCs/>
          <w:color w:val="auto"/>
          <w:highlight w:val="none"/>
        </w:rPr>
        <w:t>7.3.</w:t>
      </w:r>
      <w:r>
        <w:rPr>
          <w:rFonts w:hint="eastAsia" w:ascii="Times New Roman" w:hAnsi="Times New Roman" w:eastAsia="宋体"/>
          <w:b/>
          <w:bCs/>
          <w:color w:val="auto"/>
          <w:highlight w:val="none"/>
          <w:lang w:val="en-US" w:eastAsia="zh-CN"/>
        </w:rPr>
        <w:t xml:space="preserve">6 </w:t>
      </w:r>
      <w:r>
        <w:rPr>
          <w:rFonts w:hint="eastAsia"/>
          <w:b/>
          <w:bCs/>
          <w:color w:val="auto"/>
          <w:highlight w:val="none"/>
          <w:lang w:val="en-US" w:eastAsia="zh-CN"/>
        </w:rPr>
        <w:t xml:space="preserve"> </w:t>
      </w:r>
      <w:r>
        <w:rPr>
          <w:rFonts w:hint="eastAsia" w:ascii="Times New Roman" w:hAnsi="Times New Roman" w:eastAsia="宋体"/>
          <w:b w:val="0"/>
          <w:bCs w:val="0"/>
          <w:color w:val="auto"/>
          <w:highlight w:val="none"/>
          <w:lang w:val="en-US" w:eastAsia="zh-CN"/>
        </w:rPr>
        <w:t>本条主要参考国标</w:t>
      </w:r>
      <w:r>
        <w:rPr>
          <w:rFonts w:ascii="Times New Roman" w:hAnsi="Times New Roman" w:eastAsia="宋体"/>
          <w:color w:val="auto"/>
          <w:highlight w:val="none"/>
        </w:rPr>
        <w:t>《城市轨道交通岩土工程勘察规范》GB 50307</w:t>
      </w:r>
      <w:r>
        <w:rPr>
          <w:rFonts w:hint="eastAsia" w:ascii="Times New Roman" w:hAnsi="Times New Roman" w:eastAsia="宋体"/>
          <w:color w:val="auto"/>
          <w:highlight w:val="none"/>
          <w:lang w:val="en-US" w:eastAsia="zh-CN"/>
        </w:rPr>
        <w:t>和行标《市政工程</w:t>
      </w:r>
      <w:r>
        <w:rPr>
          <w:rFonts w:ascii="Times New Roman" w:hAnsi="Times New Roman" w:eastAsia="宋体"/>
          <w:color w:val="auto"/>
          <w:highlight w:val="none"/>
        </w:rPr>
        <w:t>勘察规范》CJJ56。</w:t>
      </w:r>
    </w:p>
    <w:p>
      <w:pPr>
        <w:pStyle w:val="3"/>
        <w:jc w:val="center"/>
        <w:rPr>
          <w:rFonts w:ascii="Times New Roman" w:hAnsi="Times New Roman" w:eastAsia="宋体" w:cs="Times New Roman"/>
          <w:color w:val="auto"/>
          <w:sz w:val="24"/>
          <w:highlight w:val="none"/>
        </w:rPr>
      </w:pPr>
      <w:bookmarkStart w:id="388" w:name="_Toc3764"/>
      <w:bookmarkStart w:id="389" w:name="_Toc32002"/>
      <w:bookmarkStart w:id="390" w:name="_Toc76998277"/>
      <w:r>
        <w:rPr>
          <w:rFonts w:ascii="Times New Roman" w:hAnsi="Times New Roman" w:eastAsia="宋体" w:cs="Times New Roman"/>
          <w:color w:val="auto"/>
          <w:sz w:val="24"/>
          <w:highlight w:val="none"/>
        </w:rPr>
        <w:t xml:space="preserve">7.4 </w:t>
      </w:r>
      <w:r>
        <w:rPr>
          <w:rFonts w:hint="eastAsia" w:ascii="Times New Roman" w:hAnsi="Times New Roman" w:eastAsia="宋体" w:cs="Times New Roman"/>
          <w:color w:val="auto"/>
          <w:sz w:val="24"/>
          <w:highlight w:val="none"/>
          <w:lang w:val="en-US" w:eastAsia="zh-CN"/>
        </w:rPr>
        <w:t xml:space="preserve"> </w:t>
      </w:r>
      <w:r>
        <w:rPr>
          <w:rFonts w:ascii="Times New Roman" w:hAnsi="Times New Roman" w:eastAsia="宋体" w:cs="Times New Roman"/>
          <w:color w:val="auto"/>
          <w:sz w:val="24"/>
          <w:highlight w:val="none"/>
        </w:rPr>
        <w:t>详细勘察</w:t>
      </w:r>
      <w:bookmarkEnd w:id="388"/>
      <w:bookmarkEnd w:id="389"/>
      <w:bookmarkEnd w:id="390"/>
    </w:p>
    <w:p>
      <w:pPr>
        <w:autoSpaceDE w:val="0"/>
        <w:autoSpaceDN w:val="0"/>
        <w:adjustRightInd w:val="0"/>
        <w:spacing w:line="360" w:lineRule="auto"/>
        <w:jc w:val="left"/>
        <w:rPr>
          <w:rFonts w:hint="eastAsia" w:ascii="Times New Roman" w:hAnsi="Times New Roman" w:eastAsia="宋体"/>
          <w:b/>
          <w:bCs/>
          <w:color w:val="auto"/>
          <w:highlight w:val="none"/>
          <w:lang w:val="en-US" w:eastAsia="zh-CN"/>
        </w:rPr>
      </w:pPr>
      <w:r>
        <w:rPr>
          <w:rFonts w:ascii="Times New Roman" w:hAnsi="Times New Roman" w:eastAsia="宋体"/>
          <w:b/>
          <w:bCs/>
          <w:color w:val="auto"/>
          <w:highlight w:val="none"/>
        </w:rPr>
        <w:t>7.4.</w:t>
      </w:r>
      <w:r>
        <w:rPr>
          <w:rFonts w:hint="eastAsia" w:ascii="Times New Roman" w:hAnsi="Times New Roman" w:eastAsia="宋体"/>
          <w:b/>
          <w:bCs/>
          <w:color w:val="auto"/>
          <w:highlight w:val="none"/>
          <w:lang w:val="en-US" w:eastAsia="zh-CN"/>
        </w:rPr>
        <w:t xml:space="preserve">1 </w:t>
      </w:r>
      <w:r>
        <w:rPr>
          <w:rFonts w:hint="eastAsia"/>
          <w:b/>
          <w:bCs/>
          <w:color w:val="auto"/>
          <w:highlight w:val="none"/>
          <w:lang w:val="en-US" w:eastAsia="zh-CN"/>
        </w:rPr>
        <w:t xml:space="preserve"> </w:t>
      </w:r>
      <w:r>
        <w:rPr>
          <w:rFonts w:ascii="Times New Roman" w:hAnsi="Times New Roman" w:eastAsia="宋体"/>
          <w:color w:val="auto"/>
          <w:highlight w:val="none"/>
        </w:rPr>
        <w:t>需要注意的是，对于沉管法隧道河床的变化规律及未来水动力条件、河床底部冲淤、施工期间的回淤变化等情况，是常规勘察所无法完成的，建议由建设单位委托专业单位进行专项调查。</w:t>
      </w:r>
    </w:p>
    <w:p>
      <w:pPr>
        <w:autoSpaceDE w:val="0"/>
        <w:autoSpaceDN w:val="0"/>
        <w:adjustRightInd w:val="0"/>
        <w:spacing w:line="360" w:lineRule="auto"/>
        <w:jc w:val="left"/>
        <w:rPr>
          <w:rFonts w:hint="eastAsia" w:ascii="Times New Roman" w:hAnsi="Times New Roman" w:eastAsia="宋体"/>
          <w:b/>
          <w:bCs/>
          <w:color w:val="auto"/>
          <w:highlight w:val="none"/>
          <w:lang w:val="en-US" w:eastAsia="zh-CN"/>
        </w:rPr>
      </w:pPr>
      <w:r>
        <w:rPr>
          <w:rFonts w:ascii="Times New Roman" w:hAnsi="Times New Roman" w:eastAsia="宋体"/>
          <w:b/>
          <w:bCs/>
          <w:color w:val="auto"/>
          <w:highlight w:val="none"/>
        </w:rPr>
        <w:t>7.4.2</w:t>
      </w:r>
      <w:r>
        <w:rPr>
          <w:rFonts w:hint="eastAsia" w:ascii="Times New Roman" w:hAnsi="Times New Roman" w:eastAsia="宋体"/>
          <w:b/>
          <w:bCs/>
          <w:color w:val="auto"/>
          <w:highlight w:val="none"/>
          <w:lang w:val="en-US" w:eastAsia="zh-CN"/>
        </w:rPr>
        <w:t xml:space="preserve"> </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就本条第1、2、4款说明如下：</w:t>
      </w:r>
    </w:p>
    <w:p>
      <w:pPr>
        <w:autoSpaceDE w:val="0"/>
        <w:autoSpaceDN w:val="0"/>
        <w:adjustRightInd w:val="0"/>
        <w:spacing w:line="360" w:lineRule="auto"/>
        <w:ind w:firstLine="422" w:firstLineChars="200"/>
        <w:jc w:val="left"/>
        <w:rPr>
          <w:rFonts w:ascii="Times New Roman" w:hAnsi="Times New Roman" w:eastAsia="宋体"/>
          <w:color w:val="auto"/>
          <w:highlight w:val="none"/>
        </w:rPr>
      </w:pPr>
      <w:bookmarkStart w:id="391" w:name="_Hlk68773460"/>
      <w:r>
        <w:rPr>
          <w:rFonts w:ascii="Times New Roman" w:hAnsi="Times New Roman" w:eastAsia="宋体"/>
          <w:b/>
          <w:bCs/>
          <w:color w:val="auto"/>
          <w:highlight w:val="none"/>
        </w:rPr>
        <w:t>1</w:t>
      </w:r>
      <w:r>
        <w:rPr>
          <w:rFonts w:hint="eastAsia"/>
          <w:b/>
          <w:bCs/>
          <w:color w:val="auto"/>
          <w:highlight w:val="none"/>
          <w:lang w:val="en-US" w:eastAsia="zh-CN"/>
        </w:rPr>
        <w:t xml:space="preserve"> </w:t>
      </w:r>
      <w:r>
        <w:rPr>
          <w:rFonts w:ascii="Times New Roman" w:hAnsi="Times New Roman" w:eastAsia="宋体"/>
          <w:b/>
          <w:bCs/>
          <w:color w:val="auto"/>
          <w:highlight w:val="none"/>
        </w:rPr>
        <w:t xml:space="preserve"> </w:t>
      </w:r>
      <w:r>
        <w:rPr>
          <w:rFonts w:ascii="Times New Roman" w:hAnsi="Times New Roman" w:eastAsia="宋体"/>
          <w:color w:val="auto"/>
          <w:highlight w:val="none"/>
        </w:rPr>
        <w:t>除行标《市政工程勘察规范》CJJ56-2012的规定外，从目前各省市的相关规范看，关于隧道详细勘察勘探点间距，因地域条件不同，无论隧道分类方式还是间距大小都悬殊较大。例如：北京市的《市政基础设施岩土工程勘察规范》DB</w:t>
      </w:r>
      <w:r>
        <w:rPr>
          <w:rFonts w:hint="eastAsia"/>
          <w:color w:val="auto"/>
          <w:highlight w:val="none"/>
          <w:lang w:val="en-US" w:eastAsia="zh-CN"/>
        </w:rPr>
        <w:t xml:space="preserve"> </w:t>
      </w:r>
      <w:r>
        <w:rPr>
          <w:rFonts w:ascii="Times New Roman" w:hAnsi="Times New Roman" w:eastAsia="宋体"/>
          <w:color w:val="auto"/>
          <w:highlight w:val="none"/>
        </w:rPr>
        <w:t>11</w:t>
      </w:r>
      <w:r>
        <w:rPr>
          <w:rFonts w:hint="eastAsia"/>
          <w:color w:val="auto"/>
          <w:highlight w:val="none"/>
          <w:lang w:val="en-US" w:eastAsia="zh-CN"/>
        </w:rPr>
        <w:t>/</w:t>
      </w:r>
      <w:r>
        <w:rPr>
          <w:rFonts w:ascii="Times New Roman" w:hAnsi="Times New Roman" w:eastAsia="宋体"/>
          <w:color w:val="auto"/>
          <w:highlight w:val="none"/>
        </w:rPr>
        <w:t>T 1726-2020将隧道划分为平原区隧道和山岭隧道，勘探点间距分别为15~60m和50~400m；上海市的《岩土工程勘察规范》DGJ</w:t>
      </w:r>
      <w:r>
        <w:rPr>
          <w:rFonts w:hint="eastAsia" w:ascii="Times New Roman" w:hAnsi="Times New Roman" w:eastAsia="宋体"/>
          <w:color w:val="auto"/>
          <w:highlight w:val="none"/>
          <w:lang w:val="en-US" w:eastAsia="zh-CN"/>
        </w:rPr>
        <w:t xml:space="preserve"> </w:t>
      </w:r>
      <w:r>
        <w:rPr>
          <w:rFonts w:ascii="Times New Roman" w:hAnsi="Times New Roman" w:eastAsia="宋体"/>
          <w:color w:val="auto"/>
          <w:highlight w:val="none"/>
        </w:rPr>
        <w:t>08-37-2012分为明挖隧道、沉管隧道、盾构隧道，勘探点间距分别为20~35m、35~50m、</w:t>
      </w:r>
      <w:r>
        <w:rPr>
          <w:rFonts w:hint="eastAsia" w:ascii="宋体" w:hAnsi="宋体" w:eastAsia="宋体" w:cs="宋体"/>
          <w:color w:val="auto"/>
          <w:highlight w:val="none"/>
        </w:rPr>
        <w:t>≤</w:t>
      </w:r>
      <w:r>
        <w:rPr>
          <w:rFonts w:ascii="Times New Roman" w:hAnsi="Times New Roman" w:eastAsia="宋体"/>
          <w:color w:val="auto"/>
          <w:highlight w:val="none"/>
        </w:rPr>
        <w:t>50m；重庆市的《市政工程地质勘察规范》DBJ50-174-2014则分为土质隧道、浅埋隧道和深埋隧道，前两者勘探点间距20~80m，后者勘探点间距40~600m。</w:t>
      </w:r>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ascii="Times New Roman" w:hAnsi="Times New Roman" w:eastAsia="宋体"/>
          <w:color w:val="auto"/>
          <w:highlight w:val="none"/>
        </w:rPr>
        <w:t>本规范在参考相关规范基础上，总结我省的相关工作经验基础上，制定了表7.4.2的详细勘察勘探点间距规定。其中，</w:t>
      </w:r>
      <w:r>
        <w:rPr>
          <w:rFonts w:hint="eastAsia" w:ascii="Times New Roman" w:hAnsi="Times New Roman" w:eastAsia="宋体"/>
          <w:color w:val="auto"/>
          <w:highlight w:val="none"/>
          <w:lang w:val="en-US" w:eastAsia="zh-CN"/>
        </w:rPr>
        <w:t>明</w:t>
      </w:r>
      <w:r>
        <w:rPr>
          <w:rFonts w:ascii="Times New Roman" w:hAnsi="Times New Roman" w:eastAsia="宋体"/>
          <w:color w:val="auto"/>
          <w:highlight w:val="none"/>
        </w:rPr>
        <w:t>挖</w:t>
      </w:r>
      <w:r>
        <w:rPr>
          <w:rFonts w:hint="eastAsia" w:ascii="Times New Roman" w:hAnsi="Times New Roman" w:eastAsia="宋体"/>
          <w:color w:val="auto"/>
          <w:highlight w:val="none"/>
          <w:lang w:val="en-US" w:eastAsia="zh-CN"/>
        </w:rPr>
        <w:t>法</w:t>
      </w:r>
      <w:r>
        <w:rPr>
          <w:rFonts w:ascii="Times New Roman" w:hAnsi="Times New Roman" w:eastAsia="宋体"/>
          <w:color w:val="auto"/>
          <w:highlight w:val="none"/>
        </w:rPr>
        <w:t>、沉管法隧道主要依据</w:t>
      </w:r>
      <w:r>
        <w:rPr>
          <w:rFonts w:hint="eastAsia" w:ascii="Times New Roman" w:hAnsi="Times New Roman" w:eastAsia="宋体"/>
          <w:color w:val="auto"/>
          <w:highlight w:val="none"/>
          <w:lang w:val="en-US" w:eastAsia="zh-CN"/>
        </w:rPr>
        <w:t>《城市轨道交通岩土工程勘察规范》GB 50307-2012的地下车站勘探点间距</w:t>
      </w:r>
      <w:r>
        <w:rPr>
          <w:rFonts w:ascii="Times New Roman" w:hAnsi="Times New Roman" w:eastAsia="宋体"/>
          <w:color w:val="auto"/>
          <w:highlight w:val="none"/>
        </w:rPr>
        <w:t>；</w:t>
      </w:r>
      <w:r>
        <w:rPr>
          <w:rFonts w:hint="eastAsia" w:ascii="Times New Roman" w:hAnsi="Times New Roman" w:eastAsia="宋体"/>
          <w:color w:val="auto"/>
          <w:highlight w:val="none"/>
          <w:lang w:val="en-US" w:eastAsia="zh-CN"/>
        </w:rPr>
        <w:t>山岭隧道间距</w:t>
      </w:r>
      <w:r>
        <w:rPr>
          <w:rFonts w:ascii="Times New Roman" w:hAnsi="Times New Roman" w:eastAsia="宋体"/>
          <w:color w:val="auto"/>
          <w:highlight w:val="none"/>
        </w:rPr>
        <w:t>依据</w:t>
      </w:r>
      <w:r>
        <w:rPr>
          <w:rFonts w:hint="eastAsia" w:ascii="Times New Roman" w:hAnsi="Times New Roman" w:eastAsia="宋体"/>
          <w:color w:val="auto"/>
          <w:highlight w:val="none"/>
          <w:lang w:val="en-US" w:eastAsia="zh-CN"/>
        </w:rPr>
        <w:t>行标</w:t>
      </w:r>
      <w:r>
        <w:rPr>
          <w:rFonts w:hint="eastAsia" w:ascii="Times New Roman" w:hAnsi="Times New Roman" w:eastAsia="宋体"/>
          <w:color w:val="auto"/>
          <w:highlight w:val="none"/>
        </w:rPr>
        <w:t>《</w:t>
      </w:r>
      <w:r>
        <w:rPr>
          <w:rFonts w:ascii="Times New Roman" w:hAnsi="Times New Roman" w:eastAsia="宋体"/>
          <w:color w:val="auto"/>
          <w:highlight w:val="none"/>
        </w:rPr>
        <w:t>市政工程勘察规范</w:t>
      </w:r>
      <w:r>
        <w:rPr>
          <w:rFonts w:hint="eastAsia" w:ascii="Times New Roman" w:hAnsi="Times New Roman" w:eastAsia="宋体"/>
          <w:color w:val="auto"/>
          <w:highlight w:val="none"/>
        </w:rPr>
        <w:t>》</w:t>
      </w:r>
      <w:r>
        <w:rPr>
          <w:rFonts w:ascii="Times New Roman" w:hAnsi="Times New Roman" w:eastAsia="宋体"/>
          <w:color w:val="auto"/>
          <w:highlight w:val="none"/>
        </w:rPr>
        <w:t>CJJ56-2012</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但考虑到山岭隧道布孔主要受构造条件影响，此处不按岩土条件复杂程度等级区分勘探点间距；平原隧道、水下隧道勘探点间距主要参照《城市轨道交通岩土工程勘察规范》GB 50307-2012及北京市地方标准《市政基础设施岩土工程勘察规范》DB11/T 1726-2020制定</w:t>
      </w:r>
      <w:r>
        <w:rPr>
          <w:rFonts w:ascii="Times New Roman" w:hAnsi="Times New Roman" w:eastAsia="宋体"/>
          <w:color w:val="auto"/>
          <w:highlight w:val="none"/>
        </w:rPr>
        <w:t>。</w:t>
      </w:r>
      <w:bookmarkEnd w:id="391"/>
    </w:p>
    <w:p>
      <w:pPr>
        <w:autoSpaceDE w:val="0"/>
        <w:autoSpaceDN w:val="0"/>
        <w:adjustRightInd w:val="0"/>
        <w:spacing w:line="360" w:lineRule="auto"/>
        <w:ind w:firstLine="422" w:firstLineChars="200"/>
        <w:jc w:val="left"/>
        <w:rPr>
          <w:rFonts w:hint="default"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2</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对存在土岩界面，或</w:t>
      </w:r>
      <w:r>
        <w:rPr>
          <w:rFonts w:ascii="Times New Roman" w:hAnsi="Times New Roman" w:eastAsia="宋体"/>
          <w:color w:val="auto"/>
          <w:szCs w:val="21"/>
          <w:highlight w:val="none"/>
        </w:rPr>
        <w:t>岩层存在明显的</w:t>
      </w:r>
      <w:r>
        <w:rPr>
          <w:rFonts w:hint="eastAsia" w:ascii="Times New Roman" w:hAnsi="Times New Roman" w:eastAsia="宋体"/>
          <w:color w:val="auto"/>
          <w:szCs w:val="21"/>
          <w:highlight w:val="none"/>
          <w:lang w:val="en-US" w:eastAsia="zh-CN"/>
        </w:rPr>
        <w:t>结构面</w:t>
      </w:r>
      <w:r>
        <w:rPr>
          <w:rFonts w:ascii="Times New Roman" w:hAnsi="Times New Roman" w:eastAsia="宋体"/>
          <w:color w:val="auto"/>
          <w:szCs w:val="21"/>
          <w:highlight w:val="none"/>
        </w:rPr>
        <w:t>或软弱夹层</w:t>
      </w:r>
      <w:r>
        <w:rPr>
          <w:rFonts w:hint="eastAsia" w:ascii="Times New Roman" w:hAnsi="Times New Roman" w:eastAsia="宋体"/>
          <w:color w:val="auto"/>
          <w:szCs w:val="21"/>
          <w:highlight w:val="none"/>
          <w:lang w:val="en-US" w:eastAsia="zh-CN"/>
        </w:rPr>
        <w:t>的基坑，可能存在顺层滑动的风险，故</w:t>
      </w:r>
      <w:r>
        <w:rPr>
          <w:rFonts w:hint="eastAsia"/>
          <w:color w:val="auto"/>
          <w:szCs w:val="21"/>
          <w:highlight w:val="none"/>
          <w:lang w:val="en-US" w:eastAsia="zh-CN"/>
        </w:rPr>
        <w:t>建议</w:t>
      </w:r>
      <w:r>
        <w:rPr>
          <w:rFonts w:hint="eastAsia" w:ascii="Times New Roman" w:hAnsi="Times New Roman" w:eastAsia="宋体"/>
          <w:color w:val="auto"/>
          <w:szCs w:val="21"/>
          <w:highlight w:val="none"/>
          <w:lang w:val="en-US" w:eastAsia="zh-CN"/>
        </w:rPr>
        <w:t>在基坑外侧至少布置一排勘探点，以查明结构面或软弱夹层的性质和产状。必要时，通过开挖的方式进一步探查。</w:t>
      </w:r>
    </w:p>
    <w:p>
      <w:pPr>
        <w:autoSpaceDE w:val="0"/>
        <w:autoSpaceDN w:val="0"/>
        <w:adjustRightInd w:val="0"/>
        <w:spacing w:line="360" w:lineRule="auto"/>
        <w:ind w:firstLine="422" w:firstLineChars="200"/>
        <w:jc w:val="left"/>
        <w:rPr>
          <w:rFonts w:hint="default"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4</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ascii="Times New Roman" w:hAnsi="Times New Roman" w:eastAsia="宋体"/>
          <w:color w:val="auto"/>
          <w:highlight w:val="none"/>
        </w:rPr>
        <w:t>纵断面上地形显著低洼部位，隧道围岩稳定性相对较差，</w:t>
      </w:r>
      <w:r>
        <w:rPr>
          <w:rFonts w:hint="eastAsia"/>
          <w:color w:val="auto"/>
          <w:highlight w:val="none"/>
          <w:lang w:val="en-US" w:eastAsia="zh-CN"/>
        </w:rPr>
        <w:t>建议</w:t>
      </w:r>
      <w:r>
        <w:rPr>
          <w:rFonts w:ascii="Times New Roman" w:hAnsi="Times New Roman" w:eastAsia="宋体"/>
          <w:color w:val="auto"/>
          <w:highlight w:val="none"/>
        </w:rPr>
        <w:t>布置勘探点；而若其隧道顶</w:t>
      </w:r>
      <w:r>
        <w:rPr>
          <w:rFonts w:hint="eastAsia" w:ascii="Times New Roman" w:hAnsi="Times New Roman" w:eastAsia="宋体"/>
          <w:color w:val="auto"/>
          <w:highlight w:val="none"/>
          <w:lang w:val="en-US" w:eastAsia="zh-CN"/>
        </w:rPr>
        <w:t>埋深</w:t>
      </w:r>
      <w:r>
        <w:rPr>
          <w:rFonts w:ascii="Times New Roman" w:hAnsi="Times New Roman" w:eastAsia="宋体"/>
          <w:color w:val="auto"/>
          <w:highlight w:val="none"/>
        </w:rPr>
        <w:t>不超过</w:t>
      </w:r>
      <w:r>
        <w:rPr>
          <w:rFonts w:hint="eastAsia" w:ascii="Times New Roman" w:hAnsi="Times New Roman" w:eastAsia="宋体"/>
          <w:color w:val="auto"/>
          <w:highlight w:val="none"/>
          <w:lang w:val="en-US" w:eastAsia="zh-CN"/>
        </w:rPr>
        <w:t>5</w:t>
      </w:r>
      <w:r>
        <w:rPr>
          <w:rFonts w:ascii="Times New Roman" w:hAnsi="Times New Roman" w:eastAsia="宋体"/>
          <w:color w:val="auto"/>
          <w:highlight w:val="none"/>
        </w:rPr>
        <w:t>倍洞径，则围岩稳定性需重点关注，故</w:t>
      </w:r>
      <w:r>
        <w:rPr>
          <w:rFonts w:hint="eastAsia"/>
          <w:color w:val="auto"/>
          <w:highlight w:val="none"/>
          <w:lang w:val="en-US" w:eastAsia="zh-CN"/>
        </w:rPr>
        <w:t>需要</w:t>
      </w:r>
      <w:r>
        <w:rPr>
          <w:rFonts w:ascii="Times New Roman" w:hAnsi="Times New Roman" w:eastAsia="宋体"/>
          <w:color w:val="auto"/>
          <w:highlight w:val="none"/>
        </w:rPr>
        <w:t>布置勘探点。</w:t>
      </w:r>
      <w:r>
        <w:rPr>
          <w:rFonts w:hint="eastAsia" w:ascii="Times New Roman" w:hAnsi="Times New Roman" w:eastAsia="宋体"/>
          <w:color w:val="auto"/>
          <w:highlight w:val="none"/>
          <w:lang w:val="en-US" w:eastAsia="zh-CN"/>
        </w:rPr>
        <w:t>山岭隧道洞口段的横勘探线一般布置在洞口及其前后</w:t>
      </w:r>
      <w:r>
        <w:rPr>
          <w:rFonts w:hint="eastAsia"/>
          <w:color w:val="auto"/>
          <w:highlight w:val="none"/>
          <w:lang w:val="en-US" w:eastAsia="zh-CN"/>
        </w:rPr>
        <w:t>。</w:t>
      </w:r>
    </w:p>
    <w:p>
      <w:pPr>
        <w:autoSpaceDE w:val="0"/>
        <w:autoSpaceDN w:val="0"/>
        <w:adjustRightInd w:val="0"/>
        <w:spacing w:line="360" w:lineRule="auto"/>
        <w:jc w:val="left"/>
        <w:rPr>
          <w:rFonts w:hint="eastAsia" w:ascii="Times New Roman" w:hAnsi="Times New Roman" w:eastAsia="宋体"/>
          <w:b/>
          <w:bCs/>
          <w:color w:val="auto"/>
          <w:highlight w:val="none"/>
          <w:lang w:val="en-US" w:eastAsia="zh-CN"/>
        </w:rPr>
      </w:pPr>
      <w:r>
        <w:rPr>
          <w:rFonts w:ascii="Times New Roman" w:hAnsi="Times New Roman" w:eastAsia="宋体"/>
          <w:b/>
          <w:bCs/>
          <w:color w:val="auto"/>
          <w:highlight w:val="none"/>
        </w:rPr>
        <w:t>7.4.3</w:t>
      </w:r>
      <w:r>
        <w:rPr>
          <w:rFonts w:hint="eastAsia" w:ascii="Times New Roman" w:hAnsi="Times New Roman" w:eastAsia="宋体"/>
          <w:b/>
          <w:bCs/>
          <w:color w:val="auto"/>
          <w:highlight w:val="none"/>
          <w:lang w:val="en-US" w:eastAsia="zh-CN"/>
        </w:rPr>
        <w:t xml:space="preserve"> </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就本条第1、第3款、第4款说明如下：</w:t>
      </w:r>
    </w:p>
    <w:p>
      <w:pPr>
        <w:autoSpaceDE w:val="0"/>
        <w:autoSpaceDN w:val="0"/>
        <w:adjustRightInd w:val="0"/>
        <w:spacing w:line="360" w:lineRule="auto"/>
        <w:ind w:firstLine="422" w:firstLineChars="200"/>
        <w:jc w:val="left"/>
        <w:rPr>
          <w:rFonts w:ascii="Times New Roman" w:hAnsi="Times New Roman" w:eastAsia="宋体"/>
          <w:color w:val="auto"/>
          <w:highlight w:val="none"/>
        </w:rPr>
      </w:pPr>
      <w:r>
        <w:rPr>
          <w:rFonts w:ascii="Times New Roman" w:hAnsi="Times New Roman" w:eastAsia="宋体"/>
          <w:b/>
          <w:bCs/>
          <w:color w:val="auto"/>
          <w:highlight w:val="none"/>
        </w:rPr>
        <w:t xml:space="preserve">1 </w:t>
      </w:r>
      <w:r>
        <w:rPr>
          <w:rFonts w:hint="eastAsia"/>
          <w:b/>
          <w:bCs/>
          <w:color w:val="auto"/>
          <w:highlight w:val="none"/>
          <w:lang w:val="en-US" w:eastAsia="zh-CN"/>
        </w:rPr>
        <w:t xml:space="preserve"> </w:t>
      </w:r>
      <w:r>
        <w:rPr>
          <w:rFonts w:ascii="Times New Roman" w:hAnsi="Times New Roman" w:eastAsia="宋体"/>
          <w:color w:val="auto"/>
          <w:highlight w:val="none"/>
        </w:rPr>
        <w:t>本条款的制定基于以下考虑：</w:t>
      </w:r>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ascii="Times New Roman" w:hAnsi="Times New Roman" w:eastAsia="宋体"/>
          <w:color w:val="auto"/>
          <w:highlight w:val="none"/>
        </w:rPr>
        <w:t>1）详细勘察阶段隧道方案应当已经稳定，隧道埋深一般不再可能发生调整，故勘探孔深度宜按相对小的深度控制。</w:t>
      </w:r>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ascii="Times New Roman" w:hAnsi="Times New Roman" w:eastAsia="宋体"/>
          <w:color w:val="auto"/>
          <w:highlight w:val="none"/>
        </w:rPr>
        <w:t>2）</w:t>
      </w:r>
      <w:r>
        <w:rPr>
          <w:rFonts w:hint="eastAsia" w:ascii="Times New Roman" w:hAnsi="Times New Roman" w:eastAsia="宋体"/>
          <w:color w:val="auto"/>
          <w:highlight w:val="none"/>
        </w:rPr>
        <w:t>《</w:t>
      </w:r>
      <w:r>
        <w:rPr>
          <w:rFonts w:ascii="Times New Roman" w:hAnsi="Times New Roman" w:eastAsia="宋体"/>
          <w:color w:val="auto"/>
          <w:highlight w:val="none"/>
        </w:rPr>
        <w:t>市政工程勘察规范</w:t>
      </w:r>
      <w:r>
        <w:rPr>
          <w:rFonts w:hint="eastAsia" w:ascii="Times New Roman" w:hAnsi="Times New Roman" w:eastAsia="宋体"/>
          <w:color w:val="auto"/>
          <w:highlight w:val="none"/>
        </w:rPr>
        <w:t>》</w:t>
      </w:r>
      <w:r>
        <w:rPr>
          <w:rFonts w:ascii="Times New Roman" w:hAnsi="Times New Roman" w:eastAsia="宋体"/>
          <w:color w:val="auto"/>
          <w:highlight w:val="none"/>
        </w:rPr>
        <w:t>CJJ56-2012规定</w:t>
      </w:r>
      <w:r>
        <w:rPr>
          <w:rFonts w:hint="eastAsia" w:ascii="宋体" w:hAnsi="宋体" w:eastAsia="宋体" w:cs="宋体"/>
          <w:color w:val="auto"/>
          <w:highlight w:val="none"/>
        </w:rPr>
        <w:t>“</w:t>
      </w:r>
      <w:r>
        <w:rPr>
          <w:rFonts w:ascii="Times New Roman" w:hAnsi="Times New Roman" w:eastAsia="宋体"/>
          <w:color w:val="auto"/>
          <w:highlight w:val="none"/>
        </w:rPr>
        <w:t>在松散地层中，一般性勘探孔应进入隧道底板以下不小于1.5倍隧道高度，控制性勘探孔应进入隧道底板以下不小于2.5倍隧道高度</w:t>
      </w:r>
      <w:r>
        <w:rPr>
          <w:rFonts w:hint="eastAsia" w:ascii="宋体" w:hAnsi="宋体" w:eastAsia="宋体" w:cs="宋体"/>
          <w:color w:val="auto"/>
          <w:highlight w:val="none"/>
        </w:rPr>
        <w:t>”“</w:t>
      </w:r>
      <w:r>
        <w:rPr>
          <w:rFonts w:ascii="Times New Roman" w:hAnsi="Times New Roman" w:eastAsia="宋体"/>
          <w:color w:val="auto"/>
          <w:highlight w:val="none"/>
        </w:rPr>
        <w:t>在微风化及中等风化岩石中勘探孔深度应进入隧道底板以下0.5倍隧道高度且不小于5m</w:t>
      </w:r>
      <w:r>
        <w:rPr>
          <w:rFonts w:hint="eastAsia" w:ascii="宋体" w:hAnsi="宋体" w:eastAsia="宋体" w:cs="宋体"/>
          <w:color w:val="auto"/>
          <w:highlight w:val="none"/>
        </w:rPr>
        <w:t>”。</w:t>
      </w:r>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ascii="Times New Roman" w:hAnsi="Times New Roman" w:eastAsia="宋体"/>
          <w:color w:val="auto"/>
          <w:highlight w:val="none"/>
        </w:rPr>
        <w:t>而《建筑边坡工程技术规范》GB 50330-2013规定</w:t>
      </w:r>
      <w:r>
        <w:rPr>
          <w:rFonts w:hint="eastAsia" w:ascii="宋体" w:hAnsi="宋体" w:eastAsia="宋体" w:cs="宋体"/>
          <w:color w:val="auto"/>
          <w:highlight w:val="none"/>
        </w:rPr>
        <w:t>“</w:t>
      </w:r>
      <w:r>
        <w:rPr>
          <w:rFonts w:ascii="Times New Roman" w:hAnsi="Times New Roman" w:eastAsia="宋体"/>
          <w:color w:val="auto"/>
          <w:highlight w:val="none"/>
        </w:rPr>
        <w:t>边坡工程勘探点深度应进入最下潜在滑面2.0m~5.0m</w:t>
      </w:r>
      <w:r>
        <w:rPr>
          <w:rFonts w:hint="eastAsia" w:ascii="宋体" w:hAnsi="宋体" w:eastAsia="宋体" w:cs="宋体"/>
          <w:color w:val="auto"/>
          <w:highlight w:val="none"/>
        </w:rPr>
        <w:t>”“</w:t>
      </w:r>
      <w:r>
        <w:rPr>
          <w:rFonts w:ascii="Times New Roman" w:hAnsi="Times New Roman" w:eastAsia="宋体"/>
          <w:color w:val="auto"/>
          <w:highlight w:val="none"/>
        </w:rPr>
        <w:t>对于悬臂桩进入嵌固段的深度土质时不宜小于悬臂长度的1.0倍，岩质时不小于0.7倍</w:t>
      </w:r>
      <w:r>
        <w:rPr>
          <w:rFonts w:hint="eastAsia" w:ascii="宋体" w:hAnsi="宋体" w:eastAsia="宋体" w:cs="宋体"/>
          <w:color w:val="auto"/>
          <w:highlight w:val="none"/>
        </w:rPr>
        <w:t>”</w:t>
      </w:r>
      <w:r>
        <w:rPr>
          <w:rFonts w:ascii="Times New Roman" w:hAnsi="Times New Roman" w:eastAsia="宋体"/>
          <w:color w:val="auto"/>
          <w:highlight w:val="none"/>
        </w:rPr>
        <w:t>，《建筑基坑支护技术规程》JGJ 120-2012则规定</w:t>
      </w:r>
      <w:r>
        <w:rPr>
          <w:rFonts w:hint="eastAsia" w:ascii="宋体" w:hAnsi="宋体" w:eastAsia="宋体" w:cs="宋体"/>
          <w:color w:val="auto"/>
          <w:highlight w:val="none"/>
        </w:rPr>
        <w:t>“</w:t>
      </w:r>
      <w:r>
        <w:rPr>
          <w:rFonts w:ascii="Times New Roman" w:hAnsi="Times New Roman" w:eastAsia="宋体"/>
          <w:color w:val="auto"/>
          <w:highlight w:val="none"/>
        </w:rPr>
        <w:t>基坑周边勘探孔的深度不宜小于基坑深度的2倍</w:t>
      </w:r>
      <w:r>
        <w:rPr>
          <w:rFonts w:hint="eastAsia" w:ascii="宋体" w:hAnsi="宋体" w:eastAsia="宋体" w:cs="宋体"/>
          <w:color w:val="auto"/>
          <w:highlight w:val="none"/>
        </w:rPr>
        <w:t>”</w:t>
      </w:r>
      <w:r>
        <w:rPr>
          <w:rFonts w:ascii="Times New Roman" w:hAnsi="Times New Roman" w:eastAsia="宋体"/>
          <w:color w:val="auto"/>
          <w:highlight w:val="none"/>
        </w:rPr>
        <w:t>。综合考虑，</w:t>
      </w:r>
      <w:r>
        <w:rPr>
          <w:rFonts w:hint="eastAsia" w:ascii="Times New Roman" w:hAnsi="Times New Roman" w:eastAsia="宋体"/>
          <w:color w:val="auto"/>
          <w:highlight w:val="none"/>
          <w:lang w:val="en-US" w:eastAsia="zh-CN"/>
        </w:rPr>
        <w:t>明挖法</w:t>
      </w:r>
      <w:r>
        <w:rPr>
          <w:rFonts w:ascii="Times New Roman" w:hAnsi="Times New Roman" w:eastAsia="宋体"/>
          <w:color w:val="auto"/>
          <w:highlight w:val="none"/>
        </w:rPr>
        <w:t>情况下，松散地层的钻孔深度按不小于隧道底板以下</w:t>
      </w:r>
      <w:r>
        <w:rPr>
          <w:rFonts w:hint="eastAsia" w:ascii="Times New Roman" w:hAnsi="Times New Roman" w:eastAsia="宋体"/>
          <w:color w:val="auto"/>
          <w:highlight w:val="none"/>
          <w:lang w:val="en-US" w:eastAsia="zh-CN"/>
        </w:rPr>
        <w:t>2.0</w:t>
      </w:r>
      <w:r>
        <w:rPr>
          <w:rFonts w:ascii="Times New Roman" w:hAnsi="Times New Roman" w:eastAsia="宋体"/>
          <w:i/>
          <w:iCs/>
          <w:color w:val="auto"/>
          <w:highlight w:val="none"/>
        </w:rPr>
        <w:t>h</w:t>
      </w:r>
      <w:r>
        <w:rPr>
          <w:rFonts w:ascii="Times New Roman" w:hAnsi="Times New Roman" w:eastAsia="宋体"/>
          <w:color w:val="auto"/>
          <w:highlight w:val="none"/>
        </w:rPr>
        <w:t>控制，中、微风化岩的钻孔深度按不小于隧道底板以下0.</w:t>
      </w:r>
      <w:r>
        <w:rPr>
          <w:rFonts w:hint="eastAsia" w:ascii="Times New Roman" w:hAnsi="Times New Roman" w:eastAsia="宋体"/>
          <w:color w:val="auto"/>
          <w:highlight w:val="none"/>
          <w:lang w:val="en-US" w:eastAsia="zh-CN"/>
        </w:rPr>
        <w:t>7</w:t>
      </w:r>
      <w:r>
        <w:rPr>
          <w:rFonts w:ascii="Times New Roman" w:hAnsi="Times New Roman" w:eastAsia="宋体"/>
          <w:i/>
          <w:iCs/>
          <w:color w:val="auto"/>
          <w:highlight w:val="none"/>
        </w:rPr>
        <w:t>h</w:t>
      </w:r>
      <w:r>
        <w:rPr>
          <w:rFonts w:ascii="Times New Roman" w:hAnsi="Times New Roman" w:eastAsia="宋体"/>
          <w:color w:val="auto"/>
          <w:highlight w:val="none"/>
        </w:rPr>
        <w:t>且不小于5m控制；全、强风化岩与极软岩介于松散地层和中、微风化岩之间，故按不小于1.0</w:t>
      </w:r>
      <w:r>
        <w:rPr>
          <w:rFonts w:ascii="Times New Roman" w:hAnsi="Times New Roman" w:eastAsia="宋体"/>
          <w:i/>
          <w:iCs/>
          <w:color w:val="auto"/>
          <w:highlight w:val="none"/>
        </w:rPr>
        <w:t>h</w:t>
      </w:r>
      <w:r>
        <w:rPr>
          <w:rFonts w:ascii="Times New Roman" w:hAnsi="Times New Roman" w:eastAsia="宋体"/>
          <w:color w:val="auto"/>
          <w:highlight w:val="none"/>
        </w:rPr>
        <w:t>控制。</w:t>
      </w:r>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ascii="Times New Roman" w:hAnsi="Times New Roman" w:eastAsia="宋体"/>
          <w:color w:val="auto"/>
          <w:highlight w:val="none"/>
        </w:rPr>
        <w:t>3）沉管法隧道的勘探孔深度参考上海地区《岩土工程勘察规范》DGJ08-37-2012，在松散地层中按不小于隧道底板以下0.6</w:t>
      </w:r>
      <w:r>
        <w:rPr>
          <w:rFonts w:ascii="Times New Roman" w:hAnsi="Times New Roman" w:eastAsia="宋体"/>
          <w:i/>
          <w:iCs/>
          <w:color w:val="auto"/>
          <w:kern w:val="0"/>
          <w:sz w:val="18"/>
          <w:szCs w:val="11"/>
          <w:highlight w:val="none"/>
        </w:rPr>
        <w:t>w</w:t>
      </w:r>
      <w:r>
        <w:rPr>
          <w:rFonts w:ascii="Times New Roman" w:hAnsi="Times New Roman" w:eastAsia="宋体"/>
          <w:color w:val="auto"/>
          <w:highlight w:val="none"/>
        </w:rPr>
        <w:t>控制。底板为岩体时，则对照陆上放坡开挖</w:t>
      </w:r>
      <w:r>
        <w:rPr>
          <w:rFonts w:hint="eastAsia" w:ascii="Times New Roman" w:hAnsi="Times New Roman" w:eastAsia="宋体"/>
          <w:color w:val="auto"/>
          <w:highlight w:val="none"/>
        </w:rPr>
        <w:t>时</w:t>
      </w:r>
      <w:r>
        <w:rPr>
          <w:rFonts w:ascii="Times New Roman" w:hAnsi="Times New Roman" w:eastAsia="宋体"/>
          <w:color w:val="auto"/>
          <w:highlight w:val="none"/>
        </w:rPr>
        <w:t>不同地层类型的控制深度，大致等比例进行折减。</w:t>
      </w:r>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ascii="Times New Roman" w:hAnsi="Times New Roman" w:eastAsia="宋体"/>
          <w:color w:val="auto"/>
          <w:highlight w:val="none"/>
        </w:rPr>
        <w:t>4）</w:t>
      </w:r>
      <w:r>
        <w:rPr>
          <w:rFonts w:hint="eastAsia" w:ascii="Times New Roman" w:hAnsi="Times New Roman" w:eastAsia="宋体"/>
          <w:color w:val="auto"/>
          <w:highlight w:val="none"/>
          <w:lang w:val="en-US" w:eastAsia="zh-CN"/>
        </w:rPr>
        <w:t>暗挖法（</w:t>
      </w:r>
      <w:r>
        <w:rPr>
          <w:rFonts w:ascii="Times New Roman" w:hAnsi="Times New Roman" w:eastAsia="宋体"/>
          <w:color w:val="auto"/>
          <w:highlight w:val="none"/>
        </w:rPr>
        <w:t>矿山法、新奥法、盾构法、TBM法</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隧道的勘探孔深度主要参照《城市轨道交通岩土工程勘察规范》GB 50307-2012的勘探孔</w:t>
      </w:r>
      <w:r>
        <w:rPr>
          <w:rFonts w:hint="eastAsia" w:ascii="Times New Roman" w:hAnsi="Times New Roman" w:eastAsia="宋体"/>
          <w:color w:val="auto"/>
          <w:highlight w:val="none"/>
          <w:lang w:val="en-US" w:eastAsia="zh-CN"/>
        </w:rPr>
        <w:t>深度</w:t>
      </w:r>
      <w:r>
        <w:rPr>
          <w:rFonts w:ascii="Times New Roman" w:hAnsi="Times New Roman" w:eastAsia="宋体"/>
          <w:color w:val="auto"/>
          <w:highlight w:val="none"/>
        </w:rPr>
        <w:t>控制，全、强风化岩与极软岩按介于松散地层和中、微风化岩之间取值。</w:t>
      </w:r>
    </w:p>
    <w:p>
      <w:pPr>
        <w:autoSpaceDE w:val="0"/>
        <w:autoSpaceDN w:val="0"/>
        <w:adjustRightInd w:val="0"/>
        <w:spacing w:line="360" w:lineRule="auto"/>
        <w:ind w:firstLine="422" w:firstLineChars="200"/>
        <w:jc w:val="left"/>
        <w:rPr>
          <w:rFonts w:ascii="Times New Roman" w:hAnsi="Times New Roman" w:eastAsia="宋体"/>
          <w:color w:val="auto"/>
          <w:highlight w:val="none"/>
        </w:rPr>
      </w:pPr>
      <w:r>
        <w:rPr>
          <w:rFonts w:hint="eastAsia" w:ascii="Times New Roman" w:hAnsi="Times New Roman" w:eastAsia="宋体"/>
          <w:b/>
          <w:bCs/>
          <w:color w:val="auto"/>
          <w:highlight w:val="none"/>
          <w:lang w:val="en-US" w:eastAsia="zh-CN"/>
        </w:rPr>
        <w:t>3</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hint="eastAsia" w:ascii="Times New Roman" w:hAnsi="Times New Roman" w:eastAsia="宋体"/>
          <w:color w:val="auto"/>
          <w:highlight w:val="none"/>
        </w:rPr>
        <w:t>本要求依据</w:t>
      </w:r>
      <w:r>
        <w:rPr>
          <w:rFonts w:ascii="Times New Roman" w:hAnsi="Times New Roman" w:eastAsia="宋体"/>
          <w:color w:val="auto"/>
          <w:szCs w:val="21"/>
          <w:highlight w:val="none"/>
        </w:rPr>
        <w:t>《沉管法隧道设计标</w:t>
      </w:r>
      <w:r>
        <w:rPr>
          <w:rFonts w:ascii="Times New Roman" w:hAnsi="Times New Roman" w:eastAsia="宋体"/>
          <w:color w:val="auto"/>
          <w:highlight w:val="none"/>
        </w:rPr>
        <w:t>准》GB∕T 51318</w:t>
      </w:r>
      <w:r>
        <w:rPr>
          <w:rFonts w:hint="eastAsia" w:ascii="Times New Roman" w:hAnsi="Times New Roman" w:eastAsia="宋体"/>
          <w:color w:val="auto"/>
          <w:highlight w:val="none"/>
        </w:rPr>
        <w:t>。</w:t>
      </w:r>
    </w:p>
    <w:p>
      <w:pPr>
        <w:autoSpaceDE w:val="0"/>
        <w:autoSpaceDN w:val="0"/>
        <w:adjustRightInd w:val="0"/>
        <w:spacing w:line="360" w:lineRule="auto"/>
        <w:ind w:firstLine="422" w:firstLineChars="200"/>
        <w:jc w:val="left"/>
        <w:rPr>
          <w:rFonts w:ascii="Times New Roman" w:hAnsi="Times New Roman" w:eastAsia="宋体"/>
          <w:color w:val="auto"/>
          <w:kern w:val="0"/>
          <w:highlight w:val="none"/>
        </w:rPr>
      </w:pPr>
      <w:r>
        <w:rPr>
          <w:rFonts w:hint="eastAsia" w:ascii="Times New Roman" w:hAnsi="Times New Roman" w:eastAsia="宋体"/>
          <w:b/>
          <w:bCs/>
          <w:color w:val="auto"/>
          <w:highlight w:val="none"/>
          <w:lang w:val="en-US" w:eastAsia="zh-CN"/>
        </w:rPr>
        <w:t>4</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ascii="Times New Roman" w:hAnsi="Times New Roman" w:eastAsia="宋体"/>
          <w:color w:val="auto"/>
          <w:highlight w:val="none"/>
        </w:rPr>
        <w:t>部分隧道临近山坡，隧道开挖可能对山坡现状坡体的稳定性造成影响，而山坡也将对隧道侧壁产生附加的推力，勘察设计时切不可忽略。</w:t>
      </w:r>
    </w:p>
    <w:p>
      <w:pPr>
        <w:spacing w:line="360" w:lineRule="auto"/>
        <w:jc w:val="left"/>
        <w:rPr>
          <w:rFonts w:ascii="Times New Roman" w:hAnsi="Times New Roman" w:eastAsia="宋体"/>
          <w:color w:val="auto"/>
          <w:highlight w:val="none"/>
        </w:rPr>
      </w:pPr>
      <w:r>
        <w:rPr>
          <w:rFonts w:ascii="Times New Roman" w:hAnsi="Times New Roman" w:eastAsia="宋体"/>
          <w:b/>
          <w:bCs/>
          <w:color w:val="auto"/>
          <w:highlight w:val="none"/>
        </w:rPr>
        <w:t xml:space="preserve">7.4.4 </w:t>
      </w:r>
      <w:r>
        <w:rPr>
          <w:rFonts w:hint="eastAsia"/>
          <w:b/>
          <w:bCs/>
          <w:color w:val="auto"/>
          <w:highlight w:val="none"/>
          <w:lang w:val="en-US" w:eastAsia="zh-CN"/>
        </w:rPr>
        <w:t xml:space="preserve"> </w:t>
      </w:r>
      <w:r>
        <w:rPr>
          <w:rFonts w:hint="eastAsia" w:ascii="Times New Roman" w:hAnsi="Times New Roman" w:eastAsia="宋体"/>
          <w:color w:val="auto"/>
          <w:szCs w:val="21"/>
          <w:highlight w:val="none"/>
          <w:lang w:val="en-US" w:eastAsia="zh-CN"/>
        </w:rPr>
        <w:t>除土常规外，</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隧道勘察</w:t>
      </w:r>
      <w:r>
        <w:rPr>
          <w:rFonts w:hint="eastAsia"/>
          <w:color w:val="auto"/>
          <w:highlight w:val="none"/>
          <w:lang w:val="en-US" w:eastAsia="zh-CN"/>
        </w:rPr>
        <w:t>还可</w:t>
      </w:r>
      <w:r>
        <w:rPr>
          <w:rFonts w:ascii="Times New Roman" w:hAnsi="Times New Roman" w:eastAsia="宋体"/>
          <w:color w:val="auto"/>
          <w:highlight w:val="none"/>
        </w:rPr>
        <w:t>根据</w:t>
      </w:r>
      <w:r>
        <w:rPr>
          <w:rFonts w:hint="eastAsia" w:ascii="Times New Roman" w:hAnsi="Times New Roman" w:eastAsia="宋体"/>
          <w:color w:val="auto"/>
          <w:highlight w:val="none"/>
          <w:lang w:val="en-US" w:eastAsia="zh-CN"/>
        </w:rPr>
        <w:t>需要</w:t>
      </w:r>
      <w:r>
        <w:rPr>
          <w:rFonts w:ascii="Times New Roman" w:hAnsi="Times New Roman" w:eastAsia="宋体"/>
          <w:color w:val="auto"/>
          <w:highlight w:val="none"/>
        </w:rPr>
        <w:t>提供表7</w:t>
      </w:r>
      <w:r>
        <w:rPr>
          <w:rFonts w:hint="eastAsia" w:ascii="Times New Roman" w:hAnsi="Times New Roman" w:eastAsia="宋体"/>
          <w:color w:val="auto"/>
          <w:highlight w:val="none"/>
          <w:lang w:val="en-US" w:eastAsia="zh-CN"/>
        </w:rPr>
        <w:t>-3</w:t>
      </w:r>
      <w:r>
        <w:rPr>
          <w:rFonts w:ascii="Times New Roman" w:hAnsi="Times New Roman" w:eastAsia="宋体"/>
          <w:color w:val="auto"/>
          <w:highlight w:val="none"/>
        </w:rPr>
        <w:t>所</w:t>
      </w:r>
      <w:r>
        <w:rPr>
          <w:rFonts w:hint="eastAsia" w:ascii="Times New Roman" w:hAnsi="Times New Roman" w:eastAsia="宋体"/>
          <w:color w:val="auto"/>
          <w:highlight w:val="none"/>
          <w:lang w:val="en-US" w:eastAsia="zh-CN"/>
        </w:rPr>
        <w:t>列</w:t>
      </w:r>
      <w:r>
        <w:rPr>
          <w:rFonts w:ascii="Times New Roman" w:hAnsi="Times New Roman" w:eastAsia="宋体"/>
          <w:color w:val="auto"/>
          <w:highlight w:val="none"/>
        </w:rPr>
        <w:t>的岩土参数建议值。</w:t>
      </w:r>
    </w:p>
    <w:p>
      <w:pPr>
        <w:spacing w:line="360" w:lineRule="auto"/>
        <w:jc w:val="center"/>
        <w:rPr>
          <w:rFonts w:ascii="Times New Roman" w:hAnsi="Times New Roman" w:eastAsia="宋体"/>
          <w:b/>
          <w:bCs/>
          <w:color w:val="auto"/>
          <w:highlight w:val="none"/>
        </w:rPr>
      </w:pPr>
      <w:r>
        <w:rPr>
          <w:rFonts w:ascii="Times New Roman" w:hAnsi="Times New Roman" w:eastAsia="宋体"/>
          <w:b/>
          <w:bCs/>
          <w:color w:val="auto"/>
          <w:highlight w:val="none"/>
        </w:rPr>
        <w:t>表7</w:t>
      </w:r>
      <w:r>
        <w:rPr>
          <w:rFonts w:hint="eastAsia" w:ascii="Times New Roman" w:hAnsi="Times New Roman" w:eastAsia="宋体"/>
          <w:b/>
          <w:bCs/>
          <w:color w:val="auto"/>
          <w:highlight w:val="none"/>
          <w:lang w:val="en-US" w:eastAsia="zh-CN"/>
        </w:rPr>
        <w:t>-3</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hint="eastAsia" w:ascii="Times New Roman" w:hAnsi="Times New Roman" w:eastAsia="宋体"/>
          <w:b/>
          <w:bCs/>
          <w:color w:val="auto"/>
          <w:highlight w:val="none"/>
          <w:lang w:eastAsia="zh-CN"/>
        </w:rPr>
        <w:t>城市</w:t>
      </w:r>
      <w:r>
        <w:rPr>
          <w:rFonts w:ascii="Times New Roman" w:hAnsi="Times New Roman" w:eastAsia="宋体"/>
          <w:b/>
          <w:bCs/>
          <w:color w:val="auto"/>
          <w:highlight w:val="none"/>
        </w:rPr>
        <w:t>隧道岩土参数</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660"/>
        <w:gridCol w:w="7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gridSpan w:val="2"/>
            <w:tcBorders>
              <w:top w:val="single" w:color="auto" w:sz="12" w:space="0"/>
              <w:left w:val="single" w:color="auto" w:sz="12" w:space="0"/>
            </w:tcBorders>
            <w:vAlign w:val="center"/>
          </w:tcPr>
          <w:p>
            <w:pPr>
              <w:widowControl/>
              <w:jc w:val="center"/>
              <w:rPr>
                <w:rFonts w:ascii="Times New Roman" w:hAnsi="Times New Roman" w:eastAsia="宋体" w:cs="Times New Roman"/>
                <w:color w:val="auto"/>
                <w:kern w:val="2"/>
                <w:sz w:val="18"/>
                <w:szCs w:val="18"/>
                <w:highlight w:val="none"/>
                <w:lang w:val="en-US" w:eastAsia="zh-CN" w:bidi="ar-SA"/>
              </w:rPr>
            </w:pPr>
            <w:r>
              <w:rPr>
                <w:rFonts w:ascii="Times New Roman" w:hAnsi="Times New Roman" w:eastAsia="宋体"/>
                <w:color w:val="auto"/>
                <w:sz w:val="20"/>
                <w:szCs w:val="20"/>
                <w:highlight w:val="none"/>
              </w:rPr>
              <w:t>施工</w:t>
            </w:r>
            <w:r>
              <w:rPr>
                <w:rFonts w:ascii="Times New Roman" w:hAnsi="Times New Roman" w:eastAsia="宋体"/>
                <w:color w:val="auto"/>
                <w:sz w:val="18"/>
                <w:szCs w:val="18"/>
                <w:highlight w:val="none"/>
              </w:rPr>
              <w:t>工法</w:t>
            </w:r>
          </w:p>
        </w:tc>
        <w:tc>
          <w:tcPr>
            <w:tcW w:w="7336" w:type="dxa"/>
            <w:tcBorders>
              <w:top w:val="single" w:color="auto" w:sz="12" w:space="0"/>
              <w:right w:val="single" w:color="auto" w:sz="12" w:space="0"/>
            </w:tcBorders>
            <w:vAlign w:val="center"/>
          </w:tcPr>
          <w:p>
            <w:pPr>
              <w:widowControl/>
              <w:jc w:val="center"/>
              <w:rPr>
                <w:rFonts w:ascii="Times New Roman" w:hAnsi="Times New Roman" w:eastAsia="宋体" w:cs="Times New Roman"/>
                <w:color w:val="auto"/>
                <w:kern w:val="2"/>
                <w:sz w:val="18"/>
                <w:szCs w:val="18"/>
                <w:highlight w:val="none"/>
                <w:lang w:val="en-US" w:eastAsia="zh-CN" w:bidi="ar-SA"/>
              </w:rPr>
            </w:pPr>
            <w:r>
              <w:rPr>
                <w:rFonts w:ascii="Times New Roman" w:hAnsi="Times New Roman" w:eastAsia="宋体"/>
                <w:color w:val="auto"/>
                <w:sz w:val="18"/>
                <w:szCs w:val="18"/>
                <w:highlight w:val="none"/>
              </w:rPr>
              <w:t>岩土参数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gridSpan w:val="2"/>
            <w:tcBorders>
              <w:left w:val="single" w:color="auto" w:sz="12" w:space="0"/>
            </w:tcBorders>
            <w:vAlign w:val="center"/>
          </w:tcPr>
          <w:p>
            <w:pPr>
              <w:jc w:val="center"/>
              <w:rPr>
                <w:rFonts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olor w:val="auto"/>
                <w:sz w:val="18"/>
                <w:szCs w:val="18"/>
                <w:highlight w:val="none"/>
              </w:rPr>
              <w:t>明挖法</w:t>
            </w:r>
          </w:p>
        </w:tc>
        <w:tc>
          <w:tcPr>
            <w:tcW w:w="7336" w:type="dxa"/>
            <w:tcBorders>
              <w:right w:val="single" w:color="auto" w:sz="12" w:space="0"/>
            </w:tcBorders>
            <w:vAlign w:val="top"/>
          </w:tcPr>
          <w:p>
            <w:pPr>
              <w:widowControl/>
              <w:rPr>
                <w:rFonts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olor w:val="auto"/>
                <w:sz w:val="18"/>
                <w:szCs w:val="18"/>
                <w:highlight w:val="none"/>
                <w:lang w:val="en-US" w:eastAsia="zh-CN"/>
              </w:rPr>
              <w:t>地基承载力、</w:t>
            </w:r>
            <w:r>
              <w:rPr>
                <w:rFonts w:ascii="Times New Roman" w:hAnsi="Times New Roman" w:eastAsia="宋体"/>
                <w:color w:val="auto"/>
                <w:sz w:val="18"/>
                <w:szCs w:val="18"/>
                <w:highlight w:val="none"/>
              </w:rPr>
              <w:t>渗透系数</w:t>
            </w:r>
            <w:r>
              <w:rPr>
                <w:rFonts w:hint="eastAsia" w:ascii="Times New Roman" w:hAnsi="Times New Roman" w:eastAsia="宋体"/>
                <w:color w:val="auto"/>
                <w:sz w:val="18"/>
                <w:szCs w:val="18"/>
                <w:highlight w:val="none"/>
                <w:lang w:eastAsia="zh-CN"/>
              </w:rPr>
              <w:t>、</w:t>
            </w:r>
            <w:r>
              <w:rPr>
                <w:rFonts w:ascii="Times New Roman" w:hAnsi="Times New Roman" w:eastAsia="宋体"/>
                <w:color w:val="auto"/>
                <w:sz w:val="18"/>
                <w:szCs w:val="18"/>
                <w:highlight w:val="none"/>
              </w:rPr>
              <w:t>复合地基增强体的侧阻力</w:t>
            </w:r>
            <w:r>
              <w:rPr>
                <w:rFonts w:hint="eastAsia" w:ascii="Times New Roman" w:hAnsi="Times New Roman" w:eastAsia="宋体"/>
                <w:color w:val="auto"/>
                <w:sz w:val="18"/>
                <w:szCs w:val="18"/>
                <w:highlight w:val="none"/>
                <w:lang w:eastAsia="zh-CN"/>
              </w:rPr>
              <w:t>、</w:t>
            </w:r>
            <w:r>
              <w:rPr>
                <w:rFonts w:ascii="Times New Roman" w:hAnsi="Times New Roman" w:eastAsia="宋体"/>
                <w:color w:val="auto"/>
                <w:sz w:val="18"/>
                <w:szCs w:val="18"/>
                <w:highlight w:val="none"/>
              </w:rPr>
              <w:t>预制桩的侧阻力和端阻力</w:t>
            </w:r>
            <w:r>
              <w:rPr>
                <w:rFonts w:hint="eastAsia" w:ascii="Times New Roman" w:hAnsi="Times New Roman" w:eastAsia="宋体"/>
                <w:color w:val="auto"/>
                <w:sz w:val="18"/>
                <w:szCs w:val="18"/>
                <w:highlight w:val="none"/>
                <w:lang w:eastAsia="zh-CN"/>
              </w:rPr>
              <w:t>、</w:t>
            </w:r>
            <w:r>
              <w:rPr>
                <w:rFonts w:ascii="Times New Roman" w:hAnsi="Times New Roman" w:eastAsia="宋体"/>
                <w:color w:val="auto"/>
                <w:sz w:val="18"/>
                <w:szCs w:val="18"/>
                <w:highlight w:val="none"/>
              </w:rPr>
              <w:t>土（岩）与锚固体粘结强度</w:t>
            </w:r>
            <w:r>
              <w:rPr>
                <w:rFonts w:hint="eastAsia" w:ascii="Times New Roman" w:hAnsi="Times New Roman" w:eastAsia="宋体"/>
                <w:color w:val="auto"/>
                <w:sz w:val="18"/>
                <w:szCs w:val="18"/>
                <w:highlight w:val="none"/>
                <w:lang w:eastAsia="zh-CN"/>
              </w:rPr>
              <w:t>、</w:t>
            </w:r>
            <w:r>
              <w:rPr>
                <w:rFonts w:ascii="Times New Roman" w:hAnsi="Times New Roman" w:eastAsia="宋体"/>
                <w:color w:val="auto"/>
                <w:sz w:val="18"/>
                <w:szCs w:val="18"/>
                <w:highlight w:val="none"/>
              </w:rPr>
              <w:t>泊松比</w:t>
            </w:r>
            <w:r>
              <w:rPr>
                <w:rFonts w:hint="eastAsia" w:ascii="Times New Roman" w:hAnsi="Times New Roman" w:eastAsia="宋体"/>
                <w:color w:val="auto"/>
                <w:sz w:val="18"/>
                <w:szCs w:val="18"/>
                <w:highlight w:val="none"/>
                <w:lang w:eastAsia="zh-CN"/>
              </w:rPr>
              <w:t>、</w:t>
            </w:r>
            <w:r>
              <w:rPr>
                <w:rFonts w:ascii="Times New Roman" w:hAnsi="Times New Roman" w:eastAsia="宋体"/>
                <w:color w:val="auto"/>
                <w:sz w:val="18"/>
                <w:szCs w:val="18"/>
                <w:highlight w:val="none"/>
              </w:rPr>
              <w:t>水平和垂直基床系数</w:t>
            </w:r>
            <w:r>
              <w:rPr>
                <w:rFonts w:hint="eastAsia" w:ascii="Times New Roman" w:hAnsi="Times New Roman" w:eastAsia="宋体"/>
                <w:color w:val="auto"/>
                <w:sz w:val="18"/>
                <w:szCs w:val="18"/>
                <w:highlight w:val="none"/>
                <w:lang w:eastAsia="zh-CN"/>
              </w:rPr>
              <w:t>、</w:t>
            </w:r>
            <w:r>
              <w:rPr>
                <w:rFonts w:ascii="Times New Roman" w:hAnsi="Times New Roman" w:eastAsia="宋体"/>
                <w:color w:val="auto"/>
                <w:sz w:val="18"/>
                <w:szCs w:val="18"/>
                <w:highlight w:val="none"/>
              </w:rPr>
              <w:t>水平抗力系数的比例系数</w:t>
            </w:r>
            <w:r>
              <w:rPr>
                <w:rFonts w:hint="eastAsia" w:ascii="Times New Roman" w:hAnsi="Times New Roman" w:eastAsia="宋体"/>
                <w:color w:val="auto"/>
                <w:sz w:val="18"/>
                <w:szCs w:val="18"/>
                <w:highlight w:val="none"/>
                <w:lang w:eastAsia="zh-CN"/>
              </w:rPr>
              <w:t>、</w:t>
            </w:r>
            <w:r>
              <w:rPr>
                <w:rFonts w:ascii="Times New Roman" w:hAnsi="Times New Roman" w:eastAsia="宋体"/>
                <w:color w:val="auto"/>
                <w:sz w:val="18"/>
                <w:szCs w:val="18"/>
                <w:highlight w:val="none"/>
              </w:rPr>
              <w:t>静弹性模量</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lang w:val="en-US" w:eastAsia="zh-CN"/>
              </w:rPr>
              <w:t>回弹模量、</w:t>
            </w:r>
            <w:r>
              <w:rPr>
                <w:rFonts w:ascii="Times New Roman" w:hAnsi="Times New Roman" w:eastAsia="宋体"/>
                <w:color w:val="auto"/>
                <w:sz w:val="18"/>
                <w:szCs w:val="18"/>
                <w:highlight w:val="none"/>
              </w:rPr>
              <w:t>静止侧压力系数</w:t>
            </w:r>
            <w:r>
              <w:rPr>
                <w:rFonts w:hint="eastAsia" w:ascii="Times New Roman" w:hAnsi="Times New Roman" w:eastAsia="宋体"/>
                <w:color w:val="auto"/>
                <w:sz w:val="18"/>
                <w:szCs w:val="18"/>
                <w:highlight w:val="none"/>
                <w:lang w:eastAsia="zh-CN"/>
              </w:rPr>
              <w:t>、</w:t>
            </w:r>
            <w:r>
              <w:rPr>
                <w:rFonts w:ascii="Times New Roman" w:hAnsi="Times New Roman" w:eastAsia="宋体"/>
                <w:color w:val="auto"/>
                <w:sz w:val="18"/>
                <w:szCs w:val="18"/>
                <w:highlight w:val="none"/>
              </w:rPr>
              <w:t>岩石单轴饱和抗压强度</w:t>
            </w:r>
            <w:r>
              <w:rPr>
                <w:rFonts w:hint="eastAsia" w:ascii="Times New Roman" w:hAnsi="Times New Roman" w:eastAsia="宋体"/>
                <w:color w:val="auto"/>
                <w:sz w:val="18"/>
                <w:szCs w:val="18"/>
                <w:highlight w:val="none"/>
                <w:lang w:eastAsia="zh-CN"/>
              </w:rPr>
              <w:t>、</w:t>
            </w:r>
            <w:r>
              <w:rPr>
                <w:rFonts w:ascii="Times New Roman" w:hAnsi="Times New Roman" w:eastAsia="宋体"/>
                <w:color w:val="auto"/>
                <w:sz w:val="18"/>
                <w:szCs w:val="18"/>
                <w:highlight w:val="none"/>
              </w:rPr>
              <w:t>抗拔摩阻力折减系数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gridSpan w:val="2"/>
            <w:tcBorders>
              <w:left w:val="single" w:color="auto" w:sz="12" w:space="0"/>
            </w:tcBorders>
            <w:vAlign w:val="center"/>
          </w:tcPr>
          <w:p>
            <w:pPr>
              <w:jc w:val="center"/>
              <w:rPr>
                <w:rFonts w:ascii="Times New Roman" w:hAnsi="Times New Roman" w:eastAsia="宋体" w:cs="Times New Roman"/>
                <w:color w:val="auto"/>
                <w:kern w:val="2"/>
                <w:sz w:val="18"/>
                <w:szCs w:val="18"/>
                <w:highlight w:val="none"/>
                <w:lang w:val="en-US" w:eastAsia="zh-CN" w:bidi="ar-SA"/>
              </w:rPr>
            </w:pPr>
            <w:r>
              <w:rPr>
                <w:rFonts w:ascii="Times New Roman" w:hAnsi="Times New Roman" w:eastAsia="宋体"/>
                <w:color w:val="auto"/>
                <w:sz w:val="20"/>
                <w:szCs w:val="20"/>
                <w:highlight w:val="none"/>
              </w:rPr>
              <w:t>沉管法</w:t>
            </w:r>
          </w:p>
        </w:tc>
        <w:tc>
          <w:tcPr>
            <w:tcW w:w="7336" w:type="dxa"/>
            <w:tcBorders>
              <w:right w:val="single" w:color="auto" w:sz="12" w:space="0"/>
            </w:tcBorders>
            <w:vAlign w:val="top"/>
          </w:tcPr>
          <w:p>
            <w:pPr>
              <w:widowControl/>
              <w:rPr>
                <w:rFonts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olor w:val="auto"/>
                <w:sz w:val="18"/>
                <w:szCs w:val="18"/>
                <w:highlight w:val="none"/>
                <w:lang w:val="en-US" w:eastAsia="zh-CN"/>
              </w:rPr>
              <w:t>地基承载力、</w:t>
            </w:r>
            <w:r>
              <w:rPr>
                <w:rFonts w:ascii="Times New Roman" w:hAnsi="Times New Roman" w:eastAsia="宋体"/>
                <w:color w:val="auto"/>
                <w:sz w:val="18"/>
                <w:szCs w:val="18"/>
                <w:highlight w:val="none"/>
              </w:rPr>
              <w:t>渗透系数</w:t>
            </w:r>
            <w:r>
              <w:rPr>
                <w:rFonts w:hint="eastAsia" w:ascii="Times New Roman" w:hAnsi="Times New Roman" w:eastAsia="宋体"/>
                <w:color w:val="auto"/>
                <w:sz w:val="18"/>
                <w:szCs w:val="18"/>
                <w:highlight w:val="none"/>
                <w:lang w:eastAsia="zh-CN"/>
              </w:rPr>
              <w:t>、</w:t>
            </w:r>
            <w:r>
              <w:rPr>
                <w:rFonts w:ascii="Times New Roman" w:hAnsi="Times New Roman" w:eastAsia="宋体"/>
                <w:color w:val="auto"/>
                <w:sz w:val="18"/>
                <w:szCs w:val="18"/>
                <w:highlight w:val="none"/>
              </w:rPr>
              <w:t>静止侧压力系数</w:t>
            </w:r>
            <w:r>
              <w:rPr>
                <w:rFonts w:hint="eastAsia" w:ascii="Times New Roman" w:hAnsi="Times New Roman" w:eastAsia="宋体"/>
                <w:color w:val="auto"/>
                <w:sz w:val="18"/>
                <w:szCs w:val="18"/>
                <w:highlight w:val="none"/>
                <w:lang w:eastAsia="zh-CN"/>
              </w:rPr>
              <w:t>、</w:t>
            </w:r>
            <w:r>
              <w:rPr>
                <w:rFonts w:ascii="Times New Roman" w:hAnsi="Times New Roman" w:eastAsia="宋体"/>
                <w:color w:val="auto"/>
                <w:sz w:val="18"/>
                <w:szCs w:val="18"/>
                <w:highlight w:val="none"/>
              </w:rPr>
              <w:t>（水下）边坡坡率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vMerge w:val="restart"/>
            <w:tcBorders>
              <w:left w:val="single" w:color="auto" w:sz="12" w:space="0"/>
            </w:tcBorders>
            <w:vAlign w:val="center"/>
          </w:tcPr>
          <w:p>
            <w:pPr>
              <w:widowControl/>
              <w:jc w:val="center"/>
              <w:rPr>
                <w:rFonts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olor w:val="auto"/>
                <w:sz w:val="18"/>
                <w:szCs w:val="18"/>
                <w:highlight w:val="none"/>
              </w:rPr>
              <w:t>暗挖法</w:t>
            </w:r>
          </w:p>
        </w:tc>
        <w:tc>
          <w:tcPr>
            <w:tcW w:w="660" w:type="dxa"/>
            <w:vAlign w:val="center"/>
          </w:tcPr>
          <w:p>
            <w:pPr>
              <w:jc w:val="center"/>
              <w:rPr>
                <w:rFonts w:ascii="Times New Roman" w:hAnsi="Times New Roman" w:eastAsia="宋体" w:cs="Times New Roman"/>
                <w:color w:val="auto"/>
                <w:kern w:val="2"/>
                <w:sz w:val="20"/>
                <w:szCs w:val="21"/>
                <w:highlight w:val="none"/>
                <w:lang w:val="en-US" w:eastAsia="zh-CN" w:bidi="ar-SA"/>
              </w:rPr>
            </w:pPr>
            <w:r>
              <w:rPr>
                <w:rFonts w:ascii="Times New Roman" w:hAnsi="Times New Roman" w:eastAsia="宋体"/>
                <w:color w:val="auto"/>
                <w:sz w:val="20"/>
                <w:szCs w:val="21"/>
                <w:highlight w:val="none"/>
              </w:rPr>
              <w:t>矿山法</w:t>
            </w:r>
          </w:p>
        </w:tc>
        <w:tc>
          <w:tcPr>
            <w:tcW w:w="7336" w:type="dxa"/>
            <w:tcBorders>
              <w:right w:val="single" w:color="auto" w:sz="12" w:space="0"/>
            </w:tcBorders>
            <w:vAlign w:val="top"/>
          </w:tcPr>
          <w:p>
            <w:pPr>
              <w:widowControl/>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渗透系数</w:t>
            </w:r>
            <w:r>
              <w:rPr>
                <w:rFonts w:hint="eastAsia" w:ascii="Times New Roman" w:hAnsi="Times New Roman" w:eastAsia="宋体"/>
                <w:color w:val="auto"/>
                <w:sz w:val="18"/>
                <w:szCs w:val="18"/>
                <w:highlight w:val="none"/>
                <w:lang w:eastAsia="zh-CN"/>
              </w:rPr>
              <w:t>、</w:t>
            </w:r>
            <w:r>
              <w:rPr>
                <w:rFonts w:ascii="Times New Roman" w:hAnsi="Times New Roman" w:eastAsia="宋体"/>
                <w:color w:val="auto"/>
                <w:sz w:val="18"/>
                <w:szCs w:val="18"/>
                <w:highlight w:val="none"/>
              </w:rPr>
              <w:t>土（岩）与锚固体粘结强度</w:t>
            </w:r>
            <w:r>
              <w:rPr>
                <w:rFonts w:hint="eastAsia" w:ascii="Times New Roman" w:hAnsi="Times New Roman" w:eastAsia="宋体"/>
                <w:color w:val="auto"/>
                <w:sz w:val="18"/>
                <w:szCs w:val="18"/>
                <w:highlight w:val="none"/>
                <w:lang w:eastAsia="zh-CN"/>
              </w:rPr>
              <w:t>、</w:t>
            </w:r>
            <w:r>
              <w:rPr>
                <w:rFonts w:ascii="Times New Roman" w:hAnsi="Times New Roman" w:eastAsia="宋体"/>
                <w:color w:val="auto"/>
                <w:sz w:val="18"/>
                <w:szCs w:val="18"/>
                <w:highlight w:val="none"/>
              </w:rPr>
              <w:t>泊松比</w:t>
            </w:r>
            <w:r>
              <w:rPr>
                <w:rFonts w:hint="eastAsia" w:ascii="Times New Roman" w:hAnsi="Times New Roman" w:eastAsia="宋体"/>
                <w:color w:val="auto"/>
                <w:sz w:val="18"/>
                <w:szCs w:val="18"/>
                <w:highlight w:val="none"/>
                <w:lang w:eastAsia="zh-CN"/>
              </w:rPr>
              <w:t>、</w:t>
            </w:r>
            <w:r>
              <w:rPr>
                <w:rFonts w:ascii="Times New Roman" w:hAnsi="Times New Roman" w:eastAsia="宋体"/>
                <w:color w:val="auto"/>
                <w:sz w:val="18"/>
                <w:szCs w:val="18"/>
                <w:highlight w:val="none"/>
              </w:rPr>
              <w:t>水平和垂直基床系数</w:t>
            </w:r>
            <w:r>
              <w:rPr>
                <w:rFonts w:hint="eastAsia" w:ascii="Times New Roman" w:hAnsi="Times New Roman" w:eastAsia="宋体"/>
                <w:color w:val="auto"/>
                <w:sz w:val="18"/>
                <w:szCs w:val="18"/>
                <w:highlight w:val="none"/>
                <w:lang w:eastAsia="zh-CN"/>
              </w:rPr>
              <w:t>、</w:t>
            </w:r>
            <w:r>
              <w:rPr>
                <w:rFonts w:ascii="Times New Roman" w:hAnsi="Times New Roman" w:eastAsia="宋体"/>
                <w:color w:val="auto"/>
                <w:sz w:val="18"/>
                <w:szCs w:val="18"/>
                <w:highlight w:val="none"/>
              </w:rPr>
              <w:t>静止侧压力系数</w:t>
            </w:r>
            <w:r>
              <w:rPr>
                <w:rFonts w:hint="eastAsia" w:ascii="Times New Roman" w:hAnsi="Times New Roman" w:eastAsia="宋体"/>
                <w:color w:val="auto"/>
                <w:sz w:val="18"/>
                <w:szCs w:val="18"/>
                <w:highlight w:val="none"/>
                <w:lang w:eastAsia="zh-CN"/>
              </w:rPr>
              <w:t>、</w:t>
            </w:r>
            <w:r>
              <w:rPr>
                <w:rFonts w:ascii="Times New Roman" w:hAnsi="Times New Roman" w:eastAsia="宋体"/>
                <w:color w:val="auto"/>
                <w:sz w:val="18"/>
                <w:szCs w:val="18"/>
                <w:highlight w:val="none"/>
              </w:rPr>
              <w:t>无侧限抗压强度</w:t>
            </w:r>
            <w:r>
              <w:rPr>
                <w:rFonts w:hint="eastAsia" w:ascii="Times New Roman" w:hAnsi="Times New Roman" w:eastAsia="宋体"/>
                <w:color w:val="auto"/>
                <w:sz w:val="18"/>
                <w:szCs w:val="18"/>
                <w:highlight w:val="none"/>
                <w:lang w:eastAsia="zh-CN"/>
              </w:rPr>
              <w:t>、</w:t>
            </w:r>
            <w:r>
              <w:rPr>
                <w:rFonts w:ascii="Times New Roman" w:hAnsi="Times New Roman" w:eastAsia="宋体"/>
                <w:color w:val="auto"/>
                <w:sz w:val="18"/>
                <w:szCs w:val="18"/>
                <w:highlight w:val="none"/>
              </w:rPr>
              <w:t>岩体弹性模量</w:t>
            </w:r>
            <w:r>
              <w:rPr>
                <w:rFonts w:hint="eastAsia" w:ascii="Times New Roman" w:hAnsi="Times New Roman" w:eastAsia="宋体"/>
                <w:color w:val="auto"/>
                <w:sz w:val="18"/>
                <w:szCs w:val="18"/>
                <w:highlight w:val="none"/>
                <w:lang w:eastAsia="zh-CN"/>
              </w:rPr>
              <w:t>、</w:t>
            </w:r>
            <w:r>
              <w:rPr>
                <w:rFonts w:ascii="Times New Roman" w:hAnsi="Times New Roman" w:eastAsia="宋体"/>
                <w:color w:val="auto"/>
                <w:sz w:val="18"/>
                <w:szCs w:val="18"/>
                <w:highlight w:val="none"/>
              </w:rPr>
              <w:t>岩石单轴饱和抗压强度</w:t>
            </w:r>
            <w:r>
              <w:rPr>
                <w:rFonts w:hint="eastAsia" w:ascii="Times New Roman" w:hAnsi="Times New Roman" w:eastAsia="宋体"/>
                <w:color w:val="auto"/>
                <w:sz w:val="18"/>
                <w:szCs w:val="18"/>
                <w:highlight w:val="none"/>
                <w:lang w:eastAsia="zh-CN"/>
              </w:rPr>
              <w:t>、</w:t>
            </w:r>
            <w:r>
              <w:rPr>
                <w:rFonts w:ascii="Times New Roman" w:hAnsi="Times New Roman" w:eastAsia="宋体"/>
                <w:color w:val="auto"/>
                <w:sz w:val="18"/>
                <w:szCs w:val="18"/>
                <w:highlight w:val="none"/>
              </w:rPr>
              <w:t>岩石抗拉强度</w:t>
            </w:r>
          </w:p>
          <w:p>
            <w:pPr>
              <w:widowControl/>
              <w:jc w:val="left"/>
              <w:rPr>
                <w:rFonts w:ascii="Times New Roman" w:hAnsi="Times New Roman" w:eastAsia="宋体" w:cs="Times New Roman"/>
                <w:color w:val="auto"/>
                <w:kern w:val="2"/>
                <w:sz w:val="18"/>
                <w:szCs w:val="18"/>
                <w:highlight w:val="none"/>
                <w:lang w:val="en-US" w:eastAsia="zh-CN" w:bidi="ar-SA"/>
              </w:rPr>
            </w:pPr>
            <w:r>
              <w:rPr>
                <w:rFonts w:ascii="Times New Roman" w:hAnsi="Times New Roman" w:eastAsia="宋体"/>
                <w:color w:val="auto"/>
                <w:sz w:val="18"/>
                <w:szCs w:val="18"/>
                <w:highlight w:val="none"/>
              </w:rPr>
              <w:t>岩石质量指标（RQD）</w:t>
            </w:r>
            <w:r>
              <w:rPr>
                <w:rFonts w:hint="eastAsia" w:ascii="Times New Roman" w:hAnsi="Times New Roman" w:eastAsia="宋体"/>
                <w:color w:val="auto"/>
                <w:sz w:val="18"/>
                <w:szCs w:val="18"/>
                <w:highlight w:val="none"/>
                <w:lang w:eastAsia="zh-CN"/>
              </w:rPr>
              <w:t>、</w:t>
            </w:r>
            <w:r>
              <w:rPr>
                <w:rFonts w:ascii="Times New Roman" w:hAnsi="Times New Roman" w:eastAsia="宋体"/>
                <w:color w:val="auto"/>
                <w:sz w:val="18"/>
                <w:szCs w:val="18"/>
                <w:highlight w:val="none"/>
              </w:rPr>
              <w:t>完整性系数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vMerge w:val="continue"/>
            <w:tcBorders>
              <w:left w:val="single" w:color="auto" w:sz="12" w:space="0"/>
              <w:bottom w:val="single" w:color="auto" w:sz="12" w:space="0"/>
            </w:tcBorders>
          </w:tcPr>
          <w:p>
            <w:pPr>
              <w:spacing w:line="360" w:lineRule="auto"/>
              <w:jc w:val="center"/>
              <w:rPr>
                <w:rFonts w:ascii="Times New Roman" w:hAnsi="Times New Roman" w:eastAsia="宋体"/>
                <w:b/>
                <w:bCs/>
                <w:color w:val="auto"/>
                <w:highlight w:val="none"/>
                <w:vertAlign w:val="baseline"/>
              </w:rPr>
            </w:pPr>
          </w:p>
        </w:tc>
        <w:tc>
          <w:tcPr>
            <w:tcW w:w="660" w:type="dxa"/>
            <w:tcBorders>
              <w:bottom w:val="single" w:color="auto" w:sz="12" w:space="0"/>
            </w:tcBorders>
            <w:vAlign w:val="center"/>
          </w:tcPr>
          <w:p>
            <w:pPr>
              <w:jc w:val="center"/>
              <w:rPr>
                <w:rFonts w:ascii="Times New Roman" w:hAnsi="Times New Roman" w:eastAsia="宋体" w:cs="Times New Roman"/>
                <w:color w:val="auto"/>
                <w:kern w:val="2"/>
                <w:sz w:val="18"/>
                <w:szCs w:val="18"/>
                <w:highlight w:val="none"/>
                <w:lang w:val="en-US" w:eastAsia="zh-CN" w:bidi="ar-SA"/>
              </w:rPr>
            </w:pPr>
            <w:r>
              <w:rPr>
                <w:rFonts w:ascii="Times New Roman" w:hAnsi="Times New Roman" w:eastAsia="宋体"/>
                <w:color w:val="auto"/>
                <w:sz w:val="18"/>
                <w:szCs w:val="18"/>
                <w:highlight w:val="none"/>
              </w:rPr>
              <w:t>盾构法</w:t>
            </w:r>
          </w:p>
        </w:tc>
        <w:tc>
          <w:tcPr>
            <w:tcW w:w="7336" w:type="dxa"/>
            <w:tcBorders>
              <w:bottom w:val="single" w:color="auto" w:sz="12" w:space="0"/>
              <w:right w:val="single" w:color="auto" w:sz="12" w:space="0"/>
            </w:tcBorders>
            <w:vAlign w:val="center"/>
          </w:tcPr>
          <w:p>
            <w:pP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1岩石：渗透系数、单轴天然抗压强度、抗拉强度、抗剪断强度、RQD、完整性系数、矿物成分、</w:t>
            </w:r>
            <w:r>
              <w:rPr>
                <w:rFonts w:hint="eastAsia"/>
                <w:color w:val="auto"/>
                <w:sz w:val="18"/>
                <w:szCs w:val="18"/>
                <w:highlight w:val="none"/>
                <w:lang w:val="en-US" w:eastAsia="zh-CN"/>
              </w:rPr>
              <w:t>硬质矿物含量、</w:t>
            </w:r>
            <w:r>
              <w:rPr>
                <w:rFonts w:ascii="Times New Roman" w:hAnsi="Times New Roman" w:eastAsia="宋体"/>
                <w:color w:val="auto"/>
                <w:sz w:val="18"/>
                <w:szCs w:val="18"/>
                <w:highlight w:val="none"/>
              </w:rPr>
              <w:t>基床系数、静止侧压力系数、</w:t>
            </w:r>
            <w:r>
              <w:rPr>
                <w:rFonts w:hint="eastAsia" w:ascii="Times New Roman" w:hAnsi="Times New Roman" w:eastAsia="宋体"/>
                <w:color w:val="auto"/>
                <w:sz w:val="18"/>
                <w:szCs w:val="18"/>
                <w:highlight w:val="none"/>
              </w:rPr>
              <w:t>弹性模量、</w:t>
            </w:r>
            <w:r>
              <w:rPr>
                <w:rFonts w:ascii="Times New Roman" w:hAnsi="Times New Roman" w:eastAsia="宋体"/>
                <w:color w:val="auto"/>
                <w:sz w:val="18"/>
                <w:szCs w:val="18"/>
                <w:highlight w:val="none"/>
              </w:rPr>
              <w:t>泊松比</w:t>
            </w:r>
          </w:p>
          <w:p>
            <w:pPr>
              <w:rPr>
                <w:rFonts w:ascii="Times New Roman" w:hAnsi="Times New Roman" w:eastAsia="宋体" w:cs="Times New Roman"/>
                <w:color w:val="auto"/>
                <w:kern w:val="2"/>
                <w:sz w:val="18"/>
                <w:szCs w:val="18"/>
                <w:highlight w:val="none"/>
                <w:lang w:val="en-US" w:eastAsia="zh-CN" w:bidi="ar-SA"/>
              </w:rPr>
            </w:pPr>
            <w:r>
              <w:rPr>
                <w:rFonts w:ascii="Times New Roman" w:hAnsi="Times New Roman" w:eastAsia="宋体"/>
                <w:color w:val="auto"/>
                <w:sz w:val="18"/>
                <w:szCs w:val="18"/>
                <w:highlight w:val="none"/>
              </w:rPr>
              <w:t>2土体：</w:t>
            </w:r>
            <w:r>
              <w:rPr>
                <w:rFonts w:hint="eastAsia"/>
                <w:color w:val="auto"/>
                <w:sz w:val="18"/>
                <w:szCs w:val="18"/>
                <w:highlight w:val="none"/>
                <w:lang w:val="en-US" w:eastAsia="zh-CN"/>
              </w:rPr>
              <w:t>灵敏度、</w:t>
            </w:r>
            <w:r>
              <w:rPr>
                <w:rFonts w:ascii="Times New Roman" w:hAnsi="Times New Roman" w:eastAsia="宋体"/>
                <w:color w:val="auto"/>
                <w:sz w:val="18"/>
                <w:szCs w:val="18"/>
                <w:highlight w:val="none"/>
              </w:rPr>
              <w:t>渗透系数、黏粒含量、颗粒不均匀系数、硬质矿物含量、无侧限抗压强度、静弹性模量、泊松比、水平和垂直基床系数、静止侧压力系数</w:t>
            </w:r>
          </w:p>
        </w:tc>
      </w:tr>
    </w:tbl>
    <w:p>
      <w:pPr>
        <w:spacing w:line="360" w:lineRule="auto"/>
        <w:rPr>
          <w:rFonts w:ascii="Times New Roman" w:hAnsi="Times New Roman" w:eastAsia="宋体"/>
          <w:color w:val="auto"/>
          <w:szCs w:val="21"/>
          <w:highlight w:val="none"/>
        </w:rPr>
      </w:pPr>
      <w:r>
        <w:rPr>
          <w:rFonts w:ascii="Times New Roman" w:hAnsi="Times New Roman" w:eastAsia="宋体"/>
          <w:color w:val="auto"/>
          <w:szCs w:val="21"/>
          <w:highlight w:val="none"/>
        </w:rPr>
        <w:t>根据岩土体的渗透系数，可按表</w:t>
      </w:r>
      <w:r>
        <w:rPr>
          <w:rFonts w:hint="eastAsia" w:ascii="Times New Roman" w:hAnsi="Times New Roman" w:eastAsia="宋体"/>
          <w:color w:val="auto"/>
          <w:szCs w:val="21"/>
          <w:highlight w:val="none"/>
          <w:lang w:val="en-US" w:eastAsia="zh-CN"/>
        </w:rPr>
        <w:t>7-4</w:t>
      </w:r>
      <w:r>
        <w:rPr>
          <w:rFonts w:ascii="Times New Roman" w:hAnsi="Times New Roman" w:eastAsia="宋体"/>
          <w:color w:val="auto"/>
          <w:szCs w:val="21"/>
          <w:highlight w:val="none"/>
        </w:rPr>
        <w:t>对岩土体的渗透性进行分级。</w:t>
      </w:r>
    </w:p>
    <w:p>
      <w:pPr>
        <w:autoSpaceDE w:val="0"/>
        <w:autoSpaceDN w:val="0"/>
        <w:adjustRightInd w:val="0"/>
        <w:spacing w:line="360" w:lineRule="auto"/>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 xml:space="preserve">7-4 </w:t>
      </w:r>
      <w:r>
        <w:rPr>
          <w:rFonts w:hint="eastAsia"/>
          <w:b/>
          <w:bCs/>
          <w:color w:val="auto"/>
          <w:szCs w:val="21"/>
          <w:highlight w:val="none"/>
          <w:lang w:val="en-US" w:eastAsia="zh-CN"/>
        </w:rPr>
        <w:t xml:space="preserve"> </w:t>
      </w:r>
      <w:r>
        <w:rPr>
          <w:rFonts w:ascii="Times New Roman" w:hAnsi="Times New Roman" w:eastAsia="宋体"/>
          <w:b/>
          <w:bCs/>
          <w:color w:val="auto"/>
          <w:szCs w:val="21"/>
          <w:highlight w:val="none"/>
        </w:rPr>
        <w:t>岩土体渗透性分级</w:t>
      </w:r>
    </w:p>
    <w:tbl>
      <w:tblPr>
        <w:tblStyle w:val="22"/>
        <w:tblW w:w="81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1245"/>
        <w:gridCol w:w="1305"/>
        <w:gridCol w:w="1260"/>
        <w:gridCol w:w="33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46" w:type="dxa"/>
            <w:vMerge w:val="restart"/>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渗透性等级</w:t>
            </w:r>
          </w:p>
        </w:tc>
        <w:tc>
          <w:tcPr>
            <w:tcW w:w="2550" w:type="dxa"/>
            <w:gridSpan w:val="2"/>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渗透系数</w:t>
            </w:r>
            <w:r>
              <w:rPr>
                <w:rFonts w:ascii="Times New Roman" w:hAnsi="Times New Roman" w:eastAsia="宋体"/>
                <w:i/>
                <w:iCs/>
                <w:color w:val="auto"/>
                <w:sz w:val="20"/>
                <w:szCs w:val="20"/>
                <w:highlight w:val="none"/>
              </w:rPr>
              <w:t>k</w:t>
            </w:r>
          </w:p>
        </w:tc>
        <w:tc>
          <w:tcPr>
            <w:tcW w:w="126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透水率</w:t>
            </w:r>
            <w:r>
              <w:rPr>
                <w:rFonts w:ascii="Times New Roman" w:hAnsi="Times New Roman" w:eastAsia="宋体"/>
                <w:i/>
                <w:iCs/>
                <w:color w:val="auto"/>
                <w:sz w:val="20"/>
                <w:szCs w:val="20"/>
                <w:highlight w:val="none"/>
              </w:rPr>
              <w:t>q</w:t>
            </w:r>
          </w:p>
        </w:tc>
        <w:tc>
          <w:tcPr>
            <w:tcW w:w="333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岩体裂隙发育情况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046" w:type="dxa"/>
            <w:vMerge w:val="continue"/>
            <w:tcBorders>
              <w:tl2br w:val="nil"/>
              <w:tr2bl w:val="nil"/>
            </w:tcBorders>
            <w:vAlign w:val="center"/>
          </w:tcPr>
          <w:p>
            <w:pPr>
              <w:jc w:val="center"/>
              <w:rPr>
                <w:rFonts w:ascii="Times New Roman" w:hAnsi="Times New Roman" w:eastAsia="宋体"/>
                <w:color w:val="auto"/>
                <w:sz w:val="20"/>
                <w:szCs w:val="20"/>
                <w:highlight w:val="none"/>
              </w:rPr>
            </w:pPr>
          </w:p>
        </w:tc>
        <w:tc>
          <w:tcPr>
            <w:tcW w:w="124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m/d</w:t>
            </w:r>
          </w:p>
        </w:tc>
        <w:tc>
          <w:tcPr>
            <w:tcW w:w="130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cm/s</w:t>
            </w:r>
          </w:p>
        </w:tc>
        <w:tc>
          <w:tcPr>
            <w:tcW w:w="126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Lu</w:t>
            </w:r>
          </w:p>
        </w:tc>
        <w:tc>
          <w:tcPr>
            <w:tcW w:w="3330" w:type="dxa"/>
            <w:tcBorders>
              <w:tl2br w:val="nil"/>
              <w:tr2bl w:val="nil"/>
            </w:tcBorders>
            <w:vAlign w:val="center"/>
          </w:tcPr>
          <w:p>
            <w:pPr>
              <w:jc w:val="center"/>
              <w:rPr>
                <w:rFonts w:ascii="Times New Roman" w:hAnsi="Times New Roman" w:eastAsia="宋体"/>
                <w:color w:val="auto"/>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6"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极微透水</w:t>
            </w:r>
          </w:p>
        </w:tc>
        <w:tc>
          <w:tcPr>
            <w:tcW w:w="1245" w:type="dxa"/>
            <w:tcBorders>
              <w:tl2br w:val="nil"/>
              <w:tr2bl w:val="nil"/>
            </w:tcBorders>
            <w:vAlign w:val="center"/>
          </w:tcPr>
          <w:p>
            <w:pPr>
              <w:jc w:val="center"/>
              <w:rPr>
                <w:rFonts w:ascii="Times New Roman" w:hAnsi="Times New Roman" w:eastAsia="宋体"/>
                <w:color w:val="auto"/>
                <w:sz w:val="20"/>
                <w:szCs w:val="20"/>
                <w:highlight w:val="none"/>
                <w:vertAlign w:val="superscript"/>
              </w:rPr>
            </w:pP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rPr>
              <w:t>&lt;10</w:t>
            </w:r>
            <w:r>
              <w:rPr>
                <w:rFonts w:ascii="Times New Roman" w:hAnsi="Times New Roman" w:eastAsia="宋体"/>
                <w:color w:val="auto"/>
                <w:sz w:val="20"/>
                <w:szCs w:val="20"/>
                <w:highlight w:val="none"/>
                <w:vertAlign w:val="superscript"/>
              </w:rPr>
              <w:t>-3</w:t>
            </w:r>
          </w:p>
        </w:tc>
        <w:tc>
          <w:tcPr>
            <w:tcW w:w="1305" w:type="dxa"/>
            <w:tcBorders>
              <w:tl2br w:val="nil"/>
              <w:tr2bl w:val="nil"/>
            </w:tcBorders>
            <w:vAlign w:val="center"/>
          </w:tcPr>
          <w:p>
            <w:pPr>
              <w:jc w:val="center"/>
              <w:rPr>
                <w:rFonts w:ascii="Times New Roman" w:hAnsi="Times New Roman" w:eastAsia="宋体"/>
                <w:i/>
                <w:iCs/>
                <w:color w:val="auto"/>
                <w:sz w:val="20"/>
                <w:szCs w:val="20"/>
                <w:highlight w:val="none"/>
              </w:rPr>
            </w:pP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rPr>
              <w:t>&lt;10</w:t>
            </w:r>
            <w:r>
              <w:rPr>
                <w:rFonts w:ascii="Times New Roman" w:hAnsi="Times New Roman" w:eastAsia="宋体"/>
                <w:color w:val="auto"/>
                <w:sz w:val="20"/>
                <w:szCs w:val="20"/>
                <w:highlight w:val="none"/>
                <w:vertAlign w:val="superscript"/>
              </w:rPr>
              <w:t>-6</w:t>
            </w:r>
          </w:p>
        </w:tc>
        <w:tc>
          <w:tcPr>
            <w:tcW w:w="1260" w:type="dxa"/>
            <w:tcBorders>
              <w:tl2br w:val="nil"/>
              <w:tr2bl w:val="nil"/>
            </w:tcBorders>
            <w:vAlign w:val="center"/>
          </w:tcPr>
          <w:p>
            <w:pPr>
              <w:jc w:val="center"/>
              <w:rPr>
                <w:rFonts w:ascii="Times New Roman" w:hAnsi="Times New Roman" w:eastAsia="宋体"/>
                <w:color w:val="auto"/>
                <w:sz w:val="20"/>
                <w:szCs w:val="20"/>
                <w:highlight w:val="none"/>
                <w:vertAlign w:val="superscript"/>
              </w:rPr>
            </w:pPr>
            <w:r>
              <w:rPr>
                <w:rFonts w:ascii="Times New Roman" w:hAnsi="Times New Roman" w:eastAsia="宋体"/>
                <w:i/>
                <w:iCs/>
                <w:color w:val="auto"/>
                <w:sz w:val="20"/>
                <w:szCs w:val="20"/>
                <w:highlight w:val="none"/>
              </w:rPr>
              <w:t>q</w:t>
            </w:r>
            <w:r>
              <w:rPr>
                <w:rFonts w:ascii="Times New Roman" w:hAnsi="Times New Roman" w:eastAsia="宋体"/>
                <w:color w:val="auto"/>
                <w:sz w:val="20"/>
                <w:szCs w:val="20"/>
                <w:highlight w:val="none"/>
              </w:rPr>
              <w:t>&lt;0.1</w:t>
            </w:r>
          </w:p>
        </w:tc>
        <w:tc>
          <w:tcPr>
            <w:tcW w:w="333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完整岩石，裂隙等价开度&lt;0.025mm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6"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微透水</w:t>
            </w:r>
          </w:p>
        </w:tc>
        <w:tc>
          <w:tcPr>
            <w:tcW w:w="124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r>
              <w:rPr>
                <w:rFonts w:ascii="Times New Roman" w:hAnsi="Times New Roman" w:eastAsia="宋体"/>
                <w:color w:val="auto"/>
                <w:sz w:val="20"/>
                <w:szCs w:val="20"/>
                <w:highlight w:val="none"/>
                <w:vertAlign w:val="superscript"/>
              </w:rPr>
              <w:t>-3</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rPr>
              <w:t>&lt;10</w:t>
            </w:r>
            <w:r>
              <w:rPr>
                <w:rFonts w:ascii="Times New Roman" w:hAnsi="Times New Roman" w:eastAsia="宋体"/>
                <w:color w:val="auto"/>
                <w:sz w:val="20"/>
                <w:szCs w:val="20"/>
                <w:highlight w:val="none"/>
                <w:vertAlign w:val="superscript"/>
              </w:rPr>
              <w:t>-2</w:t>
            </w:r>
          </w:p>
        </w:tc>
        <w:tc>
          <w:tcPr>
            <w:tcW w:w="130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r>
              <w:rPr>
                <w:rFonts w:ascii="Times New Roman" w:hAnsi="Times New Roman" w:eastAsia="宋体"/>
                <w:color w:val="auto"/>
                <w:sz w:val="20"/>
                <w:szCs w:val="20"/>
                <w:highlight w:val="none"/>
                <w:vertAlign w:val="superscript"/>
              </w:rPr>
              <w:t>-6</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rPr>
              <w:t>&lt;10</w:t>
            </w:r>
            <w:r>
              <w:rPr>
                <w:rFonts w:ascii="Times New Roman" w:hAnsi="Times New Roman" w:eastAsia="宋体"/>
                <w:color w:val="auto"/>
                <w:sz w:val="20"/>
                <w:szCs w:val="20"/>
                <w:highlight w:val="none"/>
                <w:vertAlign w:val="superscript"/>
              </w:rPr>
              <w:t>-5</w:t>
            </w:r>
          </w:p>
        </w:tc>
        <w:tc>
          <w:tcPr>
            <w:tcW w:w="126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0.1</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q</w:t>
            </w:r>
            <w:r>
              <w:rPr>
                <w:rFonts w:ascii="Times New Roman" w:hAnsi="Times New Roman" w:eastAsia="宋体"/>
                <w:color w:val="auto"/>
                <w:sz w:val="20"/>
                <w:szCs w:val="20"/>
                <w:highlight w:val="none"/>
              </w:rPr>
              <w:t>&lt;1</w:t>
            </w:r>
          </w:p>
        </w:tc>
        <w:tc>
          <w:tcPr>
            <w:tcW w:w="333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裂隙等价开度0.025mm ~0.05mm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6"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弱透水</w:t>
            </w:r>
          </w:p>
        </w:tc>
        <w:tc>
          <w:tcPr>
            <w:tcW w:w="124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r>
              <w:rPr>
                <w:rFonts w:ascii="Times New Roman" w:hAnsi="Times New Roman" w:eastAsia="宋体"/>
                <w:color w:val="auto"/>
                <w:sz w:val="20"/>
                <w:szCs w:val="20"/>
                <w:highlight w:val="none"/>
                <w:vertAlign w:val="superscript"/>
              </w:rPr>
              <w:t>-2</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rPr>
              <w:t>&lt;10</w:t>
            </w:r>
            <w:r>
              <w:rPr>
                <w:rFonts w:ascii="Times New Roman" w:hAnsi="Times New Roman" w:eastAsia="宋体"/>
                <w:color w:val="auto"/>
                <w:sz w:val="20"/>
                <w:szCs w:val="20"/>
                <w:highlight w:val="none"/>
                <w:vertAlign w:val="superscript"/>
              </w:rPr>
              <w:t>-1</w:t>
            </w:r>
          </w:p>
        </w:tc>
        <w:tc>
          <w:tcPr>
            <w:tcW w:w="130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r>
              <w:rPr>
                <w:rFonts w:ascii="Times New Roman" w:hAnsi="Times New Roman" w:eastAsia="宋体"/>
                <w:color w:val="auto"/>
                <w:sz w:val="20"/>
                <w:szCs w:val="20"/>
                <w:highlight w:val="none"/>
                <w:vertAlign w:val="superscript"/>
              </w:rPr>
              <w:t>-5</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rPr>
              <w:t>&lt;10</w:t>
            </w:r>
            <w:r>
              <w:rPr>
                <w:rFonts w:ascii="Times New Roman" w:hAnsi="Times New Roman" w:eastAsia="宋体"/>
                <w:color w:val="auto"/>
                <w:sz w:val="20"/>
                <w:szCs w:val="20"/>
                <w:highlight w:val="none"/>
                <w:vertAlign w:val="superscript"/>
              </w:rPr>
              <w:t>-4</w:t>
            </w:r>
          </w:p>
        </w:tc>
        <w:tc>
          <w:tcPr>
            <w:tcW w:w="126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q</w:t>
            </w:r>
            <w:r>
              <w:rPr>
                <w:rFonts w:ascii="Times New Roman" w:hAnsi="Times New Roman" w:eastAsia="宋体"/>
                <w:color w:val="auto"/>
                <w:sz w:val="20"/>
                <w:szCs w:val="20"/>
                <w:highlight w:val="none"/>
              </w:rPr>
              <w:t>&lt;10</w:t>
            </w:r>
          </w:p>
        </w:tc>
        <w:tc>
          <w:tcPr>
            <w:tcW w:w="333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裂隙等价开度0.05mm~ 0.1mm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6"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中等透水</w:t>
            </w:r>
          </w:p>
        </w:tc>
        <w:tc>
          <w:tcPr>
            <w:tcW w:w="124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r>
              <w:rPr>
                <w:rFonts w:ascii="Times New Roman" w:hAnsi="Times New Roman" w:eastAsia="宋体"/>
                <w:color w:val="auto"/>
                <w:sz w:val="20"/>
                <w:szCs w:val="20"/>
                <w:highlight w:val="none"/>
                <w:vertAlign w:val="superscript"/>
              </w:rPr>
              <w:t>-1</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rPr>
              <w:t>&lt;10</w:t>
            </w:r>
          </w:p>
        </w:tc>
        <w:tc>
          <w:tcPr>
            <w:tcW w:w="130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r>
              <w:rPr>
                <w:rFonts w:ascii="Times New Roman" w:hAnsi="Times New Roman" w:eastAsia="宋体"/>
                <w:color w:val="auto"/>
                <w:sz w:val="20"/>
                <w:szCs w:val="20"/>
                <w:highlight w:val="none"/>
                <w:vertAlign w:val="superscript"/>
              </w:rPr>
              <w:t>-4</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rPr>
              <w:t>&lt;10</w:t>
            </w:r>
            <w:r>
              <w:rPr>
                <w:rFonts w:ascii="Times New Roman" w:hAnsi="Times New Roman" w:eastAsia="宋体"/>
                <w:color w:val="auto"/>
                <w:sz w:val="20"/>
                <w:szCs w:val="20"/>
                <w:highlight w:val="none"/>
                <w:vertAlign w:val="superscript"/>
              </w:rPr>
              <w:t>-2</w:t>
            </w:r>
          </w:p>
        </w:tc>
        <w:tc>
          <w:tcPr>
            <w:tcW w:w="126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q</w:t>
            </w:r>
            <w:r>
              <w:rPr>
                <w:rFonts w:ascii="Times New Roman" w:hAnsi="Times New Roman" w:eastAsia="宋体"/>
                <w:color w:val="auto"/>
                <w:sz w:val="20"/>
                <w:szCs w:val="20"/>
                <w:highlight w:val="none"/>
              </w:rPr>
              <w:t>&lt;1000</w:t>
            </w:r>
          </w:p>
        </w:tc>
        <w:tc>
          <w:tcPr>
            <w:tcW w:w="333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裂隙等价开度0.1mm~ 0.5mm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46"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强透水</w:t>
            </w:r>
          </w:p>
        </w:tc>
        <w:tc>
          <w:tcPr>
            <w:tcW w:w="124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rPr>
              <w:t>&lt;1000</w:t>
            </w:r>
          </w:p>
        </w:tc>
        <w:tc>
          <w:tcPr>
            <w:tcW w:w="130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r>
              <w:rPr>
                <w:rFonts w:ascii="Times New Roman" w:hAnsi="Times New Roman" w:eastAsia="宋体"/>
                <w:color w:val="auto"/>
                <w:sz w:val="20"/>
                <w:szCs w:val="20"/>
                <w:highlight w:val="none"/>
                <w:vertAlign w:val="superscript"/>
              </w:rPr>
              <w:t>-2</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rPr>
              <w:t>&lt;1</w:t>
            </w:r>
          </w:p>
        </w:tc>
        <w:tc>
          <w:tcPr>
            <w:tcW w:w="1260" w:type="dxa"/>
            <w:vMerge w:val="restart"/>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q</w:t>
            </w:r>
            <w:r>
              <w:rPr>
                <w:rFonts w:hint="eastAsia" w:ascii="宋体" w:hAnsi="宋体" w:eastAsia="宋体" w:cs="宋体"/>
                <w:color w:val="auto"/>
                <w:sz w:val="20"/>
                <w:szCs w:val="20"/>
                <w:highlight w:val="none"/>
              </w:rPr>
              <w:t>≥</w:t>
            </w:r>
            <w:r>
              <w:rPr>
                <w:rFonts w:ascii="Times New Roman" w:hAnsi="Times New Roman" w:eastAsia="宋体"/>
                <w:color w:val="auto"/>
                <w:sz w:val="20"/>
                <w:szCs w:val="20"/>
                <w:highlight w:val="none"/>
              </w:rPr>
              <w:t>1000</w:t>
            </w:r>
          </w:p>
        </w:tc>
        <w:tc>
          <w:tcPr>
            <w:tcW w:w="333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裂隙等价开度0.5mm~ 2.5mm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46"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极强透水</w:t>
            </w:r>
          </w:p>
        </w:tc>
        <w:tc>
          <w:tcPr>
            <w:tcW w:w="124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k</w:t>
            </w:r>
            <w:r>
              <w:rPr>
                <w:rFonts w:hint="eastAsia" w:ascii="宋体" w:hAnsi="宋体" w:eastAsia="宋体" w:cs="宋体"/>
                <w:color w:val="auto"/>
                <w:sz w:val="20"/>
                <w:szCs w:val="20"/>
                <w:highlight w:val="none"/>
              </w:rPr>
              <w:t>≥</w:t>
            </w:r>
            <w:r>
              <w:rPr>
                <w:rFonts w:ascii="Times New Roman" w:hAnsi="Times New Roman" w:eastAsia="宋体"/>
                <w:color w:val="auto"/>
                <w:sz w:val="20"/>
                <w:szCs w:val="20"/>
                <w:highlight w:val="none"/>
              </w:rPr>
              <w:t>1000</w:t>
            </w:r>
          </w:p>
        </w:tc>
        <w:tc>
          <w:tcPr>
            <w:tcW w:w="1305" w:type="dxa"/>
            <w:tcBorders>
              <w:tl2br w:val="nil"/>
              <w:tr2bl w:val="nil"/>
            </w:tcBorders>
            <w:vAlign w:val="center"/>
          </w:tcPr>
          <w:p>
            <w:pPr>
              <w:jc w:val="center"/>
              <w:rPr>
                <w:rFonts w:ascii="Times New Roman" w:hAnsi="Times New Roman" w:eastAsia="宋体"/>
                <w:i/>
                <w:iCs/>
                <w:color w:val="auto"/>
                <w:sz w:val="20"/>
                <w:szCs w:val="20"/>
                <w:highlight w:val="none"/>
              </w:rPr>
            </w:pPr>
            <w:r>
              <w:rPr>
                <w:rFonts w:ascii="Times New Roman" w:hAnsi="Times New Roman" w:eastAsia="宋体"/>
                <w:i/>
                <w:iCs/>
                <w:color w:val="auto"/>
                <w:sz w:val="20"/>
                <w:szCs w:val="20"/>
                <w:highlight w:val="none"/>
              </w:rPr>
              <w:t>k</w:t>
            </w:r>
            <w:r>
              <w:rPr>
                <w:rFonts w:hint="eastAsia" w:ascii="宋体" w:hAnsi="宋体" w:eastAsia="宋体" w:cs="宋体"/>
                <w:color w:val="auto"/>
                <w:sz w:val="20"/>
                <w:szCs w:val="20"/>
                <w:highlight w:val="none"/>
              </w:rPr>
              <w:t>≥</w:t>
            </w:r>
            <w:r>
              <w:rPr>
                <w:rFonts w:ascii="Times New Roman" w:hAnsi="Times New Roman" w:eastAsia="宋体"/>
                <w:color w:val="auto"/>
                <w:sz w:val="20"/>
                <w:szCs w:val="20"/>
                <w:highlight w:val="none"/>
              </w:rPr>
              <w:t>1</w:t>
            </w:r>
          </w:p>
        </w:tc>
        <w:tc>
          <w:tcPr>
            <w:tcW w:w="1260" w:type="dxa"/>
            <w:vMerge w:val="continue"/>
            <w:tcBorders>
              <w:tl2br w:val="nil"/>
              <w:tr2bl w:val="nil"/>
            </w:tcBorders>
            <w:vAlign w:val="center"/>
          </w:tcPr>
          <w:p>
            <w:pPr>
              <w:jc w:val="center"/>
              <w:rPr>
                <w:rFonts w:ascii="Times New Roman" w:hAnsi="Times New Roman" w:eastAsia="宋体"/>
                <w:color w:val="auto"/>
                <w:sz w:val="20"/>
                <w:szCs w:val="20"/>
                <w:highlight w:val="none"/>
              </w:rPr>
            </w:pPr>
          </w:p>
        </w:tc>
        <w:tc>
          <w:tcPr>
            <w:tcW w:w="333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含连通孔洞或裂隙等价开度&gt;2.5mm</w:t>
            </w:r>
          </w:p>
        </w:tc>
      </w:tr>
    </w:tbl>
    <w:p>
      <w:pPr>
        <w:ind w:left="630" w:hanging="630" w:hangingChars="350"/>
        <w:jc w:val="left"/>
        <w:rPr>
          <w:rFonts w:ascii="Times New Roman" w:hAnsi="Times New Roman" w:eastAsia="宋体"/>
          <w:color w:val="auto"/>
          <w:sz w:val="18"/>
          <w:szCs w:val="18"/>
          <w:highlight w:val="none"/>
        </w:rPr>
      </w:pPr>
      <w:bookmarkStart w:id="392" w:name="_Toc535221357"/>
      <w:r>
        <w:rPr>
          <w:rFonts w:ascii="Times New Roman" w:hAnsi="Times New Roman" w:eastAsia="宋体"/>
          <w:color w:val="auto"/>
          <w:sz w:val="18"/>
          <w:szCs w:val="18"/>
          <w:highlight w:val="none"/>
        </w:rPr>
        <w:t>注：1  Lu为透水率单位，代表注水压力1MPa情况下，每米测试段注入1L水量。1Lu≈1.5×10</w:t>
      </w:r>
      <w:r>
        <w:rPr>
          <w:rFonts w:ascii="Times New Roman" w:hAnsi="Times New Roman" w:eastAsia="宋体"/>
          <w:color w:val="auto"/>
          <w:sz w:val="18"/>
          <w:szCs w:val="18"/>
          <w:highlight w:val="none"/>
          <w:vertAlign w:val="superscript"/>
        </w:rPr>
        <w:t>-5</w:t>
      </w:r>
      <w:r>
        <w:rPr>
          <w:rFonts w:ascii="Times New Roman" w:hAnsi="Times New Roman" w:eastAsia="宋体"/>
          <w:color w:val="auto"/>
          <w:sz w:val="18"/>
          <w:szCs w:val="18"/>
          <w:highlight w:val="none"/>
        </w:rPr>
        <w:t>cm/s。</w:t>
      </w:r>
      <w:bookmarkEnd w:id="392"/>
    </w:p>
    <w:p>
      <w:pPr>
        <w:ind w:left="627" w:leftChars="170" w:hanging="270" w:hangingChars="150"/>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2  裂隙开度，也称裂隙张开度，指岩石节理或裂隙张开的大小。</w:t>
      </w:r>
    </w:p>
    <w:p>
      <w:pPr>
        <w:autoSpaceDE w:val="0"/>
        <w:autoSpaceDN w:val="0"/>
        <w:adjustRightInd w:val="0"/>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表</w:t>
      </w:r>
      <w:r>
        <w:rPr>
          <w:rFonts w:hint="eastAsia" w:ascii="Times New Roman" w:hAnsi="Times New Roman" w:eastAsia="宋体"/>
          <w:color w:val="auto"/>
          <w:szCs w:val="21"/>
          <w:highlight w:val="none"/>
          <w:lang w:val="en-US" w:eastAsia="zh-CN"/>
        </w:rPr>
        <w:t>7-4</w:t>
      </w:r>
      <w:r>
        <w:rPr>
          <w:rFonts w:ascii="Times New Roman" w:hAnsi="Times New Roman" w:eastAsia="宋体"/>
          <w:color w:val="auto"/>
          <w:szCs w:val="21"/>
          <w:highlight w:val="none"/>
        </w:rPr>
        <w:t>引用自《水利水电工程地质勘察规范》GB 50487-2008附录F及其条文说明。其中，岩体裂隙发育情况是原《水利水电工程地质勘察规范》GB 50287-99的内容，此处仅作参考。</w:t>
      </w:r>
    </w:p>
    <w:p>
      <w:pPr>
        <w:autoSpaceDE w:val="0"/>
        <w:autoSpaceDN w:val="0"/>
        <w:adjustRightInd w:val="0"/>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不过，本处将中等透水等级的透水率范围作了修正，即将原规范中的</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10</w:t>
      </w:r>
      <w:r>
        <w:rPr>
          <w:rFonts w:hint="eastAsia" w:ascii="宋体" w:hAnsi="宋体" w:eastAsia="宋体" w:cs="宋体"/>
          <w:color w:val="auto"/>
          <w:szCs w:val="21"/>
          <w:highlight w:val="none"/>
        </w:rPr>
        <w:t>≤</w:t>
      </w:r>
      <w:r>
        <w:rPr>
          <w:rFonts w:ascii="Times New Roman" w:hAnsi="Times New Roman" w:eastAsia="宋体"/>
          <w:i/>
          <w:iCs/>
          <w:color w:val="auto"/>
          <w:szCs w:val="21"/>
          <w:highlight w:val="none"/>
        </w:rPr>
        <w:t>q</w:t>
      </w:r>
      <w:r>
        <w:rPr>
          <w:rFonts w:ascii="Times New Roman" w:hAnsi="Times New Roman" w:eastAsia="宋体"/>
          <w:color w:val="auto"/>
          <w:szCs w:val="21"/>
          <w:highlight w:val="none"/>
        </w:rPr>
        <w:t>&lt;100</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调整为了</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10</w:t>
      </w:r>
      <w:r>
        <w:rPr>
          <w:rFonts w:hint="eastAsia" w:ascii="宋体" w:hAnsi="宋体" w:eastAsia="宋体" w:cs="宋体"/>
          <w:color w:val="auto"/>
          <w:szCs w:val="21"/>
          <w:highlight w:val="none"/>
        </w:rPr>
        <w:t>≤</w:t>
      </w:r>
      <w:r>
        <w:rPr>
          <w:rFonts w:ascii="Times New Roman" w:hAnsi="Times New Roman" w:eastAsia="宋体"/>
          <w:i/>
          <w:iCs/>
          <w:color w:val="auto"/>
          <w:szCs w:val="21"/>
          <w:highlight w:val="none"/>
        </w:rPr>
        <w:t>q</w:t>
      </w:r>
      <w:r>
        <w:rPr>
          <w:rFonts w:ascii="Times New Roman" w:hAnsi="Times New Roman" w:eastAsia="宋体"/>
          <w:color w:val="auto"/>
          <w:szCs w:val="21"/>
          <w:highlight w:val="none"/>
        </w:rPr>
        <w:t>&lt;1000</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，其原因有两点：（1）</w:t>
      </w:r>
      <w:r>
        <w:rPr>
          <w:rFonts w:ascii="Times New Roman" w:hAnsi="Times New Roman" w:eastAsia="宋体"/>
          <w:i/>
          <w:iCs/>
          <w:color w:val="auto"/>
          <w:szCs w:val="21"/>
          <w:highlight w:val="none"/>
        </w:rPr>
        <w:t>q</w:t>
      </w:r>
      <w:r>
        <w:rPr>
          <w:rFonts w:ascii="Times New Roman" w:hAnsi="Times New Roman" w:eastAsia="宋体"/>
          <w:color w:val="auto"/>
          <w:szCs w:val="21"/>
          <w:highlight w:val="none"/>
        </w:rPr>
        <w:t>=100换算成渗透系数是10</w:t>
      </w:r>
      <w:r>
        <w:rPr>
          <w:rFonts w:ascii="Times New Roman" w:hAnsi="Times New Roman" w:eastAsia="宋体"/>
          <w:color w:val="auto"/>
          <w:szCs w:val="21"/>
          <w:highlight w:val="none"/>
          <w:vertAlign w:val="superscript"/>
        </w:rPr>
        <w:t>-3</w:t>
      </w:r>
      <w:r>
        <w:rPr>
          <w:rFonts w:ascii="Times New Roman" w:hAnsi="Times New Roman" w:eastAsia="宋体"/>
          <w:color w:val="auto"/>
          <w:szCs w:val="21"/>
          <w:highlight w:val="none"/>
        </w:rPr>
        <w:t>cm/s，与渗透系数范围不对应，显然是偏小了；（2）从裂隙开度范围和透水率的对应情况看，基本上是2倍开度对应10倍透水率，5倍裂隙开度对应100倍透水率；而原规范中中等透水等级的裂隙开度范围是5倍，透水率范围却仅有10倍，也不合理。故此，本规范对其进行了修正。</w:t>
      </w:r>
    </w:p>
    <w:p>
      <w:pPr>
        <w:autoSpaceDE w:val="0"/>
        <w:autoSpaceDN w:val="0"/>
        <w:adjustRightInd w:val="0"/>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当渗透系数资料不足时，可结合地层岩性、密实度、颗粒分析等地质背景资料和试验资料参考表</w:t>
      </w:r>
      <w:r>
        <w:rPr>
          <w:rFonts w:hint="eastAsia" w:ascii="Times New Roman" w:hAnsi="Times New Roman" w:eastAsia="宋体"/>
          <w:color w:val="auto"/>
          <w:szCs w:val="21"/>
          <w:highlight w:val="none"/>
          <w:lang w:val="en-US" w:eastAsia="zh-CN"/>
        </w:rPr>
        <w:t>7-5</w:t>
      </w:r>
      <w:r>
        <w:rPr>
          <w:rFonts w:ascii="Times New Roman" w:hAnsi="Times New Roman" w:eastAsia="宋体"/>
          <w:color w:val="auto"/>
          <w:szCs w:val="21"/>
          <w:highlight w:val="none"/>
        </w:rPr>
        <w:t>选用土体的渗透系数建议值。</w:t>
      </w:r>
    </w:p>
    <w:p>
      <w:pPr>
        <w:spacing w:line="360" w:lineRule="auto"/>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7-5</w:t>
      </w:r>
      <w:r>
        <w:rPr>
          <w:rFonts w:ascii="Times New Roman" w:hAnsi="Times New Roman" w:eastAsia="宋体"/>
          <w:b/>
          <w:bCs/>
          <w:color w:val="auto"/>
          <w:szCs w:val="21"/>
          <w:highlight w:val="none"/>
        </w:rPr>
        <w:t xml:space="preserve"> </w:t>
      </w:r>
      <w:r>
        <w:rPr>
          <w:rFonts w:hint="eastAsia"/>
          <w:b/>
          <w:bCs/>
          <w:color w:val="auto"/>
          <w:szCs w:val="21"/>
          <w:highlight w:val="none"/>
          <w:lang w:val="en-US" w:eastAsia="zh-CN"/>
        </w:rPr>
        <w:t xml:space="preserve"> </w:t>
      </w:r>
      <w:r>
        <w:rPr>
          <w:rFonts w:ascii="Times New Roman" w:hAnsi="Times New Roman" w:eastAsia="宋体"/>
          <w:b/>
          <w:bCs/>
          <w:color w:val="auto"/>
          <w:szCs w:val="21"/>
          <w:highlight w:val="none"/>
        </w:rPr>
        <w:t>岩土层的渗透系数</w:t>
      </w:r>
      <w:r>
        <w:rPr>
          <w:rFonts w:ascii="Times New Roman" w:hAnsi="Times New Roman" w:eastAsia="宋体"/>
          <w:b/>
          <w:bCs/>
          <w:i/>
          <w:iCs/>
          <w:color w:val="auto"/>
          <w:szCs w:val="21"/>
          <w:highlight w:val="none"/>
        </w:rPr>
        <w:t>k</w:t>
      </w:r>
      <w:r>
        <w:rPr>
          <w:rFonts w:ascii="Times New Roman" w:hAnsi="Times New Roman" w:eastAsia="宋体"/>
          <w:b/>
          <w:bCs/>
          <w:color w:val="auto"/>
          <w:szCs w:val="21"/>
          <w:highlight w:val="none"/>
        </w:rPr>
        <w:t>的经验值</w:t>
      </w:r>
    </w:p>
    <w:tbl>
      <w:tblPr>
        <w:tblStyle w:val="22"/>
        <w:tblW w:w="81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76"/>
        <w:gridCol w:w="2855"/>
        <w:gridCol w:w="27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76" w:type="dxa"/>
            <w:vMerge w:val="restart"/>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土层名称</w:t>
            </w:r>
          </w:p>
        </w:tc>
        <w:tc>
          <w:tcPr>
            <w:tcW w:w="5595" w:type="dxa"/>
            <w:gridSpan w:val="2"/>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渗透系数</w:t>
            </w:r>
            <w:r>
              <w:rPr>
                <w:rFonts w:ascii="Times New Roman" w:hAnsi="Times New Roman" w:eastAsia="宋体"/>
                <w:i/>
                <w:iCs/>
                <w:color w:val="auto"/>
                <w:sz w:val="20"/>
                <w:szCs w:val="20"/>
                <w:highlight w:val="none"/>
              </w:rPr>
              <w:t>k</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76" w:type="dxa"/>
            <w:vMerge w:val="continue"/>
            <w:tcBorders>
              <w:tl2br w:val="nil"/>
              <w:tr2bl w:val="nil"/>
            </w:tcBorders>
            <w:vAlign w:val="center"/>
          </w:tcPr>
          <w:p>
            <w:pPr>
              <w:jc w:val="center"/>
              <w:rPr>
                <w:rFonts w:ascii="Times New Roman" w:hAnsi="Times New Roman" w:eastAsia="宋体"/>
                <w:color w:val="auto"/>
                <w:sz w:val="20"/>
                <w:szCs w:val="20"/>
                <w:highlight w:val="none"/>
              </w:rPr>
            </w:pPr>
          </w:p>
        </w:tc>
        <w:tc>
          <w:tcPr>
            <w:tcW w:w="285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m/d</w:t>
            </w:r>
          </w:p>
        </w:tc>
        <w:tc>
          <w:tcPr>
            <w:tcW w:w="274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cm/s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76"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淤泥</w:t>
            </w:r>
          </w:p>
        </w:tc>
        <w:tc>
          <w:tcPr>
            <w:tcW w:w="285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0.0001~0.001</w:t>
            </w:r>
          </w:p>
        </w:tc>
        <w:tc>
          <w:tcPr>
            <w:tcW w:w="274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1×10</w:t>
            </w:r>
            <w:r>
              <w:rPr>
                <w:rFonts w:ascii="Times New Roman" w:hAnsi="Times New Roman" w:eastAsia="宋体"/>
                <w:color w:val="auto"/>
                <w:sz w:val="20"/>
                <w:szCs w:val="20"/>
                <w:highlight w:val="none"/>
                <w:vertAlign w:val="superscript"/>
              </w:rPr>
              <w:t>-7</w:t>
            </w:r>
            <w:r>
              <w:rPr>
                <w:rFonts w:ascii="Times New Roman" w:hAnsi="Times New Roman" w:eastAsia="宋体"/>
                <w:color w:val="auto"/>
                <w:sz w:val="20"/>
                <w:szCs w:val="20"/>
                <w:highlight w:val="none"/>
              </w:rPr>
              <w:t>~1×10</w:t>
            </w:r>
            <w:r>
              <w:rPr>
                <w:rFonts w:ascii="Times New Roman" w:hAnsi="Times New Roman" w:eastAsia="宋体"/>
                <w:color w:val="auto"/>
                <w:sz w:val="20"/>
                <w:szCs w:val="20"/>
                <w:highlight w:val="none"/>
                <w:vertAlign w:val="superscript"/>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76"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淤泥质土</w:t>
            </w:r>
          </w:p>
        </w:tc>
        <w:tc>
          <w:tcPr>
            <w:tcW w:w="285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0.001~0.01</w:t>
            </w:r>
          </w:p>
        </w:tc>
        <w:tc>
          <w:tcPr>
            <w:tcW w:w="274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1×10</w:t>
            </w:r>
            <w:r>
              <w:rPr>
                <w:rFonts w:ascii="Times New Roman" w:hAnsi="Times New Roman" w:eastAsia="宋体"/>
                <w:color w:val="auto"/>
                <w:sz w:val="20"/>
                <w:szCs w:val="20"/>
                <w:highlight w:val="none"/>
                <w:vertAlign w:val="superscript"/>
              </w:rPr>
              <w:t>-6</w:t>
            </w:r>
            <w:r>
              <w:rPr>
                <w:rFonts w:ascii="Times New Roman" w:hAnsi="Times New Roman" w:eastAsia="宋体"/>
                <w:color w:val="auto"/>
                <w:sz w:val="20"/>
                <w:szCs w:val="20"/>
                <w:highlight w:val="none"/>
              </w:rPr>
              <w:t>~1×10</w:t>
            </w:r>
            <w:r>
              <w:rPr>
                <w:rFonts w:ascii="Times New Roman" w:hAnsi="Times New Roman" w:eastAsia="宋体"/>
                <w:color w:val="auto"/>
                <w:sz w:val="20"/>
                <w:szCs w:val="20"/>
                <w:highlight w:val="none"/>
                <w:vertAlign w:val="superscript"/>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76"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黏土</w:t>
            </w:r>
          </w:p>
        </w:tc>
        <w:tc>
          <w:tcPr>
            <w:tcW w:w="285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&lt;0.005</w:t>
            </w:r>
          </w:p>
        </w:tc>
        <w:tc>
          <w:tcPr>
            <w:tcW w:w="2740" w:type="dxa"/>
            <w:tcBorders>
              <w:tl2br w:val="nil"/>
              <w:tr2bl w:val="nil"/>
            </w:tcBorders>
            <w:vAlign w:val="center"/>
          </w:tcPr>
          <w:p>
            <w:pPr>
              <w:jc w:val="center"/>
              <w:rPr>
                <w:rFonts w:ascii="Times New Roman" w:hAnsi="Times New Roman" w:eastAsia="宋体"/>
                <w:color w:val="auto"/>
                <w:sz w:val="20"/>
                <w:szCs w:val="20"/>
                <w:highlight w:val="none"/>
                <w:vertAlign w:val="superscript"/>
              </w:rPr>
            </w:pPr>
            <w:r>
              <w:rPr>
                <w:rFonts w:ascii="Times New Roman" w:hAnsi="Times New Roman" w:eastAsia="宋体"/>
                <w:color w:val="auto"/>
                <w:sz w:val="20"/>
                <w:szCs w:val="20"/>
                <w:highlight w:val="none"/>
              </w:rPr>
              <w:t>&lt;6×10</w:t>
            </w:r>
            <w:r>
              <w:rPr>
                <w:rFonts w:ascii="Times New Roman" w:hAnsi="Times New Roman" w:eastAsia="宋体"/>
                <w:color w:val="auto"/>
                <w:sz w:val="20"/>
                <w:szCs w:val="20"/>
                <w:highlight w:val="none"/>
                <w:vertAlign w:val="superscript"/>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76"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粉质黏土</w:t>
            </w:r>
          </w:p>
        </w:tc>
        <w:tc>
          <w:tcPr>
            <w:tcW w:w="285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0.005~0.1</w:t>
            </w:r>
          </w:p>
        </w:tc>
        <w:tc>
          <w:tcPr>
            <w:tcW w:w="274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6×10</w:t>
            </w:r>
            <w:r>
              <w:rPr>
                <w:rFonts w:ascii="Times New Roman" w:hAnsi="Times New Roman" w:eastAsia="宋体"/>
                <w:color w:val="auto"/>
                <w:sz w:val="20"/>
                <w:szCs w:val="20"/>
                <w:highlight w:val="none"/>
                <w:vertAlign w:val="superscript"/>
              </w:rPr>
              <w:t>-6</w:t>
            </w:r>
            <w:r>
              <w:rPr>
                <w:rFonts w:ascii="Times New Roman" w:hAnsi="Times New Roman" w:eastAsia="宋体"/>
                <w:color w:val="auto"/>
                <w:sz w:val="20"/>
                <w:szCs w:val="20"/>
                <w:highlight w:val="none"/>
              </w:rPr>
              <w:t>~1×10</w:t>
            </w:r>
            <w:r>
              <w:rPr>
                <w:rFonts w:ascii="Times New Roman" w:hAnsi="Times New Roman" w:eastAsia="宋体"/>
                <w:color w:val="auto"/>
                <w:sz w:val="20"/>
                <w:szCs w:val="20"/>
                <w:highlight w:val="none"/>
                <w:vertAlign w:val="superscript"/>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76"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黏质粉土</w:t>
            </w:r>
          </w:p>
        </w:tc>
        <w:tc>
          <w:tcPr>
            <w:tcW w:w="285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0.1~0.5</w:t>
            </w:r>
          </w:p>
        </w:tc>
        <w:tc>
          <w:tcPr>
            <w:tcW w:w="274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1×10</w:t>
            </w:r>
            <w:r>
              <w:rPr>
                <w:rFonts w:ascii="Times New Roman" w:hAnsi="Times New Roman" w:eastAsia="宋体"/>
                <w:color w:val="auto"/>
                <w:sz w:val="20"/>
                <w:szCs w:val="20"/>
                <w:highlight w:val="none"/>
                <w:vertAlign w:val="superscript"/>
              </w:rPr>
              <w:t>-4</w:t>
            </w:r>
            <w:r>
              <w:rPr>
                <w:rFonts w:ascii="Times New Roman" w:hAnsi="Times New Roman" w:eastAsia="宋体"/>
                <w:color w:val="auto"/>
                <w:sz w:val="20"/>
                <w:szCs w:val="20"/>
                <w:highlight w:val="none"/>
              </w:rPr>
              <w:t>~6×10</w:t>
            </w:r>
            <w:r>
              <w:rPr>
                <w:rFonts w:ascii="Times New Roman" w:hAnsi="Times New Roman" w:eastAsia="宋体"/>
                <w:color w:val="auto"/>
                <w:sz w:val="20"/>
                <w:szCs w:val="20"/>
                <w:highlight w:val="none"/>
                <w:vertAlign w:val="superscript"/>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76"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粉土</w:t>
            </w:r>
          </w:p>
        </w:tc>
        <w:tc>
          <w:tcPr>
            <w:tcW w:w="285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0.5~1.0</w:t>
            </w:r>
          </w:p>
        </w:tc>
        <w:tc>
          <w:tcPr>
            <w:tcW w:w="274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6×10</w:t>
            </w:r>
            <w:r>
              <w:rPr>
                <w:rFonts w:ascii="Times New Roman" w:hAnsi="Times New Roman" w:eastAsia="宋体"/>
                <w:color w:val="auto"/>
                <w:sz w:val="20"/>
                <w:szCs w:val="20"/>
                <w:highlight w:val="none"/>
                <w:vertAlign w:val="superscript"/>
              </w:rPr>
              <w:t>-4</w:t>
            </w:r>
            <w:r>
              <w:rPr>
                <w:rFonts w:ascii="Times New Roman" w:hAnsi="Times New Roman" w:eastAsia="宋体"/>
                <w:color w:val="auto"/>
                <w:sz w:val="20"/>
                <w:szCs w:val="20"/>
                <w:highlight w:val="none"/>
              </w:rPr>
              <w:t>~1×10</w:t>
            </w:r>
            <w:r>
              <w:rPr>
                <w:rFonts w:ascii="Times New Roman" w:hAnsi="Times New Roman" w:eastAsia="宋体"/>
                <w:color w:val="auto"/>
                <w:sz w:val="20"/>
                <w:szCs w:val="20"/>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76"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粉砂</w:t>
            </w:r>
          </w:p>
        </w:tc>
        <w:tc>
          <w:tcPr>
            <w:tcW w:w="285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w:t>
            </w:r>
          </w:p>
        </w:tc>
        <w:tc>
          <w:tcPr>
            <w:tcW w:w="274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1×10</w:t>
            </w:r>
            <w:r>
              <w:rPr>
                <w:rFonts w:ascii="Times New Roman" w:hAnsi="Times New Roman" w:eastAsia="宋体"/>
                <w:color w:val="auto"/>
                <w:sz w:val="20"/>
                <w:szCs w:val="20"/>
                <w:highlight w:val="none"/>
                <w:vertAlign w:val="superscript"/>
              </w:rPr>
              <w:t>-3</w:t>
            </w:r>
            <w:r>
              <w:rPr>
                <w:rFonts w:ascii="Times New Roman" w:hAnsi="Times New Roman" w:eastAsia="宋体"/>
                <w:color w:val="auto"/>
                <w:sz w:val="20"/>
                <w:szCs w:val="20"/>
                <w:highlight w:val="none"/>
              </w:rPr>
              <w:t>~6×10</w:t>
            </w:r>
            <w:r>
              <w:rPr>
                <w:rFonts w:ascii="Times New Roman" w:hAnsi="Times New Roman" w:eastAsia="宋体"/>
                <w:color w:val="auto"/>
                <w:sz w:val="20"/>
                <w:szCs w:val="20"/>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76"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细砂</w:t>
            </w:r>
          </w:p>
        </w:tc>
        <w:tc>
          <w:tcPr>
            <w:tcW w:w="285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5~10</w:t>
            </w:r>
          </w:p>
        </w:tc>
        <w:tc>
          <w:tcPr>
            <w:tcW w:w="274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6×10</w:t>
            </w:r>
            <w:r>
              <w:rPr>
                <w:rFonts w:ascii="Times New Roman" w:hAnsi="Times New Roman" w:eastAsia="宋体"/>
                <w:color w:val="auto"/>
                <w:sz w:val="20"/>
                <w:szCs w:val="20"/>
                <w:highlight w:val="none"/>
                <w:vertAlign w:val="superscript"/>
              </w:rPr>
              <w:t>-3</w:t>
            </w:r>
            <w:r>
              <w:rPr>
                <w:rFonts w:ascii="Times New Roman" w:hAnsi="Times New Roman" w:eastAsia="宋体"/>
                <w:color w:val="auto"/>
                <w:sz w:val="20"/>
                <w:szCs w:val="20"/>
                <w:highlight w:val="none"/>
              </w:rPr>
              <w:t>~1×10</w:t>
            </w:r>
            <w:r>
              <w:rPr>
                <w:rFonts w:ascii="Times New Roman" w:hAnsi="Times New Roman" w:eastAsia="宋体"/>
                <w:color w:val="auto"/>
                <w:sz w:val="20"/>
                <w:szCs w:val="20"/>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76"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中砂</w:t>
            </w:r>
          </w:p>
        </w:tc>
        <w:tc>
          <w:tcPr>
            <w:tcW w:w="285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10~20</w:t>
            </w:r>
          </w:p>
        </w:tc>
        <w:tc>
          <w:tcPr>
            <w:tcW w:w="274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1×10</w:t>
            </w:r>
            <w:r>
              <w:rPr>
                <w:rFonts w:ascii="Times New Roman" w:hAnsi="Times New Roman" w:eastAsia="宋体"/>
                <w:color w:val="auto"/>
                <w:sz w:val="20"/>
                <w:szCs w:val="20"/>
                <w:highlight w:val="none"/>
                <w:vertAlign w:val="superscript"/>
              </w:rPr>
              <w:t>-2</w:t>
            </w:r>
            <w:r>
              <w:rPr>
                <w:rFonts w:ascii="Times New Roman" w:hAnsi="Times New Roman" w:eastAsia="宋体"/>
                <w:color w:val="auto"/>
                <w:sz w:val="20"/>
                <w:szCs w:val="20"/>
                <w:highlight w:val="none"/>
              </w:rPr>
              <w:t>~2×10</w:t>
            </w:r>
            <w:r>
              <w:rPr>
                <w:rFonts w:ascii="Times New Roman" w:hAnsi="Times New Roman" w:eastAsia="宋体"/>
                <w:color w:val="auto"/>
                <w:sz w:val="20"/>
                <w:szCs w:val="20"/>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76"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均质中砂</w:t>
            </w:r>
          </w:p>
        </w:tc>
        <w:tc>
          <w:tcPr>
            <w:tcW w:w="285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30~50</w:t>
            </w:r>
          </w:p>
        </w:tc>
        <w:tc>
          <w:tcPr>
            <w:tcW w:w="274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4×10</w:t>
            </w:r>
            <w:r>
              <w:rPr>
                <w:rFonts w:ascii="Times New Roman" w:hAnsi="Times New Roman" w:eastAsia="宋体"/>
                <w:color w:val="auto"/>
                <w:sz w:val="20"/>
                <w:szCs w:val="20"/>
                <w:highlight w:val="none"/>
                <w:vertAlign w:val="superscript"/>
              </w:rPr>
              <w:t>-2</w:t>
            </w:r>
            <w:r>
              <w:rPr>
                <w:rFonts w:ascii="Times New Roman" w:hAnsi="Times New Roman" w:eastAsia="宋体"/>
                <w:color w:val="auto"/>
                <w:sz w:val="20"/>
                <w:szCs w:val="20"/>
                <w:highlight w:val="none"/>
              </w:rPr>
              <w:t>~6×10</w:t>
            </w:r>
            <w:r>
              <w:rPr>
                <w:rFonts w:ascii="Times New Roman" w:hAnsi="Times New Roman" w:eastAsia="宋体"/>
                <w:color w:val="auto"/>
                <w:sz w:val="20"/>
                <w:szCs w:val="20"/>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76"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粗砂</w:t>
            </w:r>
          </w:p>
        </w:tc>
        <w:tc>
          <w:tcPr>
            <w:tcW w:w="285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20~50</w:t>
            </w:r>
          </w:p>
        </w:tc>
        <w:tc>
          <w:tcPr>
            <w:tcW w:w="274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2×10</w:t>
            </w:r>
            <w:r>
              <w:rPr>
                <w:rFonts w:ascii="Times New Roman" w:hAnsi="Times New Roman" w:eastAsia="宋体"/>
                <w:color w:val="auto"/>
                <w:sz w:val="20"/>
                <w:szCs w:val="20"/>
                <w:highlight w:val="none"/>
                <w:vertAlign w:val="superscript"/>
              </w:rPr>
              <w:t>-2</w:t>
            </w:r>
            <w:r>
              <w:rPr>
                <w:rFonts w:ascii="Times New Roman" w:hAnsi="Times New Roman" w:eastAsia="宋体"/>
                <w:color w:val="auto"/>
                <w:sz w:val="20"/>
                <w:szCs w:val="20"/>
                <w:highlight w:val="none"/>
              </w:rPr>
              <w:t>~6×10</w:t>
            </w:r>
            <w:r>
              <w:rPr>
                <w:rFonts w:ascii="Times New Roman" w:hAnsi="Times New Roman" w:eastAsia="宋体"/>
                <w:color w:val="auto"/>
                <w:sz w:val="20"/>
                <w:szCs w:val="20"/>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76"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均质粗砂</w:t>
            </w:r>
          </w:p>
        </w:tc>
        <w:tc>
          <w:tcPr>
            <w:tcW w:w="285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60~75</w:t>
            </w:r>
          </w:p>
        </w:tc>
        <w:tc>
          <w:tcPr>
            <w:tcW w:w="274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7×10</w:t>
            </w:r>
            <w:r>
              <w:rPr>
                <w:rFonts w:ascii="Times New Roman" w:hAnsi="Times New Roman" w:eastAsia="宋体"/>
                <w:color w:val="auto"/>
                <w:sz w:val="20"/>
                <w:szCs w:val="20"/>
                <w:highlight w:val="none"/>
                <w:vertAlign w:val="superscript"/>
              </w:rPr>
              <w:t>-2</w:t>
            </w:r>
            <w:r>
              <w:rPr>
                <w:rFonts w:ascii="Times New Roman" w:hAnsi="Times New Roman" w:eastAsia="宋体"/>
                <w:color w:val="auto"/>
                <w:sz w:val="20"/>
                <w:szCs w:val="20"/>
                <w:highlight w:val="none"/>
              </w:rPr>
              <w:t>~8×10</w:t>
            </w:r>
            <w:r>
              <w:rPr>
                <w:rFonts w:ascii="Times New Roman" w:hAnsi="Times New Roman" w:eastAsia="宋体"/>
                <w:color w:val="auto"/>
                <w:sz w:val="20"/>
                <w:szCs w:val="20"/>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76"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砾砂、角砾</w:t>
            </w:r>
          </w:p>
        </w:tc>
        <w:tc>
          <w:tcPr>
            <w:tcW w:w="285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50~75</w:t>
            </w:r>
          </w:p>
        </w:tc>
        <w:tc>
          <w:tcPr>
            <w:tcW w:w="274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6×10</w:t>
            </w:r>
            <w:r>
              <w:rPr>
                <w:rFonts w:ascii="Times New Roman" w:hAnsi="Times New Roman" w:eastAsia="宋体"/>
                <w:color w:val="auto"/>
                <w:sz w:val="20"/>
                <w:szCs w:val="20"/>
                <w:highlight w:val="none"/>
                <w:vertAlign w:val="superscript"/>
              </w:rPr>
              <w:t>-2</w:t>
            </w:r>
            <w:r>
              <w:rPr>
                <w:rFonts w:ascii="Times New Roman" w:hAnsi="Times New Roman" w:eastAsia="宋体"/>
                <w:color w:val="auto"/>
                <w:sz w:val="20"/>
                <w:szCs w:val="20"/>
                <w:highlight w:val="none"/>
              </w:rPr>
              <w:t>~8×10</w:t>
            </w:r>
            <w:r>
              <w:rPr>
                <w:rFonts w:ascii="Times New Roman" w:hAnsi="Times New Roman" w:eastAsia="宋体"/>
                <w:color w:val="auto"/>
                <w:sz w:val="20"/>
                <w:szCs w:val="20"/>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76"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圆砾</w:t>
            </w:r>
          </w:p>
        </w:tc>
        <w:tc>
          <w:tcPr>
            <w:tcW w:w="285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75~100</w:t>
            </w:r>
          </w:p>
        </w:tc>
        <w:tc>
          <w:tcPr>
            <w:tcW w:w="274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8×10</w:t>
            </w:r>
            <w:r>
              <w:rPr>
                <w:rFonts w:ascii="Times New Roman" w:hAnsi="Times New Roman" w:eastAsia="宋体"/>
                <w:color w:val="auto"/>
                <w:sz w:val="20"/>
                <w:szCs w:val="20"/>
                <w:highlight w:val="none"/>
                <w:vertAlign w:val="superscript"/>
              </w:rPr>
              <w:t>-2</w:t>
            </w:r>
            <w:r>
              <w:rPr>
                <w:rFonts w:ascii="Times New Roman" w:hAnsi="Times New Roman" w:eastAsia="宋体"/>
                <w:color w:val="auto"/>
                <w:sz w:val="20"/>
                <w:szCs w:val="20"/>
                <w:highlight w:val="none"/>
              </w:rPr>
              <w:t>~1×10</w:t>
            </w:r>
            <w:r>
              <w:rPr>
                <w:rFonts w:ascii="Times New Roman" w:hAnsi="Times New Roman" w:eastAsia="宋体"/>
                <w:color w:val="auto"/>
                <w:sz w:val="20"/>
                <w:szCs w:val="20"/>
                <w:highlight w:val="none"/>
                <w:vertAlign w:val="superscript"/>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76"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卵石</w:t>
            </w:r>
          </w:p>
        </w:tc>
        <w:tc>
          <w:tcPr>
            <w:tcW w:w="285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100~500</w:t>
            </w:r>
          </w:p>
        </w:tc>
        <w:tc>
          <w:tcPr>
            <w:tcW w:w="274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1×10</w:t>
            </w:r>
            <w:r>
              <w:rPr>
                <w:rFonts w:ascii="Times New Roman" w:hAnsi="Times New Roman" w:eastAsia="宋体"/>
                <w:color w:val="auto"/>
                <w:sz w:val="20"/>
                <w:szCs w:val="20"/>
                <w:highlight w:val="none"/>
                <w:vertAlign w:val="superscript"/>
              </w:rPr>
              <w:t>-1</w:t>
            </w:r>
            <w:r>
              <w:rPr>
                <w:rFonts w:ascii="Times New Roman" w:hAnsi="Times New Roman" w:eastAsia="宋体"/>
                <w:color w:val="auto"/>
                <w:sz w:val="20"/>
                <w:szCs w:val="20"/>
                <w:highlight w:val="none"/>
              </w:rPr>
              <w:t>~6×10</w:t>
            </w:r>
            <w:r>
              <w:rPr>
                <w:rFonts w:ascii="Times New Roman" w:hAnsi="Times New Roman" w:eastAsia="宋体"/>
                <w:color w:val="auto"/>
                <w:sz w:val="20"/>
                <w:szCs w:val="20"/>
                <w:highlight w:val="none"/>
                <w:vertAlign w:val="superscript"/>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76"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无充填物卵石</w:t>
            </w:r>
          </w:p>
        </w:tc>
        <w:tc>
          <w:tcPr>
            <w:tcW w:w="285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500~1000</w:t>
            </w:r>
          </w:p>
        </w:tc>
        <w:tc>
          <w:tcPr>
            <w:tcW w:w="274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6×10</w:t>
            </w:r>
            <w:r>
              <w:rPr>
                <w:rFonts w:ascii="Times New Roman" w:hAnsi="Times New Roman" w:eastAsia="宋体"/>
                <w:color w:val="auto"/>
                <w:sz w:val="20"/>
                <w:szCs w:val="20"/>
                <w:highlight w:val="none"/>
                <w:vertAlign w:val="superscript"/>
              </w:rPr>
              <w:t>-1</w:t>
            </w:r>
            <w:r>
              <w:rPr>
                <w:rFonts w:ascii="Times New Roman" w:hAnsi="Times New Roman" w:eastAsia="宋体"/>
                <w:color w:val="auto"/>
                <w:sz w:val="20"/>
                <w:szCs w:val="20"/>
                <w:highlight w:val="none"/>
              </w:rPr>
              <w:t>~1×10</w:t>
            </w:r>
            <w:r>
              <w:rPr>
                <w:rFonts w:ascii="Times New Roman" w:hAnsi="Times New Roman" w:eastAsia="宋体"/>
                <w:color w:val="auto"/>
                <w:sz w:val="20"/>
                <w:szCs w:val="20"/>
                <w:highlight w:val="none"/>
                <w:vertAlign w:val="superscript"/>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76"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块石、漂石</w:t>
            </w:r>
          </w:p>
        </w:tc>
        <w:tc>
          <w:tcPr>
            <w:tcW w:w="285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≥1000</w:t>
            </w:r>
          </w:p>
        </w:tc>
        <w:tc>
          <w:tcPr>
            <w:tcW w:w="274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≥1×10</w:t>
            </w:r>
            <w:r>
              <w:rPr>
                <w:rFonts w:ascii="Times New Roman" w:hAnsi="Times New Roman" w:eastAsia="宋体"/>
                <w:color w:val="auto"/>
                <w:sz w:val="20"/>
                <w:szCs w:val="20"/>
                <w:highlight w:val="none"/>
                <w:vertAlign w:val="superscript"/>
              </w:rPr>
              <w:t>0</w:t>
            </w:r>
          </w:p>
        </w:tc>
      </w:tr>
    </w:tbl>
    <w:p>
      <w:pPr>
        <w:spacing w:line="360" w:lineRule="auto"/>
        <w:ind w:firstLine="420" w:firstLineChars="200"/>
        <w:jc w:val="left"/>
        <w:rPr>
          <w:rFonts w:ascii="Times New Roman" w:hAnsi="Times New Roman" w:eastAsia="宋体"/>
          <w:color w:val="auto"/>
          <w:sz w:val="28"/>
          <w:szCs w:val="28"/>
          <w:highlight w:val="none"/>
        </w:rPr>
      </w:pPr>
      <w:r>
        <w:rPr>
          <w:rFonts w:ascii="Times New Roman" w:hAnsi="Times New Roman" w:eastAsia="宋体"/>
          <w:color w:val="auto"/>
          <w:szCs w:val="21"/>
          <w:highlight w:val="none"/>
        </w:rPr>
        <w:t>表</w:t>
      </w:r>
      <w:r>
        <w:rPr>
          <w:rFonts w:hint="eastAsia" w:ascii="Times New Roman" w:hAnsi="Times New Roman" w:eastAsia="宋体"/>
          <w:color w:val="auto"/>
          <w:szCs w:val="21"/>
          <w:highlight w:val="none"/>
          <w:lang w:val="en-US" w:eastAsia="zh-CN"/>
        </w:rPr>
        <w:t>7-5</w:t>
      </w:r>
      <w:r>
        <w:rPr>
          <w:rFonts w:ascii="Times New Roman" w:hAnsi="Times New Roman" w:eastAsia="宋体"/>
          <w:color w:val="auto"/>
          <w:szCs w:val="21"/>
          <w:highlight w:val="none"/>
        </w:rPr>
        <w:t>参考</w:t>
      </w:r>
      <w:r>
        <w:rPr>
          <w:rFonts w:hint="eastAsia" w:ascii="Times New Roman" w:hAnsi="Times New Roman" w:eastAsia="宋体"/>
          <w:color w:val="auto"/>
          <w:szCs w:val="21"/>
          <w:highlight w:val="none"/>
          <w:lang w:val="en-US" w:eastAsia="zh-CN"/>
        </w:rPr>
        <w:t>了</w:t>
      </w:r>
      <w:r>
        <w:rPr>
          <w:rFonts w:ascii="Times New Roman" w:hAnsi="Times New Roman" w:eastAsia="宋体"/>
          <w:color w:val="auto"/>
          <w:szCs w:val="21"/>
          <w:highlight w:val="none"/>
        </w:rPr>
        <w:t>《建筑基坑支护技术规范》JGJ 120-2012条文说明第7.3.17条表5及《水利水电工程水文地质勘察规范》SL 373-2007表D.0.6。</w:t>
      </w:r>
    </w:p>
    <w:p>
      <w:pPr>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根据毛昶熙著的《堤防工程手册》及郑春苗，Gordon D.Bennett著的《地下水污染物迁移模拟》，岩块和岩体的渗透系数</w:t>
      </w:r>
      <w:r>
        <w:rPr>
          <w:rFonts w:ascii="Times New Roman" w:hAnsi="Times New Roman" w:eastAsia="宋体"/>
          <w:i/>
          <w:iCs/>
          <w:color w:val="auto"/>
          <w:szCs w:val="21"/>
          <w:highlight w:val="none"/>
        </w:rPr>
        <w:t>k</w:t>
      </w:r>
      <w:r>
        <w:rPr>
          <w:rFonts w:ascii="Times New Roman" w:hAnsi="Times New Roman" w:eastAsia="宋体"/>
          <w:color w:val="auto"/>
          <w:szCs w:val="21"/>
          <w:highlight w:val="none"/>
        </w:rPr>
        <w:t>有表</w:t>
      </w:r>
      <w:r>
        <w:rPr>
          <w:rFonts w:hint="eastAsia" w:ascii="Times New Roman" w:hAnsi="Times New Roman" w:eastAsia="宋体"/>
          <w:color w:val="auto"/>
          <w:szCs w:val="21"/>
          <w:highlight w:val="none"/>
          <w:lang w:val="en-US" w:eastAsia="zh-CN"/>
        </w:rPr>
        <w:t>7-6</w:t>
      </w:r>
      <w:r>
        <w:rPr>
          <w:rFonts w:ascii="Times New Roman" w:hAnsi="Times New Roman" w:eastAsia="宋体"/>
          <w:color w:val="auto"/>
          <w:szCs w:val="21"/>
          <w:highlight w:val="none"/>
        </w:rPr>
        <w:t>所示的经验值，在无试验数据时，可酌情参考使用。</w:t>
      </w:r>
    </w:p>
    <w:p>
      <w:pPr>
        <w:spacing w:line="360" w:lineRule="auto"/>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7-6</w:t>
      </w:r>
      <w:r>
        <w:rPr>
          <w:rFonts w:ascii="Times New Roman" w:hAnsi="Times New Roman" w:eastAsia="宋体"/>
          <w:b/>
          <w:bCs/>
          <w:color w:val="auto"/>
          <w:szCs w:val="21"/>
          <w:highlight w:val="none"/>
        </w:rPr>
        <w:t xml:space="preserve"> 岩石和岩体的渗透系数</w:t>
      </w:r>
      <w:r>
        <w:rPr>
          <w:rFonts w:ascii="Times New Roman" w:hAnsi="Times New Roman" w:eastAsia="宋体"/>
          <w:b/>
          <w:bCs/>
          <w:i/>
          <w:iCs/>
          <w:color w:val="auto"/>
          <w:szCs w:val="21"/>
          <w:highlight w:val="none"/>
        </w:rPr>
        <w:t>k</w:t>
      </w:r>
      <w:r>
        <w:rPr>
          <w:rFonts w:ascii="Times New Roman" w:hAnsi="Times New Roman" w:eastAsia="宋体"/>
          <w:b/>
          <w:bCs/>
          <w:color w:val="auto"/>
          <w:szCs w:val="21"/>
          <w:highlight w:val="none"/>
        </w:rPr>
        <w:t>（cm/s）经验值</w:t>
      </w:r>
    </w:p>
    <w:tbl>
      <w:tblPr>
        <w:tblStyle w:val="22"/>
        <w:tblW w:w="813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21"/>
        <w:gridCol w:w="1845"/>
        <w:gridCol w:w="2280"/>
        <w:gridCol w:w="19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1"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岩块</w:t>
            </w:r>
          </w:p>
        </w:tc>
        <w:tc>
          <w:tcPr>
            <w:tcW w:w="184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rPr>
              <w:t>（实验室测定）</w:t>
            </w:r>
          </w:p>
        </w:tc>
        <w:tc>
          <w:tcPr>
            <w:tcW w:w="228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岩体</w:t>
            </w:r>
          </w:p>
        </w:tc>
        <w:tc>
          <w:tcPr>
            <w:tcW w:w="1987"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rPr>
              <w:t>（现场测定）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1"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砂岩（白垩复理层）</w:t>
            </w:r>
          </w:p>
        </w:tc>
        <w:tc>
          <w:tcPr>
            <w:tcW w:w="184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6×10</w:t>
            </w:r>
            <w:r>
              <w:rPr>
                <w:rFonts w:ascii="Times New Roman" w:hAnsi="Times New Roman" w:eastAsia="宋体"/>
                <w:color w:val="auto"/>
                <w:sz w:val="20"/>
                <w:szCs w:val="20"/>
                <w:highlight w:val="none"/>
                <w:vertAlign w:val="superscript"/>
              </w:rPr>
              <w:t>-10</w:t>
            </w:r>
            <w:r>
              <w:rPr>
                <w:rFonts w:ascii="Times New Roman" w:hAnsi="Times New Roman" w:eastAsia="宋体"/>
                <w:color w:val="auto"/>
                <w:sz w:val="20"/>
                <w:szCs w:val="20"/>
                <w:highlight w:val="none"/>
              </w:rPr>
              <w:t>~1×10</w:t>
            </w:r>
            <w:r>
              <w:rPr>
                <w:rFonts w:ascii="Times New Roman" w:hAnsi="Times New Roman" w:eastAsia="宋体"/>
                <w:color w:val="auto"/>
                <w:sz w:val="20"/>
                <w:szCs w:val="20"/>
                <w:highlight w:val="none"/>
                <w:vertAlign w:val="superscript"/>
              </w:rPr>
              <w:t>-8</w:t>
            </w:r>
          </w:p>
        </w:tc>
        <w:tc>
          <w:tcPr>
            <w:tcW w:w="228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脉状混合岩</w:t>
            </w:r>
          </w:p>
        </w:tc>
        <w:tc>
          <w:tcPr>
            <w:tcW w:w="1987"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3.3×10</w:t>
            </w:r>
            <w:r>
              <w:rPr>
                <w:rFonts w:ascii="Times New Roman" w:hAnsi="Times New Roman" w:eastAsia="宋体"/>
                <w:color w:val="auto"/>
                <w:sz w:val="20"/>
                <w:szCs w:val="20"/>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1"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花岗岩</w:t>
            </w:r>
          </w:p>
        </w:tc>
        <w:tc>
          <w:tcPr>
            <w:tcW w:w="184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5×10</w:t>
            </w:r>
            <w:r>
              <w:rPr>
                <w:rFonts w:ascii="Times New Roman" w:hAnsi="Times New Roman" w:eastAsia="宋体"/>
                <w:color w:val="auto"/>
                <w:sz w:val="20"/>
                <w:szCs w:val="20"/>
                <w:highlight w:val="none"/>
                <w:vertAlign w:val="superscript"/>
              </w:rPr>
              <w:t>-11</w:t>
            </w:r>
            <w:r>
              <w:rPr>
                <w:rFonts w:ascii="Times New Roman" w:hAnsi="Times New Roman" w:eastAsia="宋体"/>
                <w:color w:val="auto"/>
                <w:sz w:val="20"/>
                <w:szCs w:val="20"/>
                <w:highlight w:val="none"/>
              </w:rPr>
              <w:t>~2×10</w:t>
            </w:r>
            <w:r>
              <w:rPr>
                <w:rFonts w:ascii="Times New Roman" w:hAnsi="Times New Roman" w:eastAsia="宋体"/>
                <w:color w:val="auto"/>
                <w:sz w:val="20"/>
                <w:szCs w:val="20"/>
                <w:highlight w:val="none"/>
                <w:vertAlign w:val="superscript"/>
              </w:rPr>
              <w:t>-10</w:t>
            </w:r>
          </w:p>
        </w:tc>
        <w:tc>
          <w:tcPr>
            <w:tcW w:w="228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绿泥石化脉状页岩</w:t>
            </w:r>
          </w:p>
        </w:tc>
        <w:tc>
          <w:tcPr>
            <w:tcW w:w="1987"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7×10</w:t>
            </w:r>
            <w:r>
              <w:rPr>
                <w:rFonts w:ascii="Times New Roman" w:hAnsi="Times New Roman" w:eastAsia="宋体"/>
                <w:color w:val="auto"/>
                <w:sz w:val="20"/>
                <w:szCs w:val="20"/>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1"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板岩</w:t>
            </w:r>
          </w:p>
        </w:tc>
        <w:tc>
          <w:tcPr>
            <w:tcW w:w="184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7×10</w:t>
            </w:r>
            <w:r>
              <w:rPr>
                <w:rFonts w:ascii="Times New Roman" w:hAnsi="Times New Roman" w:eastAsia="宋体"/>
                <w:color w:val="auto"/>
                <w:sz w:val="20"/>
                <w:szCs w:val="20"/>
                <w:highlight w:val="none"/>
                <w:vertAlign w:val="superscript"/>
              </w:rPr>
              <w:t>-11</w:t>
            </w:r>
            <w:r>
              <w:rPr>
                <w:rFonts w:ascii="Times New Roman" w:hAnsi="Times New Roman" w:eastAsia="宋体"/>
                <w:color w:val="auto"/>
                <w:sz w:val="20"/>
                <w:szCs w:val="20"/>
                <w:highlight w:val="none"/>
              </w:rPr>
              <w:t>~1.6×10</w:t>
            </w:r>
            <w:r>
              <w:rPr>
                <w:rFonts w:ascii="Times New Roman" w:hAnsi="Times New Roman" w:eastAsia="宋体"/>
                <w:color w:val="auto"/>
                <w:sz w:val="20"/>
                <w:szCs w:val="20"/>
                <w:highlight w:val="none"/>
                <w:vertAlign w:val="superscript"/>
              </w:rPr>
              <w:t>-10</w:t>
            </w:r>
          </w:p>
        </w:tc>
        <w:tc>
          <w:tcPr>
            <w:tcW w:w="228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片麻岩</w:t>
            </w:r>
          </w:p>
        </w:tc>
        <w:tc>
          <w:tcPr>
            <w:tcW w:w="1987"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1.2×10</w:t>
            </w:r>
            <w:r>
              <w:rPr>
                <w:rFonts w:ascii="Times New Roman" w:hAnsi="Times New Roman" w:eastAsia="宋体"/>
                <w:color w:val="auto"/>
                <w:sz w:val="20"/>
                <w:szCs w:val="20"/>
                <w:highlight w:val="none"/>
                <w:vertAlign w:val="superscript"/>
              </w:rPr>
              <w:t>-3</w:t>
            </w:r>
            <w:r>
              <w:rPr>
                <w:rFonts w:ascii="Times New Roman" w:hAnsi="Times New Roman" w:eastAsia="宋体"/>
                <w:color w:val="auto"/>
                <w:sz w:val="20"/>
                <w:szCs w:val="20"/>
                <w:highlight w:val="none"/>
              </w:rPr>
              <w:t>~1.9×10</w:t>
            </w:r>
            <w:r>
              <w:rPr>
                <w:rFonts w:ascii="Times New Roman" w:hAnsi="Times New Roman" w:eastAsia="宋体"/>
                <w:color w:val="auto"/>
                <w:sz w:val="20"/>
                <w:szCs w:val="20"/>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1"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角砾岩</w:t>
            </w:r>
          </w:p>
        </w:tc>
        <w:tc>
          <w:tcPr>
            <w:tcW w:w="184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4.6×10</w:t>
            </w:r>
            <w:r>
              <w:rPr>
                <w:rFonts w:ascii="Times New Roman" w:hAnsi="Times New Roman" w:eastAsia="宋体"/>
                <w:color w:val="auto"/>
                <w:sz w:val="20"/>
                <w:szCs w:val="20"/>
                <w:highlight w:val="none"/>
                <w:vertAlign w:val="superscript"/>
              </w:rPr>
              <w:t>-10</w:t>
            </w:r>
          </w:p>
        </w:tc>
        <w:tc>
          <w:tcPr>
            <w:tcW w:w="228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伟晶花岗岩</w:t>
            </w:r>
          </w:p>
        </w:tc>
        <w:tc>
          <w:tcPr>
            <w:tcW w:w="1987"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6×10</w:t>
            </w:r>
            <w:r>
              <w:rPr>
                <w:rFonts w:ascii="Times New Roman" w:hAnsi="Times New Roman" w:eastAsia="宋体"/>
                <w:color w:val="auto"/>
                <w:sz w:val="20"/>
                <w:szCs w:val="20"/>
                <w:highlight w:val="none"/>
                <w:vertAlign w:val="superscript"/>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1"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方解岩</w:t>
            </w:r>
          </w:p>
        </w:tc>
        <w:tc>
          <w:tcPr>
            <w:tcW w:w="184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7×10</w:t>
            </w:r>
            <w:r>
              <w:rPr>
                <w:rFonts w:ascii="Times New Roman" w:hAnsi="Times New Roman" w:eastAsia="宋体"/>
                <w:color w:val="auto"/>
                <w:sz w:val="20"/>
                <w:szCs w:val="20"/>
                <w:highlight w:val="none"/>
                <w:vertAlign w:val="superscript"/>
              </w:rPr>
              <w:t>-10</w:t>
            </w:r>
            <w:r>
              <w:rPr>
                <w:rFonts w:ascii="Times New Roman" w:hAnsi="Times New Roman" w:eastAsia="宋体"/>
                <w:color w:val="auto"/>
                <w:sz w:val="20"/>
                <w:szCs w:val="20"/>
                <w:highlight w:val="none"/>
              </w:rPr>
              <w:t>~9.3×10</w:t>
            </w:r>
            <w:r>
              <w:rPr>
                <w:rFonts w:ascii="Times New Roman" w:hAnsi="Times New Roman" w:eastAsia="宋体"/>
                <w:color w:val="auto"/>
                <w:sz w:val="20"/>
                <w:szCs w:val="20"/>
                <w:highlight w:val="none"/>
                <w:vertAlign w:val="superscript"/>
              </w:rPr>
              <w:t>-8</w:t>
            </w:r>
          </w:p>
        </w:tc>
        <w:tc>
          <w:tcPr>
            <w:tcW w:w="228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褐煤层</w:t>
            </w:r>
          </w:p>
        </w:tc>
        <w:tc>
          <w:tcPr>
            <w:tcW w:w="1987"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1.7×10</w:t>
            </w:r>
            <w:r>
              <w:rPr>
                <w:rFonts w:ascii="Times New Roman" w:hAnsi="Times New Roman" w:eastAsia="宋体"/>
                <w:color w:val="auto"/>
                <w:sz w:val="20"/>
                <w:szCs w:val="20"/>
                <w:highlight w:val="none"/>
                <w:vertAlign w:val="superscript"/>
              </w:rPr>
              <w:t>-2</w:t>
            </w:r>
            <w:r>
              <w:rPr>
                <w:rFonts w:ascii="Times New Roman" w:hAnsi="Times New Roman" w:eastAsia="宋体"/>
                <w:color w:val="auto"/>
                <w:sz w:val="20"/>
                <w:szCs w:val="20"/>
                <w:highlight w:val="none"/>
              </w:rPr>
              <w:t>~2.4×10</w:t>
            </w:r>
            <w:r>
              <w:rPr>
                <w:rFonts w:ascii="Times New Roman" w:hAnsi="Times New Roman" w:eastAsia="宋体"/>
                <w:color w:val="auto"/>
                <w:sz w:val="20"/>
                <w:szCs w:val="20"/>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1"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灰岩</w:t>
            </w:r>
          </w:p>
        </w:tc>
        <w:tc>
          <w:tcPr>
            <w:tcW w:w="184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7×10</w:t>
            </w:r>
            <w:r>
              <w:rPr>
                <w:rFonts w:ascii="Times New Roman" w:hAnsi="Times New Roman" w:eastAsia="宋体"/>
                <w:color w:val="auto"/>
                <w:sz w:val="20"/>
                <w:szCs w:val="20"/>
                <w:highlight w:val="none"/>
                <w:vertAlign w:val="superscript"/>
              </w:rPr>
              <w:t>-10</w:t>
            </w:r>
            <w:r>
              <w:rPr>
                <w:rFonts w:ascii="Times New Roman" w:hAnsi="Times New Roman" w:eastAsia="宋体"/>
                <w:color w:val="auto"/>
                <w:sz w:val="20"/>
                <w:szCs w:val="20"/>
                <w:highlight w:val="none"/>
              </w:rPr>
              <w:t>~1.2×10</w:t>
            </w:r>
            <w:r>
              <w:rPr>
                <w:rFonts w:ascii="Times New Roman" w:hAnsi="Times New Roman" w:eastAsia="宋体"/>
                <w:color w:val="auto"/>
                <w:sz w:val="20"/>
                <w:szCs w:val="20"/>
                <w:highlight w:val="none"/>
                <w:vertAlign w:val="superscript"/>
              </w:rPr>
              <w:t>-7</w:t>
            </w:r>
          </w:p>
        </w:tc>
        <w:tc>
          <w:tcPr>
            <w:tcW w:w="228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砂岩</w:t>
            </w:r>
          </w:p>
        </w:tc>
        <w:tc>
          <w:tcPr>
            <w:tcW w:w="1987"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1×10</w:t>
            </w:r>
            <w:r>
              <w:rPr>
                <w:rFonts w:ascii="Times New Roman" w:hAnsi="Times New Roman" w:eastAsia="宋体"/>
                <w:color w:val="auto"/>
                <w:sz w:val="20"/>
                <w:szCs w:val="20"/>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1"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白云岩</w:t>
            </w:r>
          </w:p>
        </w:tc>
        <w:tc>
          <w:tcPr>
            <w:tcW w:w="184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4.6×10</w:t>
            </w:r>
            <w:r>
              <w:rPr>
                <w:rFonts w:ascii="Times New Roman" w:hAnsi="Times New Roman" w:eastAsia="宋体"/>
                <w:color w:val="auto"/>
                <w:sz w:val="20"/>
                <w:szCs w:val="20"/>
                <w:highlight w:val="none"/>
                <w:vertAlign w:val="superscript"/>
              </w:rPr>
              <w:t>-9</w:t>
            </w:r>
            <w:r>
              <w:rPr>
                <w:rFonts w:ascii="Times New Roman" w:hAnsi="Times New Roman" w:eastAsia="宋体"/>
                <w:color w:val="auto"/>
                <w:sz w:val="20"/>
                <w:szCs w:val="20"/>
                <w:highlight w:val="none"/>
              </w:rPr>
              <w:t>~1.2×10</w:t>
            </w:r>
            <w:r>
              <w:rPr>
                <w:rFonts w:ascii="Times New Roman" w:hAnsi="Times New Roman" w:eastAsia="宋体"/>
                <w:color w:val="auto"/>
                <w:sz w:val="20"/>
                <w:szCs w:val="20"/>
                <w:highlight w:val="none"/>
                <w:vertAlign w:val="superscript"/>
              </w:rPr>
              <w:t>-8</w:t>
            </w:r>
          </w:p>
        </w:tc>
        <w:tc>
          <w:tcPr>
            <w:tcW w:w="228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泥岩</w:t>
            </w:r>
          </w:p>
        </w:tc>
        <w:tc>
          <w:tcPr>
            <w:tcW w:w="1987"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1×10</w:t>
            </w:r>
            <w:r>
              <w:rPr>
                <w:rFonts w:ascii="Times New Roman" w:hAnsi="Times New Roman" w:eastAsia="宋体"/>
                <w:color w:val="auto"/>
                <w:sz w:val="20"/>
                <w:szCs w:val="20"/>
                <w:highlight w:val="none"/>
                <w:vertAlign w:val="superscript"/>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1"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砂岩</w:t>
            </w:r>
          </w:p>
        </w:tc>
        <w:tc>
          <w:tcPr>
            <w:tcW w:w="184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1.6×10</w:t>
            </w:r>
            <w:r>
              <w:rPr>
                <w:rFonts w:ascii="Times New Roman" w:hAnsi="Times New Roman" w:eastAsia="宋体"/>
                <w:color w:val="auto"/>
                <w:sz w:val="20"/>
                <w:szCs w:val="20"/>
                <w:highlight w:val="none"/>
                <w:vertAlign w:val="superscript"/>
              </w:rPr>
              <w:t>-7</w:t>
            </w:r>
            <w:r>
              <w:rPr>
                <w:rFonts w:ascii="Times New Roman" w:hAnsi="Times New Roman" w:eastAsia="宋体"/>
                <w:color w:val="auto"/>
                <w:sz w:val="20"/>
                <w:szCs w:val="20"/>
                <w:highlight w:val="none"/>
              </w:rPr>
              <w:t>~6×10</w:t>
            </w:r>
            <w:r>
              <w:rPr>
                <w:rFonts w:ascii="Times New Roman" w:hAnsi="Times New Roman" w:eastAsia="宋体"/>
                <w:color w:val="auto"/>
                <w:sz w:val="20"/>
                <w:szCs w:val="20"/>
                <w:highlight w:val="none"/>
                <w:vertAlign w:val="superscript"/>
              </w:rPr>
              <w:t>-4</w:t>
            </w:r>
          </w:p>
        </w:tc>
        <w:tc>
          <w:tcPr>
            <w:tcW w:w="228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鳞状片岩</w:t>
            </w:r>
          </w:p>
        </w:tc>
        <w:tc>
          <w:tcPr>
            <w:tcW w:w="1987"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1×10</w:t>
            </w:r>
            <w:r>
              <w:rPr>
                <w:rFonts w:ascii="Times New Roman" w:hAnsi="Times New Roman" w:eastAsia="宋体"/>
                <w:color w:val="auto"/>
                <w:sz w:val="20"/>
                <w:szCs w:val="20"/>
                <w:highlight w:val="none"/>
                <w:vertAlign w:val="superscript"/>
              </w:rPr>
              <w:t>-2</w:t>
            </w:r>
            <w:r>
              <w:rPr>
                <w:rFonts w:ascii="Times New Roman" w:hAnsi="Times New Roman" w:eastAsia="宋体"/>
                <w:color w:val="auto"/>
                <w:sz w:val="20"/>
                <w:szCs w:val="20"/>
                <w:highlight w:val="none"/>
              </w:rPr>
              <w:t>~1×10</w:t>
            </w:r>
            <w:r>
              <w:rPr>
                <w:rFonts w:ascii="Times New Roman" w:hAnsi="Times New Roman" w:eastAsia="宋体"/>
                <w:color w:val="auto"/>
                <w:sz w:val="20"/>
                <w:szCs w:val="20"/>
                <w:highlight w:val="none"/>
                <w:vertAlign w:val="superscript"/>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1"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砂泥岩</w:t>
            </w:r>
          </w:p>
        </w:tc>
        <w:tc>
          <w:tcPr>
            <w:tcW w:w="184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6×10</w:t>
            </w:r>
            <w:r>
              <w:rPr>
                <w:rFonts w:ascii="Times New Roman" w:hAnsi="Times New Roman" w:eastAsia="宋体"/>
                <w:color w:val="auto"/>
                <w:sz w:val="20"/>
                <w:szCs w:val="20"/>
                <w:highlight w:val="none"/>
                <w:vertAlign w:val="superscript"/>
              </w:rPr>
              <w:t>-7</w:t>
            </w:r>
            <w:r>
              <w:rPr>
                <w:rFonts w:ascii="Times New Roman" w:hAnsi="Times New Roman" w:eastAsia="宋体"/>
                <w:color w:val="auto"/>
                <w:sz w:val="20"/>
                <w:szCs w:val="20"/>
                <w:highlight w:val="none"/>
              </w:rPr>
              <w:t>~2×10</w:t>
            </w:r>
            <w:r>
              <w:rPr>
                <w:rFonts w:ascii="Times New Roman" w:hAnsi="Times New Roman" w:eastAsia="宋体"/>
                <w:color w:val="auto"/>
                <w:sz w:val="20"/>
                <w:szCs w:val="20"/>
                <w:highlight w:val="none"/>
                <w:vertAlign w:val="superscript"/>
              </w:rPr>
              <w:t>-6</w:t>
            </w:r>
          </w:p>
        </w:tc>
        <w:tc>
          <w:tcPr>
            <w:tcW w:w="228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风化花岗岩</w:t>
            </w:r>
          </w:p>
        </w:tc>
        <w:tc>
          <w:tcPr>
            <w:tcW w:w="1987"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3×10</w:t>
            </w:r>
            <w:r>
              <w:rPr>
                <w:rFonts w:ascii="Times New Roman" w:hAnsi="Times New Roman" w:eastAsia="宋体"/>
                <w:color w:val="auto"/>
                <w:sz w:val="20"/>
                <w:szCs w:val="20"/>
                <w:highlight w:val="none"/>
                <w:vertAlign w:val="superscript"/>
              </w:rPr>
              <w:t>-4</w:t>
            </w:r>
            <w:r>
              <w:rPr>
                <w:rFonts w:ascii="Times New Roman" w:hAnsi="Times New Roman" w:eastAsia="宋体"/>
                <w:color w:val="auto"/>
                <w:sz w:val="20"/>
                <w:szCs w:val="20"/>
                <w:highlight w:val="none"/>
              </w:rPr>
              <w:t>~3×10</w:t>
            </w:r>
            <w:r>
              <w:rPr>
                <w:rFonts w:ascii="Times New Roman" w:hAnsi="Times New Roman" w:eastAsia="宋体"/>
                <w:color w:val="auto"/>
                <w:sz w:val="20"/>
                <w:szCs w:val="20"/>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1"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细砂岩</w:t>
            </w:r>
          </w:p>
        </w:tc>
        <w:tc>
          <w:tcPr>
            <w:tcW w:w="184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2×10</w:t>
            </w:r>
            <w:r>
              <w:rPr>
                <w:rFonts w:ascii="Times New Roman" w:hAnsi="Times New Roman" w:eastAsia="宋体"/>
                <w:color w:val="auto"/>
                <w:sz w:val="20"/>
                <w:szCs w:val="20"/>
                <w:highlight w:val="none"/>
                <w:vertAlign w:val="superscript"/>
              </w:rPr>
              <w:t>-7</w:t>
            </w:r>
          </w:p>
        </w:tc>
        <w:tc>
          <w:tcPr>
            <w:tcW w:w="228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风化辉长岩</w:t>
            </w:r>
          </w:p>
        </w:tc>
        <w:tc>
          <w:tcPr>
            <w:tcW w:w="1987"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6×10</w:t>
            </w:r>
            <w:r>
              <w:rPr>
                <w:rFonts w:ascii="Times New Roman" w:hAnsi="Times New Roman" w:eastAsia="宋体"/>
                <w:color w:val="auto"/>
                <w:sz w:val="20"/>
                <w:szCs w:val="20"/>
                <w:highlight w:val="none"/>
                <w:vertAlign w:val="superscript"/>
              </w:rPr>
              <w:t>-5</w:t>
            </w:r>
            <w:r>
              <w:rPr>
                <w:rFonts w:ascii="Times New Roman" w:hAnsi="Times New Roman" w:eastAsia="宋体"/>
                <w:color w:val="auto"/>
                <w:sz w:val="20"/>
                <w:szCs w:val="20"/>
                <w:highlight w:val="none"/>
              </w:rPr>
              <w:t>~3×10</w:t>
            </w:r>
            <w:r>
              <w:rPr>
                <w:rFonts w:ascii="Times New Roman" w:hAnsi="Times New Roman" w:eastAsia="宋体"/>
                <w:color w:val="auto"/>
                <w:sz w:val="20"/>
                <w:szCs w:val="20"/>
                <w:highlight w:val="none"/>
                <w:vertAlign w:val="superscript"/>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1"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蚀变花岗岩</w:t>
            </w:r>
          </w:p>
        </w:tc>
        <w:tc>
          <w:tcPr>
            <w:tcW w:w="184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6×10</w:t>
            </w:r>
            <w:r>
              <w:rPr>
                <w:rFonts w:ascii="Times New Roman" w:hAnsi="Times New Roman" w:eastAsia="宋体"/>
                <w:color w:val="auto"/>
                <w:sz w:val="20"/>
                <w:szCs w:val="20"/>
                <w:highlight w:val="none"/>
                <w:vertAlign w:val="superscript"/>
              </w:rPr>
              <w:t>-6</w:t>
            </w:r>
            <w:r>
              <w:rPr>
                <w:rFonts w:ascii="Times New Roman" w:hAnsi="Times New Roman" w:eastAsia="宋体"/>
                <w:color w:val="auto"/>
                <w:sz w:val="20"/>
                <w:szCs w:val="20"/>
                <w:highlight w:val="none"/>
              </w:rPr>
              <w:t>~1.5×10</w:t>
            </w:r>
            <w:r>
              <w:rPr>
                <w:rFonts w:ascii="Times New Roman" w:hAnsi="Times New Roman" w:eastAsia="宋体"/>
                <w:color w:val="auto"/>
                <w:sz w:val="20"/>
                <w:szCs w:val="20"/>
                <w:highlight w:val="none"/>
                <w:vertAlign w:val="superscript"/>
              </w:rPr>
              <w:t>-5</w:t>
            </w:r>
          </w:p>
        </w:tc>
        <w:tc>
          <w:tcPr>
            <w:tcW w:w="228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玄武岩</w:t>
            </w:r>
          </w:p>
        </w:tc>
        <w:tc>
          <w:tcPr>
            <w:tcW w:w="1987"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2×10</w:t>
            </w:r>
            <w:r>
              <w:rPr>
                <w:rFonts w:ascii="Times New Roman" w:hAnsi="Times New Roman" w:eastAsia="宋体"/>
                <w:color w:val="auto"/>
                <w:sz w:val="20"/>
                <w:szCs w:val="20"/>
                <w:highlight w:val="none"/>
                <w:vertAlign w:val="superscript"/>
              </w:rPr>
              <w:t>-9</w:t>
            </w:r>
            <w:r>
              <w:rPr>
                <w:rFonts w:ascii="Times New Roman" w:hAnsi="Times New Roman" w:eastAsia="宋体"/>
                <w:color w:val="auto"/>
                <w:sz w:val="20"/>
                <w:szCs w:val="20"/>
                <w:highlight w:val="none"/>
              </w:rPr>
              <w:t>~3×10</w:t>
            </w:r>
            <w:r>
              <w:rPr>
                <w:rFonts w:ascii="Times New Roman" w:hAnsi="Times New Roman" w:eastAsia="宋体"/>
                <w:color w:val="auto"/>
                <w:sz w:val="20"/>
                <w:szCs w:val="20"/>
                <w:highlight w:val="none"/>
                <w:vertAlign w:val="superscript"/>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1"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泥岩</w:t>
            </w:r>
          </w:p>
        </w:tc>
        <w:tc>
          <w:tcPr>
            <w:tcW w:w="184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1×10</w:t>
            </w:r>
            <w:r>
              <w:rPr>
                <w:rFonts w:ascii="Times New Roman" w:hAnsi="Times New Roman" w:eastAsia="宋体"/>
                <w:color w:val="auto"/>
                <w:sz w:val="20"/>
                <w:szCs w:val="20"/>
                <w:highlight w:val="none"/>
                <w:vertAlign w:val="superscript"/>
              </w:rPr>
              <w:t>-9</w:t>
            </w:r>
            <w:r>
              <w:rPr>
                <w:rFonts w:ascii="Times New Roman" w:hAnsi="Times New Roman" w:eastAsia="宋体"/>
                <w:color w:val="auto"/>
                <w:sz w:val="20"/>
                <w:szCs w:val="20"/>
                <w:highlight w:val="none"/>
              </w:rPr>
              <w:t>~6×10</w:t>
            </w:r>
            <w:r>
              <w:rPr>
                <w:rFonts w:ascii="Times New Roman" w:hAnsi="Times New Roman" w:eastAsia="宋体"/>
                <w:color w:val="auto"/>
                <w:sz w:val="20"/>
                <w:szCs w:val="20"/>
                <w:highlight w:val="none"/>
                <w:vertAlign w:val="superscript"/>
              </w:rPr>
              <w:t>-6</w:t>
            </w:r>
          </w:p>
        </w:tc>
        <w:tc>
          <w:tcPr>
            <w:tcW w:w="228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可透水的玄武岩</w:t>
            </w:r>
          </w:p>
        </w:tc>
        <w:tc>
          <w:tcPr>
            <w:tcW w:w="1987"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4×10</w:t>
            </w:r>
            <w:r>
              <w:rPr>
                <w:rFonts w:ascii="Times New Roman" w:hAnsi="Times New Roman" w:eastAsia="宋体"/>
                <w:color w:val="auto"/>
                <w:sz w:val="20"/>
                <w:szCs w:val="20"/>
                <w:highlight w:val="none"/>
                <w:vertAlign w:val="superscript"/>
              </w:rPr>
              <w:t>-5</w:t>
            </w:r>
            <w:r>
              <w:rPr>
                <w:rFonts w:ascii="Times New Roman" w:hAnsi="Times New Roman" w:eastAsia="宋体"/>
                <w:color w:val="auto"/>
                <w:sz w:val="20"/>
                <w:szCs w:val="20"/>
                <w:highlight w:val="none"/>
              </w:rPr>
              <w:t>~3×10</w:t>
            </w:r>
            <w:r>
              <w:rPr>
                <w:rFonts w:ascii="Times New Roman" w:hAnsi="Times New Roman" w:eastAsia="宋体"/>
                <w:color w:val="auto"/>
                <w:sz w:val="20"/>
                <w:szCs w:val="20"/>
                <w:highlight w:val="none"/>
                <w:vertAlign w:val="superscript"/>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1"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硬石膏</w:t>
            </w:r>
          </w:p>
        </w:tc>
        <w:tc>
          <w:tcPr>
            <w:tcW w:w="184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4×10</w:t>
            </w:r>
            <w:r>
              <w:rPr>
                <w:rFonts w:ascii="Times New Roman" w:hAnsi="Times New Roman" w:eastAsia="宋体"/>
                <w:color w:val="auto"/>
                <w:sz w:val="20"/>
                <w:szCs w:val="20"/>
                <w:highlight w:val="none"/>
                <w:vertAlign w:val="superscript"/>
              </w:rPr>
              <w:t>-11</w:t>
            </w:r>
            <w:r>
              <w:rPr>
                <w:rFonts w:ascii="Times New Roman" w:hAnsi="Times New Roman" w:eastAsia="宋体"/>
                <w:color w:val="auto"/>
                <w:sz w:val="20"/>
                <w:szCs w:val="20"/>
                <w:highlight w:val="none"/>
              </w:rPr>
              <w:t>~2×10</w:t>
            </w:r>
            <w:r>
              <w:rPr>
                <w:rFonts w:ascii="Times New Roman" w:hAnsi="Times New Roman" w:eastAsia="宋体"/>
                <w:color w:val="auto"/>
                <w:sz w:val="20"/>
                <w:szCs w:val="20"/>
                <w:highlight w:val="none"/>
                <w:vertAlign w:val="superscript"/>
              </w:rPr>
              <w:t>-6</w:t>
            </w:r>
          </w:p>
        </w:tc>
        <w:tc>
          <w:tcPr>
            <w:tcW w:w="228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无裂隙火成岩和变质岩</w:t>
            </w:r>
          </w:p>
        </w:tc>
        <w:tc>
          <w:tcPr>
            <w:tcW w:w="1987"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3×10</w:t>
            </w:r>
            <w:r>
              <w:rPr>
                <w:rFonts w:ascii="Times New Roman" w:hAnsi="Times New Roman" w:eastAsia="宋体"/>
                <w:color w:val="auto"/>
                <w:sz w:val="20"/>
                <w:szCs w:val="20"/>
                <w:highlight w:val="none"/>
                <w:vertAlign w:val="superscript"/>
              </w:rPr>
              <w:t>-12</w:t>
            </w:r>
            <w:r>
              <w:rPr>
                <w:rFonts w:ascii="Times New Roman" w:hAnsi="Times New Roman" w:eastAsia="宋体"/>
                <w:color w:val="auto"/>
                <w:sz w:val="20"/>
                <w:szCs w:val="20"/>
                <w:highlight w:val="none"/>
              </w:rPr>
              <w:t>~3×10</w:t>
            </w:r>
            <w:r>
              <w:rPr>
                <w:rFonts w:ascii="Times New Roman" w:hAnsi="Times New Roman" w:eastAsia="宋体"/>
                <w:color w:val="auto"/>
                <w:sz w:val="20"/>
                <w:szCs w:val="20"/>
                <w:highlight w:val="none"/>
                <w:vertAlign w:val="superscript"/>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21"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页岩</w:t>
            </w:r>
          </w:p>
        </w:tc>
        <w:tc>
          <w:tcPr>
            <w:tcW w:w="184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1×10</w:t>
            </w:r>
            <w:r>
              <w:rPr>
                <w:rFonts w:ascii="Times New Roman" w:hAnsi="Times New Roman" w:eastAsia="宋体"/>
                <w:color w:val="auto"/>
                <w:sz w:val="20"/>
                <w:szCs w:val="20"/>
                <w:highlight w:val="none"/>
                <w:vertAlign w:val="superscript"/>
              </w:rPr>
              <w:t>-11</w:t>
            </w:r>
            <w:r>
              <w:rPr>
                <w:rFonts w:ascii="Times New Roman" w:hAnsi="Times New Roman" w:eastAsia="宋体"/>
                <w:color w:val="auto"/>
                <w:sz w:val="20"/>
                <w:szCs w:val="20"/>
                <w:highlight w:val="none"/>
              </w:rPr>
              <w:t>~2×10</w:t>
            </w:r>
            <w:r>
              <w:rPr>
                <w:rFonts w:ascii="Times New Roman" w:hAnsi="Times New Roman" w:eastAsia="宋体"/>
                <w:color w:val="auto"/>
                <w:sz w:val="20"/>
                <w:szCs w:val="20"/>
                <w:highlight w:val="none"/>
                <w:vertAlign w:val="superscript"/>
              </w:rPr>
              <w:t>-7</w:t>
            </w:r>
          </w:p>
        </w:tc>
        <w:tc>
          <w:tcPr>
            <w:tcW w:w="228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有裂隙火成岩和变质岩</w:t>
            </w:r>
          </w:p>
        </w:tc>
        <w:tc>
          <w:tcPr>
            <w:tcW w:w="1987"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8×10</w:t>
            </w:r>
            <w:r>
              <w:rPr>
                <w:rFonts w:ascii="Times New Roman" w:hAnsi="Times New Roman" w:eastAsia="宋体"/>
                <w:color w:val="auto"/>
                <w:sz w:val="20"/>
                <w:szCs w:val="20"/>
                <w:highlight w:val="none"/>
                <w:vertAlign w:val="superscript"/>
              </w:rPr>
              <w:t>-7</w:t>
            </w:r>
            <w:r>
              <w:rPr>
                <w:rFonts w:ascii="Times New Roman" w:hAnsi="Times New Roman" w:eastAsia="宋体"/>
                <w:color w:val="auto"/>
                <w:sz w:val="20"/>
                <w:szCs w:val="20"/>
                <w:highlight w:val="none"/>
              </w:rPr>
              <w:t>~3×10</w:t>
            </w:r>
            <w:r>
              <w:rPr>
                <w:rFonts w:ascii="Times New Roman" w:hAnsi="Times New Roman" w:eastAsia="宋体"/>
                <w:color w:val="auto"/>
                <w:sz w:val="20"/>
                <w:szCs w:val="20"/>
                <w:highlight w:val="none"/>
                <w:vertAlign w:val="superscript"/>
              </w:rPr>
              <w:t>-2</w:t>
            </w:r>
          </w:p>
        </w:tc>
      </w:tr>
    </w:tbl>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ascii="Times New Roman" w:hAnsi="Times New Roman" w:eastAsia="宋体"/>
          <w:color w:val="auto"/>
          <w:highlight w:val="none"/>
        </w:rPr>
        <w:t>根据深圳市政府相关文件，当隧道下穿水体（水库、湖、河、塘）或隧道单侧边线500米范围内存在水体，且地质条件复杂时，应进行水文地质专项勘察。包括开展多孔抽水试验、压水试验等，充分分析地表水体与地下水的连通性，判断其对隧道施工可能造成的影响。</w:t>
      </w:r>
    </w:p>
    <w:p>
      <w:pPr>
        <w:spacing w:line="360" w:lineRule="auto"/>
        <w:ind w:firstLine="420" w:firstLineChars="200"/>
        <w:rPr>
          <w:rFonts w:ascii="Times New Roman" w:hAnsi="Times New Roman" w:eastAsia="宋体"/>
          <w:color w:val="auto"/>
          <w:szCs w:val="21"/>
          <w:highlight w:val="none"/>
        </w:rPr>
      </w:pPr>
      <w:r>
        <w:rPr>
          <w:rFonts w:hint="eastAsia" w:ascii="Times New Roman" w:hAnsi="Times New Roman" w:eastAsia="宋体"/>
          <w:color w:val="auto"/>
          <w:szCs w:val="21"/>
          <w:highlight w:val="none"/>
          <w:lang w:val="en-US" w:eastAsia="zh-CN"/>
        </w:rPr>
        <w:t>隧道基坑设计中，</w:t>
      </w:r>
      <w:r>
        <w:rPr>
          <w:rFonts w:ascii="Times New Roman" w:hAnsi="Times New Roman" w:eastAsia="宋体"/>
          <w:color w:val="auto"/>
          <w:szCs w:val="21"/>
          <w:highlight w:val="none"/>
        </w:rPr>
        <w:t>静止侧压力系数</w:t>
      </w:r>
      <w:r>
        <w:rPr>
          <w:rFonts w:hint="eastAsia" w:ascii="Times New Roman" w:hAnsi="Times New Roman" w:eastAsia="宋体"/>
          <w:color w:val="auto"/>
          <w:szCs w:val="21"/>
          <w:highlight w:val="none"/>
          <w:lang w:eastAsia="zh-CN"/>
        </w:rPr>
        <w:t>（</w:t>
      </w:r>
      <w:r>
        <w:rPr>
          <w:rFonts w:ascii="Times New Roman" w:hAnsi="Times New Roman" w:eastAsia="宋体"/>
          <w:color w:val="auto"/>
          <w:szCs w:val="21"/>
          <w:highlight w:val="none"/>
        </w:rPr>
        <w:t>又称静止土压力系数或土的侧压力系数</w:t>
      </w:r>
      <w:r>
        <w:rPr>
          <w:rFonts w:hint="eastAsia" w:ascii="Times New Roman" w:hAnsi="Times New Roman" w:eastAsia="宋体"/>
          <w:color w:val="auto"/>
          <w:szCs w:val="21"/>
          <w:highlight w:val="none"/>
          <w:lang w:eastAsia="zh-CN"/>
        </w:rPr>
        <w:t>）</w:t>
      </w:r>
      <w:r>
        <w:rPr>
          <w:rFonts w:ascii="Times New Roman" w:hAnsi="Times New Roman" w:eastAsia="宋体"/>
          <w:color w:val="auto"/>
          <w:szCs w:val="21"/>
          <w:highlight w:val="none"/>
        </w:rPr>
        <w:t>宜通过试验测定。当无试验条件时，对正常固结土也可按表</w:t>
      </w:r>
      <w:r>
        <w:rPr>
          <w:rFonts w:hint="eastAsia" w:ascii="Times New Roman" w:hAnsi="Times New Roman" w:eastAsia="宋体"/>
          <w:color w:val="auto"/>
          <w:szCs w:val="21"/>
          <w:highlight w:val="none"/>
          <w:lang w:val="en-US" w:eastAsia="zh-CN"/>
        </w:rPr>
        <w:t>7-7</w:t>
      </w:r>
      <w:r>
        <w:rPr>
          <w:rFonts w:ascii="Times New Roman" w:hAnsi="Times New Roman" w:eastAsia="宋体"/>
          <w:color w:val="auto"/>
          <w:szCs w:val="21"/>
          <w:highlight w:val="none"/>
        </w:rPr>
        <w:t>估算。</w:t>
      </w:r>
    </w:p>
    <w:p>
      <w:pPr>
        <w:spacing w:line="360" w:lineRule="auto"/>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7-7</w:t>
      </w:r>
      <w:r>
        <w:rPr>
          <w:rFonts w:ascii="Times New Roman" w:hAnsi="Times New Roman" w:eastAsia="宋体"/>
          <w:b/>
          <w:bCs/>
          <w:color w:val="auto"/>
          <w:szCs w:val="21"/>
          <w:highlight w:val="none"/>
        </w:rPr>
        <w:t xml:space="preserve"> 静止土压力系数</w:t>
      </w:r>
      <w:r>
        <w:rPr>
          <w:rFonts w:ascii="Times New Roman" w:hAnsi="Times New Roman" w:eastAsia="宋体"/>
          <w:b/>
          <w:bCs/>
          <w:i/>
          <w:iCs/>
          <w:color w:val="auto"/>
          <w:szCs w:val="21"/>
          <w:highlight w:val="none"/>
        </w:rPr>
        <w:t>k</w:t>
      </w:r>
      <w:r>
        <w:rPr>
          <w:rFonts w:ascii="Times New Roman" w:hAnsi="Times New Roman" w:eastAsia="宋体"/>
          <w:b/>
          <w:bCs/>
          <w:color w:val="auto"/>
          <w:szCs w:val="21"/>
          <w:highlight w:val="none"/>
          <w:vertAlign w:val="subscript"/>
        </w:rPr>
        <w:t>0</w:t>
      </w:r>
      <w:r>
        <w:rPr>
          <w:rFonts w:ascii="Times New Roman" w:hAnsi="Times New Roman" w:eastAsia="宋体"/>
          <w:b/>
          <w:bCs/>
          <w:color w:val="auto"/>
          <w:szCs w:val="21"/>
          <w:highlight w:val="none"/>
        </w:rPr>
        <w:t>的经验值</w:t>
      </w:r>
    </w:p>
    <w:tbl>
      <w:tblPr>
        <w:tblStyle w:val="2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40"/>
        <w:gridCol w:w="968"/>
        <w:gridCol w:w="2190"/>
        <w:gridCol w:w="1674"/>
        <w:gridCol w:w="1268"/>
        <w:gridCol w:w="126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4" w:hRule="atLeast"/>
          <w:jc w:val="center"/>
        </w:trPr>
        <w:tc>
          <w:tcPr>
            <w:tcW w:w="840" w:type="dxa"/>
            <w:tcBorders>
              <w:tl2br w:val="nil"/>
              <w:tr2bl w:val="nil"/>
            </w:tcBorders>
            <w:shd w:val="clear" w:color="auto" w:fill="auto"/>
            <w:vAlign w:val="center"/>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土类</w:t>
            </w:r>
          </w:p>
        </w:tc>
        <w:tc>
          <w:tcPr>
            <w:tcW w:w="968" w:type="dxa"/>
            <w:tcBorders>
              <w:tl2br w:val="nil"/>
              <w:tr2bl w:val="nil"/>
            </w:tcBorders>
            <w:shd w:val="clear" w:color="auto" w:fill="auto"/>
            <w:vAlign w:val="center"/>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坚硬土</w:t>
            </w:r>
          </w:p>
        </w:tc>
        <w:tc>
          <w:tcPr>
            <w:tcW w:w="2190" w:type="dxa"/>
            <w:tcBorders>
              <w:tl2br w:val="nil"/>
              <w:tr2bl w:val="nil"/>
            </w:tcBorders>
            <w:shd w:val="clear" w:color="auto" w:fill="auto"/>
            <w:vAlign w:val="center"/>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硬~可塑黏性土；砂土</w:t>
            </w:r>
          </w:p>
        </w:tc>
        <w:tc>
          <w:tcPr>
            <w:tcW w:w="1674" w:type="dxa"/>
            <w:tcBorders>
              <w:tl2br w:val="nil"/>
              <w:tr2bl w:val="nil"/>
            </w:tcBorders>
            <w:shd w:val="clear" w:color="auto" w:fill="auto"/>
            <w:vAlign w:val="center"/>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可~软塑黏性土</w:t>
            </w:r>
          </w:p>
        </w:tc>
        <w:tc>
          <w:tcPr>
            <w:tcW w:w="1268" w:type="dxa"/>
            <w:tcBorders>
              <w:tl2br w:val="nil"/>
              <w:tr2bl w:val="nil"/>
            </w:tcBorders>
            <w:shd w:val="clear" w:color="auto" w:fill="auto"/>
            <w:vAlign w:val="center"/>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软塑黏性土</w:t>
            </w:r>
          </w:p>
        </w:tc>
        <w:tc>
          <w:tcPr>
            <w:tcW w:w="1268" w:type="dxa"/>
            <w:tcBorders>
              <w:tl2br w:val="nil"/>
              <w:tr2bl w:val="nil"/>
            </w:tcBorders>
            <w:shd w:val="clear" w:color="auto" w:fill="auto"/>
            <w:vAlign w:val="center"/>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流塑黏性土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4" w:hRule="atLeast"/>
          <w:jc w:val="center"/>
        </w:trPr>
        <w:tc>
          <w:tcPr>
            <w:tcW w:w="840" w:type="dxa"/>
            <w:tcBorders>
              <w:tl2br w:val="nil"/>
              <w:tr2bl w:val="nil"/>
            </w:tcBorders>
            <w:shd w:val="clear" w:color="auto" w:fill="auto"/>
            <w:vAlign w:val="center"/>
          </w:tcPr>
          <w:p>
            <w:pPr>
              <w:jc w:val="center"/>
              <w:rPr>
                <w:rFonts w:ascii="Times New Roman" w:hAnsi="Times New Roman" w:eastAsia="宋体"/>
                <w:color w:val="auto"/>
                <w:kern w:val="0"/>
                <w:sz w:val="20"/>
                <w:szCs w:val="20"/>
                <w:highlight w:val="none"/>
              </w:rPr>
            </w:pPr>
            <w:r>
              <w:rPr>
                <w:rFonts w:ascii="Times New Roman" w:hAnsi="Times New Roman" w:eastAsia="宋体"/>
                <w:i/>
                <w:iCs/>
                <w:color w:val="auto"/>
                <w:kern w:val="0"/>
                <w:sz w:val="20"/>
                <w:szCs w:val="20"/>
                <w:highlight w:val="none"/>
              </w:rPr>
              <w:t>k</w:t>
            </w:r>
            <w:r>
              <w:rPr>
                <w:rFonts w:ascii="Times New Roman" w:hAnsi="Times New Roman" w:eastAsia="宋体"/>
                <w:color w:val="auto"/>
                <w:kern w:val="0"/>
                <w:sz w:val="20"/>
                <w:szCs w:val="20"/>
                <w:highlight w:val="none"/>
                <w:vertAlign w:val="subscript"/>
              </w:rPr>
              <w:t>0</w:t>
            </w:r>
          </w:p>
        </w:tc>
        <w:tc>
          <w:tcPr>
            <w:tcW w:w="968" w:type="dxa"/>
            <w:tcBorders>
              <w:tl2br w:val="nil"/>
              <w:tr2bl w:val="nil"/>
            </w:tcBorders>
            <w:shd w:val="clear" w:color="auto" w:fill="auto"/>
            <w:vAlign w:val="center"/>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0.2~0.4</w:t>
            </w:r>
          </w:p>
        </w:tc>
        <w:tc>
          <w:tcPr>
            <w:tcW w:w="2190" w:type="dxa"/>
            <w:tcBorders>
              <w:tl2br w:val="nil"/>
              <w:tr2bl w:val="nil"/>
            </w:tcBorders>
            <w:shd w:val="clear" w:color="auto" w:fill="auto"/>
            <w:vAlign w:val="center"/>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0.4~0.5</w:t>
            </w:r>
          </w:p>
        </w:tc>
        <w:tc>
          <w:tcPr>
            <w:tcW w:w="1674" w:type="dxa"/>
            <w:tcBorders>
              <w:tl2br w:val="nil"/>
              <w:tr2bl w:val="nil"/>
            </w:tcBorders>
            <w:shd w:val="clear" w:color="auto" w:fill="auto"/>
            <w:vAlign w:val="center"/>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0.5~0.6</w:t>
            </w:r>
          </w:p>
        </w:tc>
        <w:tc>
          <w:tcPr>
            <w:tcW w:w="1268" w:type="dxa"/>
            <w:tcBorders>
              <w:tl2br w:val="nil"/>
              <w:tr2bl w:val="nil"/>
            </w:tcBorders>
            <w:shd w:val="clear" w:color="auto" w:fill="auto"/>
            <w:vAlign w:val="center"/>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0.6~0.75</w:t>
            </w:r>
          </w:p>
        </w:tc>
        <w:tc>
          <w:tcPr>
            <w:tcW w:w="1268" w:type="dxa"/>
            <w:tcBorders>
              <w:tl2br w:val="nil"/>
              <w:tr2bl w:val="nil"/>
            </w:tcBorders>
            <w:shd w:val="clear" w:color="auto" w:fill="auto"/>
            <w:vAlign w:val="center"/>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0.75~0.8</w:t>
            </w:r>
          </w:p>
        </w:tc>
      </w:tr>
    </w:tbl>
    <w:p>
      <w:pPr>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表</w:t>
      </w:r>
      <w:r>
        <w:rPr>
          <w:rFonts w:hint="eastAsia" w:ascii="Times New Roman" w:hAnsi="Times New Roman" w:eastAsia="宋体"/>
          <w:color w:val="auto"/>
          <w:szCs w:val="21"/>
          <w:highlight w:val="none"/>
          <w:lang w:val="en-US" w:eastAsia="zh-CN"/>
        </w:rPr>
        <w:t>7-7</w:t>
      </w:r>
      <w:r>
        <w:rPr>
          <w:rFonts w:ascii="Times New Roman" w:hAnsi="Times New Roman" w:eastAsia="宋体"/>
          <w:color w:val="auto"/>
          <w:szCs w:val="21"/>
          <w:highlight w:val="none"/>
        </w:rPr>
        <w:t>主要引用自《建筑地基基础设计规范》GB 50007第9.3.2的条文说明表24，与《简明深基坑工程设计施工手册》和《工程地质手册》所给的参数有一定差异。</w:t>
      </w:r>
    </w:p>
    <w:p>
      <w:pPr>
        <w:spacing w:line="360" w:lineRule="auto"/>
        <w:ind w:firstLine="420" w:firstLineChars="200"/>
        <w:jc w:val="left"/>
        <w:rPr>
          <w:rFonts w:hint="eastAsia" w:ascii="Times New Roman" w:hAnsi="Times New Roman" w:eastAsia="宋体"/>
          <w:color w:val="auto"/>
          <w:szCs w:val="21"/>
          <w:highlight w:val="none"/>
          <w:lang w:val="en-US" w:eastAsia="zh-CN"/>
        </w:rPr>
      </w:pPr>
      <w:r>
        <w:rPr>
          <w:rFonts w:ascii="Times New Roman" w:hAnsi="Times New Roman" w:eastAsia="宋体"/>
          <w:color w:val="auto"/>
          <w:szCs w:val="21"/>
          <w:highlight w:val="none"/>
        </w:rPr>
        <w:t>其中，《简明深基坑工程设计施工手册》中，</w:t>
      </w:r>
      <w:r>
        <w:rPr>
          <w:rFonts w:ascii="Times New Roman" w:hAnsi="Times New Roman" w:eastAsia="宋体"/>
          <w:i/>
          <w:iCs/>
          <w:color w:val="auto"/>
          <w:szCs w:val="21"/>
          <w:highlight w:val="none"/>
        </w:rPr>
        <w:t>k</w:t>
      </w:r>
      <w:r>
        <w:rPr>
          <w:rFonts w:ascii="Times New Roman" w:hAnsi="Times New Roman" w:eastAsia="宋体"/>
          <w:color w:val="auto"/>
          <w:szCs w:val="21"/>
          <w:highlight w:val="none"/>
          <w:vertAlign w:val="subscript"/>
        </w:rPr>
        <w:t>0</w:t>
      </w:r>
      <w:r>
        <w:rPr>
          <w:rFonts w:ascii="Times New Roman" w:hAnsi="Times New Roman" w:eastAsia="宋体"/>
          <w:color w:val="auto"/>
          <w:szCs w:val="21"/>
          <w:highlight w:val="none"/>
        </w:rPr>
        <w:t>的推荐值如下表</w:t>
      </w:r>
      <w:r>
        <w:rPr>
          <w:rFonts w:hint="eastAsia" w:ascii="Times New Roman" w:hAnsi="Times New Roman" w:eastAsia="宋体"/>
          <w:color w:val="auto"/>
          <w:szCs w:val="21"/>
          <w:highlight w:val="none"/>
          <w:lang w:val="en-US" w:eastAsia="zh-CN"/>
        </w:rPr>
        <w:t>7-8。</w:t>
      </w:r>
    </w:p>
    <w:p>
      <w:pPr>
        <w:spacing w:line="360" w:lineRule="auto"/>
        <w:jc w:val="center"/>
        <w:rPr>
          <w:rFonts w:hint="default" w:ascii="Times New Roman" w:hAnsi="Times New Roman" w:eastAsia="宋体"/>
          <w:b/>
          <w:bCs/>
          <w:color w:val="auto"/>
          <w:szCs w:val="21"/>
          <w:highlight w:val="none"/>
          <w:lang w:val="en-US" w:eastAsia="zh-CN"/>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7-8</w:t>
      </w:r>
      <w:r>
        <w:rPr>
          <w:rFonts w:ascii="Times New Roman" w:hAnsi="Times New Roman" w:eastAsia="宋体"/>
          <w:b/>
          <w:bCs/>
          <w:color w:val="auto"/>
          <w:szCs w:val="21"/>
          <w:highlight w:val="none"/>
        </w:rPr>
        <w:t xml:space="preserve"> 静止土压力系数</w:t>
      </w:r>
      <w:r>
        <w:rPr>
          <w:rFonts w:ascii="Times New Roman" w:hAnsi="Times New Roman" w:eastAsia="宋体"/>
          <w:b/>
          <w:bCs/>
          <w:i/>
          <w:iCs/>
          <w:color w:val="auto"/>
          <w:szCs w:val="21"/>
          <w:highlight w:val="none"/>
        </w:rPr>
        <w:t>k</w:t>
      </w:r>
      <w:r>
        <w:rPr>
          <w:rFonts w:ascii="Times New Roman" w:hAnsi="Times New Roman" w:eastAsia="宋体"/>
          <w:b/>
          <w:bCs/>
          <w:color w:val="auto"/>
          <w:szCs w:val="21"/>
          <w:highlight w:val="none"/>
          <w:vertAlign w:val="subscript"/>
        </w:rPr>
        <w:t>0</w:t>
      </w:r>
      <w:r>
        <w:rPr>
          <w:rFonts w:ascii="Times New Roman" w:hAnsi="Times New Roman" w:eastAsia="宋体"/>
          <w:b/>
          <w:bCs/>
          <w:color w:val="auto"/>
          <w:szCs w:val="21"/>
          <w:highlight w:val="none"/>
        </w:rPr>
        <w:t>的</w:t>
      </w:r>
      <w:r>
        <w:rPr>
          <w:rFonts w:hint="eastAsia" w:ascii="Times New Roman" w:hAnsi="Times New Roman" w:eastAsia="宋体"/>
          <w:b/>
          <w:bCs/>
          <w:color w:val="auto"/>
          <w:szCs w:val="21"/>
          <w:highlight w:val="none"/>
          <w:lang w:val="en-US" w:eastAsia="zh-CN"/>
        </w:rPr>
        <w:t>推荐</w:t>
      </w:r>
      <w:r>
        <w:rPr>
          <w:rFonts w:ascii="Times New Roman" w:hAnsi="Times New Roman" w:eastAsia="宋体"/>
          <w:b/>
          <w:bCs/>
          <w:color w:val="auto"/>
          <w:szCs w:val="21"/>
          <w:highlight w:val="none"/>
        </w:rPr>
        <w:t>值</w:t>
      </w:r>
    </w:p>
    <w:tbl>
      <w:tblPr>
        <w:tblStyle w:val="22"/>
        <w:tblW w:w="82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49"/>
        <w:gridCol w:w="22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49"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地基土分类</w:t>
            </w:r>
          </w:p>
        </w:tc>
        <w:tc>
          <w:tcPr>
            <w:tcW w:w="2268" w:type="dxa"/>
            <w:tcBorders>
              <w:tl2br w:val="nil"/>
              <w:tr2bl w:val="nil"/>
            </w:tcBorders>
            <w:vAlign w:val="center"/>
          </w:tcPr>
          <w:p>
            <w:pPr>
              <w:jc w:val="center"/>
              <w:rPr>
                <w:rFonts w:ascii="Times New Roman" w:hAnsi="Times New Roman" w:eastAsia="宋体"/>
                <w:color w:val="auto"/>
                <w:szCs w:val="21"/>
                <w:highlight w:val="none"/>
              </w:rPr>
            </w:pPr>
            <w:r>
              <w:rPr>
                <w:rFonts w:ascii="Times New Roman" w:hAnsi="Times New Roman" w:eastAsia="宋体"/>
                <w:i/>
                <w:iCs/>
                <w:color w:val="auto"/>
                <w:szCs w:val="21"/>
                <w:highlight w:val="none"/>
              </w:rPr>
              <w:t>k</w:t>
            </w:r>
            <w:r>
              <w:rPr>
                <w:rFonts w:ascii="Times New Roman" w:hAnsi="Times New Roman" w:eastAsia="宋体"/>
                <w:color w:val="auto"/>
                <w:szCs w:val="21"/>
                <w:highlight w:val="none"/>
                <w:vertAlign w:val="subscript"/>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49" w:type="dxa"/>
            <w:tcBorders>
              <w:tl2br w:val="nil"/>
              <w:tr2bl w:val="nil"/>
            </w:tcBorders>
          </w:tcPr>
          <w:p>
            <w:pPr>
              <w:jc w:val="left"/>
              <w:rPr>
                <w:rFonts w:ascii="Times New Roman" w:hAnsi="Times New Roman" w:eastAsia="宋体"/>
                <w:color w:val="auto"/>
                <w:szCs w:val="21"/>
                <w:highlight w:val="none"/>
              </w:rPr>
            </w:pPr>
            <w:r>
              <w:rPr>
                <w:rFonts w:ascii="Times New Roman" w:hAnsi="Times New Roman" w:eastAsia="宋体"/>
                <w:color w:val="auto"/>
                <w:szCs w:val="21"/>
                <w:highlight w:val="none"/>
              </w:rPr>
              <w:t>砂、硬黏土（</w:t>
            </w:r>
            <w:r>
              <w:rPr>
                <w:rFonts w:ascii="Times New Roman" w:hAnsi="Times New Roman" w:eastAsia="宋体"/>
                <w:i/>
                <w:iCs/>
                <w:color w:val="auto"/>
                <w:szCs w:val="21"/>
                <w:highlight w:val="none"/>
              </w:rPr>
              <w:t>N</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8）、中硬黏土（8&gt;</w:t>
            </w:r>
            <w:r>
              <w:rPr>
                <w:rFonts w:ascii="Times New Roman" w:hAnsi="Times New Roman" w:eastAsia="宋体"/>
                <w:i/>
                <w:iCs/>
                <w:color w:val="auto"/>
                <w:szCs w:val="21"/>
                <w:highlight w:val="none"/>
              </w:rPr>
              <w:t>N</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4）</w:t>
            </w:r>
          </w:p>
        </w:tc>
        <w:tc>
          <w:tcPr>
            <w:tcW w:w="2268" w:type="dxa"/>
            <w:tcBorders>
              <w:tl2br w:val="nil"/>
              <w:tr2bl w:val="nil"/>
            </w:tcBorders>
            <w:vAlign w:val="center"/>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49" w:type="dxa"/>
            <w:tcBorders>
              <w:tl2br w:val="nil"/>
              <w:tr2bl w:val="nil"/>
            </w:tcBorders>
          </w:tcPr>
          <w:p>
            <w:pPr>
              <w:jc w:val="left"/>
              <w:rPr>
                <w:rFonts w:ascii="Times New Roman" w:hAnsi="Times New Roman" w:eastAsia="宋体"/>
                <w:i/>
                <w:iCs/>
                <w:color w:val="auto"/>
                <w:szCs w:val="21"/>
                <w:highlight w:val="none"/>
              </w:rPr>
            </w:pPr>
            <w:r>
              <w:rPr>
                <w:rFonts w:ascii="Times New Roman" w:hAnsi="Times New Roman" w:eastAsia="宋体"/>
                <w:color w:val="auto"/>
                <w:szCs w:val="21"/>
                <w:highlight w:val="none"/>
              </w:rPr>
              <w:t>软黏土（4&gt;</w:t>
            </w:r>
            <w:r>
              <w:rPr>
                <w:rFonts w:ascii="Times New Roman" w:hAnsi="Times New Roman" w:eastAsia="宋体"/>
                <w:i/>
                <w:iCs/>
                <w:color w:val="auto"/>
                <w:szCs w:val="21"/>
                <w:highlight w:val="none"/>
              </w:rPr>
              <w:t>N</w:t>
            </w:r>
            <w:r>
              <w:rPr>
                <w:rFonts w:hint="eastAsia" w:ascii="宋体" w:hAnsi="宋体" w:eastAsia="宋体" w:cs="宋体"/>
                <w:color w:val="auto"/>
                <w:szCs w:val="21"/>
                <w:highlight w:val="none"/>
              </w:rPr>
              <w:t>≥</w:t>
            </w:r>
            <w:r>
              <w:rPr>
                <w:rFonts w:ascii="Times New Roman" w:hAnsi="Times New Roman" w:eastAsia="宋体"/>
                <w:color w:val="auto"/>
                <w:szCs w:val="21"/>
                <w:highlight w:val="none"/>
              </w:rPr>
              <w:t>2）</w:t>
            </w:r>
          </w:p>
        </w:tc>
        <w:tc>
          <w:tcPr>
            <w:tcW w:w="2268" w:type="dxa"/>
            <w:tcBorders>
              <w:tl2br w:val="nil"/>
              <w:tr2bl w:val="nil"/>
            </w:tcBorders>
            <w:vAlign w:val="center"/>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49" w:type="dxa"/>
            <w:tcBorders>
              <w:tl2br w:val="nil"/>
              <w:tr2bl w:val="nil"/>
            </w:tcBorders>
          </w:tcPr>
          <w:p>
            <w:pPr>
              <w:jc w:val="left"/>
              <w:rPr>
                <w:rFonts w:ascii="Times New Roman" w:hAnsi="Times New Roman" w:eastAsia="宋体"/>
                <w:color w:val="auto"/>
                <w:szCs w:val="21"/>
                <w:highlight w:val="none"/>
              </w:rPr>
            </w:pPr>
            <w:r>
              <w:rPr>
                <w:rFonts w:ascii="Times New Roman" w:hAnsi="Times New Roman" w:eastAsia="宋体"/>
                <w:color w:val="auto"/>
                <w:szCs w:val="21"/>
                <w:highlight w:val="none"/>
              </w:rPr>
              <w:t>极软黏土（</w:t>
            </w:r>
            <w:r>
              <w:rPr>
                <w:rFonts w:ascii="Times New Roman" w:hAnsi="Times New Roman" w:eastAsia="宋体"/>
                <w:i/>
                <w:iCs/>
                <w:color w:val="auto"/>
                <w:szCs w:val="21"/>
                <w:highlight w:val="none"/>
              </w:rPr>
              <w:t>N</w:t>
            </w:r>
            <w:r>
              <w:rPr>
                <w:rFonts w:ascii="Times New Roman" w:hAnsi="Times New Roman" w:eastAsia="宋体"/>
                <w:color w:val="auto"/>
                <w:szCs w:val="21"/>
                <w:highlight w:val="none"/>
              </w:rPr>
              <w:t>&lt;2）</w:t>
            </w:r>
          </w:p>
        </w:tc>
        <w:tc>
          <w:tcPr>
            <w:tcW w:w="2268" w:type="dxa"/>
            <w:tcBorders>
              <w:tl2br w:val="nil"/>
              <w:tr2bl w:val="nil"/>
            </w:tcBorders>
            <w:vAlign w:val="center"/>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0.7</w:t>
            </w:r>
          </w:p>
        </w:tc>
      </w:tr>
    </w:tbl>
    <w:p>
      <w:pPr>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而《工程地质手册》中，土的侧压力系数</w:t>
      </w:r>
      <w:r>
        <w:rPr>
          <w:rFonts w:ascii="Times New Roman" w:hAnsi="Times New Roman" w:eastAsia="宋体"/>
          <w:i/>
          <w:iCs/>
          <w:color w:val="auto"/>
          <w:szCs w:val="21"/>
          <w:highlight w:val="none"/>
        </w:rPr>
        <w:t>ξ</w:t>
      </w:r>
      <w:r>
        <w:rPr>
          <w:rFonts w:ascii="Times New Roman" w:hAnsi="Times New Roman" w:eastAsia="宋体"/>
          <w:color w:val="auto"/>
          <w:szCs w:val="21"/>
          <w:highlight w:val="none"/>
        </w:rPr>
        <w:t>和泊松比</w:t>
      </w:r>
      <w:r>
        <w:rPr>
          <w:rFonts w:ascii="Times New Roman" w:hAnsi="Times New Roman" w:eastAsia="宋体"/>
          <w:i/>
          <w:iCs/>
          <w:color w:val="auto"/>
          <w:szCs w:val="21"/>
          <w:highlight w:val="none"/>
        </w:rPr>
        <w:t>μ</w:t>
      </w:r>
      <w:r>
        <w:rPr>
          <w:rFonts w:ascii="Times New Roman" w:hAnsi="Times New Roman" w:eastAsia="宋体"/>
          <w:color w:val="auto"/>
          <w:szCs w:val="21"/>
          <w:highlight w:val="none"/>
        </w:rPr>
        <w:t>的推荐值如下表</w:t>
      </w:r>
      <w:r>
        <w:rPr>
          <w:rFonts w:hint="eastAsia" w:ascii="Times New Roman" w:hAnsi="Times New Roman" w:eastAsia="宋体"/>
          <w:color w:val="auto"/>
          <w:szCs w:val="21"/>
          <w:highlight w:val="none"/>
          <w:lang w:val="en-US" w:eastAsia="zh-CN"/>
        </w:rPr>
        <w:t>7-9。</w:t>
      </w:r>
    </w:p>
    <w:p>
      <w:pPr>
        <w:spacing w:line="360" w:lineRule="auto"/>
        <w:jc w:val="center"/>
        <w:rPr>
          <w:rFonts w:ascii="Times New Roman" w:hAnsi="Times New Roman" w:eastAsia="宋体"/>
          <w:color w:val="auto"/>
          <w:szCs w:val="21"/>
          <w:highlight w:val="none"/>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7-9</w:t>
      </w:r>
      <w:r>
        <w:rPr>
          <w:rFonts w:ascii="Times New Roman" w:hAnsi="Times New Roman" w:eastAsia="宋体"/>
          <w:b/>
          <w:bCs/>
          <w:color w:val="auto"/>
          <w:szCs w:val="21"/>
          <w:highlight w:val="none"/>
        </w:rPr>
        <w:t xml:space="preserve"> 土</w:t>
      </w:r>
      <w:r>
        <w:rPr>
          <w:rFonts w:hint="eastAsia" w:ascii="Times New Roman" w:hAnsi="Times New Roman" w:eastAsia="宋体"/>
          <w:b/>
          <w:bCs/>
          <w:color w:val="auto"/>
          <w:szCs w:val="21"/>
          <w:highlight w:val="none"/>
          <w:lang w:val="en-US" w:eastAsia="zh-CN"/>
        </w:rPr>
        <w:t>的</w:t>
      </w:r>
      <w:r>
        <w:rPr>
          <w:rFonts w:ascii="Times New Roman" w:hAnsi="Times New Roman" w:eastAsia="宋体"/>
          <w:b/>
          <w:bCs/>
          <w:color w:val="auto"/>
          <w:szCs w:val="21"/>
          <w:highlight w:val="none"/>
        </w:rPr>
        <w:t>侧压力系数</w:t>
      </w:r>
      <w:r>
        <w:rPr>
          <w:rFonts w:ascii="Times New Roman" w:hAnsi="Times New Roman" w:eastAsia="宋体"/>
          <w:b/>
          <w:bCs/>
          <w:i/>
          <w:iCs/>
          <w:color w:val="auto"/>
          <w:szCs w:val="21"/>
          <w:highlight w:val="none"/>
        </w:rPr>
        <w:t>ξ</w:t>
      </w:r>
      <w:r>
        <w:rPr>
          <w:rFonts w:ascii="Times New Roman" w:hAnsi="Times New Roman" w:eastAsia="宋体"/>
          <w:b/>
          <w:bCs/>
          <w:color w:val="auto"/>
          <w:szCs w:val="21"/>
          <w:highlight w:val="none"/>
        </w:rPr>
        <w:t>和泊松比</w:t>
      </w:r>
      <w:r>
        <w:rPr>
          <w:rFonts w:ascii="Times New Roman" w:hAnsi="Times New Roman" w:eastAsia="宋体"/>
          <w:b/>
          <w:bCs/>
          <w:i/>
          <w:iCs/>
          <w:color w:val="auto"/>
          <w:szCs w:val="21"/>
          <w:highlight w:val="none"/>
        </w:rPr>
        <w:t>μ</w:t>
      </w:r>
      <w:r>
        <w:rPr>
          <w:rFonts w:ascii="Times New Roman" w:hAnsi="Times New Roman" w:eastAsia="宋体"/>
          <w:b/>
          <w:bCs/>
          <w:color w:val="auto"/>
          <w:szCs w:val="21"/>
          <w:highlight w:val="none"/>
        </w:rPr>
        <w:t>的</w:t>
      </w:r>
      <w:r>
        <w:rPr>
          <w:rFonts w:hint="eastAsia" w:ascii="Times New Roman" w:hAnsi="Times New Roman" w:eastAsia="宋体"/>
          <w:b/>
          <w:bCs/>
          <w:color w:val="auto"/>
          <w:szCs w:val="21"/>
          <w:highlight w:val="none"/>
          <w:lang w:val="en-US" w:eastAsia="zh-CN"/>
        </w:rPr>
        <w:t>推荐</w:t>
      </w:r>
      <w:r>
        <w:rPr>
          <w:rFonts w:ascii="Times New Roman" w:hAnsi="Times New Roman" w:eastAsia="宋体"/>
          <w:b/>
          <w:bCs/>
          <w:color w:val="auto"/>
          <w:szCs w:val="21"/>
          <w:highlight w:val="none"/>
        </w:rPr>
        <w:t>值</w:t>
      </w:r>
    </w:p>
    <w:tbl>
      <w:tblPr>
        <w:tblStyle w:val="22"/>
        <w:tblW w:w="82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14"/>
        <w:gridCol w:w="2651"/>
        <w:gridCol w:w="26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14"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土的种类和状态</w:t>
            </w:r>
          </w:p>
        </w:tc>
        <w:tc>
          <w:tcPr>
            <w:tcW w:w="2651" w:type="dxa"/>
            <w:tcBorders>
              <w:tl2br w:val="nil"/>
              <w:tr2bl w:val="nil"/>
            </w:tcBorders>
          </w:tcPr>
          <w:p>
            <w:pPr>
              <w:jc w:val="center"/>
              <w:rPr>
                <w:rFonts w:ascii="Times New Roman" w:hAnsi="Times New Roman" w:eastAsia="宋体"/>
                <w:i/>
                <w:iCs/>
                <w:color w:val="auto"/>
                <w:szCs w:val="21"/>
                <w:highlight w:val="none"/>
              </w:rPr>
            </w:pPr>
            <w:r>
              <w:rPr>
                <w:rFonts w:ascii="Times New Roman" w:hAnsi="Times New Roman" w:eastAsia="宋体"/>
                <w:i/>
                <w:iCs/>
                <w:color w:val="auto"/>
                <w:szCs w:val="21"/>
                <w:highlight w:val="none"/>
              </w:rPr>
              <w:t>ξ</w:t>
            </w:r>
          </w:p>
        </w:tc>
        <w:tc>
          <w:tcPr>
            <w:tcW w:w="2652"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i/>
                <w:iCs/>
                <w:color w:val="auto"/>
                <w:szCs w:val="21"/>
                <w:highlight w:val="none"/>
              </w:rPr>
              <w:t>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14"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碎石土</w:t>
            </w:r>
          </w:p>
        </w:tc>
        <w:tc>
          <w:tcPr>
            <w:tcW w:w="2651"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0.18~0.33</w:t>
            </w:r>
          </w:p>
        </w:tc>
        <w:tc>
          <w:tcPr>
            <w:tcW w:w="2652"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0.15~0.25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14"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砂土</w:t>
            </w:r>
          </w:p>
        </w:tc>
        <w:tc>
          <w:tcPr>
            <w:tcW w:w="2651"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0.33~0.43</w:t>
            </w:r>
          </w:p>
        </w:tc>
        <w:tc>
          <w:tcPr>
            <w:tcW w:w="2652"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0.25~0.30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14"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粉土</w:t>
            </w:r>
          </w:p>
        </w:tc>
        <w:tc>
          <w:tcPr>
            <w:tcW w:w="2651"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0.43</w:t>
            </w:r>
          </w:p>
        </w:tc>
        <w:tc>
          <w:tcPr>
            <w:tcW w:w="2652"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0.30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14"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坚硬黏性土</w:t>
            </w:r>
          </w:p>
        </w:tc>
        <w:tc>
          <w:tcPr>
            <w:tcW w:w="2651"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0.33</w:t>
            </w:r>
          </w:p>
        </w:tc>
        <w:tc>
          <w:tcPr>
            <w:tcW w:w="2652"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14"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可塑粉质黏土</w:t>
            </w:r>
          </w:p>
        </w:tc>
        <w:tc>
          <w:tcPr>
            <w:tcW w:w="2651"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0.43</w:t>
            </w:r>
          </w:p>
        </w:tc>
        <w:tc>
          <w:tcPr>
            <w:tcW w:w="2652"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0.30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14"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可塑黏土</w:t>
            </w:r>
          </w:p>
        </w:tc>
        <w:tc>
          <w:tcPr>
            <w:tcW w:w="2651"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0.53</w:t>
            </w:r>
          </w:p>
        </w:tc>
        <w:tc>
          <w:tcPr>
            <w:tcW w:w="2652"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0.35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14"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软塑或流塑粉质黏土</w:t>
            </w:r>
          </w:p>
        </w:tc>
        <w:tc>
          <w:tcPr>
            <w:tcW w:w="2651"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0.53</w:t>
            </w:r>
          </w:p>
        </w:tc>
        <w:tc>
          <w:tcPr>
            <w:tcW w:w="2652"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0.35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14"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软塑或流塑黏土</w:t>
            </w:r>
          </w:p>
        </w:tc>
        <w:tc>
          <w:tcPr>
            <w:tcW w:w="2651"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0.72</w:t>
            </w:r>
          </w:p>
        </w:tc>
        <w:tc>
          <w:tcPr>
            <w:tcW w:w="2652" w:type="dxa"/>
            <w:tcBorders>
              <w:tl2br w:val="nil"/>
              <w:tr2bl w:val="nil"/>
            </w:tcBorders>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0.42</w:t>
            </w:r>
          </w:p>
        </w:tc>
      </w:tr>
    </w:tbl>
    <w:p>
      <w:pPr>
        <w:autoSpaceDE w:val="0"/>
        <w:autoSpaceDN w:val="0"/>
        <w:adjustRightInd w:val="0"/>
        <w:spacing w:line="360" w:lineRule="auto"/>
        <w:ind w:firstLine="420" w:firstLineChars="200"/>
        <w:jc w:val="left"/>
        <w:rPr>
          <w:rFonts w:hint="eastAsia" w:ascii="Times New Roman" w:hAnsi="Times New Roman" w:eastAsia="宋体"/>
          <w:color w:val="auto"/>
          <w:highlight w:val="none"/>
        </w:rPr>
      </w:pPr>
      <w:r>
        <w:rPr>
          <w:rFonts w:ascii="Times New Roman" w:hAnsi="Times New Roman" w:eastAsia="宋体"/>
          <w:color w:val="auto"/>
          <w:szCs w:val="21"/>
          <w:highlight w:val="none"/>
        </w:rPr>
        <w:t>与表</w:t>
      </w:r>
      <w:r>
        <w:rPr>
          <w:rFonts w:hint="eastAsia" w:ascii="Times New Roman" w:hAnsi="Times New Roman" w:eastAsia="宋体"/>
          <w:color w:val="auto"/>
          <w:szCs w:val="21"/>
          <w:highlight w:val="none"/>
          <w:lang w:val="en-US" w:eastAsia="zh-CN"/>
        </w:rPr>
        <w:t>7-7</w:t>
      </w:r>
      <w:r>
        <w:rPr>
          <w:rFonts w:ascii="Times New Roman" w:hAnsi="Times New Roman" w:eastAsia="宋体"/>
          <w:color w:val="auto"/>
          <w:szCs w:val="21"/>
          <w:highlight w:val="none"/>
        </w:rPr>
        <w:t>对比可见，《建筑地基基础设计规范》GB 50007中的静止土压力系数比两本手册的值略大，对于工程更有利，而反算出来的有效内摩擦角《建筑地基基础设计规范》GB 50007也更合理；同时手册相对于规范更缺乏强制力。因而此处主要参照《建筑地基基础设计规范》GB 50007。</w:t>
      </w:r>
    </w:p>
    <w:p>
      <w:pPr>
        <w:spacing w:line="360" w:lineRule="auto"/>
        <w:ind w:firstLine="420" w:firstLineChars="200"/>
        <w:jc w:val="left"/>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参考《水利水电工程地质勘察规范》GB 50487-2008，外水压力折减系数</w:t>
      </w:r>
      <w:r>
        <w:rPr>
          <w:rFonts w:hint="default" w:ascii="Times New Roman" w:hAnsi="Times New Roman" w:eastAsia="宋体" w:cs="Times New Roman"/>
          <w:i/>
          <w:iCs/>
          <w:color w:val="auto"/>
          <w:sz w:val="21"/>
          <w:szCs w:val="21"/>
          <w:highlight w:val="none"/>
          <w:lang w:val="en-US" w:eastAsia="zh-CN"/>
        </w:rPr>
        <w:t>β</w:t>
      </w:r>
      <w:r>
        <w:rPr>
          <w:rFonts w:hint="eastAsia" w:ascii="Times New Roman" w:hAnsi="Times New Roman" w:eastAsia="宋体"/>
          <w:color w:val="auto"/>
          <w:sz w:val="21"/>
          <w:szCs w:val="21"/>
          <w:highlight w:val="none"/>
          <w:vertAlign w:val="subscript"/>
          <w:lang w:val="en-US" w:eastAsia="zh-CN"/>
        </w:rPr>
        <w:t>e</w:t>
      </w:r>
      <w:r>
        <w:rPr>
          <w:rFonts w:hint="eastAsia" w:ascii="Times New Roman" w:hAnsi="Times New Roman" w:eastAsia="宋体"/>
          <w:color w:val="auto"/>
          <w:highlight w:val="none"/>
          <w:lang w:val="en-US" w:eastAsia="zh-CN"/>
        </w:rPr>
        <w:t>可根据表7-10确定。</w:t>
      </w:r>
    </w:p>
    <w:p>
      <w:pPr>
        <w:autoSpaceDE w:val="0"/>
        <w:autoSpaceDN w:val="0"/>
        <w:adjustRightInd w:val="0"/>
        <w:spacing w:line="360" w:lineRule="auto"/>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 xml:space="preserve">7-10 </w:t>
      </w:r>
      <w:r>
        <w:rPr>
          <w:rFonts w:hint="eastAsia" w:ascii="Times New Roman" w:hAnsi="Times New Roman" w:eastAsia="宋体"/>
          <w:b/>
          <w:bCs/>
          <w:color w:val="auto"/>
          <w:highlight w:val="none"/>
          <w:lang w:val="en-US" w:eastAsia="zh-CN"/>
        </w:rPr>
        <w:t>外水压力折减系数</w:t>
      </w:r>
      <w:r>
        <w:rPr>
          <w:rFonts w:hint="default" w:ascii="Times New Roman" w:hAnsi="Times New Roman" w:eastAsia="宋体" w:cs="Times New Roman"/>
          <w:b/>
          <w:bCs/>
          <w:i/>
          <w:iCs/>
          <w:color w:val="auto"/>
          <w:sz w:val="21"/>
          <w:szCs w:val="21"/>
          <w:highlight w:val="none"/>
          <w:lang w:val="en-US" w:eastAsia="zh-CN"/>
        </w:rPr>
        <w:t>β</w:t>
      </w:r>
      <w:r>
        <w:rPr>
          <w:rFonts w:hint="eastAsia" w:ascii="Times New Roman" w:hAnsi="Times New Roman" w:eastAsia="宋体"/>
          <w:b/>
          <w:bCs/>
          <w:color w:val="auto"/>
          <w:sz w:val="21"/>
          <w:szCs w:val="21"/>
          <w:highlight w:val="none"/>
          <w:vertAlign w:val="subscript"/>
          <w:lang w:val="en-US" w:eastAsia="zh-CN"/>
        </w:rPr>
        <w:t>e</w:t>
      </w:r>
    </w:p>
    <w:tbl>
      <w:tblPr>
        <w:tblStyle w:val="22"/>
        <w:tblW w:w="81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1620"/>
        <w:gridCol w:w="1620"/>
        <w:gridCol w:w="1560"/>
        <w:gridCol w:w="20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vMerge w:val="restart"/>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渗透性等级</w:t>
            </w:r>
          </w:p>
        </w:tc>
        <w:tc>
          <w:tcPr>
            <w:tcW w:w="3240" w:type="dxa"/>
            <w:gridSpan w:val="2"/>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渗透系数</w:t>
            </w:r>
            <w:r>
              <w:rPr>
                <w:rFonts w:ascii="Times New Roman" w:hAnsi="Times New Roman" w:eastAsia="宋体"/>
                <w:i/>
                <w:iCs/>
                <w:color w:val="auto"/>
                <w:sz w:val="20"/>
                <w:szCs w:val="20"/>
                <w:highlight w:val="none"/>
              </w:rPr>
              <w:t>k</w:t>
            </w:r>
          </w:p>
        </w:tc>
        <w:tc>
          <w:tcPr>
            <w:tcW w:w="156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透水率</w:t>
            </w:r>
            <w:r>
              <w:rPr>
                <w:rFonts w:ascii="Times New Roman" w:hAnsi="Times New Roman" w:eastAsia="宋体"/>
                <w:i/>
                <w:iCs/>
                <w:color w:val="auto"/>
                <w:sz w:val="20"/>
                <w:szCs w:val="20"/>
                <w:highlight w:val="none"/>
              </w:rPr>
              <w:t>q</w:t>
            </w:r>
          </w:p>
        </w:tc>
        <w:tc>
          <w:tcPr>
            <w:tcW w:w="2079" w:type="dxa"/>
            <w:tcBorders>
              <w:tl2br w:val="nil"/>
              <w:tr2bl w:val="nil"/>
            </w:tcBorders>
            <w:vAlign w:val="center"/>
          </w:tcPr>
          <w:p>
            <w:pPr>
              <w:jc w:val="center"/>
              <w:rPr>
                <w:rFonts w:hint="default" w:ascii="Times New Roman" w:hAnsi="Times New Roman" w:eastAsia="宋体"/>
                <w:color w:val="auto"/>
                <w:sz w:val="20"/>
                <w:szCs w:val="20"/>
                <w:highlight w:val="none"/>
                <w:lang w:val="en-US" w:eastAsia="zh-CN"/>
              </w:rPr>
            </w:pPr>
            <w:r>
              <w:rPr>
                <w:rFonts w:hint="eastAsia" w:ascii="Times New Roman" w:hAnsi="Times New Roman" w:eastAsia="宋体"/>
                <w:color w:val="auto"/>
                <w:sz w:val="20"/>
                <w:szCs w:val="20"/>
                <w:highlight w:val="none"/>
                <w:lang w:val="en-US" w:eastAsia="zh-CN"/>
              </w:rPr>
              <w:t>外水压力折减系数</w:t>
            </w:r>
            <w:r>
              <w:rPr>
                <w:rFonts w:hint="default" w:ascii="Times New Roman" w:hAnsi="Times New Roman" w:eastAsia="宋体" w:cs="Times New Roman"/>
                <w:i/>
                <w:iCs/>
                <w:color w:val="auto"/>
                <w:sz w:val="20"/>
                <w:szCs w:val="20"/>
                <w:highlight w:val="none"/>
                <w:lang w:val="en-US" w:eastAsia="zh-CN"/>
              </w:rPr>
              <w:t>β</w:t>
            </w:r>
            <w:r>
              <w:rPr>
                <w:rFonts w:hint="eastAsia" w:ascii="Times New Roman" w:hAnsi="Times New Roman" w:eastAsia="宋体"/>
                <w:color w:val="auto"/>
                <w:sz w:val="20"/>
                <w:szCs w:val="20"/>
                <w:highlight w:val="none"/>
                <w:vertAlign w:val="subscript"/>
                <w:lang w:val="en-US" w:eastAsia="zh-CN"/>
              </w:rPr>
              <w:t>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307" w:type="dxa"/>
            <w:vMerge w:val="continue"/>
            <w:tcBorders>
              <w:tl2br w:val="nil"/>
              <w:tr2bl w:val="nil"/>
            </w:tcBorders>
            <w:vAlign w:val="center"/>
          </w:tcPr>
          <w:p>
            <w:pPr>
              <w:jc w:val="center"/>
              <w:rPr>
                <w:rFonts w:ascii="Times New Roman" w:hAnsi="Times New Roman" w:eastAsia="宋体"/>
                <w:color w:val="auto"/>
                <w:sz w:val="20"/>
                <w:szCs w:val="20"/>
                <w:highlight w:val="none"/>
              </w:rPr>
            </w:pPr>
          </w:p>
        </w:tc>
        <w:tc>
          <w:tcPr>
            <w:tcW w:w="162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m/d</w:t>
            </w:r>
          </w:p>
        </w:tc>
        <w:tc>
          <w:tcPr>
            <w:tcW w:w="162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cm/s</w:t>
            </w:r>
          </w:p>
        </w:tc>
        <w:tc>
          <w:tcPr>
            <w:tcW w:w="156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Lu</w:t>
            </w:r>
          </w:p>
        </w:tc>
        <w:tc>
          <w:tcPr>
            <w:tcW w:w="2079" w:type="dxa"/>
            <w:tcBorders>
              <w:tl2br w:val="nil"/>
              <w:tr2bl w:val="nil"/>
            </w:tcBorders>
            <w:vAlign w:val="center"/>
          </w:tcPr>
          <w:p>
            <w:pPr>
              <w:jc w:val="center"/>
              <w:rPr>
                <w:rFonts w:hint="eastAsia" w:ascii="Times New Roman" w:hAnsi="Times New Roman" w:eastAsia="宋体"/>
                <w:color w:val="auto"/>
                <w:sz w:val="20"/>
                <w:szCs w:val="20"/>
                <w:highlight w:val="none"/>
                <w:lang w:eastAsia="zh-CN"/>
              </w:rPr>
            </w:pPr>
            <w:r>
              <w:rPr>
                <w:rFonts w:hint="eastAsia" w:ascii="Times New Roman" w:hAnsi="Times New Roman" w:eastAsia="宋体"/>
                <w:color w:val="auto"/>
                <w:sz w:val="20"/>
                <w:szCs w:val="20"/>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极微透水</w:t>
            </w:r>
          </w:p>
        </w:tc>
        <w:tc>
          <w:tcPr>
            <w:tcW w:w="1620" w:type="dxa"/>
            <w:tcBorders>
              <w:tl2br w:val="nil"/>
              <w:tr2bl w:val="nil"/>
            </w:tcBorders>
            <w:vAlign w:val="center"/>
          </w:tcPr>
          <w:p>
            <w:pPr>
              <w:jc w:val="center"/>
              <w:rPr>
                <w:rFonts w:ascii="Times New Roman" w:hAnsi="Times New Roman" w:eastAsia="宋体"/>
                <w:color w:val="auto"/>
                <w:sz w:val="20"/>
                <w:szCs w:val="20"/>
                <w:highlight w:val="none"/>
                <w:vertAlign w:val="superscript"/>
              </w:rPr>
            </w:pP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rPr>
              <w:t>&lt;10</w:t>
            </w:r>
            <w:r>
              <w:rPr>
                <w:rFonts w:ascii="Times New Roman" w:hAnsi="Times New Roman" w:eastAsia="宋体"/>
                <w:color w:val="auto"/>
                <w:sz w:val="20"/>
                <w:szCs w:val="20"/>
                <w:highlight w:val="none"/>
                <w:vertAlign w:val="superscript"/>
              </w:rPr>
              <w:t>-3</w:t>
            </w:r>
          </w:p>
        </w:tc>
        <w:tc>
          <w:tcPr>
            <w:tcW w:w="1620" w:type="dxa"/>
            <w:tcBorders>
              <w:tl2br w:val="nil"/>
              <w:tr2bl w:val="nil"/>
            </w:tcBorders>
            <w:vAlign w:val="center"/>
          </w:tcPr>
          <w:p>
            <w:pPr>
              <w:jc w:val="center"/>
              <w:rPr>
                <w:rFonts w:ascii="Times New Roman" w:hAnsi="Times New Roman" w:eastAsia="宋体"/>
                <w:i/>
                <w:iCs/>
                <w:color w:val="auto"/>
                <w:sz w:val="20"/>
                <w:szCs w:val="20"/>
                <w:highlight w:val="none"/>
              </w:rPr>
            </w:pP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rPr>
              <w:t>&lt;10</w:t>
            </w:r>
            <w:r>
              <w:rPr>
                <w:rFonts w:ascii="Times New Roman" w:hAnsi="Times New Roman" w:eastAsia="宋体"/>
                <w:color w:val="auto"/>
                <w:sz w:val="20"/>
                <w:szCs w:val="20"/>
                <w:highlight w:val="none"/>
                <w:vertAlign w:val="superscript"/>
              </w:rPr>
              <w:t>-6</w:t>
            </w:r>
          </w:p>
        </w:tc>
        <w:tc>
          <w:tcPr>
            <w:tcW w:w="1560" w:type="dxa"/>
            <w:tcBorders>
              <w:tl2br w:val="nil"/>
              <w:tr2bl w:val="nil"/>
            </w:tcBorders>
            <w:vAlign w:val="center"/>
          </w:tcPr>
          <w:p>
            <w:pPr>
              <w:jc w:val="center"/>
              <w:rPr>
                <w:rFonts w:ascii="Times New Roman" w:hAnsi="Times New Roman" w:eastAsia="宋体"/>
                <w:color w:val="auto"/>
                <w:sz w:val="20"/>
                <w:szCs w:val="20"/>
                <w:highlight w:val="none"/>
                <w:vertAlign w:val="superscript"/>
              </w:rPr>
            </w:pPr>
            <w:r>
              <w:rPr>
                <w:rFonts w:ascii="Times New Roman" w:hAnsi="Times New Roman" w:eastAsia="宋体"/>
                <w:i/>
                <w:iCs/>
                <w:color w:val="auto"/>
                <w:sz w:val="20"/>
                <w:szCs w:val="20"/>
                <w:highlight w:val="none"/>
              </w:rPr>
              <w:t>q</w:t>
            </w:r>
            <w:r>
              <w:rPr>
                <w:rFonts w:ascii="Times New Roman" w:hAnsi="Times New Roman" w:eastAsia="宋体"/>
                <w:color w:val="auto"/>
                <w:sz w:val="20"/>
                <w:szCs w:val="20"/>
                <w:highlight w:val="none"/>
              </w:rPr>
              <w:t>&lt;0.1</w:t>
            </w:r>
          </w:p>
        </w:tc>
        <w:tc>
          <w:tcPr>
            <w:tcW w:w="2079"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w:t>
            </w:r>
            <w:r>
              <w:rPr>
                <w:rFonts w:hint="eastAsia" w:ascii="宋体" w:hAnsi="宋体" w:eastAsia="宋体" w:cs="宋体"/>
                <w:color w:val="auto"/>
                <w:sz w:val="20"/>
                <w:szCs w:val="20"/>
                <w:highlight w:val="none"/>
              </w:rPr>
              <w:t>≤</w:t>
            </w:r>
            <w:r>
              <w:rPr>
                <w:rFonts w:hint="default" w:ascii="Times New Roman" w:hAnsi="Times New Roman" w:eastAsia="宋体" w:cs="Times New Roman"/>
                <w:i/>
                <w:iCs/>
                <w:color w:val="auto"/>
                <w:sz w:val="20"/>
                <w:szCs w:val="20"/>
                <w:highlight w:val="none"/>
                <w:lang w:val="en-US" w:eastAsia="zh-CN"/>
              </w:rPr>
              <w:t>β</w:t>
            </w:r>
            <w:r>
              <w:rPr>
                <w:rFonts w:hint="eastAsia" w:ascii="Times New Roman" w:hAnsi="Times New Roman" w:eastAsia="宋体"/>
                <w:color w:val="auto"/>
                <w:sz w:val="20"/>
                <w:szCs w:val="20"/>
                <w:highlight w:val="none"/>
                <w:vertAlign w:val="subscript"/>
                <w:lang w:val="en-US" w:eastAsia="zh-CN"/>
              </w:rPr>
              <w:t>e</w:t>
            </w:r>
            <w:r>
              <w:rPr>
                <w:rFonts w:ascii="Times New Roman" w:hAnsi="Times New Roman" w:eastAsia="宋体"/>
                <w:color w:val="auto"/>
                <w:sz w:val="20"/>
                <w:szCs w:val="20"/>
                <w:highlight w:val="none"/>
              </w:rPr>
              <w:t>&lt;0.1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微透水</w:t>
            </w:r>
          </w:p>
        </w:tc>
        <w:tc>
          <w:tcPr>
            <w:tcW w:w="162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r>
              <w:rPr>
                <w:rFonts w:ascii="Times New Roman" w:hAnsi="Times New Roman" w:eastAsia="宋体"/>
                <w:color w:val="auto"/>
                <w:sz w:val="20"/>
                <w:szCs w:val="20"/>
                <w:highlight w:val="none"/>
                <w:vertAlign w:val="superscript"/>
              </w:rPr>
              <w:t>-3</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rPr>
              <w:t>&lt;10</w:t>
            </w:r>
            <w:r>
              <w:rPr>
                <w:rFonts w:ascii="Times New Roman" w:hAnsi="Times New Roman" w:eastAsia="宋体"/>
                <w:color w:val="auto"/>
                <w:sz w:val="20"/>
                <w:szCs w:val="20"/>
                <w:highlight w:val="none"/>
                <w:vertAlign w:val="superscript"/>
              </w:rPr>
              <w:t>-2</w:t>
            </w:r>
          </w:p>
        </w:tc>
        <w:tc>
          <w:tcPr>
            <w:tcW w:w="162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r>
              <w:rPr>
                <w:rFonts w:ascii="Times New Roman" w:hAnsi="Times New Roman" w:eastAsia="宋体"/>
                <w:color w:val="auto"/>
                <w:sz w:val="20"/>
                <w:szCs w:val="20"/>
                <w:highlight w:val="none"/>
                <w:vertAlign w:val="superscript"/>
              </w:rPr>
              <w:t>-6</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rPr>
              <w:t>&lt;10</w:t>
            </w:r>
            <w:r>
              <w:rPr>
                <w:rFonts w:ascii="Times New Roman" w:hAnsi="Times New Roman" w:eastAsia="宋体"/>
                <w:color w:val="auto"/>
                <w:sz w:val="20"/>
                <w:szCs w:val="20"/>
                <w:highlight w:val="none"/>
                <w:vertAlign w:val="superscript"/>
              </w:rPr>
              <w:t>-5</w:t>
            </w:r>
          </w:p>
        </w:tc>
        <w:tc>
          <w:tcPr>
            <w:tcW w:w="156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0.1</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q</w:t>
            </w:r>
            <w:r>
              <w:rPr>
                <w:rFonts w:ascii="Times New Roman" w:hAnsi="Times New Roman" w:eastAsia="宋体"/>
                <w:color w:val="auto"/>
                <w:sz w:val="20"/>
                <w:szCs w:val="20"/>
                <w:highlight w:val="none"/>
              </w:rPr>
              <w:t>&lt;1</w:t>
            </w:r>
          </w:p>
        </w:tc>
        <w:tc>
          <w:tcPr>
            <w:tcW w:w="2079" w:type="dxa"/>
            <w:tcBorders>
              <w:tl2br w:val="nil"/>
              <w:tr2bl w:val="nil"/>
            </w:tcBorders>
            <w:vAlign w:val="center"/>
          </w:tcPr>
          <w:p>
            <w:pPr>
              <w:jc w:val="center"/>
              <w:rPr>
                <w:rFonts w:hint="eastAsia" w:ascii="Times New Roman" w:hAnsi="Times New Roman" w:eastAsia="宋体" w:cs="Times New Roman"/>
                <w:color w:val="auto"/>
                <w:kern w:val="2"/>
                <w:sz w:val="20"/>
                <w:szCs w:val="20"/>
                <w:highlight w:val="none"/>
                <w:lang w:val="en-US" w:eastAsia="zh-CN" w:bidi="ar-SA"/>
              </w:rPr>
            </w:pPr>
            <w:r>
              <w:rPr>
                <w:rFonts w:ascii="Times New Roman" w:hAnsi="Times New Roman" w:eastAsia="宋体"/>
                <w:color w:val="auto"/>
                <w:sz w:val="20"/>
                <w:szCs w:val="20"/>
                <w:highlight w:val="none"/>
              </w:rPr>
              <w:t>0</w:t>
            </w:r>
            <w:r>
              <w:rPr>
                <w:rFonts w:hint="eastAsia" w:ascii="Times New Roman" w:hAnsi="Times New Roman" w:eastAsia="宋体"/>
                <w:color w:val="auto"/>
                <w:sz w:val="20"/>
                <w:szCs w:val="20"/>
                <w:highlight w:val="none"/>
                <w:lang w:val="en-US" w:eastAsia="zh-CN"/>
              </w:rPr>
              <w:t>.1</w:t>
            </w:r>
            <w:r>
              <w:rPr>
                <w:rFonts w:hint="eastAsia" w:ascii="宋体" w:hAnsi="宋体" w:eastAsia="宋体" w:cs="宋体"/>
                <w:color w:val="auto"/>
                <w:sz w:val="20"/>
                <w:szCs w:val="20"/>
                <w:highlight w:val="none"/>
              </w:rPr>
              <w:t>≤</w:t>
            </w:r>
            <w:r>
              <w:rPr>
                <w:rFonts w:hint="default" w:ascii="Times New Roman" w:hAnsi="Times New Roman" w:eastAsia="宋体" w:cs="Times New Roman"/>
                <w:i/>
                <w:iCs/>
                <w:color w:val="auto"/>
                <w:sz w:val="20"/>
                <w:szCs w:val="20"/>
                <w:highlight w:val="none"/>
                <w:lang w:val="en-US" w:eastAsia="zh-CN"/>
              </w:rPr>
              <w:t>β</w:t>
            </w:r>
            <w:r>
              <w:rPr>
                <w:rFonts w:hint="eastAsia" w:ascii="Times New Roman" w:hAnsi="Times New Roman" w:eastAsia="宋体"/>
                <w:color w:val="auto"/>
                <w:sz w:val="20"/>
                <w:szCs w:val="20"/>
                <w:highlight w:val="none"/>
                <w:vertAlign w:val="subscript"/>
                <w:lang w:val="en-US" w:eastAsia="zh-CN"/>
              </w:rPr>
              <w:t>e</w:t>
            </w:r>
            <w:r>
              <w:rPr>
                <w:rFonts w:ascii="Times New Roman" w:hAnsi="Times New Roman" w:eastAsia="宋体"/>
                <w:color w:val="auto"/>
                <w:sz w:val="20"/>
                <w:szCs w:val="20"/>
                <w:highlight w:val="none"/>
              </w:rPr>
              <w:t>&lt;0.</w:t>
            </w:r>
            <w:r>
              <w:rPr>
                <w:rFonts w:hint="eastAsia" w:ascii="Times New Roman" w:hAnsi="Times New Roman" w:eastAsia="宋体"/>
                <w:color w:val="auto"/>
                <w:sz w:val="20"/>
                <w:szCs w:val="20"/>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弱透水</w:t>
            </w:r>
          </w:p>
        </w:tc>
        <w:tc>
          <w:tcPr>
            <w:tcW w:w="162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r>
              <w:rPr>
                <w:rFonts w:ascii="Times New Roman" w:hAnsi="Times New Roman" w:eastAsia="宋体"/>
                <w:color w:val="auto"/>
                <w:sz w:val="20"/>
                <w:szCs w:val="20"/>
                <w:highlight w:val="none"/>
                <w:vertAlign w:val="superscript"/>
              </w:rPr>
              <w:t>-2</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rPr>
              <w:t>&lt;10</w:t>
            </w:r>
            <w:r>
              <w:rPr>
                <w:rFonts w:ascii="Times New Roman" w:hAnsi="Times New Roman" w:eastAsia="宋体"/>
                <w:color w:val="auto"/>
                <w:sz w:val="20"/>
                <w:szCs w:val="20"/>
                <w:highlight w:val="none"/>
                <w:vertAlign w:val="superscript"/>
              </w:rPr>
              <w:t>-1</w:t>
            </w:r>
          </w:p>
        </w:tc>
        <w:tc>
          <w:tcPr>
            <w:tcW w:w="162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r>
              <w:rPr>
                <w:rFonts w:ascii="Times New Roman" w:hAnsi="Times New Roman" w:eastAsia="宋体"/>
                <w:color w:val="auto"/>
                <w:sz w:val="20"/>
                <w:szCs w:val="20"/>
                <w:highlight w:val="none"/>
                <w:vertAlign w:val="superscript"/>
              </w:rPr>
              <w:t>-5</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rPr>
              <w:t>&lt;10</w:t>
            </w:r>
            <w:r>
              <w:rPr>
                <w:rFonts w:ascii="Times New Roman" w:hAnsi="Times New Roman" w:eastAsia="宋体"/>
                <w:color w:val="auto"/>
                <w:sz w:val="20"/>
                <w:szCs w:val="20"/>
                <w:highlight w:val="none"/>
                <w:vertAlign w:val="superscript"/>
              </w:rPr>
              <w:t>-4</w:t>
            </w:r>
          </w:p>
        </w:tc>
        <w:tc>
          <w:tcPr>
            <w:tcW w:w="156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q</w:t>
            </w:r>
            <w:r>
              <w:rPr>
                <w:rFonts w:ascii="Times New Roman" w:hAnsi="Times New Roman" w:eastAsia="宋体"/>
                <w:color w:val="auto"/>
                <w:sz w:val="20"/>
                <w:szCs w:val="20"/>
                <w:highlight w:val="none"/>
              </w:rPr>
              <w:t>&lt;10</w:t>
            </w:r>
          </w:p>
        </w:tc>
        <w:tc>
          <w:tcPr>
            <w:tcW w:w="2079" w:type="dxa"/>
            <w:tcBorders>
              <w:tl2br w:val="nil"/>
              <w:tr2bl w:val="nil"/>
            </w:tcBorders>
            <w:vAlign w:val="center"/>
          </w:tcPr>
          <w:p>
            <w:pPr>
              <w:jc w:val="center"/>
              <w:rPr>
                <w:rFonts w:hint="eastAsia" w:ascii="Times New Roman" w:hAnsi="Times New Roman" w:eastAsia="宋体" w:cs="Times New Roman"/>
                <w:color w:val="auto"/>
                <w:kern w:val="2"/>
                <w:sz w:val="20"/>
                <w:szCs w:val="20"/>
                <w:highlight w:val="none"/>
                <w:lang w:val="en-US" w:eastAsia="zh-CN" w:bidi="ar-SA"/>
              </w:rPr>
            </w:pPr>
            <w:r>
              <w:rPr>
                <w:rFonts w:ascii="Times New Roman" w:hAnsi="Times New Roman" w:eastAsia="宋体"/>
                <w:color w:val="auto"/>
                <w:sz w:val="20"/>
                <w:szCs w:val="20"/>
                <w:highlight w:val="none"/>
              </w:rPr>
              <w:t>0</w:t>
            </w:r>
            <w:r>
              <w:rPr>
                <w:rFonts w:hint="eastAsia" w:ascii="Times New Roman" w:hAnsi="Times New Roman" w:eastAsia="宋体"/>
                <w:color w:val="auto"/>
                <w:sz w:val="20"/>
                <w:szCs w:val="20"/>
                <w:highlight w:val="none"/>
                <w:lang w:val="en-US" w:eastAsia="zh-CN"/>
              </w:rPr>
              <w:t>.2</w:t>
            </w:r>
            <w:r>
              <w:rPr>
                <w:rFonts w:hint="eastAsia" w:ascii="宋体" w:hAnsi="宋体" w:eastAsia="宋体" w:cs="宋体"/>
                <w:color w:val="auto"/>
                <w:sz w:val="20"/>
                <w:szCs w:val="20"/>
                <w:highlight w:val="none"/>
              </w:rPr>
              <w:t>≤</w:t>
            </w:r>
            <w:r>
              <w:rPr>
                <w:rFonts w:hint="default" w:ascii="Times New Roman" w:hAnsi="Times New Roman" w:eastAsia="宋体" w:cs="Times New Roman"/>
                <w:i/>
                <w:iCs/>
                <w:color w:val="auto"/>
                <w:sz w:val="20"/>
                <w:szCs w:val="20"/>
                <w:highlight w:val="none"/>
                <w:lang w:val="en-US" w:eastAsia="zh-CN"/>
              </w:rPr>
              <w:t>β</w:t>
            </w:r>
            <w:r>
              <w:rPr>
                <w:rFonts w:hint="eastAsia" w:ascii="Times New Roman" w:hAnsi="Times New Roman" w:eastAsia="宋体"/>
                <w:color w:val="auto"/>
                <w:sz w:val="20"/>
                <w:szCs w:val="20"/>
                <w:highlight w:val="none"/>
                <w:vertAlign w:val="subscript"/>
                <w:lang w:val="en-US" w:eastAsia="zh-CN"/>
              </w:rPr>
              <w:t>e</w:t>
            </w:r>
            <w:r>
              <w:rPr>
                <w:rFonts w:ascii="Times New Roman" w:hAnsi="Times New Roman" w:eastAsia="宋体"/>
                <w:color w:val="auto"/>
                <w:sz w:val="20"/>
                <w:szCs w:val="20"/>
                <w:highlight w:val="none"/>
              </w:rPr>
              <w:t>&lt;0.</w:t>
            </w:r>
            <w:r>
              <w:rPr>
                <w:rFonts w:hint="eastAsia" w:ascii="Times New Roman" w:hAnsi="Times New Roman" w:eastAsia="宋体"/>
                <w:color w:val="auto"/>
                <w:sz w:val="20"/>
                <w:szCs w:val="20"/>
                <w:highlight w:val="none"/>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中等透水</w:t>
            </w:r>
          </w:p>
        </w:tc>
        <w:tc>
          <w:tcPr>
            <w:tcW w:w="162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r>
              <w:rPr>
                <w:rFonts w:ascii="Times New Roman" w:hAnsi="Times New Roman" w:eastAsia="宋体"/>
                <w:color w:val="auto"/>
                <w:sz w:val="20"/>
                <w:szCs w:val="20"/>
                <w:highlight w:val="none"/>
                <w:vertAlign w:val="superscript"/>
              </w:rPr>
              <w:t>-1</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rPr>
              <w:t>&lt;10</w:t>
            </w:r>
          </w:p>
        </w:tc>
        <w:tc>
          <w:tcPr>
            <w:tcW w:w="162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r>
              <w:rPr>
                <w:rFonts w:ascii="Times New Roman" w:hAnsi="Times New Roman" w:eastAsia="宋体"/>
                <w:color w:val="auto"/>
                <w:sz w:val="20"/>
                <w:szCs w:val="20"/>
                <w:highlight w:val="none"/>
                <w:vertAlign w:val="superscript"/>
              </w:rPr>
              <w:t>-4</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rPr>
              <w:t>&lt;10</w:t>
            </w:r>
            <w:r>
              <w:rPr>
                <w:rFonts w:ascii="Times New Roman" w:hAnsi="Times New Roman" w:eastAsia="宋体"/>
                <w:color w:val="auto"/>
                <w:sz w:val="20"/>
                <w:szCs w:val="20"/>
                <w:highlight w:val="none"/>
                <w:vertAlign w:val="superscript"/>
              </w:rPr>
              <w:t>-2</w:t>
            </w:r>
          </w:p>
        </w:tc>
        <w:tc>
          <w:tcPr>
            <w:tcW w:w="156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q</w:t>
            </w:r>
            <w:r>
              <w:rPr>
                <w:rFonts w:ascii="Times New Roman" w:hAnsi="Times New Roman" w:eastAsia="宋体"/>
                <w:color w:val="auto"/>
                <w:sz w:val="20"/>
                <w:szCs w:val="20"/>
                <w:highlight w:val="none"/>
              </w:rPr>
              <w:t>&lt;1000</w:t>
            </w:r>
          </w:p>
        </w:tc>
        <w:tc>
          <w:tcPr>
            <w:tcW w:w="2079" w:type="dxa"/>
            <w:tcBorders>
              <w:tl2br w:val="nil"/>
              <w:tr2bl w:val="nil"/>
            </w:tcBorders>
            <w:vAlign w:val="center"/>
          </w:tcPr>
          <w:p>
            <w:pPr>
              <w:jc w:val="center"/>
              <w:rPr>
                <w:rFonts w:hint="eastAsia" w:ascii="Times New Roman" w:hAnsi="Times New Roman" w:eastAsia="宋体" w:cs="Times New Roman"/>
                <w:color w:val="auto"/>
                <w:kern w:val="2"/>
                <w:sz w:val="20"/>
                <w:szCs w:val="20"/>
                <w:highlight w:val="none"/>
                <w:lang w:val="en-US" w:eastAsia="zh-CN" w:bidi="ar-SA"/>
              </w:rPr>
            </w:pPr>
            <w:r>
              <w:rPr>
                <w:rFonts w:ascii="Times New Roman" w:hAnsi="Times New Roman" w:eastAsia="宋体"/>
                <w:color w:val="auto"/>
                <w:sz w:val="20"/>
                <w:szCs w:val="20"/>
                <w:highlight w:val="none"/>
              </w:rPr>
              <w:t>0</w:t>
            </w:r>
            <w:r>
              <w:rPr>
                <w:rFonts w:hint="eastAsia" w:ascii="Times New Roman" w:hAnsi="Times New Roman" w:eastAsia="宋体"/>
                <w:color w:val="auto"/>
                <w:sz w:val="20"/>
                <w:szCs w:val="20"/>
                <w:highlight w:val="none"/>
                <w:lang w:val="en-US" w:eastAsia="zh-CN"/>
              </w:rPr>
              <w:t>.4</w:t>
            </w:r>
            <w:r>
              <w:rPr>
                <w:rFonts w:hint="eastAsia" w:ascii="宋体" w:hAnsi="宋体" w:eastAsia="宋体" w:cs="宋体"/>
                <w:color w:val="auto"/>
                <w:sz w:val="20"/>
                <w:szCs w:val="20"/>
                <w:highlight w:val="none"/>
              </w:rPr>
              <w:t>≤</w:t>
            </w:r>
            <w:r>
              <w:rPr>
                <w:rFonts w:hint="default" w:ascii="Times New Roman" w:hAnsi="Times New Roman" w:eastAsia="宋体" w:cs="Times New Roman"/>
                <w:i/>
                <w:iCs/>
                <w:color w:val="auto"/>
                <w:sz w:val="20"/>
                <w:szCs w:val="20"/>
                <w:highlight w:val="none"/>
                <w:lang w:val="en-US" w:eastAsia="zh-CN"/>
              </w:rPr>
              <w:t>β</w:t>
            </w:r>
            <w:r>
              <w:rPr>
                <w:rFonts w:hint="eastAsia" w:ascii="Times New Roman" w:hAnsi="Times New Roman" w:eastAsia="宋体"/>
                <w:color w:val="auto"/>
                <w:sz w:val="20"/>
                <w:szCs w:val="20"/>
                <w:highlight w:val="none"/>
                <w:vertAlign w:val="subscript"/>
                <w:lang w:val="en-US" w:eastAsia="zh-CN"/>
              </w:rPr>
              <w:t>e</w:t>
            </w:r>
            <w:r>
              <w:rPr>
                <w:rFonts w:ascii="Times New Roman" w:hAnsi="Times New Roman" w:eastAsia="宋体"/>
                <w:color w:val="auto"/>
                <w:sz w:val="20"/>
                <w:szCs w:val="20"/>
                <w:highlight w:val="none"/>
              </w:rPr>
              <w:t>&lt;0.</w:t>
            </w:r>
            <w:r>
              <w:rPr>
                <w:rFonts w:hint="eastAsia" w:ascii="Times New Roman" w:hAnsi="Times New Roman" w:eastAsia="宋体"/>
                <w:color w:val="auto"/>
                <w:sz w:val="20"/>
                <w:szCs w:val="20"/>
                <w:highlight w:val="no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强透水</w:t>
            </w:r>
          </w:p>
        </w:tc>
        <w:tc>
          <w:tcPr>
            <w:tcW w:w="162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rPr>
              <w:t>&lt;1000</w:t>
            </w:r>
          </w:p>
        </w:tc>
        <w:tc>
          <w:tcPr>
            <w:tcW w:w="162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r>
              <w:rPr>
                <w:rFonts w:ascii="Times New Roman" w:hAnsi="Times New Roman" w:eastAsia="宋体"/>
                <w:color w:val="auto"/>
                <w:sz w:val="20"/>
                <w:szCs w:val="20"/>
                <w:highlight w:val="none"/>
                <w:vertAlign w:val="superscript"/>
              </w:rPr>
              <w:t>-2</w:t>
            </w:r>
            <w:r>
              <w:rPr>
                <w:rFonts w:hint="eastAsia" w:ascii="宋体" w:hAnsi="宋体" w:eastAsia="宋体" w:cs="宋体"/>
                <w:color w:val="auto"/>
                <w:sz w:val="20"/>
                <w:szCs w:val="20"/>
                <w:highlight w:val="none"/>
              </w:rPr>
              <w:t>≤</w:t>
            </w:r>
            <w:r>
              <w:rPr>
                <w:rFonts w:ascii="Times New Roman" w:hAnsi="Times New Roman" w:eastAsia="宋体"/>
                <w:i/>
                <w:iCs/>
                <w:color w:val="auto"/>
                <w:sz w:val="20"/>
                <w:szCs w:val="20"/>
                <w:highlight w:val="none"/>
              </w:rPr>
              <w:t>k</w:t>
            </w:r>
            <w:r>
              <w:rPr>
                <w:rFonts w:ascii="Times New Roman" w:hAnsi="Times New Roman" w:eastAsia="宋体"/>
                <w:color w:val="auto"/>
                <w:sz w:val="20"/>
                <w:szCs w:val="20"/>
                <w:highlight w:val="none"/>
              </w:rPr>
              <w:t>&lt;1</w:t>
            </w:r>
          </w:p>
        </w:tc>
        <w:tc>
          <w:tcPr>
            <w:tcW w:w="1560" w:type="dxa"/>
            <w:vMerge w:val="restart"/>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q</w:t>
            </w:r>
            <w:r>
              <w:rPr>
                <w:rFonts w:hint="eastAsia" w:ascii="宋体" w:hAnsi="宋体" w:eastAsia="宋体" w:cs="宋体"/>
                <w:color w:val="auto"/>
                <w:sz w:val="20"/>
                <w:szCs w:val="20"/>
                <w:highlight w:val="none"/>
              </w:rPr>
              <w:t>≥</w:t>
            </w:r>
            <w:r>
              <w:rPr>
                <w:rFonts w:ascii="Times New Roman" w:hAnsi="Times New Roman" w:eastAsia="宋体"/>
                <w:color w:val="auto"/>
                <w:sz w:val="20"/>
                <w:szCs w:val="20"/>
                <w:highlight w:val="none"/>
              </w:rPr>
              <w:t>1000</w:t>
            </w:r>
          </w:p>
        </w:tc>
        <w:tc>
          <w:tcPr>
            <w:tcW w:w="2079" w:type="dxa"/>
            <w:vMerge w:val="restart"/>
            <w:tcBorders>
              <w:tl2br w:val="nil"/>
              <w:tr2bl w:val="nil"/>
            </w:tcBorders>
            <w:vAlign w:val="center"/>
          </w:tcPr>
          <w:p>
            <w:pPr>
              <w:jc w:val="center"/>
              <w:rPr>
                <w:rFonts w:ascii="Times New Roman" w:hAnsi="Times New Roman" w:eastAsia="宋体" w:cs="Times New Roman"/>
                <w:color w:val="auto"/>
                <w:kern w:val="2"/>
                <w:sz w:val="20"/>
                <w:szCs w:val="20"/>
                <w:highlight w:val="none"/>
                <w:lang w:val="en-US" w:eastAsia="zh-CN" w:bidi="ar-SA"/>
              </w:rPr>
            </w:pPr>
            <w:r>
              <w:rPr>
                <w:rFonts w:ascii="Times New Roman" w:hAnsi="Times New Roman" w:eastAsia="宋体"/>
                <w:color w:val="auto"/>
                <w:sz w:val="20"/>
                <w:szCs w:val="20"/>
                <w:highlight w:val="none"/>
              </w:rPr>
              <w:t>0</w:t>
            </w:r>
            <w:r>
              <w:rPr>
                <w:rFonts w:hint="eastAsia" w:ascii="Times New Roman" w:hAnsi="Times New Roman" w:eastAsia="宋体"/>
                <w:color w:val="auto"/>
                <w:sz w:val="20"/>
                <w:szCs w:val="20"/>
                <w:highlight w:val="none"/>
                <w:lang w:val="en-US" w:eastAsia="zh-CN"/>
              </w:rPr>
              <w:t>.8</w:t>
            </w:r>
            <w:r>
              <w:rPr>
                <w:rFonts w:hint="eastAsia" w:ascii="宋体" w:hAnsi="宋体" w:eastAsia="宋体" w:cs="宋体"/>
                <w:color w:val="auto"/>
                <w:sz w:val="20"/>
                <w:szCs w:val="20"/>
                <w:highlight w:val="none"/>
              </w:rPr>
              <w:t>≤</w:t>
            </w:r>
            <w:r>
              <w:rPr>
                <w:rFonts w:hint="default" w:ascii="Times New Roman" w:hAnsi="Times New Roman" w:eastAsia="宋体" w:cs="Times New Roman"/>
                <w:i/>
                <w:iCs/>
                <w:color w:val="auto"/>
                <w:sz w:val="20"/>
                <w:szCs w:val="20"/>
                <w:highlight w:val="none"/>
                <w:lang w:val="en-US" w:eastAsia="zh-CN"/>
              </w:rPr>
              <w:t>β</w:t>
            </w:r>
            <w:r>
              <w:rPr>
                <w:rFonts w:hint="eastAsia" w:ascii="Times New Roman" w:hAnsi="Times New Roman" w:eastAsia="宋体"/>
                <w:color w:val="auto"/>
                <w:sz w:val="20"/>
                <w:szCs w:val="20"/>
                <w:highlight w:val="none"/>
                <w:vertAlign w:val="subscript"/>
                <w:lang w:val="en-US" w:eastAsia="zh-CN"/>
              </w:rPr>
              <w:t>e</w:t>
            </w:r>
            <w:r>
              <w:rPr>
                <w:rFonts w:hint="eastAsia" w:ascii="宋体" w:hAnsi="宋体" w:eastAsia="宋体" w:cs="宋体"/>
                <w:color w:val="auto"/>
                <w:sz w:val="20"/>
                <w:szCs w:val="20"/>
                <w:highlight w:val="none"/>
              </w:rPr>
              <w:t>≤</w:t>
            </w:r>
            <w:r>
              <w:rPr>
                <w:rFonts w:ascii="Times New Roman" w:hAnsi="Times New Roman" w:eastAsia="宋体"/>
                <w:color w:val="auto"/>
                <w:sz w:val="20"/>
                <w:szCs w:val="20"/>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7"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极强透水</w:t>
            </w:r>
          </w:p>
        </w:tc>
        <w:tc>
          <w:tcPr>
            <w:tcW w:w="1620"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k</w:t>
            </w:r>
            <w:r>
              <w:rPr>
                <w:rFonts w:hint="eastAsia" w:ascii="宋体" w:hAnsi="宋体" w:eastAsia="宋体" w:cs="宋体"/>
                <w:color w:val="auto"/>
                <w:sz w:val="20"/>
                <w:szCs w:val="20"/>
                <w:highlight w:val="none"/>
              </w:rPr>
              <w:t>≥</w:t>
            </w:r>
            <w:r>
              <w:rPr>
                <w:rFonts w:ascii="Times New Roman" w:hAnsi="Times New Roman" w:eastAsia="宋体"/>
                <w:color w:val="auto"/>
                <w:sz w:val="20"/>
                <w:szCs w:val="20"/>
                <w:highlight w:val="none"/>
              </w:rPr>
              <w:t>1000</w:t>
            </w:r>
          </w:p>
        </w:tc>
        <w:tc>
          <w:tcPr>
            <w:tcW w:w="1620" w:type="dxa"/>
            <w:tcBorders>
              <w:tl2br w:val="nil"/>
              <w:tr2bl w:val="nil"/>
            </w:tcBorders>
            <w:vAlign w:val="center"/>
          </w:tcPr>
          <w:p>
            <w:pPr>
              <w:jc w:val="center"/>
              <w:rPr>
                <w:rFonts w:ascii="Times New Roman" w:hAnsi="Times New Roman" w:eastAsia="宋体"/>
                <w:i/>
                <w:iCs/>
                <w:color w:val="auto"/>
                <w:sz w:val="20"/>
                <w:szCs w:val="20"/>
                <w:highlight w:val="none"/>
              </w:rPr>
            </w:pPr>
            <w:r>
              <w:rPr>
                <w:rFonts w:ascii="Times New Roman" w:hAnsi="Times New Roman" w:eastAsia="宋体"/>
                <w:i/>
                <w:iCs/>
                <w:color w:val="auto"/>
                <w:sz w:val="20"/>
                <w:szCs w:val="20"/>
                <w:highlight w:val="none"/>
              </w:rPr>
              <w:t>k</w:t>
            </w:r>
            <w:r>
              <w:rPr>
                <w:rFonts w:hint="eastAsia" w:ascii="宋体" w:hAnsi="宋体" w:eastAsia="宋体" w:cs="宋体"/>
                <w:color w:val="auto"/>
                <w:sz w:val="20"/>
                <w:szCs w:val="20"/>
                <w:highlight w:val="none"/>
              </w:rPr>
              <w:t>≥</w:t>
            </w:r>
            <w:r>
              <w:rPr>
                <w:rFonts w:ascii="Times New Roman" w:hAnsi="Times New Roman" w:eastAsia="宋体"/>
                <w:color w:val="auto"/>
                <w:sz w:val="20"/>
                <w:szCs w:val="20"/>
                <w:highlight w:val="none"/>
              </w:rPr>
              <w:t>1</w:t>
            </w:r>
          </w:p>
        </w:tc>
        <w:tc>
          <w:tcPr>
            <w:tcW w:w="1560" w:type="dxa"/>
            <w:vMerge w:val="continue"/>
            <w:tcBorders>
              <w:tl2br w:val="nil"/>
              <w:tr2bl w:val="nil"/>
            </w:tcBorders>
            <w:vAlign w:val="center"/>
          </w:tcPr>
          <w:p>
            <w:pPr>
              <w:jc w:val="center"/>
              <w:rPr>
                <w:rFonts w:ascii="Times New Roman" w:hAnsi="Times New Roman" w:eastAsia="宋体"/>
                <w:color w:val="auto"/>
                <w:sz w:val="20"/>
                <w:szCs w:val="20"/>
                <w:highlight w:val="none"/>
              </w:rPr>
            </w:pPr>
          </w:p>
        </w:tc>
        <w:tc>
          <w:tcPr>
            <w:tcW w:w="2079" w:type="dxa"/>
            <w:vMerge w:val="continue"/>
            <w:tcBorders>
              <w:tl2br w:val="nil"/>
              <w:tr2bl w:val="nil"/>
            </w:tcBorders>
            <w:vAlign w:val="center"/>
          </w:tcPr>
          <w:p>
            <w:pPr>
              <w:jc w:val="center"/>
              <w:rPr>
                <w:rFonts w:ascii="Times New Roman" w:hAnsi="Times New Roman" w:eastAsia="宋体" w:cs="Times New Roman"/>
                <w:color w:val="auto"/>
                <w:kern w:val="2"/>
                <w:sz w:val="20"/>
                <w:szCs w:val="20"/>
                <w:highlight w:val="none"/>
                <w:lang w:val="en-US" w:eastAsia="zh-CN" w:bidi="ar-SA"/>
              </w:rPr>
            </w:pPr>
          </w:p>
        </w:tc>
      </w:tr>
    </w:tbl>
    <w:p>
      <w:pPr>
        <w:spacing w:line="360" w:lineRule="auto"/>
        <w:ind w:firstLine="420" w:firstLineChars="200"/>
        <w:jc w:val="left"/>
        <w:rPr>
          <w:rFonts w:ascii="Times New Roman" w:hAnsi="Times New Roman" w:eastAsia="宋体"/>
          <w:color w:val="auto"/>
          <w:highlight w:val="none"/>
        </w:rPr>
      </w:pPr>
      <w:r>
        <w:rPr>
          <w:rFonts w:ascii="Times New Roman" w:hAnsi="Times New Roman" w:eastAsia="宋体"/>
          <w:color w:val="auto"/>
          <w:highlight w:val="none"/>
        </w:rPr>
        <w:br w:type="page"/>
      </w:r>
    </w:p>
    <w:p>
      <w:pPr>
        <w:rPr>
          <w:rFonts w:ascii="Times New Roman" w:hAnsi="Times New Roman" w:eastAsia="宋体"/>
          <w:color w:val="auto"/>
          <w:sz w:val="10"/>
          <w:szCs w:val="10"/>
          <w:highlight w:val="none"/>
        </w:rPr>
      </w:pPr>
    </w:p>
    <w:p>
      <w:pPr>
        <w:pStyle w:val="2"/>
        <w:rPr>
          <w:rFonts w:ascii="Times New Roman" w:hAnsi="Times New Roman" w:eastAsia="宋体"/>
          <w:color w:val="auto"/>
          <w:highlight w:val="none"/>
        </w:rPr>
      </w:pPr>
      <w:bookmarkStart w:id="393" w:name="_Toc24300"/>
      <w:bookmarkStart w:id="394" w:name="_Toc13325"/>
      <w:bookmarkStart w:id="395" w:name="_Toc76998278"/>
      <w:r>
        <w:rPr>
          <w:rFonts w:ascii="Times New Roman" w:hAnsi="Times New Roman" w:eastAsia="宋体"/>
          <w:color w:val="auto"/>
          <w:highlight w:val="none"/>
        </w:rPr>
        <w:t>8</w:t>
      </w:r>
      <w:r>
        <w:rPr>
          <w:rFonts w:hint="eastAsia" w:ascii="Times New Roman" w:hAnsi="Times New Roman" w:eastAsia="宋体"/>
          <w:color w:val="auto"/>
          <w:highlight w:val="none"/>
        </w:rPr>
        <w:t xml:space="preserve">  </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给排水厂站工程</w:t>
      </w:r>
      <w:bookmarkEnd w:id="393"/>
      <w:bookmarkEnd w:id="394"/>
      <w:bookmarkEnd w:id="395"/>
    </w:p>
    <w:p>
      <w:pPr>
        <w:pStyle w:val="3"/>
        <w:jc w:val="center"/>
        <w:rPr>
          <w:rFonts w:ascii="Times New Roman" w:hAnsi="Times New Roman" w:eastAsia="宋体" w:cs="Times New Roman"/>
          <w:color w:val="auto"/>
          <w:sz w:val="24"/>
          <w:highlight w:val="none"/>
        </w:rPr>
      </w:pPr>
      <w:bookmarkStart w:id="396" w:name="_Toc17089"/>
      <w:bookmarkStart w:id="397" w:name="_Toc76998279"/>
      <w:bookmarkStart w:id="398" w:name="_Toc3877"/>
      <w:r>
        <w:rPr>
          <w:rFonts w:ascii="Times New Roman" w:hAnsi="Times New Roman" w:eastAsia="宋体" w:cs="Times New Roman"/>
          <w:color w:val="auto"/>
          <w:sz w:val="24"/>
          <w:highlight w:val="none"/>
        </w:rPr>
        <w:t xml:space="preserve">8.1 </w:t>
      </w:r>
      <w:r>
        <w:rPr>
          <w:rFonts w:hint="eastAsia" w:ascii="Times New Roman" w:hAnsi="Times New Roman" w:eastAsia="宋体" w:cs="Times New Roman"/>
          <w:color w:val="auto"/>
          <w:sz w:val="24"/>
          <w:highlight w:val="none"/>
          <w:lang w:val="en-US" w:eastAsia="zh-CN"/>
        </w:rPr>
        <w:t xml:space="preserve"> </w:t>
      </w:r>
      <w:r>
        <w:rPr>
          <w:rFonts w:ascii="Times New Roman" w:hAnsi="Times New Roman" w:eastAsia="宋体" w:cs="Times New Roman"/>
          <w:color w:val="auto"/>
          <w:sz w:val="24"/>
          <w:highlight w:val="none"/>
        </w:rPr>
        <w:t>一般规定</w:t>
      </w:r>
      <w:bookmarkEnd w:id="396"/>
      <w:bookmarkEnd w:id="397"/>
      <w:bookmarkEnd w:id="398"/>
    </w:p>
    <w:p>
      <w:pPr>
        <w:spacing w:line="360" w:lineRule="auto"/>
        <w:rPr>
          <w:rFonts w:ascii="Times New Roman" w:hAnsi="Times New Roman" w:eastAsia="宋体"/>
          <w:color w:val="auto"/>
          <w:highlight w:val="none"/>
        </w:rPr>
      </w:pPr>
      <w:r>
        <w:rPr>
          <w:rFonts w:ascii="Times New Roman" w:hAnsi="Times New Roman" w:eastAsia="宋体"/>
          <w:b/>
          <w:bCs/>
          <w:color w:val="auto"/>
          <w:highlight w:val="none"/>
        </w:rPr>
        <w:t xml:space="preserve">8.1.1 </w:t>
      </w:r>
      <w:r>
        <w:rPr>
          <w:rFonts w:hint="eastAsia"/>
          <w:b/>
          <w:bCs/>
          <w:color w:val="auto"/>
          <w:highlight w:val="none"/>
          <w:lang w:val="en-US" w:eastAsia="zh-CN"/>
        </w:rPr>
        <w:t xml:space="preserve"> </w:t>
      </w:r>
      <w:r>
        <w:rPr>
          <w:rFonts w:ascii="Times New Roman" w:hAnsi="Times New Roman" w:eastAsia="宋体"/>
          <w:color w:val="auto"/>
          <w:highlight w:val="none"/>
        </w:rPr>
        <w:t>与行标《市政工程勘察规范》CJJ 56-2012第8.1.1条不同，本条没有提“厂区内一般建筑物勘察按国家现行相关规范执行”。一则1.0.4条已经说明</w:t>
      </w:r>
      <w:r>
        <w:rPr>
          <w:rFonts w:hint="eastAsia" w:ascii="宋体" w:hAnsi="宋体" w:eastAsia="宋体" w:cs="宋体"/>
          <w:color w:val="auto"/>
          <w:highlight w:val="none"/>
        </w:rPr>
        <w:t>“对本规范未作阐明与规定的事项和问题，应按国家、行业现行有关标准、规范的规定执行”</w:t>
      </w:r>
      <w:r>
        <w:rPr>
          <w:rFonts w:ascii="Times New Roman" w:hAnsi="Times New Roman" w:eastAsia="宋体"/>
          <w:color w:val="auto"/>
          <w:highlight w:val="none"/>
        </w:rPr>
        <w:t>；二则地埋式污水厂建筑物以地下结构为主，且规模和深度往往较大，与一般建筑物有差别，本规范将对其勘察作相对细致的规定。同时，本条也没提管道工程按相应章节执行，这应当是不言自明的。</w:t>
      </w:r>
    </w:p>
    <w:p>
      <w:pPr>
        <w:spacing w:line="360" w:lineRule="auto"/>
        <w:rPr>
          <w:rFonts w:ascii="Times New Roman" w:hAnsi="Times New Roman" w:eastAsia="宋体"/>
          <w:color w:val="auto"/>
          <w:highlight w:val="none"/>
        </w:rPr>
      </w:pPr>
      <w:r>
        <w:rPr>
          <w:rFonts w:ascii="Times New Roman" w:hAnsi="Times New Roman" w:eastAsia="宋体"/>
          <w:b/>
          <w:bCs/>
          <w:color w:val="auto"/>
          <w:highlight w:val="none"/>
        </w:rPr>
        <w:t>8.1.2</w:t>
      </w:r>
      <w:r>
        <w:rPr>
          <w:rFonts w:hint="eastAsia"/>
          <w:b/>
          <w:bCs/>
          <w:color w:val="auto"/>
          <w:highlight w:val="none"/>
          <w:lang w:val="en-US" w:eastAsia="zh-CN"/>
        </w:rPr>
        <w:t xml:space="preserve"> </w:t>
      </w:r>
      <w:r>
        <w:rPr>
          <w:rFonts w:ascii="Times New Roman" w:hAnsi="Times New Roman" w:eastAsia="宋体"/>
          <w:b/>
          <w:bCs/>
          <w:color w:val="auto"/>
          <w:highlight w:val="none"/>
        </w:rPr>
        <w:t xml:space="preserve"> </w:t>
      </w:r>
      <w:r>
        <w:rPr>
          <w:rFonts w:ascii="Times New Roman" w:hAnsi="Times New Roman" w:eastAsia="宋体"/>
          <w:color w:val="auto"/>
          <w:highlight w:val="none"/>
        </w:rPr>
        <w:t>本条与行标《市政工程勘察规范》CJJ 56-2012第8.1.2条略有差异。行标第2、3条较为笼统，在此归并为一条，且指明要关注的重点是基础形式、基坑的尺寸及支护方式，有工程桩的要关注工程桩的分布和尺寸；除此之外，要关注地基或桩基的承载力要求。而至于行标的第4条，对各类市政工程项目都是必要的，在第3章</w:t>
      </w:r>
      <w:r>
        <w:rPr>
          <w:rFonts w:hint="eastAsia" w:ascii="宋体" w:hAnsi="宋体" w:eastAsia="宋体" w:cs="宋体"/>
          <w:color w:val="auto"/>
          <w:highlight w:val="none"/>
        </w:rPr>
        <w:t>“基本规定”</w:t>
      </w:r>
      <w:r>
        <w:rPr>
          <w:rFonts w:ascii="Times New Roman" w:hAnsi="Times New Roman" w:eastAsia="宋体"/>
          <w:color w:val="auto"/>
          <w:highlight w:val="none"/>
        </w:rPr>
        <w:t>的3.0.2款已作了规定。</w:t>
      </w:r>
    </w:p>
    <w:p>
      <w:pPr>
        <w:spacing w:line="360" w:lineRule="auto"/>
        <w:rPr>
          <w:rFonts w:hint="default" w:ascii="Times New Roman" w:hAnsi="Times New Roman" w:eastAsia="宋体"/>
          <w:color w:val="auto"/>
          <w:highlight w:val="none"/>
          <w:lang w:val="en-US" w:eastAsia="zh-CN"/>
        </w:rPr>
      </w:pPr>
      <w:r>
        <w:rPr>
          <w:rFonts w:ascii="Times New Roman" w:hAnsi="Times New Roman" w:eastAsia="宋体"/>
          <w:b/>
          <w:bCs/>
          <w:color w:val="auto"/>
          <w:highlight w:val="none"/>
        </w:rPr>
        <w:t>8.1.</w:t>
      </w:r>
      <w:r>
        <w:rPr>
          <w:rFonts w:hint="eastAsia" w:ascii="Times New Roman" w:hAnsi="Times New Roman" w:eastAsia="宋体"/>
          <w:b/>
          <w:bCs/>
          <w:color w:val="auto"/>
          <w:highlight w:val="none"/>
          <w:lang w:val="en-US" w:eastAsia="zh-CN"/>
        </w:rPr>
        <w:t xml:space="preserve">3 </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大型基坑开挖深度范围内的顺坡向土岩界面或岩层中</w:t>
      </w:r>
      <w:r>
        <w:rPr>
          <w:rFonts w:ascii="Times New Roman" w:hAnsi="Times New Roman" w:eastAsia="宋体"/>
          <w:color w:val="auto"/>
          <w:highlight w:val="none"/>
        </w:rPr>
        <w:t>的层理</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软弱夹层</w:t>
      </w:r>
      <w:r>
        <w:rPr>
          <w:rFonts w:hint="eastAsia" w:ascii="Times New Roman" w:hAnsi="Times New Roman" w:eastAsia="宋体"/>
          <w:color w:val="auto"/>
          <w:highlight w:val="none"/>
          <w:lang w:val="en-US" w:eastAsia="zh-CN"/>
        </w:rPr>
        <w:t>在常规勘察中往往较难查明，但其对于基坑的稳定性影响很大，造成的工程事故教训深刻。因此，勘察人员需要有较为强烈的风险意识，当勘察过程遇到土岩界面，或者沉积的软岩时，都要初步判断其是否在基坑开挖深度范围内、是否可能顺倾、是否缓倾，进而分析其对基坑稳定性的可能影响；必要时，针对性开展的专门勘察，包括物探、钻探、孔内摄像、挖探等。</w:t>
      </w:r>
    </w:p>
    <w:p>
      <w:pPr>
        <w:pStyle w:val="3"/>
        <w:jc w:val="center"/>
        <w:rPr>
          <w:rFonts w:ascii="Times New Roman" w:hAnsi="Times New Roman" w:eastAsia="宋体" w:cs="Times New Roman"/>
          <w:color w:val="auto"/>
          <w:sz w:val="24"/>
          <w:highlight w:val="none"/>
        </w:rPr>
      </w:pPr>
      <w:bookmarkStart w:id="399" w:name="_Toc76998281"/>
      <w:bookmarkStart w:id="400" w:name="_Toc7030"/>
      <w:bookmarkStart w:id="401" w:name="_Toc21410"/>
      <w:r>
        <w:rPr>
          <w:rFonts w:ascii="Times New Roman" w:hAnsi="Times New Roman" w:eastAsia="宋体" w:cs="Times New Roman"/>
          <w:color w:val="auto"/>
          <w:sz w:val="24"/>
          <w:highlight w:val="none"/>
        </w:rPr>
        <w:t>8.3</w:t>
      </w:r>
      <w:r>
        <w:rPr>
          <w:rFonts w:hint="eastAsia" w:ascii="Times New Roman" w:hAnsi="Times New Roman" w:eastAsia="宋体" w:cs="Times New Roman"/>
          <w:color w:val="auto"/>
          <w:sz w:val="24"/>
          <w:highlight w:val="none"/>
          <w:lang w:val="en-US" w:eastAsia="zh-CN"/>
        </w:rPr>
        <w:t xml:space="preserve">  </w:t>
      </w:r>
      <w:r>
        <w:rPr>
          <w:rFonts w:ascii="Times New Roman" w:hAnsi="Times New Roman" w:eastAsia="宋体" w:cs="Times New Roman"/>
          <w:color w:val="auto"/>
          <w:sz w:val="24"/>
          <w:highlight w:val="none"/>
        </w:rPr>
        <w:t>初步勘察</w:t>
      </w:r>
      <w:bookmarkEnd w:id="399"/>
      <w:bookmarkEnd w:id="400"/>
      <w:bookmarkEnd w:id="401"/>
    </w:p>
    <w:p>
      <w:pPr>
        <w:spacing w:line="360" w:lineRule="auto"/>
        <w:rPr>
          <w:rFonts w:ascii="Times New Roman" w:hAnsi="Times New Roman" w:eastAsia="宋体"/>
          <w:color w:val="auto"/>
          <w:highlight w:val="none"/>
        </w:rPr>
      </w:pPr>
      <w:r>
        <w:rPr>
          <w:rFonts w:ascii="Times New Roman" w:hAnsi="Times New Roman" w:eastAsia="宋体"/>
          <w:b/>
          <w:bCs/>
          <w:color w:val="auto"/>
          <w:highlight w:val="none"/>
        </w:rPr>
        <w:t xml:space="preserve">8.3.1 </w:t>
      </w:r>
      <w:r>
        <w:rPr>
          <w:rFonts w:hint="eastAsia"/>
          <w:b/>
          <w:bCs/>
          <w:color w:val="auto"/>
          <w:highlight w:val="none"/>
          <w:lang w:val="en-US" w:eastAsia="zh-CN"/>
        </w:rPr>
        <w:t xml:space="preserve"> </w:t>
      </w:r>
      <w:r>
        <w:rPr>
          <w:rFonts w:ascii="Times New Roman" w:hAnsi="Times New Roman" w:eastAsia="宋体"/>
          <w:color w:val="auto"/>
          <w:highlight w:val="none"/>
        </w:rPr>
        <w:t>本条在行标《市政工程勘察规范》CJJ 56-2012第9.3.1条和第9.3.4条基础上作了必要的扩展。</w:t>
      </w:r>
    </w:p>
    <w:p>
      <w:pPr>
        <w:spacing w:line="360" w:lineRule="auto"/>
        <w:rPr>
          <w:rFonts w:ascii="Times New Roman" w:hAnsi="Times New Roman" w:eastAsia="宋体"/>
          <w:color w:val="auto"/>
          <w:highlight w:val="none"/>
        </w:rPr>
      </w:pPr>
      <w:r>
        <w:rPr>
          <w:rFonts w:ascii="Times New Roman" w:hAnsi="Times New Roman" w:eastAsia="宋体"/>
          <w:b/>
          <w:bCs/>
          <w:color w:val="auto"/>
          <w:highlight w:val="none"/>
        </w:rPr>
        <w:t xml:space="preserve">8.3.2 </w:t>
      </w:r>
      <w:r>
        <w:rPr>
          <w:rFonts w:hint="eastAsia"/>
          <w:b/>
          <w:bCs/>
          <w:color w:val="auto"/>
          <w:highlight w:val="none"/>
          <w:lang w:val="en-US" w:eastAsia="zh-CN"/>
        </w:rPr>
        <w:t xml:space="preserve"> </w:t>
      </w:r>
      <w:r>
        <w:rPr>
          <w:rFonts w:ascii="Times New Roman" w:hAnsi="Times New Roman" w:eastAsia="宋体"/>
          <w:color w:val="auto"/>
          <w:highlight w:val="none"/>
        </w:rPr>
        <w:t>本条在行标《市政工程勘察规范》CJJ 56-2012第8.3.2条基础上增加第3点。</w:t>
      </w:r>
    </w:p>
    <w:p>
      <w:pPr>
        <w:spacing w:line="360" w:lineRule="auto"/>
        <w:rPr>
          <w:rFonts w:ascii="Times New Roman" w:hAnsi="Times New Roman" w:eastAsia="宋体"/>
          <w:b/>
          <w:bCs/>
          <w:color w:val="auto"/>
          <w:highlight w:val="none"/>
        </w:rPr>
      </w:pPr>
      <w:r>
        <w:rPr>
          <w:rFonts w:ascii="Times New Roman" w:hAnsi="Times New Roman" w:eastAsia="宋体"/>
          <w:b/>
          <w:bCs/>
          <w:color w:val="auto"/>
          <w:highlight w:val="none"/>
        </w:rPr>
        <w:t xml:space="preserve">8.3.3 </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就本条第1~2款说明如下：</w:t>
      </w:r>
    </w:p>
    <w:p>
      <w:pPr>
        <w:spacing w:line="360" w:lineRule="auto"/>
        <w:ind w:firstLine="422" w:firstLineChars="200"/>
        <w:rPr>
          <w:rFonts w:hint="default" w:ascii="Times New Roman" w:hAnsi="Times New Roman" w:eastAsia="宋体"/>
          <w:b w:val="0"/>
          <w:bCs w:val="0"/>
          <w:color w:val="auto"/>
          <w:highlight w:val="none"/>
          <w:lang w:val="en-US" w:eastAsia="zh-CN"/>
        </w:rPr>
      </w:pPr>
      <w:r>
        <w:rPr>
          <w:rFonts w:hint="eastAsia" w:ascii="Times New Roman" w:hAnsi="Times New Roman" w:eastAsia="宋体"/>
          <w:b/>
          <w:bCs/>
          <w:color w:val="auto"/>
          <w:highlight w:val="none"/>
          <w:lang w:val="en-US" w:eastAsia="zh-CN"/>
        </w:rPr>
        <w:t>1</w:t>
      </w:r>
      <w:r>
        <w:rPr>
          <w:rFonts w:hint="eastAsia"/>
          <w:b/>
          <w:bCs/>
          <w:color w:val="auto"/>
          <w:highlight w:val="none"/>
          <w:lang w:val="en-US" w:eastAsia="zh-CN"/>
        </w:rPr>
        <w:t xml:space="preserve"> </w:t>
      </w:r>
      <w:r>
        <w:rPr>
          <w:rFonts w:hint="eastAsia" w:ascii="Times New Roman" w:hAnsi="Times New Roman" w:eastAsia="宋体"/>
          <w:b w:val="0"/>
          <w:bCs w:val="0"/>
          <w:color w:val="auto"/>
          <w:highlight w:val="none"/>
          <w:lang w:val="en-US" w:eastAsia="zh-CN"/>
        </w:rPr>
        <w:t xml:space="preserve"> 为判定场地类别，勘探孔深度需达到20m以上，初勘孔不宜小于此深度；给排水厂站均有</w:t>
      </w:r>
      <w:r>
        <w:rPr>
          <w:rFonts w:ascii="Times New Roman" w:hAnsi="Times New Roman" w:eastAsia="宋体"/>
          <w:color w:val="auto"/>
          <w:highlight w:val="none"/>
        </w:rPr>
        <w:t>水处理建（构）筑物</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对沉降较为敏感，故初勘孔遇软土、松散砂层</w:t>
      </w:r>
      <w:r>
        <w:rPr>
          <w:rFonts w:hint="eastAsia"/>
          <w:color w:val="auto"/>
          <w:highlight w:val="none"/>
          <w:lang w:val="en-US" w:eastAsia="zh-CN"/>
        </w:rPr>
        <w:t>需</w:t>
      </w:r>
      <w:r>
        <w:rPr>
          <w:rFonts w:hint="eastAsia" w:ascii="Times New Roman" w:hAnsi="Times New Roman" w:eastAsia="宋体"/>
          <w:color w:val="auto"/>
          <w:highlight w:val="none"/>
          <w:lang w:val="en-US" w:eastAsia="zh-CN"/>
        </w:rPr>
        <w:t>予以钻穿；</w:t>
      </w:r>
    </w:p>
    <w:p>
      <w:pPr>
        <w:spacing w:line="360" w:lineRule="auto"/>
        <w:ind w:firstLine="422" w:firstLineChars="200"/>
        <w:rPr>
          <w:rFonts w:hint="default" w:ascii="Times New Roman" w:hAnsi="Times New Roman" w:eastAsia="宋体"/>
          <w:b w:val="0"/>
          <w:bCs w:val="0"/>
          <w:color w:val="auto"/>
          <w:highlight w:val="none"/>
          <w:lang w:val="en-US" w:eastAsia="zh-CN"/>
        </w:rPr>
      </w:pPr>
      <w:r>
        <w:rPr>
          <w:rFonts w:hint="eastAsia" w:ascii="Times New Roman" w:hAnsi="Times New Roman" w:eastAsia="宋体"/>
          <w:b/>
          <w:bCs/>
          <w:color w:val="auto"/>
          <w:highlight w:val="none"/>
          <w:lang w:val="en-US" w:eastAsia="zh-CN"/>
        </w:rPr>
        <w:t>2</w:t>
      </w:r>
      <w:r>
        <w:rPr>
          <w:rFonts w:hint="eastAsia"/>
          <w:b/>
          <w:bCs/>
          <w:color w:val="auto"/>
          <w:highlight w:val="none"/>
          <w:lang w:val="en-US" w:eastAsia="zh-CN"/>
        </w:rPr>
        <w:t xml:space="preserve"> </w:t>
      </w:r>
      <w:r>
        <w:rPr>
          <w:rFonts w:hint="eastAsia" w:ascii="Times New Roman" w:hAnsi="Times New Roman" w:eastAsia="宋体"/>
          <w:b w:val="0"/>
          <w:bCs w:val="0"/>
          <w:color w:val="auto"/>
          <w:highlight w:val="none"/>
          <w:lang w:val="en-US" w:eastAsia="zh-CN"/>
        </w:rPr>
        <w:t xml:space="preserve"> 地埋式污水厂或泵站一般基坑深度可达10m以上，往往可达14m~16m。对于基坑支护结构初勘钻孔，深度不宜小于2.5倍基坑开挖深度，即不宜小于35m~40m；基坑内的</w:t>
      </w:r>
      <w:r>
        <w:rPr>
          <w:rFonts w:ascii="Times New Roman" w:hAnsi="Times New Roman" w:eastAsia="宋体"/>
          <w:color w:val="auto"/>
          <w:highlight w:val="none"/>
        </w:rPr>
        <w:t>水处理建（构）筑物</w:t>
      </w:r>
      <w:r>
        <w:rPr>
          <w:rFonts w:hint="eastAsia" w:ascii="Times New Roman" w:hAnsi="Times New Roman" w:eastAsia="宋体"/>
          <w:color w:val="auto"/>
          <w:highlight w:val="none"/>
          <w:lang w:val="en-US" w:eastAsia="zh-CN"/>
        </w:rPr>
        <w:t>勘探孔不宜小于20+14m~20+16m；抗拔桩桩长一般为10m~15m，其勘探孔深度不宜小于15+3+14m~15+3+16m</w:t>
      </w:r>
      <w:r>
        <w:rPr>
          <w:rFonts w:hint="eastAsia" w:ascii="Times New Roman" w:hAnsi="Times New Roman" w:eastAsia="宋体"/>
          <w:b w:val="0"/>
          <w:bCs w:val="0"/>
          <w:color w:val="auto"/>
          <w:highlight w:val="none"/>
          <w:lang w:val="en-US" w:eastAsia="zh-CN"/>
        </w:rPr>
        <w:t>。综合三者考虑，勘探孔深度宜达到40m以上。</w:t>
      </w:r>
    </w:p>
    <w:p>
      <w:pPr>
        <w:spacing w:line="360" w:lineRule="auto"/>
        <w:rPr>
          <w:rFonts w:ascii="Times New Roman" w:hAnsi="Times New Roman" w:eastAsia="宋体"/>
          <w:color w:val="auto"/>
          <w:highlight w:val="none"/>
        </w:rPr>
      </w:pPr>
      <w:r>
        <w:rPr>
          <w:rFonts w:ascii="Times New Roman" w:hAnsi="Times New Roman" w:eastAsia="宋体"/>
          <w:b/>
          <w:bCs/>
          <w:color w:val="auto"/>
          <w:highlight w:val="none"/>
        </w:rPr>
        <w:t>8.3.</w:t>
      </w:r>
      <w:r>
        <w:rPr>
          <w:rFonts w:hint="eastAsia" w:ascii="Times New Roman" w:hAnsi="Times New Roman" w:eastAsia="宋体"/>
          <w:b/>
          <w:bCs/>
          <w:color w:val="auto"/>
          <w:highlight w:val="none"/>
          <w:lang w:val="en-US" w:eastAsia="zh-CN"/>
        </w:rPr>
        <w:t xml:space="preserve">4 </w:t>
      </w:r>
      <w:r>
        <w:rPr>
          <w:rFonts w:hint="eastAsia"/>
          <w:b/>
          <w:bCs/>
          <w:color w:val="auto"/>
          <w:highlight w:val="none"/>
          <w:lang w:val="en-US" w:eastAsia="zh-CN"/>
        </w:rPr>
        <w:t xml:space="preserve"> </w:t>
      </w:r>
      <w:r>
        <w:rPr>
          <w:rFonts w:ascii="Times New Roman" w:hAnsi="Times New Roman" w:eastAsia="宋体"/>
          <w:color w:val="auto"/>
          <w:highlight w:val="none"/>
        </w:rPr>
        <w:t>查明地埋式污水厂基坑的岩面起伏、岩溶和孤石分布等情况，对于基坑支护设计、挖方体土石比的估算，以及采用抗拔桩还是抗浮锚杆进行抗浮设计，都较为重要。初勘阶段通过物探结合少量</w:t>
      </w:r>
      <w:r>
        <w:rPr>
          <w:rFonts w:hint="eastAsia" w:ascii="Times New Roman" w:hAnsi="Times New Roman" w:eastAsia="宋体"/>
          <w:color w:val="auto"/>
          <w:highlight w:val="none"/>
          <w:lang w:eastAsia="zh-CN"/>
        </w:rPr>
        <w:t>勘探</w:t>
      </w:r>
      <w:r>
        <w:rPr>
          <w:rFonts w:ascii="Times New Roman" w:hAnsi="Times New Roman" w:eastAsia="宋体"/>
          <w:color w:val="auto"/>
          <w:highlight w:val="none"/>
        </w:rPr>
        <w:t>的综合勘探方式查岩面起伏是经济有效的。</w:t>
      </w:r>
    </w:p>
    <w:p>
      <w:pPr>
        <w:pStyle w:val="3"/>
        <w:jc w:val="center"/>
        <w:rPr>
          <w:rFonts w:ascii="Times New Roman" w:hAnsi="Times New Roman" w:eastAsia="宋体" w:cs="Times New Roman"/>
          <w:color w:val="auto"/>
          <w:sz w:val="24"/>
          <w:highlight w:val="none"/>
        </w:rPr>
      </w:pPr>
      <w:bookmarkStart w:id="402" w:name="_Toc25063"/>
      <w:bookmarkStart w:id="403" w:name="_Toc8015"/>
      <w:r>
        <w:rPr>
          <w:rFonts w:ascii="Times New Roman" w:hAnsi="Times New Roman" w:eastAsia="宋体" w:cs="Times New Roman"/>
          <w:color w:val="auto"/>
          <w:sz w:val="24"/>
          <w:highlight w:val="none"/>
        </w:rPr>
        <w:t>8.</w:t>
      </w:r>
      <w:r>
        <w:rPr>
          <w:rFonts w:hint="eastAsia" w:ascii="Times New Roman" w:hAnsi="Times New Roman" w:eastAsia="宋体" w:cs="Times New Roman"/>
          <w:color w:val="auto"/>
          <w:sz w:val="24"/>
          <w:highlight w:val="none"/>
          <w:lang w:val="en-US" w:eastAsia="zh-CN"/>
        </w:rPr>
        <w:t>4  详细</w:t>
      </w:r>
      <w:r>
        <w:rPr>
          <w:rFonts w:ascii="Times New Roman" w:hAnsi="Times New Roman" w:eastAsia="宋体" w:cs="Times New Roman"/>
          <w:color w:val="auto"/>
          <w:sz w:val="24"/>
          <w:highlight w:val="none"/>
        </w:rPr>
        <w:t>勘察</w:t>
      </w:r>
      <w:bookmarkEnd w:id="402"/>
      <w:bookmarkEnd w:id="403"/>
    </w:p>
    <w:p>
      <w:pPr>
        <w:spacing w:line="360" w:lineRule="auto"/>
        <w:rPr>
          <w:rFonts w:ascii="Times New Roman" w:hAnsi="Times New Roman" w:eastAsia="宋体"/>
          <w:color w:val="auto"/>
          <w:highlight w:val="none"/>
        </w:rPr>
      </w:pPr>
      <w:r>
        <w:rPr>
          <w:rFonts w:hint="eastAsia" w:ascii="Times New Roman" w:hAnsi="Times New Roman" w:eastAsia="宋体"/>
          <w:b/>
          <w:bCs/>
          <w:color w:val="auto"/>
          <w:highlight w:val="none"/>
          <w:lang w:val="en-US" w:eastAsia="zh-CN"/>
        </w:rPr>
        <w:t>8.4.1</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ascii="Times New Roman" w:hAnsi="Times New Roman" w:eastAsia="宋体"/>
          <w:color w:val="auto"/>
          <w:highlight w:val="none"/>
        </w:rPr>
        <w:t>地埋式污水厂涉及大型基坑开挖，因此，要考虑基坑的支护、止水，开挖范围的土石比例，以及建设过程与周边既有地下设施之间的相互影响。同时，由于地埋式污水厂一般地上建筑物部分较少，在地下水位普遍较高的广东地区地下结构的抗浮是设计需要解决的主要问题，勘察需特别关注地下水位的变化，给出抗浮设计水位建议值，并对抗浮设计提出与岩土相关的建议。行标《市政工程勘察规范》CJJ 56-2012第8.1.3条的内容在第3章已涵盖，在此不作复述。</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行标《市政工程勘察规范》CJJ 56-2012第8.1.4条仅对地下水位的观察提出要求。除常规的测试与室内实验项目外，本条列出了与</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给排水厂站设计所关心的主要参数相关的测试和室内实验项目，尤其对地埋式厂站基坑的勘察做了具体要求。</w:t>
      </w:r>
    </w:p>
    <w:p>
      <w:pPr>
        <w:spacing w:line="360" w:lineRule="auto"/>
        <w:ind w:firstLine="420" w:firstLineChars="200"/>
        <w:rPr>
          <w:rFonts w:hint="eastAsia" w:ascii="Times New Roman" w:hAnsi="Times New Roman" w:eastAsia="宋体"/>
          <w:color w:val="auto"/>
          <w:highlight w:val="none"/>
          <w:lang w:eastAsia="zh-CN"/>
        </w:rPr>
      </w:pPr>
      <w:r>
        <w:rPr>
          <w:rFonts w:ascii="Times New Roman" w:hAnsi="Times New Roman" w:eastAsia="宋体"/>
          <w:color w:val="auto"/>
          <w:szCs w:val="21"/>
          <w:highlight w:val="none"/>
        </w:rPr>
        <w:t xml:space="preserve"> </w:t>
      </w:r>
      <w:r>
        <w:rPr>
          <w:rFonts w:ascii="Times New Roman" w:hAnsi="Times New Roman" w:eastAsia="宋体"/>
          <w:color w:val="auto"/>
          <w:highlight w:val="none"/>
        </w:rPr>
        <w:t>当工程需要时，</w:t>
      </w:r>
      <w:r>
        <w:rPr>
          <w:rFonts w:ascii="Times New Roman" w:hAnsi="Times New Roman" w:eastAsia="宋体"/>
          <w:color w:val="auto"/>
          <w:szCs w:val="21"/>
          <w:highlight w:val="none"/>
        </w:rPr>
        <w:t>布置水位观测孔观测水位在整个勘察期的变化；当周边存在地表水体时，观测周边地表水的水位变化；当邻近山体时，对山坡地下水位及泉眼进行观测</w:t>
      </w:r>
      <w:r>
        <w:rPr>
          <w:rFonts w:hint="eastAsia" w:ascii="Times New Roman" w:hAnsi="Times New Roman" w:eastAsia="宋体"/>
          <w:color w:val="auto"/>
          <w:szCs w:val="21"/>
          <w:highlight w:val="none"/>
          <w:lang w:eastAsia="zh-CN"/>
        </w:rPr>
        <w:t>。</w:t>
      </w:r>
    </w:p>
    <w:p>
      <w:pPr>
        <w:spacing w:line="360" w:lineRule="auto"/>
        <w:rPr>
          <w:rFonts w:hint="default"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8.4.2</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本条款在参照</w:t>
      </w:r>
      <w:r>
        <w:rPr>
          <w:rFonts w:ascii="Times New Roman" w:hAnsi="Times New Roman" w:eastAsia="宋体"/>
          <w:color w:val="auto"/>
          <w:highlight w:val="none"/>
        </w:rPr>
        <w:t>行标《市政工程勘察规范》CJJ 56-2012</w:t>
      </w:r>
      <w:r>
        <w:rPr>
          <w:rFonts w:hint="eastAsia" w:ascii="Times New Roman" w:hAnsi="Times New Roman" w:eastAsia="宋体"/>
          <w:color w:val="auto"/>
          <w:highlight w:val="none"/>
          <w:lang w:val="en-US" w:eastAsia="zh-CN"/>
        </w:rPr>
        <w:t>第9.4.2条基础上，作如下调整：</w:t>
      </w:r>
    </w:p>
    <w:p>
      <w:pPr>
        <w:spacing w:line="360" w:lineRule="auto"/>
        <w:ind w:firstLine="422" w:firstLineChars="200"/>
        <w:rPr>
          <w:rFonts w:hint="default"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1</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 xml:space="preserve"> 鉴于当前地埋式厂站、泵站较为普遍，在</w:t>
      </w:r>
      <w:r>
        <w:rPr>
          <w:rFonts w:ascii="Times New Roman" w:hAnsi="Times New Roman" w:eastAsia="宋体"/>
          <w:color w:val="auto"/>
          <w:highlight w:val="none"/>
        </w:rPr>
        <w:t>行标《市政工程勘察规范》CJJ 56-2012</w:t>
      </w:r>
      <w:r>
        <w:rPr>
          <w:rFonts w:hint="eastAsia" w:ascii="Times New Roman" w:hAnsi="Times New Roman" w:eastAsia="宋体"/>
          <w:color w:val="auto"/>
          <w:highlight w:val="none"/>
          <w:lang w:val="en-US" w:eastAsia="zh-CN"/>
        </w:rPr>
        <w:t>基础上，增加了厂站基坑工程勘探点的布置原则。</w:t>
      </w:r>
    </w:p>
    <w:p>
      <w:pPr>
        <w:spacing w:line="360" w:lineRule="auto"/>
        <w:ind w:firstLine="420" w:firstLineChars="20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根据住建部印发的《危险性较大的分部分项工程安全管理规定》（住房和城乡建设部令第37号）、《广东省住房和城乡建设厅关于危险性较大的分部分项工程安全管理的实施细则》，基坑开挖深度超过3m（含3m）为危险性较大的分部分项工程，超过5m（含5m）为超过一定规模的危险性较大的分部分项工程。因而，深度超过3m的基坑工程均需要加强勘察。根据《建筑基坑支护技术规程》JGJ 120-2012，沿基坑边的勘探点间距宜为15m~25m，故场地或岩土条件复杂程度等级二级、三级的情况分别按15m~20m、20m~25m，一级的情况则适当加密至10m~15m。</w:t>
      </w:r>
    </w:p>
    <w:p>
      <w:pPr>
        <w:spacing w:line="360" w:lineRule="auto"/>
        <w:ind w:firstLine="422" w:firstLineChars="200"/>
        <w:rPr>
          <w:rFonts w:hint="default" w:ascii="Times New Roman" w:hAnsi="Times New Roman" w:eastAsia="宋体"/>
          <w:color w:val="auto"/>
          <w:szCs w:val="21"/>
          <w:highlight w:val="none"/>
          <w:lang w:val="en-US" w:eastAsia="zh-CN"/>
        </w:rPr>
      </w:pPr>
      <w:r>
        <w:rPr>
          <w:rFonts w:hint="eastAsia" w:ascii="Times New Roman" w:hAnsi="Times New Roman" w:eastAsia="宋体"/>
          <w:b/>
          <w:bCs/>
          <w:color w:val="auto"/>
          <w:highlight w:val="none"/>
          <w:lang w:val="en-US" w:eastAsia="zh-CN"/>
        </w:rPr>
        <w:t>2</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 xml:space="preserve"> 对存在土岩界面，或</w:t>
      </w:r>
      <w:r>
        <w:rPr>
          <w:rFonts w:ascii="Times New Roman" w:hAnsi="Times New Roman" w:eastAsia="宋体"/>
          <w:color w:val="auto"/>
          <w:szCs w:val="21"/>
          <w:highlight w:val="none"/>
        </w:rPr>
        <w:t>岩层存在明显的</w:t>
      </w:r>
      <w:r>
        <w:rPr>
          <w:rFonts w:hint="eastAsia" w:ascii="Times New Roman" w:hAnsi="Times New Roman" w:eastAsia="宋体"/>
          <w:color w:val="auto"/>
          <w:szCs w:val="21"/>
          <w:highlight w:val="none"/>
          <w:lang w:val="en-US" w:eastAsia="zh-CN"/>
        </w:rPr>
        <w:t>结构面</w:t>
      </w:r>
      <w:r>
        <w:rPr>
          <w:rFonts w:ascii="Times New Roman" w:hAnsi="Times New Roman" w:eastAsia="宋体"/>
          <w:color w:val="auto"/>
          <w:szCs w:val="21"/>
          <w:highlight w:val="none"/>
        </w:rPr>
        <w:t>或软弱夹层</w:t>
      </w:r>
      <w:r>
        <w:rPr>
          <w:rFonts w:hint="eastAsia" w:ascii="Times New Roman" w:hAnsi="Times New Roman" w:eastAsia="宋体"/>
          <w:color w:val="auto"/>
          <w:szCs w:val="21"/>
          <w:highlight w:val="none"/>
          <w:lang w:val="en-US" w:eastAsia="zh-CN"/>
        </w:rPr>
        <w:t>的基坑，可能存在顺层滑动的风险，故宜在基坑外侧至少布置一排勘探点，以查明结构面或软弱夹层的性质和产状。必要时，通过开挖的方式进一步探查。</w:t>
      </w:r>
    </w:p>
    <w:p>
      <w:pPr>
        <w:spacing w:line="360" w:lineRule="auto"/>
        <w:ind w:firstLine="422" w:firstLineChars="200"/>
        <w:rPr>
          <w:rFonts w:hint="eastAsia" w:ascii="Times New Roman" w:hAnsi="Times New Roman" w:eastAsia="宋体"/>
          <w:color w:val="auto"/>
          <w:szCs w:val="21"/>
          <w:highlight w:val="none"/>
          <w:lang w:val="en-US" w:eastAsia="zh-CN"/>
        </w:rPr>
      </w:pPr>
      <w:r>
        <w:rPr>
          <w:rFonts w:hint="eastAsia" w:ascii="Times New Roman" w:hAnsi="Times New Roman" w:eastAsia="宋体"/>
          <w:b/>
          <w:bCs/>
          <w:color w:val="auto"/>
          <w:szCs w:val="21"/>
          <w:highlight w:val="none"/>
          <w:lang w:val="en-US" w:eastAsia="zh-CN"/>
        </w:rPr>
        <w:t>3</w:t>
      </w:r>
      <w:r>
        <w:rPr>
          <w:rFonts w:hint="eastAsia"/>
          <w:b/>
          <w:bCs/>
          <w:color w:val="auto"/>
          <w:szCs w:val="21"/>
          <w:highlight w:val="none"/>
          <w:lang w:val="en-US" w:eastAsia="zh-CN"/>
        </w:rPr>
        <w:t xml:space="preserve"> </w:t>
      </w:r>
      <w:r>
        <w:rPr>
          <w:rFonts w:hint="eastAsia" w:ascii="Times New Roman" w:hAnsi="Times New Roman" w:eastAsia="宋体"/>
          <w:color w:val="auto"/>
          <w:szCs w:val="21"/>
          <w:highlight w:val="none"/>
          <w:lang w:val="en-US" w:eastAsia="zh-CN"/>
        </w:rPr>
        <w:t xml:space="preserve"> 桩基工程其实在勘察之前并无法确定是端承桩还是摩擦桩。因此本规范未按行标进行区分。</w:t>
      </w:r>
    </w:p>
    <w:p>
      <w:pPr>
        <w:spacing w:line="360" w:lineRule="auto"/>
        <w:ind w:firstLine="422" w:firstLineChars="200"/>
        <w:rPr>
          <w:rFonts w:hint="default" w:ascii="Times New Roman" w:hAnsi="Times New Roman" w:eastAsia="宋体"/>
          <w:color w:val="auto"/>
          <w:szCs w:val="21"/>
          <w:highlight w:val="none"/>
          <w:lang w:val="en-US" w:eastAsia="zh-CN"/>
        </w:rPr>
      </w:pPr>
      <w:r>
        <w:rPr>
          <w:rFonts w:hint="eastAsia" w:ascii="Times New Roman" w:hAnsi="Times New Roman" w:eastAsia="宋体"/>
          <w:b/>
          <w:bCs/>
          <w:color w:val="auto"/>
          <w:szCs w:val="21"/>
          <w:highlight w:val="none"/>
          <w:lang w:val="en-US" w:eastAsia="zh-CN"/>
        </w:rPr>
        <w:t xml:space="preserve">4 </w:t>
      </w:r>
      <w:r>
        <w:rPr>
          <w:rFonts w:hint="eastAsia"/>
          <w:b/>
          <w:bCs/>
          <w:color w:val="auto"/>
          <w:szCs w:val="21"/>
          <w:highlight w:val="none"/>
          <w:lang w:val="en-US" w:eastAsia="zh-CN"/>
        </w:rPr>
        <w:t xml:space="preserve"> </w:t>
      </w:r>
      <w:r>
        <w:rPr>
          <w:rFonts w:hint="eastAsia" w:ascii="Times New Roman" w:hAnsi="Times New Roman" w:eastAsia="宋体"/>
          <w:color w:val="auto"/>
          <w:szCs w:val="21"/>
          <w:highlight w:val="none"/>
          <w:lang w:val="en-US" w:eastAsia="zh-CN"/>
        </w:rPr>
        <w:t>对于</w:t>
      </w:r>
      <w:r>
        <w:rPr>
          <w:rFonts w:ascii="Times New Roman" w:hAnsi="Times New Roman" w:eastAsia="宋体"/>
          <w:color w:val="auto"/>
          <w:highlight w:val="none"/>
        </w:rPr>
        <w:t>建筑面积小于等于200m</w:t>
      </w:r>
      <w:r>
        <w:rPr>
          <w:rFonts w:ascii="Times New Roman" w:hAnsi="Times New Roman" w:eastAsia="宋体"/>
          <w:color w:val="auto"/>
          <w:highlight w:val="none"/>
          <w:vertAlign w:val="superscript"/>
        </w:rPr>
        <w:t>2</w:t>
      </w:r>
      <w:r>
        <w:rPr>
          <w:rFonts w:ascii="Times New Roman" w:hAnsi="Times New Roman" w:eastAsia="宋体"/>
          <w:color w:val="auto"/>
          <w:highlight w:val="none"/>
        </w:rPr>
        <w:t>的泵房，</w:t>
      </w:r>
      <w:r>
        <w:rPr>
          <w:rFonts w:hint="eastAsia" w:ascii="Times New Roman" w:hAnsi="Times New Roman" w:eastAsia="宋体"/>
          <w:color w:val="auto"/>
          <w:highlight w:val="none"/>
          <w:lang w:val="en-US" w:eastAsia="zh-CN"/>
        </w:rPr>
        <w:t>边长小于15m，地质条件相对简单时可酌情仅布置一个钻孔即可。此条参考了福建省《岩土工程勘察规范》DBJ 13-84-2006。</w:t>
      </w:r>
    </w:p>
    <w:p>
      <w:pPr>
        <w:spacing w:line="360" w:lineRule="auto"/>
        <w:rPr>
          <w:rFonts w:hint="default"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8.4.3</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本条款在参照</w:t>
      </w:r>
      <w:r>
        <w:rPr>
          <w:rFonts w:ascii="Times New Roman" w:hAnsi="Times New Roman" w:eastAsia="宋体"/>
          <w:color w:val="auto"/>
          <w:highlight w:val="none"/>
        </w:rPr>
        <w:t>行标《市政工程勘察规范》CJJ 56-2012</w:t>
      </w:r>
      <w:r>
        <w:rPr>
          <w:rFonts w:hint="eastAsia" w:ascii="Times New Roman" w:hAnsi="Times New Roman" w:eastAsia="宋体"/>
          <w:color w:val="auto"/>
          <w:highlight w:val="none"/>
          <w:lang w:val="en-US" w:eastAsia="zh-CN"/>
        </w:rPr>
        <w:t>第9.4.3条基础上，作如下调整：</w:t>
      </w:r>
    </w:p>
    <w:p>
      <w:pPr>
        <w:spacing w:line="360" w:lineRule="auto"/>
        <w:ind w:firstLine="422" w:firstLineChars="200"/>
        <w:rPr>
          <w:rFonts w:hint="default"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 xml:space="preserve">1 </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区分了条形基础、独立基础和筏（梁）板基础，并依据国标《岩土工程勘察规范》GB 50021-2001（2009年版）第4.1.18条的深度要求作了规定。对于水处理构筑物，需考虑排空时的抗浮问题，控制不均匀沉降，孔深均需满足变形计算要求。</w:t>
      </w:r>
    </w:p>
    <w:p>
      <w:pPr>
        <w:spacing w:line="360" w:lineRule="auto"/>
        <w:ind w:firstLine="422" w:firstLineChars="200"/>
        <w:rPr>
          <w:rFonts w:hint="eastAsia"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2</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 xml:space="preserve"> 根据地基变形计算深度简算公式，地基变形计算深度一般不超过2.5倍基础宽度。故对于重大设备，勘探孔深度按2.5倍基础宽度控制。</w:t>
      </w:r>
    </w:p>
    <w:p>
      <w:pPr>
        <w:spacing w:line="360" w:lineRule="auto"/>
        <w:ind w:firstLine="422" w:firstLineChars="200"/>
        <w:rPr>
          <w:rFonts w:hint="default"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3</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 xml:space="preserve"> </w:t>
      </w:r>
      <w:r>
        <w:rPr>
          <w:rFonts w:ascii="Times New Roman" w:hAnsi="Times New Roman" w:eastAsia="宋体"/>
          <w:color w:val="auto"/>
          <w:highlight w:val="none"/>
        </w:rPr>
        <w:t>取水头部</w:t>
      </w:r>
      <w:r>
        <w:rPr>
          <w:rFonts w:hint="eastAsia" w:ascii="Times New Roman" w:hAnsi="Times New Roman" w:eastAsia="宋体"/>
          <w:color w:val="auto"/>
          <w:highlight w:val="none"/>
          <w:lang w:val="en-US" w:eastAsia="zh-CN"/>
        </w:rPr>
        <w:t>或</w:t>
      </w:r>
      <w:r>
        <w:rPr>
          <w:rFonts w:ascii="Times New Roman" w:hAnsi="Times New Roman" w:eastAsia="宋体"/>
          <w:color w:val="auto"/>
          <w:highlight w:val="none"/>
        </w:rPr>
        <w:t>排放口</w:t>
      </w:r>
      <w:r>
        <w:rPr>
          <w:rFonts w:hint="eastAsia" w:ascii="Times New Roman" w:hAnsi="Times New Roman" w:eastAsia="宋体"/>
          <w:color w:val="auto"/>
          <w:highlight w:val="none"/>
          <w:lang w:val="en-US" w:eastAsia="zh-CN"/>
        </w:rPr>
        <w:t>的竖向荷载一般不大，但往往承受一定的水平荷载，地基稳定性要求较高，孔深综合考虑地基稳定性要求。</w:t>
      </w:r>
    </w:p>
    <w:p>
      <w:pPr>
        <w:spacing w:line="360" w:lineRule="auto"/>
        <w:rPr>
          <w:rFonts w:hint="default"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8.4.4</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主要土层取样组数可适当多于6组，确保有效的物理力学指标不少于6个</w:t>
      </w:r>
      <w:r>
        <w:rPr>
          <w:rFonts w:ascii="Times New Roman" w:hAnsi="Times New Roman" w:eastAsia="宋体"/>
          <w:color w:val="auto"/>
          <w:highlight w:val="none"/>
        </w:rPr>
        <w:t>。</w:t>
      </w:r>
    </w:p>
    <w:p>
      <w:pPr>
        <w:spacing w:line="360" w:lineRule="auto"/>
        <w:rPr>
          <w:rFonts w:ascii="Times New Roman" w:hAnsi="Times New Roman" w:eastAsia="宋体"/>
          <w:color w:val="auto"/>
          <w:highlight w:val="none"/>
        </w:rPr>
      </w:pPr>
      <w:r>
        <w:rPr>
          <w:rFonts w:ascii="Times New Roman" w:hAnsi="Times New Roman" w:eastAsia="宋体"/>
          <w:b/>
          <w:bCs/>
          <w:color w:val="auto"/>
          <w:highlight w:val="none"/>
        </w:rPr>
        <w:t>8.</w:t>
      </w:r>
      <w:r>
        <w:rPr>
          <w:rFonts w:hint="eastAsia" w:ascii="Times New Roman" w:hAnsi="Times New Roman" w:eastAsia="宋体"/>
          <w:b/>
          <w:bCs/>
          <w:color w:val="auto"/>
          <w:highlight w:val="none"/>
          <w:lang w:val="en-US" w:eastAsia="zh-CN"/>
        </w:rPr>
        <w:t>4.5</w:t>
      </w:r>
      <w:r>
        <w:rPr>
          <w:rFonts w:ascii="Times New Roman" w:hAnsi="Times New Roman" w:eastAsia="宋体"/>
          <w:color w:val="auto"/>
          <w:highlight w:val="none"/>
        </w:rPr>
        <w:t xml:space="preserve"> </w:t>
      </w:r>
      <w:r>
        <w:rPr>
          <w:rFonts w:hint="eastAsia"/>
          <w:color w:val="auto"/>
          <w:highlight w:val="none"/>
          <w:lang w:val="en-US" w:eastAsia="zh-CN"/>
        </w:rPr>
        <w:t xml:space="preserve"> </w:t>
      </w:r>
      <w:r>
        <w:rPr>
          <w:rFonts w:ascii="Times New Roman" w:hAnsi="Times New Roman" w:eastAsia="宋体"/>
          <w:color w:val="auto"/>
          <w:highlight w:val="none"/>
        </w:rPr>
        <w:t>除提供土常规项目和地基承载力特征值的建议值外，</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给排水厂站勘察报告</w:t>
      </w:r>
      <w:r>
        <w:rPr>
          <w:rFonts w:hint="eastAsia"/>
          <w:color w:val="auto"/>
          <w:highlight w:val="none"/>
          <w:lang w:val="en-US" w:eastAsia="zh-CN"/>
        </w:rPr>
        <w:t>还需</w:t>
      </w:r>
      <w:r>
        <w:rPr>
          <w:rFonts w:ascii="Times New Roman" w:hAnsi="Times New Roman" w:eastAsia="宋体"/>
          <w:color w:val="auto"/>
          <w:highlight w:val="none"/>
        </w:rPr>
        <w:t>根据具体情况提供表</w:t>
      </w:r>
      <w:r>
        <w:rPr>
          <w:rFonts w:hint="eastAsia"/>
          <w:color w:val="auto"/>
          <w:highlight w:val="none"/>
          <w:lang w:val="en-US" w:eastAsia="zh-CN"/>
        </w:rPr>
        <w:t>8-</w:t>
      </w:r>
      <w:r>
        <w:rPr>
          <w:rFonts w:ascii="Times New Roman" w:hAnsi="Times New Roman" w:eastAsia="宋体"/>
          <w:color w:val="auto"/>
          <w:highlight w:val="none"/>
        </w:rPr>
        <w:t>1所示</w:t>
      </w:r>
      <w:r>
        <w:rPr>
          <w:rFonts w:hint="eastAsia"/>
          <w:color w:val="auto"/>
          <w:highlight w:val="none"/>
          <w:lang w:val="en-US" w:eastAsia="zh-CN"/>
        </w:rPr>
        <w:t>岩土参数</w:t>
      </w:r>
      <w:r>
        <w:rPr>
          <w:rFonts w:ascii="Times New Roman" w:hAnsi="Times New Roman" w:eastAsia="宋体"/>
          <w:color w:val="auto"/>
          <w:highlight w:val="none"/>
        </w:rPr>
        <w:t>。</w:t>
      </w:r>
    </w:p>
    <w:p>
      <w:pPr>
        <w:spacing w:line="360" w:lineRule="auto"/>
        <w:jc w:val="center"/>
        <w:rPr>
          <w:rFonts w:ascii="Times New Roman" w:hAnsi="Times New Roman" w:eastAsia="宋体"/>
          <w:b/>
          <w:bCs/>
          <w:color w:val="auto"/>
          <w:highlight w:val="none"/>
        </w:rPr>
      </w:pPr>
      <w:r>
        <w:rPr>
          <w:rFonts w:ascii="Times New Roman" w:hAnsi="Times New Roman" w:eastAsia="宋体"/>
          <w:b/>
          <w:bCs/>
          <w:color w:val="auto"/>
          <w:highlight w:val="none"/>
        </w:rPr>
        <w:t>表</w:t>
      </w:r>
      <w:r>
        <w:rPr>
          <w:rFonts w:hint="eastAsia"/>
          <w:b/>
          <w:bCs/>
          <w:color w:val="auto"/>
          <w:highlight w:val="none"/>
          <w:lang w:val="en-US" w:eastAsia="zh-CN"/>
        </w:rPr>
        <w:t>8-</w:t>
      </w:r>
      <w:r>
        <w:rPr>
          <w:rFonts w:ascii="Times New Roman" w:hAnsi="Times New Roman" w:eastAsia="宋体"/>
          <w:b/>
          <w:bCs/>
          <w:color w:val="auto"/>
          <w:highlight w:val="none"/>
        </w:rPr>
        <w:t>1</w:t>
      </w:r>
      <w:r>
        <w:rPr>
          <w:rFonts w:hint="eastAsia"/>
          <w:b/>
          <w:bCs/>
          <w:color w:val="auto"/>
          <w:highlight w:val="none"/>
          <w:lang w:val="en-US" w:eastAsia="zh-CN"/>
        </w:rPr>
        <w:t xml:space="preserve"> </w:t>
      </w:r>
      <w:r>
        <w:rPr>
          <w:rFonts w:ascii="Times New Roman" w:hAnsi="Times New Roman" w:eastAsia="宋体"/>
          <w:b/>
          <w:bCs/>
          <w:color w:val="auto"/>
          <w:highlight w:val="none"/>
        </w:rPr>
        <w:t xml:space="preserve"> </w:t>
      </w:r>
      <w:r>
        <w:rPr>
          <w:rFonts w:hint="eastAsia" w:ascii="Times New Roman" w:hAnsi="Times New Roman" w:eastAsia="宋体"/>
          <w:b/>
          <w:bCs/>
          <w:color w:val="auto"/>
          <w:highlight w:val="none"/>
          <w:lang w:eastAsia="zh-CN"/>
        </w:rPr>
        <w:t>城市</w:t>
      </w:r>
      <w:r>
        <w:rPr>
          <w:rFonts w:ascii="Times New Roman" w:hAnsi="Times New Roman" w:eastAsia="宋体"/>
          <w:b/>
          <w:bCs/>
          <w:color w:val="auto"/>
          <w:highlight w:val="none"/>
        </w:rPr>
        <w:t>给排水厂站勘察提供建议值的岩土参数</w:t>
      </w:r>
    </w:p>
    <w:tbl>
      <w:tblPr>
        <w:tblStyle w:val="22"/>
        <w:tblW w:w="83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3483"/>
        <w:gridCol w:w="34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361" w:type="dxa"/>
            <w:tcBorders>
              <w:tl2br w:val="nil"/>
              <w:tr2bl w:val="nil"/>
            </w:tcBorders>
            <w:vAlign w:val="center"/>
          </w:tcPr>
          <w:p>
            <w:pPr>
              <w:widowControl/>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类型</w:t>
            </w:r>
          </w:p>
        </w:tc>
        <w:tc>
          <w:tcPr>
            <w:tcW w:w="3483" w:type="dxa"/>
            <w:tcBorders>
              <w:tl2br w:val="nil"/>
              <w:tr2bl w:val="nil"/>
            </w:tcBorders>
            <w:vAlign w:val="center"/>
          </w:tcPr>
          <w:p>
            <w:pPr>
              <w:widowControl/>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地埋式建构筑物、泵房</w:t>
            </w:r>
          </w:p>
        </w:tc>
        <w:tc>
          <w:tcPr>
            <w:tcW w:w="3495" w:type="dxa"/>
            <w:tcBorders>
              <w:tl2br w:val="nil"/>
              <w:tr2bl w:val="nil"/>
            </w:tcBorders>
            <w:vAlign w:val="center"/>
          </w:tcPr>
          <w:p>
            <w:pPr>
              <w:widowControl/>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厂站其它范围、取水头部、排放口等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1361" w:type="dxa"/>
            <w:tcBorders>
              <w:tl2br w:val="nil"/>
              <w:tr2bl w:val="nil"/>
            </w:tcBorders>
            <w:vAlign w:val="center"/>
          </w:tcPr>
          <w:p>
            <w:pPr>
              <w:widowControl/>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提供建议值</w:t>
            </w:r>
          </w:p>
          <w:p>
            <w:pPr>
              <w:widowControl/>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的岩土参数</w:t>
            </w:r>
          </w:p>
        </w:tc>
        <w:tc>
          <w:tcPr>
            <w:tcW w:w="3483" w:type="dxa"/>
            <w:tcBorders>
              <w:tl2br w:val="nil"/>
              <w:tr2bl w:val="nil"/>
            </w:tcBorders>
            <w:vAlign w:val="center"/>
          </w:tcPr>
          <w:p>
            <w:pPr>
              <w:widowControl/>
              <w:spacing w:before="62" w:beforeLines="20"/>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 软土的有机质含量、pH值</w:t>
            </w:r>
          </w:p>
          <w:p>
            <w:pPr>
              <w:widowControl/>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2 复合地基增强体的侧阻力</w:t>
            </w:r>
          </w:p>
          <w:p>
            <w:pP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3 预制桩、灌注桩的侧阻力和端阻力</w:t>
            </w:r>
          </w:p>
          <w:p>
            <w:pP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4 岩土层渗透系数</w:t>
            </w:r>
          </w:p>
          <w:p>
            <w:pP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5 土（岩）体与锚固体粘结强度</w:t>
            </w:r>
          </w:p>
          <w:p>
            <w:pP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6 水平和垂直基床系数</w:t>
            </w:r>
          </w:p>
          <w:p>
            <w:pP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7 静止侧压力系数</w:t>
            </w:r>
          </w:p>
          <w:p>
            <w:pP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8 抗剪强度指标*</w:t>
            </w:r>
          </w:p>
          <w:p>
            <w:pP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9 沉井侧壁与土体间的单位摩阻力</w:t>
            </w:r>
          </w:p>
        </w:tc>
        <w:tc>
          <w:tcPr>
            <w:tcW w:w="3495" w:type="dxa"/>
            <w:tcBorders>
              <w:tl2br w:val="nil"/>
              <w:tr2bl w:val="nil"/>
            </w:tcBorders>
            <w:vAlign w:val="center"/>
          </w:tcPr>
          <w:p>
            <w:pPr>
              <w:widowControl/>
              <w:spacing w:before="93" w:beforeLines="30"/>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 软土的有机质含量、pH值</w:t>
            </w:r>
          </w:p>
          <w:p>
            <w:pPr>
              <w:widowControl/>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2 复合地基增强体的侧阻力</w:t>
            </w:r>
          </w:p>
          <w:p>
            <w:pPr>
              <w:widowControl/>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3 预制桩的侧阻力和端阻力</w:t>
            </w:r>
          </w:p>
        </w:tc>
      </w:tr>
    </w:tbl>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参照《建筑基坑支护技术规程》JGJ 120-2012第3.1.14条，地埋式建</w:t>
      </w:r>
      <w:r>
        <w:rPr>
          <w:rFonts w:ascii="Times New Roman" w:hAnsi="Times New Roman" w:eastAsia="宋体"/>
          <w:color w:val="auto"/>
          <w:szCs w:val="21"/>
          <w:highlight w:val="none"/>
        </w:rPr>
        <w:t>构筑物</w:t>
      </w:r>
      <w:r>
        <w:rPr>
          <w:rFonts w:ascii="Times New Roman" w:hAnsi="Times New Roman" w:eastAsia="宋体"/>
          <w:color w:val="auto"/>
          <w:highlight w:val="none"/>
        </w:rPr>
        <w:t>及泵房的抗剪强度指标</w:t>
      </w:r>
      <w:r>
        <w:rPr>
          <w:rFonts w:ascii="Times New Roman" w:hAnsi="Times New Roman" w:eastAsia="宋体"/>
          <w:i/>
          <w:iCs/>
          <w:color w:val="auto"/>
          <w:highlight w:val="none"/>
        </w:rPr>
        <w:t>c</w:t>
      </w:r>
      <w:r>
        <w:rPr>
          <w:rFonts w:ascii="Times New Roman" w:hAnsi="Times New Roman" w:eastAsia="宋体"/>
          <w:color w:val="auto"/>
          <w:highlight w:val="none"/>
        </w:rPr>
        <w:t>、</w:t>
      </w:r>
      <w:r>
        <w:rPr>
          <w:rFonts w:ascii="Times New Roman" w:hAnsi="Times New Roman" w:eastAsia="宋体"/>
          <w:i/>
          <w:iCs/>
          <w:color w:val="auto"/>
          <w:highlight w:val="none"/>
        </w:rPr>
        <w:t>φ</w:t>
      </w:r>
      <w:r>
        <w:rPr>
          <w:rFonts w:ascii="Times New Roman" w:hAnsi="Times New Roman" w:eastAsia="宋体"/>
          <w:color w:val="auto"/>
          <w:highlight w:val="none"/>
        </w:rPr>
        <w:t>可按表</w:t>
      </w:r>
      <w:r>
        <w:rPr>
          <w:rFonts w:hint="eastAsia"/>
          <w:color w:val="auto"/>
          <w:highlight w:val="none"/>
          <w:lang w:val="en-US" w:eastAsia="zh-CN"/>
        </w:rPr>
        <w:t>8-</w:t>
      </w:r>
      <w:r>
        <w:rPr>
          <w:rFonts w:hint="eastAsia" w:ascii="Times New Roman" w:hAnsi="Times New Roman" w:eastAsia="宋体"/>
          <w:color w:val="auto"/>
          <w:highlight w:val="none"/>
          <w:lang w:val="en-US" w:eastAsia="zh-CN"/>
        </w:rPr>
        <w:t>2</w:t>
      </w:r>
      <w:r>
        <w:rPr>
          <w:rFonts w:ascii="Times New Roman" w:hAnsi="Times New Roman" w:eastAsia="宋体"/>
          <w:color w:val="auto"/>
          <w:highlight w:val="none"/>
        </w:rPr>
        <w:t>要求取值。</w:t>
      </w:r>
    </w:p>
    <w:p>
      <w:pPr>
        <w:autoSpaceDE w:val="0"/>
        <w:spacing w:line="360" w:lineRule="auto"/>
        <w:jc w:val="center"/>
        <w:rPr>
          <w:rFonts w:ascii="Times New Roman" w:hAnsi="Times New Roman" w:eastAsia="宋体"/>
          <w:b/>
          <w:bCs/>
          <w:color w:val="auto"/>
          <w:kern w:val="0"/>
          <w:sz w:val="21"/>
          <w:szCs w:val="22"/>
          <w:highlight w:val="none"/>
        </w:rPr>
      </w:pPr>
      <w:r>
        <w:rPr>
          <w:rFonts w:ascii="Times New Roman" w:hAnsi="Times New Roman" w:eastAsia="宋体"/>
          <w:b/>
          <w:bCs/>
          <w:color w:val="auto"/>
          <w:kern w:val="0"/>
          <w:sz w:val="21"/>
          <w:szCs w:val="22"/>
          <w:highlight w:val="none"/>
        </w:rPr>
        <w:t>表</w:t>
      </w:r>
      <w:r>
        <w:rPr>
          <w:rFonts w:hint="eastAsia"/>
          <w:b/>
          <w:bCs/>
          <w:color w:val="auto"/>
          <w:kern w:val="0"/>
          <w:sz w:val="21"/>
          <w:szCs w:val="22"/>
          <w:highlight w:val="none"/>
          <w:lang w:val="en-US" w:eastAsia="zh-CN"/>
        </w:rPr>
        <w:t>8-</w:t>
      </w:r>
      <w:r>
        <w:rPr>
          <w:rFonts w:hint="eastAsia" w:ascii="Times New Roman" w:hAnsi="Times New Roman" w:eastAsia="宋体"/>
          <w:b/>
          <w:bCs/>
          <w:color w:val="auto"/>
          <w:kern w:val="0"/>
          <w:sz w:val="21"/>
          <w:szCs w:val="22"/>
          <w:highlight w:val="none"/>
          <w:lang w:val="en-US" w:eastAsia="zh-CN"/>
        </w:rPr>
        <w:t>2</w:t>
      </w:r>
      <w:r>
        <w:rPr>
          <w:rFonts w:ascii="Times New Roman" w:hAnsi="Times New Roman" w:eastAsia="宋体"/>
          <w:b/>
          <w:bCs/>
          <w:color w:val="auto"/>
          <w:kern w:val="0"/>
          <w:sz w:val="21"/>
          <w:szCs w:val="22"/>
          <w:highlight w:val="none"/>
        </w:rPr>
        <w:t xml:space="preserve"> </w:t>
      </w:r>
      <w:r>
        <w:rPr>
          <w:rFonts w:hint="eastAsia"/>
          <w:b/>
          <w:bCs/>
          <w:color w:val="auto"/>
          <w:kern w:val="0"/>
          <w:sz w:val="21"/>
          <w:szCs w:val="22"/>
          <w:highlight w:val="none"/>
          <w:lang w:val="en-US" w:eastAsia="zh-CN"/>
        </w:rPr>
        <w:t xml:space="preserve"> </w:t>
      </w:r>
      <w:r>
        <w:rPr>
          <w:rFonts w:ascii="Times New Roman" w:hAnsi="Times New Roman" w:eastAsia="宋体"/>
          <w:b/>
          <w:bCs/>
          <w:color w:val="auto"/>
          <w:kern w:val="0"/>
          <w:sz w:val="21"/>
          <w:szCs w:val="22"/>
          <w:highlight w:val="none"/>
        </w:rPr>
        <w:t>地埋式建构筑物及泵房的抗剪强度指标</w:t>
      </w:r>
      <w:r>
        <w:rPr>
          <w:rFonts w:ascii="Times New Roman" w:hAnsi="Times New Roman" w:eastAsia="宋体"/>
          <w:b/>
          <w:bCs/>
          <w:i/>
          <w:iCs/>
          <w:color w:val="auto"/>
          <w:kern w:val="0"/>
          <w:sz w:val="21"/>
          <w:szCs w:val="22"/>
          <w:highlight w:val="none"/>
        </w:rPr>
        <w:t>c</w:t>
      </w:r>
      <w:r>
        <w:rPr>
          <w:rFonts w:ascii="Times New Roman" w:hAnsi="Times New Roman" w:eastAsia="宋体"/>
          <w:b/>
          <w:bCs/>
          <w:color w:val="auto"/>
          <w:kern w:val="0"/>
          <w:sz w:val="21"/>
          <w:szCs w:val="22"/>
          <w:highlight w:val="none"/>
        </w:rPr>
        <w:t>、</w:t>
      </w:r>
      <w:r>
        <w:rPr>
          <w:rFonts w:ascii="Times New Roman" w:hAnsi="Times New Roman" w:eastAsia="宋体"/>
          <w:b/>
          <w:bCs/>
          <w:i/>
          <w:iCs/>
          <w:color w:val="auto"/>
          <w:kern w:val="0"/>
          <w:sz w:val="21"/>
          <w:szCs w:val="22"/>
          <w:highlight w:val="none"/>
        </w:rPr>
        <w:t>φ</w:t>
      </w:r>
      <w:r>
        <w:rPr>
          <w:rFonts w:ascii="Times New Roman" w:hAnsi="Times New Roman" w:eastAsia="宋体"/>
          <w:b/>
          <w:bCs/>
          <w:color w:val="auto"/>
          <w:kern w:val="0"/>
          <w:sz w:val="21"/>
          <w:szCs w:val="22"/>
          <w:highlight w:val="none"/>
        </w:rPr>
        <w:t>取值要求</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59"/>
        <w:gridCol w:w="1892"/>
        <w:gridCol w:w="1108"/>
        <w:gridCol w:w="1869"/>
        <w:gridCol w:w="981"/>
        <w:gridCol w:w="9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4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地层及工程条件</w:t>
            </w:r>
          </w:p>
        </w:tc>
        <w:tc>
          <w:tcPr>
            <w:tcW w:w="3000" w:type="dxa"/>
            <w:gridSpan w:val="2"/>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地下水位以上</w:t>
            </w:r>
          </w:p>
        </w:tc>
        <w:tc>
          <w:tcPr>
            <w:tcW w:w="3837" w:type="dxa"/>
            <w:gridSpan w:val="3"/>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地下水位以下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459" w:type="dxa"/>
            <w:vMerge w:val="continue"/>
            <w:tcBorders>
              <w:tl2br w:val="nil"/>
              <w:tr2bl w:val="nil"/>
            </w:tcBorders>
            <w:vAlign w:val="center"/>
          </w:tcPr>
          <w:p>
            <w:pPr>
              <w:rPr>
                <w:rFonts w:ascii="Times New Roman" w:hAnsi="Times New Roman" w:eastAsia="宋体"/>
                <w:color w:val="auto"/>
                <w:sz w:val="18"/>
                <w:szCs w:val="18"/>
                <w:highlight w:val="none"/>
              </w:rPr>
            </w:pPr>
          </w:p>
        </w:tc>
        <w:tc>
          <w:tcPr>
            <w:tcW w:w="1892" w:type="dxa"/>
            <w:vMerge w:val="restart"/>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黏性土</w:t>
            </w:r>
          </w:p>
        </w:tc>
        <w:tc>
          <w:tcPr>
            <w:tcW w:w="1108" w:type="dxa"/>
            <w:vMerge w:val="restart"/>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非黏性土</w:t>
            </w:r>
          </w:p>
        </w:tc>
        <w:tc>
          <w:tcPr>
            <w:tcW w:w="2850" w:type="dxa"/>
            <w:gridSpan w:val="2"/>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黏性土</w:t>
            </w:r>
          </w:p>
        </w:tc>
        <w:tc>
          <w:tcPr>
            <w:tcW w:w="987" w:type="dxa"/>
            <w:vMerge w:val="restart"/>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非黏性土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59" w:type="dxa"/>
            <w:vMerge w:val="continue"/>
            <w:tcBorders>
              <w:tl2br w:val="nil"/>
              <w:tr2bl w:val="nil"/>
            </w:tcBorders>
            <w:vAlign w:val="center"/>
          </w:tcPr>
          <w:p>
            <w:pPr>
              <w:rPr>
                <w:rFonts w:ascii="Times New Roman" w:hAnsi="Times New Roman" w:eastAsia="宋体"/>
                <w:color w:val="auto"/>
                <w:sz w:val="18"/>
                <w:szCs w:val="18"/>
                <w:highlight w:val="none"/>
              </w:rPr>
            </w:pPr>
          </w:p>
        </w:tc>
        <w:tc>
          <w:tcPr>
            <w:tcW w:w="1892" w:type="dxa"/>
            <w:vMerge w:val="continue"/>
            <w:tcBorders>
              <w:tl2br w:val="nil"/>
              <w:tr2bl w:val="nil"/>
            </w:tcBorders>
            <w:vAlign w:val="center"/>
          </w:tcPr>
          <w:p>
            <w:pPr>
              <w:rPr>
                <w:rFonts w:ascii="Times New Roman" w:hAnsi="Times New Roman" w:eastAsia="宋体"/>
                <w:color w:val="auto"/>
                <w:sz w:val="18"/>
                <w:szCs w:val="18"/>
                <w:highlight w:val="none"/>
              </w:rPr>
            </w:pPr>
          </w:p>
        </w:tc>
        <w:tc>
          <w:tcPr>
            <w:tcW w:w="1108" w:type="dxa"/>
            <w:vMerge w:val="continue"/>
            <w:tcBorders>
              <w:tl2br w:val="nil"/>
              <w:tr2bl w:val="nil"/>
            </w:tcBorders>
            <w:vAlign w:val="center"/>
          </w:tcPr>
          <w:p>
            <w:pPr>
              <w:rPr>
                <w:rFonts w:ascii="Times New Roman" w:hAnsi="Times New Roman" w:eastAsia="宋体"/>
                <w:color w:val="auto"/>
                <w:sz w:val="18"/>
                <w:szCs w:val="18"/>
                <w:highlight w:val="none"/>
              </w:rPr>
            </w:pPr>
          </w:p>
        </w:tc>
        <w:tc>
          <w:tcPr>
            <w:tcW w:w="1869"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正常固结或超固结土</w:t>
            </w:r>
          </w:p>
        </w:tc>
        <w:tc>
          <w:tcPr>
            <w:tcW w:w="981"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欠固结土</w:t>
            </w:r>
          </w:p>
        </w:tc>
        <w:tc>
          <w:tcPr>
            <w:tcW w:w="987" w:type="dxa"/>
            <w:vMerge w:val="continue"/>
            <w:tcBorders>
              <w:tl2br w:val="nil"/>
              <w:tr2bl w:val="nil"/>
            </w:tcBorders>
            <w:vAlign w:val="center"/>
          </w:tcPr>
          <w:p>
            <w:pPr>
              <w:jc w:val="center"/>
              <w:rPr>
                <w:rFonts w:ascii="Times New Roman" w:hAnsi="Times New Roman" w:eastAsia="宋体"/>
                <w:color w:val="auto"/>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ascii="Times New Roman" w:hAnsi="Times New Roman" w:eastAsia="宋体"/>
                <w:color w:val="auto"/>
                <w:sz w:val="18"/>
                <w:szCs w:val="18"/>
                <w:highlight w:val="none"/>
              </w:rPr>
            </w:pPr>
            <w:r>
              <w:rPr>
                <w:rFonts w:ascii="Times New Roman" w:hAnsi="Times New Roman" w:eastAsia="宋体"/>
                <w:color w:val="auto"/>
                <w:kern w:val="0"/>
                <w:sz w:val="20"/>
                <w:szCs w:val="21"/>
                <w:highlight w:val="none"/>
              </w:rPr>
              <w:t>抗剪强度指标</w:t>
            </w:r>
          </w:p>
        </w:tc>
        <w:tc>
          <w:tcPr>
            <w:tcW w:w="1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ascii="Times New Roman" w:hAnsi="Times New Roman" w:eastAsia="宋体"/>
                <w:color w:val="auto"/>
                <w:sz w:val="18"/>
                <w:szCs w:val="18"/>
                <w:highlight w:val="none"/>
              </w:rPr>
            </w:pPr>
            <w:r>
              <w:rPr>
                <w:rFonts w:ascii="Times New Roman" w:hAnsi="Times New Roman" w:eastAsia="宋体"/>
                <w:i/>
                <w:iCs/>
                <w:color w:val="auto"/>
                <w:kern w:val="0"/>
                <w:sz w:val="20"/>
                <w:szCs w:val="21"/>
                <w:highlight w:val="none"/>
              </w:rPr>
              <w:t>c</w:t>
            </w:r>
            <w:r>
              <w:rPr>
                <w:rFonts w:ascii="Times New Roman" w:hAnsi="Times New Roman" w:eastAsia="宋体"/>
                <w:color w:val="auto"/>
                <w:kern w:val="0"/>
                <w:sz w:val="20"/>
                <w:szCs w:val="21"/>
                <w:highlight w:val="none"/>
                <w:vertAlign w:val="subscript"/>
              </w:rPr>
              <w:t>cu</w:t>
            </w:r>
            <w:r>
              <w:rPr>
                <w:rFonts w:ascii="Times New Roman" w:hAnsi="Times New Roman" w:eastAsia="宋体"/>
                <w:color w:val="auto"/>
                <w:kern w:val="0"/>
                <w:sz w:val="20"/>
                <w:szCs w:val="21"/>
                <w:highlight w:val="none"/>
              </w:rPr>
              <w:t>、</w:t>
            </w:r>
            <w:r>
              <w:rPr>
                <w:rFonts w:ascii="Times New Roman" w:hAnsi="Times New Roman" w:eastAsia="宋体"/>
                <w:i/>
                <w:iCs/>
                <w:color w:val="auto"/>
                <w:kern w:val="0"/>
                <w:sz w:val="20"/>
                <w:szCs w:val="21"/>
                <w:highlight w:val="none"/>
              </w:rPr>
              <w:t>φ</w:t>
            </w:r>
            <w:r>
              <w:rPr>
                <w:rFonts w:ascii="Times New Roman" w:hAnsi="Times New Roman" w:eastAsia="宋体"/>
                <w:color w:val="auto"/>
                <w:kern w:val="0"/>
                <w:sz w:val="20"/>
                <w:szCs w:val="21"/>
                <w:highlight w:val="none"/>
                <w:vertAlign w:val="subscript"/>
              </w:rPr>
              <w:t>cu</w:t>
            </w:r>
            <w:r>
              <w:rPr>
                <w:rFonts w:ascii="Times New Roman" w:hAnsi="Times New Roman" w:eastAsia="宋体"/>
                <w:color w:val="auto"/>
                <w:kern w:val="0"/>
                <w:sz w:val="20"/>
                <w:szCs w:val="21"/>
                <w:highlight w:val="none"/>
              </w:rPr>
              <w:t>或</w:t>
            </w:r>
            <w:r>
              <w:rPr>
                <w:rFonts w:ascii="Times New Roman" w:hAnsi="Times New Roman" w:eastAsia="宋体"/>
                <w:i/>
                <w:iCs/>
                <w:color w:val="auto"/>
                <w:kern w:val="0"/>
                <w:sz w:val="20"/>
                <w:szCs w:val="21"/>
                <w:highlight w:val="none"/>
              </w:rPr>
              <w:t>c</w:t>
            </w:r>
            <w:r>
              <w:rPr>
                <w:rFonts w:ascii="Times New Roman" w:hAnsi="Times New Roman" w:eastAsia="宋体"/>
                <w:color w:val="auto"/>
                <w:kern w:val="0"/>
                <w:sz w:val="20"/>
                <w:szCs w:val="21"/>
                <w:highlight w:val="none"/>
                <w:vertAlign w:val="subscript"/>
              </w:rPr>
              <w:t>cq</w:t>
            </w:r>
            <w:r>
              <w:rPr>
                <w:rFonts w:ascii="Times New Roman" w:hAnsi="Times New Roman" w:eastAsia="宋体"/>
                <w:color w:val="auto"/>
                <w:kern w:val="0"/>
                <w:sz w:val="20"/>
                <w:szCs w:val="21"/>
                <w:highlight w:val="none"/>
              </w:rPr>
              <w:t>、</w:t>
            </w:r>
            <w:r>
              <w:rPr>
                <w:rFonts w:ascii="Times New Roman" w:hAnsi="Times New Roman" w:eastAsia="宋体"/>
                <w:i/>
                <w:iCs/>
                <w:color w:val="auto"/>
                <w:kern w:val="0"/>
                <w:sz w:val="20"/>
                <w:szCs w:val="21"/>
                <w:highlight w:val="none"/>
              </w:rPr>
              <w:t>φ</w:t>
            </w:r>
            <w:r>
              <w:rPr>
                <w:rFonts w:ascii="Times New Roman" w:hAnsi="Times New Roman" w:eastAsia="宋体"/>
                <w:color w:val="auto"/>
                <w:kern w:val="0"/>
                <w:sz w:val="20"/>
                <w:szCs w:val="21"/>
                <w:highlight w:val="none"/>
                <w:vertAlign w:val="subscript"/>
              </w:rPr>
              <w:t>cq</w:t>
            </w:r>
          </w:p>
        </w:tc>
        <w:tc>
          <w:tcPr>
            <w:tcW w:w="1108"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i/>
                <w:iCs/>
                <w:color w:val="auto"/>
                <w:kern w:val="0"/>
                <w:sz w:val="20"/>
                <w:szCs w:val="21"/>
                <w:highlight w:val="none"/>
              </w:rPr>
              <w:t>c</w:t>
            </w:r>
            <w:r>
              <w:rPr>
                <w:rFonts w:ascii="Times New Roman" w:hAnsi="Times New Roman" w:eastAsia="宋体"/>
                <w:color w:val="auto"/>
                <w:kern w:val="0"/>
                <w:sz w:val="20"/>
                <w:szCs w:val="21"/>
                <w:highlight w:val="none"/>
              </w:rPr>
              <w:t>’、</w:t>
            </w:r>
            <w:r>
              <w:rPr>
                <w:rFonts w:ascii="Times New Roman" w:hAnsi="Times New Roman" w:eastAsia="宋体"/>
                <w:i/>
                <w:iCs/>
                <w:color w:val="auto"/>
                <w:kern w:val="0"/>
                <w:sz w:val="20"/>
                <w:szCs w:val="21"/>
                <w:highlight w:val="none"/>
              </w:rPr>
              <w:t>φ</w:t>
            </w:r>
            <w:r>
              <w:rPr>
                <w:rFonts w:ascii="Times New Roman" w:hAnsi="Times New Roman" w:eastAsia="宋体"/>
                <w:color w:val="auto"/>
                <w:kern w:val="0"/>
                <w:sz w:val="20"/>
                <w:szCs w:val="21"/>
                <w:highlight w:val="none"/>
              </w:rPr>
              <w:t>’</w:t>
            </w:r>
          </w:p>
        </w:tc>
        <w:tc>
          <w:tcPr>
            <w:tcW w:w="1869"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i/>
                <w:iCs/>
                <w:color w:val="auto"/>
                <w:kern w:val="0"/>
                <w:sz w:val="20"/>
                <w:szCs w:val="21"/>
                <w:highlight w:val="none"/>
              </w:rPr>
              <w:t>c</w:t>
            </w:r>
            <w:r>
              <w:rPr>
                <w:rFonts w:ascii="Times New Roman" w:hAnsi="Times New Roman" w:eastAsia="宋体"/>
                <w:color w:val="auto"/>
                <w:kern w:val="0"/>
                <w:sz w:val="20"/>
                <w:szCs w:val="21"/>
                <w:highlight w:val="none"/>
                <w:vertAlign w:val="subscript"/>
              </w:rPr>
              <w:t>cu</w:t>
            </w:r>
            <w:r>
              <w:rPr>
                <w:rFonts w:ascii="Times New Roman" w:hAnsi="Times New Roman" w:eastAsia="宋体"/>
                <w:color w:val="auto"/>
                <w:kern w:val="0"/>
                <w:sz w:val="20"/>
                <w:szCs w:val="21"/>
                <w:highlight w:val="none"/>
              </w:rPr>
              <w:t>、</w:t>
            </w:r>
            <w:r>
              <w:rPr>
                <w:rFonts w:ascii="Times New Roman" w:hAnsi="Times New Roman" w:eastAsia="宋体"/>
                <w:i/>
                <w:iCs/>
                <w:color w:val="auto"/>
                <w:kern w:val="0"/>
                <w:sz w:val="20"/>
                <w:szCs w:val="21"/>
                <w:highlight w:val="none"/>
              </w:rPr>
              <w:t>φ</w:t>
            </w:r>
            <w:r>
              <w:rPr>
                <w:rFonts w:ascii="Times New Roman" w:hAnsi="Times New Roman" w:eastAsia="宋体"/>
                <w:color w:val="auto"/>
                <w:kern w:val="0"/>
                <w:sz w:val="20"/>
                <w:szCs w:val="21"/>
                <w:highlight w:val="none"/>
                <w:vertAlign w:val="subscript"/>
              </w:rPr>
              <w:t>cu</w:t>
            </w:r>
            <w:r>
              <w:rPr>
                <w:rFonts w:ascii="Times New Roman" w:hAnsi="Times New Roman" w:eastAsia="宋体"/>
                <w:color w:val="auto"/>
                <w:kern w:val="0"/>
                <w:sz w:val="20"/>
                <w:szCs w:val="21"/>
                <w:highlight w:val="none"/>
              </w:rPr>
              <w:t>或</w:t>
            </w:r>
            <w:r>
              <w:rPr>
                <w:rFonts w:ascii="Times New Roman" w:hAnsi="Times New Roman" w:eastAsia="宋体"/>
                <w:i/>
                <w:iCs/>
                <w:color w:val="auto"/>
                <w:kern w:val="0"/>
                <w:sz w:val="20"/>
                <w:szCs w:val="21"/>
                <w:highlight w:val="none"/>
              </w:rPr>
              <w:t>c</w:t>
            </w:r>
            <w:r>
              <w:rPr>
                <w:rFonts w:ascii="Times New Roman" w:hAnsi="Times New Roman" w:eastAsia="宋体"/>
                <w:color w:val="auto"/>
                <w:kern w:val="0"/>
                <w:sz w:val="20"/>
                <w:szCs w:val="21"/>
                <w:highlight w:val="none"/>
                <w:vertAlign w:val="subscript"/>
              </w:rPr>
              <w:t>cq</w:t>
            </w:r>
            <w:r>
              <w:rPr>
                <w:rFonts w:ascii="Times New Roman" w:hAnsi="Times New Roman" w:eastAsia="宋体"/>
                <w:color w:val="auto"/>
                <w:kern w:val="0"/>
                <w:sz w:val="20"/>
                <w:szCs w:val="21"/>
                <w:highlight w:val="none"/>
              </w:rPr>
              <w:t>、</w:t>
            </w:r>
            <w:r>
              <w:rPr>
                <w:rFonts w:ascii="Times New Roman" w:hAnsi="Times New Roman" w:eastAsia="宋体"/>
                <w:i/>
                <w:iCs/>
                <w:color w:val="auto"/>
                <w:kern w:val="0"/>
                <w:sz w:val="20"/>
                <w:szCs w:val="21"/>
                <w:highlight w:val="none"/>
              </w:rPr>
              <w:t>φ</w:t>
            </w:r>
            <w:r>
              <w:rPr>
                <w:rFonts w:ascii="Times New Roman" w:hAnsi="Times New Roman" w:eastAsia="宋体"/>
                <w:color w:val="auto"/>
                <w:kern w:val="0"/>
                <w:sz w:val="20"/>
                <w:szCs w:val="21"/>
                <w:highlight w:val="none"/>
                <w:vertAlign w:val="subscript"/>
              </w:rPr>
              <w:t>cq</w:t>
            </w:r>
          </w:p>
        </w:tc>
        <w:tc>
          <w:tcPr>
            <w:tcW w:w="981"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i/>
                <w:iCs/>
                <w:color w:val="auto"/>
                <w:kern w:val="0"/>
                <w:sz w:val="20"/>
                <w:szCs w:val="21"/>
                <w:highlight w:val="none"/>
              </w:rPr>
              <w:t>c</w:t>
            </w:r>
            <w:r>
              <w:rPr>
                <w:rFonts w:ascii="Times New Roman" w:hAnsi="Times New Roman" w:eastAsia="宋体"/>
                <w:color w:val="auto"/>
                <w:kern w:val="0"/>
                <w:sz w:val="20"/>
                <w:szCs w:val="21"/>
                <w:highlight w:val="none"/>
                <w:vertAlign w:val="subscript"/>
              </w:rPr>
              <w:t>uu</w:t>
            </w:r>
            <w:r>
              <w:rPr>
                <w:rFonts w:ascii="Times New Roman" w:hAnsi="Times New Roman" w:eastAsia="宋体"/>
                <w:color w:val="auto"/>
                <w:kern w:val="0"/>
                <w:sz w:val="20"/>
                <w:szCs w:val="21"/>
                <w:highlight w:val="none"/>
              </w:rPr>
              <w:t>、</w:t>
            </w:r>
            <w:r>
              <w:rPr>
                <w:rFonts w:ascii="Times New Roman" w:hAnsi="Times New Roman" w:eastAsia="宋体"/>
                <w:i/>
                <w:iCs/>
                <w:color w:val="auto"/>
                <w:kern w:val="0"/>
                <w:sz w:val="20"/>
                <w:szCs w:val="21"/>
                <w:highlight w:val="none"/>
              </w:rPr>
              <w:t>φ</w:t>
            </w:r>
            <w:r>
              <w:rPr>
                <w:rFonts w:ascii="Times New Roman" w:hAnsi="Times New Roman" w:eastAsia="宋体"/>
                <w:color w:val="auto"/>
                <w:kern w:val="0"/>
                <w:sz w:val="20"/>
                <w:szCs w:val="21"/>
                <w:highlight w:val="none"/>
                <w:vertAlign w:val="subscript"/>
              </w:rPr>
              <w:t>uu</w:t>
            </w:r>
          </w:p>
        </w:tc>
        <w:tc>
          <w:tcPr>
            <w:tcW w:w="987"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i/>
                <w:iCs/>
                <w:color w:val="auto"/>
                <w:kern w:val="0"/>
                <w:sz w:val="20"/>
                <w:szCs w:val="21"/>
                <w:highlight w:val="none"/>
              </w:rPr>
              <w:t>c</w:t>
            </w:r>
            <w:r>
              <w:rPr>
                <w:rFonts w:ascii="Times New Roman" w:hAnsi="Times New Roman" w:eastAsia="宋体"/>
                <w:color w:val="auto"/>
                <w:kern w:val="0"/>
                <w:sz w:val="20"/>
                <w:szCs w:val="21"/>
                <w:highlight w:val="none"/>
              </w:rPr>
              <w:t>’、</w:t>
            </w:r>
            <w:r>
              <w:rPr>
                <w:rFonts w:ascii="Times New Roman" w:hAnsi="Times New Roman" w:eastAsia="宋体"/>
                <w:i/>
                <w:iCs/>
                <w:color w:val="auto"/>
                <w:kern w:val="0"/>
                <w:sz w:val="20"/>
                <w:szCs w:val="21"/>
                <w:highlight w:val="none"/>
              </w:rPr>
              <w:t>φ</w:t>
            </w:r>
            <w:r>
              <w:rPr>
                <w:rFonts w:ascii="Times New Roman" w:hAnsi="Times New Roman" w:eastAsia="宋体"/>
                <w:color w:val="auto"/>
                <w:kern w:val="0"/>
                <w:sz w:val="20"/>
                <w:szCs w:val="21"/>
                <w:highlight w:val="none"/>
              </w:rPr>
              <w:t>’</w:t>
            </w:r>
          </w:p>
        </w:tc>
      </w:tr>
    </w:tbl>
    <w:p>
      <w:pPr>
        <w:spacing w:line="360" w:lineRule="auto"/>
        <w:ind w:firstLine="420" w:firstLineChars="200"/>
        <w:rPr>
          <w:rFonts w:hint="eastAsia" w:ascii="Times New Roman" w:hAnsi="Times New Roman" w:eastAsia="宋体"/>
          <w:color w:val="auto"/>
          <w:highlight w:val="none"/>
          <w:lang w:val="en-US" w:eastAsia="zh-CN"/>
        </w:rPr>
      </w:pP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br w:type="page"/>
      </w:r>
    </w:p>
    <w:p>
      <w:pPr>
        <w:rPr>
          <w:rFonts w:ascii="Times New Roman" w:hAnsi="Times New Roman" w:eastAsia="宋体"/>
          <w:color w:val="auto"/>
          <w:sz w:val="10"/>
          <w:szCs w:val="10"/>
          <w:highlight w:val="none"/>
        </w:rPr>
      </w:pPr>
    </w:p>
    <w:p>
      <w:pPr>
        <w:pStyle w:val="2"/>
        <w:rPr>
          <w:rFonts w:ascii="Times New Roman" w:hAnsi="Times New Roman" w:eastAsia="宋体"/>
          <w:color w:val="auto"/>
          <w:highlight w:val="none"/>
        </w:rPr>
      </w:pPr>
      <w:bookmarkStart w:id="404" w:name="_Toc76998283"/>
      <w:bookmarkStart w:id="405" w:name="_Toc24972"/>
      <w:bookmarkStart w:id="406" w:name="_Toc17750"/>
      <w:r>
        <w:rPr>
          <w:rFonts w:ascii="Times New Roman" w:hAnsi="Times New Roman" w:eastAsia="宋体"/>
          <w:color w:val="auto"/>
          <w:highlight w:val="none"/>
        </w:rPr>
        <w:t>9</w:t>
      </w:r>
      <w:r>
        <w:rPr>
          <w:rFonts w:hint="eastAsia" w:ascii="Times New Roman" w:hAnsi="Times New Roman" w:eastAsia="宋体"/>
          <w:color w:val="auto"/>
          <w:highlight w:val="none"/>
        </w:rPr>
        <w:t xml:space="preserve">  </w:t>
      </w:r>
      <w:r>
        <w:rPr>
          <w:rFonts w:hint="eastAsia" w:ascii="Times New Roman" w:hAnsi="Times New Roman" w:eastAsia="宋体"/>
          <w:color w:val="auto"/>
          <w:highlight w:val="none"/>
          <w:lang w:eastAsia="zh-CN"/>
        </w:rPr>
        <w:t>城市</w:t>
      </w:r>
      <w:r>
        <w:rPr>
          <w:rFonts w:hint="eastAsia" w:ascii="Times New Roman" w:hAnsi="Times New Roman" w:eastAsia="宋体"/>
          <w:color w:val="auto"/>
          <w:highlight w:val="none"/>
        </w:rPr>
        <w:t>室外</w:t>
      </w:r>
      <w:r>
        <w:rPr>
          <w:rFonts w:ascii="Times New Roman" w:hAnsi="Times New Roman" w:eastAsia="宋体"/>
          <w:color w:val="auto"/>
          <w:highlight w:val="none"/>
        </w:rPr>
        <w:t>管道工程</w:t>
      </w:r>
      <w:bookmarkEnd w:id="404"/>
      <w:bookmarkEnd w:id="405"/>
      <w:bookmarkEnd w:id="406"/>
    </w:p>
    <w:p>
      <w:pPr>
        <w:pStyle w:val="3"/>
        <w:jc w:val="center"/>
        <w:rPr>
          <w:rFonts w:ascii="Times New Roman" w:hAnsi="Times New Roman" w:eastAsia="宋体" w:cs="Times New Roman"/>
          <w:color w:val="auto"/>
          <w:sz w:val="24"/>
          <w:highlight w:val="none"/>
        </w:rPr>
      </w:pPr>
      <w:bookmarkStart w:id="407" w:name="_Toc76998284"/>
      <w:bookmarkStart w:id="408" w:name="_Toc6397"/>
      <w:bookmarkStart w:id="409" w:name="_Toc15732"/>
      <w:r>
        <w:rPr>
          <w:rFonts w:ascii="Times New Roman" w:hAnsi="Times New Roman" w:eastAsia="宋体" w:cs="Times New Roman"/>
          <w:color w:val="auto"/>
          <w:sz w:val="24"/>
          <w:highlight w:val="none"/>
        </w:rPr>
        <w:t xml:space="preserve">9.1 </w:t>
      </w:r>
      <w:r>
        <w:rPr>
          <w:rFonts w:hint="eastAsia" w:ascii="Times New Roman" w:hAnsi="Times New Roman" w:eastAsia="宋体" w:cs="Times New Roman"/>
          <w:color w:val="auto"/>
          <w:sz w:val="24"/>
          <w:highlight w:val="none"/>
          <w:lang w:val="en-US" w:eastAsia="zh-CN"/>
        </w:rPr>
        <w:t xml:space="preserve"> </w:t>
      </w:r>
      <w:r>
        <w:rPr>
          <w:rFonts w:ascii="Times New Roman" w:hAnsi="Times New Roman" w:eastAsia="宋体" w:cs="Times New Roman"/>
          <w:color w:val="auto"/>
          <w:sz w:val="24"/>
          <w:highlight w:val="none"/>
        </w:rPr>
        <w:t>一般规定</w:t>
      </w:r>
      <w:bookmarkEnd w:id="407"/>
      <w:bookmarkEnd w:id="408"/>
      <w:bookmarkEnd w:id="409"/>
    </w:p>
    <w:p>
      <w:pPr>
        <w:spacing w:line="360" w:lineRule="auto"/>
        <w:rPr>
          <w:rFonts w:hint="default" w:ascii="Times New Roman" w:hAnsi="Times New Roman" w:eastAsia="宋体"/>
          <w:b w:val="0"/>
          <w:bCs w:val="0"/>
          <w:color w:val="auto"/>
          <w:highlight w:val="none"/>
          <w:lang w:val="en-US" w:eastAsia="zh-CN"/>
        </w:rPr>
      </w:pPr>
      <w:r>
        <w:rPr>
          <w:rFonts w:ascii="Times New Roman" w:hAnsi="Times New Roman" w:eastAsia="宋体"/>
          <w:b/>
          <w:bCs/>
          <w:color w:val="auto"/>
          <w:highlight w:val="none"/>
        </w:rPr>
        <w:t>9.1.</w:t>
      </w:r>
      <w:r>
        <w:rPr>
          <w:rFonts w:hint="eastAsia" w:ascii="Times New Roman" w:hAnsi="Times New Roman" w:eastAsia="宋体"/>
          <w:b/>
          <w:bCs/>
          <w:color w:val="auto"/>
          <w:highlight w:val="none"/>
          <w:lang w:val="en-US" w:eastAsia="zh-CN"/>
        </w:rPr>
        <w:t>3</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hint="eastAsia" w:ascii="Times New Roman" w:hAnsi="Times New Roman" w:eastAsia="宋体"/>
          <w:b w:val="0"/>
          <w:bCs w:val="0"/>
          <w:color w:val="auto"/>
          <w:highlight w:val="none"/>
          <w:lang w:val="en-US" w:eastAsia="zh-CN"/>
        </w:rPr>
        <w:t>本条款相关说明如下：</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Times New Roman" w:hAnsi="Times New Roman" w:eastAsia="宋体"/>
          <w:color w:val="auto"/>
          <w:highlight w:val="none"/>
        </w:rPr>
      </w:pPr>
      <w:r>
        <w:rPr>
          <w:rFonts w:hint="eastAsia" w:ascii="Times New Roman" w:hAnsi="Times New Roman" w:eastAsia="宋体"/>
          <w:b/>
          <w:bCs/>
          <w:color w:val="auto"/>
          <w:szCs w:val="21"/>
          <w:highlight w:val="none"/>
          <w:lang w:val="en-US" w:eastAsia="zh-CN"/>
        </w:rPr>
        <w:t>1</w:t>
      </w:r>
      <w:r>
        <w:rPr>
          <w:rFonts w:hint="eastAsia" w:ascii="Times New Roman" w:hAnsi="Times New Roman" w:eastAsia="宋体"/>
          <w:color w:val="auto"/>
          <w:szCs w:val="21"/>
          <w:highlight w:val="none"/>
          <w:lang w:val="en-US" w:eastAsia="zh-CN"/>
        </w:rPr>
        <w:t xml:space="preserve"> </w:t>
      </w:r>
      <w:r>
        <w:rPr>
          <w:rFonts w:hint="eastAsia"/>
          <w:color w:val="auto"/>
          <w:szCs w:val="21"/>
          <w:highlight w:val="none"/>
          <w:lang w:val="en-US" w:eastAsia="zh-CN"/>
        </w:rPr>
        <w:t xml:space="preserve"> </w:t>
      </w:r>
      <w:r>
        <w:rPr>
          <w:rFonts w:ascii="Times New Roman" w:hAnsi="Times New Roman" w:eastAsia="宋体"/>
          <w:color w:val="auto"/>
          <w:szCs w:val="21"/>
          <w:highlight w:val="none"/>
        </w:rPr>
        <w:t>根据行标</w:t>
      </w:r>
      <w:r>
        <w:rPr>
          <w:rFonts w:ascii="Times New Roman" w:hAnsi="Times New Roman" w:eastAsia="宋体"/>
          <w:color w:val="auto"/>
          <w:highlight w:val="none"/>
        </w:rPr>
        <w:t>《市政工程勘察规范》CJJ 56-2012第8.4.2条，明挖管道勘探点宜沿管道中线布置。但是，近年来出现了不少</w:t>
      </w:r>
      <w:r>
        <w:rPr>
          <w:rFonts w:hint="eastAsia" w:ascii="Times New Roman" w:hAnsi="Times New Roman" w:eastAsia="宋体"/>
          <w:color w:val="auto"/>
          <w:highlight w:val="none"/>
          <w:lang w:val="en-US" w:eastAsia="zh-CN"/>
        </w:rPr>
        <w:t>大型</w:t>
      </w:r>
      <w:r>
        <w:rPr>
          <w:rFonts w:ascii="Times New Roman" w:hAnsi="Times New Roman" w:eastAsia="宋体"/>
          <w:color w:val="auto"/>
          <w:highlight w:val="none"/>
        </w:rPr>
        <w:t>的管道，其基坑开挖宽度达10m以上，在较为复杂的地质条件下，基坑两侧的地质情况差异较为明显，例如两侧软土或砂层厚度相差数米，仅沿基坑中线</w:t>
      </w:r>
      <w:r>
        <w:rPr>
          <w:rFonts w:hint="eastAsia" w:ascii="Times New Roman" w:hAnsi="Times New Roman" w:eastAsia="宋体"/>
          <w:color w:val="auto"/>
          <w:highlight w:val="none"/>
          <w:lang w:eastAsia="zh-CN"/>
        </w:rPr>
        <w:t>勘探</w:t>
      </w:r>
      <w:r>
        <w:rPr>
          <w:rFonts w:ascii="Times New Roman" w:hAnsi="Times New Roman" w:eastAsia="宋体"/>
          <w:color w:val="auto"/>
          <w:highlight w:val="none"/>
        </w:rPr>
        <w:t>，导致侧壁支护、止水结构深度不足，带来较大的安全隐患。故此，管道基坑开挖宽度10m以上的，</w:t>
      </w:r>
      <w:r>
        <w:rPr>
          <w:rFonts w:hint="eastAsia" w:ascii="Times New Roman" w:hAnsi="Times New Roman" w:eastAsia="宋体"/>
          <w:color w:val="auto"/>
          <w:highlight w:val="none"/>
          <w:lang w:val="en-US" w:eastAsia="zh-CN"/>
        </w:rPr>
        <w:t>宜</w:t>
      </w:r>
      <w:r>
        <w:rPr>
          <w:rFonts w:ascii="Times New Roman" w:hAnsi="Times New Roman" w:eastAsia="宋体"/>
          <w:color w:val="auto"/>
          <w:highlight w:val="none"/>
        </w:rPr>
        <w:t>左右交叉布置勘探</w:t>
      </w:r>
      <w:r>
        <w:rPr>
          <w:rFonts w:hint="eastAsia" w:ascii="Times New Roman" w:hAnsi="Times New Roman" w:eastAsia="宋体"/>
          <w:color w:val="auto"/>
          <w:highlight w:val="none"/>
          <w:lang w:val="en-US" w:eastAsia="zh-CN"/>
        </w:rPr>
        <w:t>点</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场地</w:t>
      </w:r>
      <w:r>
        <w:rPr>
          <w:rFonts w:hint="eastAsia" w:ascii="Times New Roman" w:hAnsi="Times New Roman" w:eastAsia="宋体"/>
          <w:color w:val="auto"/>
          <w:highlight w:val="none"/>
          <w:lang w:val="en-US" w:eastAsia="zh-CN"/>
        </w:rPr>
        <w:t>条件</w:t>
      </w:r>
      <w:r>
        <w:rPr>
          <w:rFonts w:ascii="Times New Roman" w:hAnsi="Times New Roman" w:eastAsia="宋体"/>
          <w:color w:val="auto"/>
          <w:highlight w:val="none"/>
        </w:rPr>
        <w:t>复杂</w:t>
      </w:r>
      <w:r>
        <w:rPr>
          <w:rFonts w:hint="eastAsia" w:ascii="Times New Roman" w:hAnsi="Times New Roman" w:eastAsia="宋体"/>
          <w:color w:val="auto"/>
          <w:highlight w:val="none"/>
          <w:lang w:val="en-US" w:eastAsia="zh-CN"/>
        </w:rPr>
        <w:t>地段，还可布置横勘探线</w:t>
      </w:r>
      <w:r>
        <w:rPr>
          <w:rFonts w:ascii="Times New Roman" w:hAnsi="Times New Roman" w:eastAsia="宋体"/>
          <w:color w:val="auto"/>
          <w:highlight w:val="none"/>
        </w:rPr>
        <w:t>，以了解基坑两侧地质条件的变化，确保基坑支护设计的合理、安全。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eastAsia="宋体"/>
          <w:color w:val="auto"/>
          <w:szCs w:val="21"/>
          <w:highlight w:val="none"/>
          <w:lang w:val="en-US" w:eastAsia="zh-CN"/>
        </w:rPr>
      </w:pPr>
      <w:r>
        <w:rPr>
          <w:rFonts w:hint="eastAsia" w:ascii="Times New Roman" w:hAnsi="Times New Roman" w:eastAsia="宋体"/>
          <w:b/>
          <w:bCs/>
          <w:color w:val="auto"/>
          <w:highlight w:val="none"/>
          <w:lang w:val="en-US" w:eastAsia="zh-CN"/>
        </w:rPr>
        <w:t>2</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对于非开挖法施工的管道，</w:t>
      </w:r>
      <w:r>
        <w:rPr>
          <w:rFonts w:ascii="Times New Roman" w:hAnsi="Times New Roman" w:eastAsia="宋体"/>
          <w:color w:val="auto"/>
          <w:szCs w:val="21"/>
          <w:highlight w:val="none"/>
        </w:rPr>
        <w:t>行标</w:t>
      </w:r>
      <w:r>
        <w:rPr>
          <w:rFonts w:ascii="Times New Roman" w:hAnsi="Times New Roman" w:eastAsia="宋体"/>
          <w:color w:val="auto"/>
          <w:highlight w:val="none"/>
        </w:rPr>
        <w:t>《市政工程勘察规范》CJJ 56-2012第8.4.2条</w:t>
      </w:r>
      <w:r>
        <w:rPr>
          <w:rFonts w:hint="eastAsia" w:ascii="Times New Roman" w:hAnsi="Times New Roman" w:eastAsia="宋体"/>
          <w:color w:val="auto"/>
          <w:highlight w:val="none"/>
          <w:lang w:val="en-US" w:eastAsia="zh-CN"/>
        </w:rPr>
        <w:t>规定，“</w:t>
      </w:r>
      <w:r>
        <w:rPr>
          <w:rFonts w:hint="eastAsia" w:ascii="Times New Roman" w:hAnsi="Times New Roman" w:eastAsia="宋体"/>
          <w:color w:val="auto"/>
          <w:highlight w:val="none"/>
        </w:rPr>
        <w:t>顶管、定向钻施工管道的勘探点宜沿管道外侧交叉布置，并满足设计、施工要求</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《给水排水工程顶管技术规程》T/CECS 246:2020</w:t>
      </w:r>
      <w:r>
        <w:rPr>
          <w:rFonts w:hint="eastAsia" w:ascii="Times New Roman" w:hAnsi="Times New Roman" w:eastAsia="宋体"/>
          <w:color w:val="auto"/>
          <w:highlight w:val="none"/>
          <w:lang w:val="en-US" w:eastAsia="zh-CN"/>
        </w:rPr>
        <w:t>第3.2.4条规定，“</w:t>
      </w:r>
      <w:r>
        <w:rPr>
          <w:rFonts w:hint="eastAsia" w:ascii="Times New Roman" w:hAnsi="Times New Roman" w:eastAsia="宋体"/>
          <w:color w:val="auto"/>
          <w:highlight w:val="none"/>
        </w:rPr>
        <w:t>顶管区段的勘探孔应沿顶管设计轴线两侧5m~10m（水域8m~15m）范围交叉布置，不宜布置在顶管管体范围</w:t>
      </w:r>
      <w:r>
        <w:rPr>
          <w:rFonts w:hint="eastAsia" w:ascii="Times New Roman" w:hAnsi="Times New Roman" w:eastAsia="宋体"/>
          <w:color w:val="auto"/>
          <w:highlight w:val="none"/>
          <w:lang w:val="en-US" w:eastAsia="zh-CN"/>
        </w:rPr>
        <w:t>”；</w:t>
      </w:r>
      <w:r>
        <w:rPr>
          <w:rFonts w:hint="eastAsia" w:ascii="Times New Roman" w:hAnsi="Times New Roman" w:eastAsia="宋体"/>
          <w:color w:val="auto"/>
          <w:szCs w:val="21"/>
          <w:highlight w:val="none"/>
        </w:rPr>
        <w:t>广东省</w:t>
      </w:r>
      <w:r>
        <w:rPr>
          <w:rFonts w:hint="eastAsia" w:ascii="Times New Roman" w:hAnsi="Times New Roman" w:eastAsia="宋体"/>
          <w:color w:val="auto"/>
          <w:szCs w:val="21"/>
          <w:highlight w:val="none"/>
          <w:lang w:val="en-US" w:eastAsia="zh-CN"/>
        </w:rPr>
        <w:t>地方标准</w:t>
      </w:r>
      <w:r>
        <w:rPr>
          <w:rFonts w:hint="eastAsia" w:ascii="Times New Roman" w:hAnsi="Times New Roman" w:eastAsia="宋体"/>
          <w:color w:val="auto"/>
          <w:szCs w:val="21"/>
          <w:highlight w:val="none"/>
        </w:rPr>
        <w:t>《顶管技术规程》D</w:t>
      </w:r>
      <w:r>
        <w:rPr>
          <w:rFonts w:ascii="Times New Roman" w:hAnsi="Times New Roman" w:eastAsia="宋体"/>
          <w:color w:val="auto"/>
          <w:szCs w:val="21"/>
          <w:highlight w:val="none"/>
        </w:rPr>
        <w:t>BJ/T 15-106-2015</w:t>
      </w:r>
      <w:r>
        <w:rPr>
          <w:rFonts w:hint="eastAsia" w:ascii="Times New Roman" w:hAnsi="Times New Roman" w:eastAsia="宋体"/>
          <w:color w:val="auto"/>
          <w:szCs w:val="21"/>
          <w:highlight w:val="none"/>
          <w:lang w:val="en-US" w:eastAsia="zh-CN"/>
        </w:rPr>
        <w:t>第4.2.1条规定，“重要顶管工程应在管道两侧折线或双侧边线布置勘探孔”；广东省地方标准《矩形顶管工程技术规程》DBJ/T 15-229-2021第4.2.1条规定，“顶管勘探孔宜在顶管管节外壁两侧5m范围内布置，两侧勘探孔呈‘Z’字形交错布置”。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综合可见，各规范相同点是要求勘探点在管道外侧交叉布置，不同点是距轴线或边线的距离要求。考虑到管道的管径差异较大，为确保勘探点不进入管体范围，宜按其距边线的距离控制；水域中勘探点较难准确定位，且钻孔成为地表水侵入通道的概率更大，因而区分陆上和水域两种情况更为合理。故综合以上条款，本规范规定，“</w:t>
      </w:r>
      <w:r>
        <w:rPr>
          <w:rFonts w:ascii="Times New Roman" w:hAnsi="Times New Roman" w:eastAsia="宋体"/>
          <w:color w:val="auto"/>
          <w:kern w:val="0"/>
          <w:highlight w:val="none"/>
        </w:rPr>
        <w:t>勘探点应沿管道外侧</w:t>
      </w:r>
      <w:r>
        <w:rPr>
          <w:rFonts w:hint="eastAsia" w:ascii="Times New Roman" w:hAnsi="Times New Roman" w:eastAsia="宋体"/>
          <w:color w:val="auto"/>
          <w:kern w:val="0"/>
          <w:highlight w:val="none"/>
          <w:lang w:val="en-US" w:eastAsia="zh-CN"/>
        </w:rPr>
        <w:t>1m~2m</w:t>
      </w:r>
      <w:r>
        <w:rPr>
          <w:rFonts w:ascii="Times New Roman" w:hAnsi="Times New Roman" w:eastAsia="宋体"/>
          <w:color w:val="auto"/>
          <w:kern w:val="0"/>
          <w:highlight w:val="none"/>
        </w:rPr>
        <w:t>交叉布置</w:t>
      </w:r>
      <w:r>
        <w:rPr>
          <w:rFonts w:hint="eastAsia" w:ascii="Times New Roman" w:hAnsi="Times New Roman" w:eastAsia="宋体"/>
          <w:color w:val="auto"/>
          <w:kern w:val="0"/>
          <w:highlight w:val="none"/>
          <w:lang w:eastAsia="zh-CN"/>
        </w:rPr>
        <w:t>，</w:t>
      </w:r>
      <w:r>
        <w:rPr>
          <w:rFonts w:hint="eastAsia" w:ascii="Times New Roman" w:hAnsi="Times New Roman" w:eastAsia="宋体"/>
          <w:color w:val="auto"/>
          <w:kern w:val="0"/>
          <w:highlight w:val="none"/>
          <w:lang w:val="en-US" w:eastAsia="zh-CN"/>
        </w:rPr>
        <w:t>陆域孔不宜偏出管道外边线5m，水域孔不宜偏出管道外边线10m”。</w:t>
      </w:r>
    </w:p>
    <w:p>
      <w:pPr>
        <w:spacing w:line="360" w:lineRule="auto"/>
        <w:rPr>
          <w:rFonts w:hint="default" w:ascii="Times New Roman" w:hAnsi="Times New Roman" w:eastAsia="宋体"/>
          <w:color w:val="auto"/>
          <w:highlight w:val="none"/>
          <w:lang w:val="en-US" w:eastAsia="zh-CN"/>
        </w:rPr>
      </w:pPr>
      <w:r>
        <w:rPr>
          <w:rFonts w:ascii="Times New Roman" w:hAnsi="Times New Roman" w:eastAsia="宋体"/>
          <w:b/>
          <w:bCs/>
          <w:color w:val="auto"/>
          <w:highlight w:val="none"/>
        </w:rPr>
        <w:t>9.1.</w:t>
      </w:r>
      <w:r>
        <w:rPr>
          <w:rFonts w:hint="eastAsia" w:ascii="Times New Roman" w:hAnsi="Times New Roman" w:eastAsia="宋体"/>
          <w:b/>
          <w:bCs/>
          <w:color w:val="auto"/>
          <w:highlight w:val="none"/>
          <w:lang w:val="en-US" w:eastAsia="zh-CN"/>
        </w:rPr>
        <w:t>4</w:t>
      </w:r>
      <w:r>
        <w:rPr>
          <w:rFonts w:ascii="Times New Roman" w:hAnsi="Times New Roman" w:eastAsia="宋体"/>
          <w:color w:val="auto"/>
          <w:szCs w:val="21"/>
          <w:highlight w:val="none"/>
        </w:rPr>
        <w:t xml:space="preserve"> </w:t>
      </w:r>
      <w:r>
        <w:rPr>
          <w:rFonts w:hint="eastAsia"/>
          <w:color w:val="auto"/>
          <w:szCs w:val="21"/>
          <w:highlight w:val="none"/>
          <w:lang w:val="en-US" w:eastAsia="zh-CN"/>
        </w:rPr>
        <w:t xml:space="preserve"> </w:t>
      </w:r>
      <w:r>
        <w:rPr>
          <w:rFonts w:ascii="Times New Roman" w:hAnsi="Times New Roman" w:eastAsia="宋体"/>
          <w:color w:val="auto"/>
          <w:szCs w:val="21"/>
          <w:highlight w:val="none"/>
        </w:rPr>
        <w:t>取样测试孔的原位测试间距宜结合取样进行控制。</w:t>
      </w:r>
      <w:r>
        <w:rPr>
          <w:rFonts w:hint="eastAsia" w:ascii="Times New Roman" w:hAnsi="Times New Roman" w:eastAsia="宋体"/>
          <w:color w:val="auto"/>
          <w:highlight w:val="none"/>
          <w:lang w:val="en-US" w:eastAsia="zh-CN"/>
        </w:rPr>
        <w:t>土壤电阻率测试可采用四级法，在钻孔内测试可采用单孔法或跨孔法，测试宜在干燥季节或天气晴朗多日后进行。</w:t>
      </w:r>
    </w:p>
    <w:p>
      <w:pPr>
        <w:pStyle w:val="3"/>
        <w:jc w:val="center"/>
        <w:rPr>
          <w:rFonts w:hint="default" w:ascii="Times New Roman" w:hAnsi="Times New Roman" w:eastAsia="宋体" w:cs="Times New Roman"/>
          <w:color w:val="auto"/>
          <w:sz w:val="24"/>
          <w:highlight w:val="none"/>
          <w:lang w:val="en-US" w:eastAsia="zh-CN"/>
        </w:rPr>
      </w:pPr>
      <w:bookmarkStart w:id="410" w:name="_Toc22987"/>
      <w:bookmarkStart w:id="411" w:name="_Toc28258"/>
      <w:r>
        <w:rPr>
          <w:rFonts w:ascii="Times New Roman" w:hAnsi="Times New Roman" w:eastAsia="宋体" w:cs="Times New Roman"/>
          <w:color w:val="auto"/>
          <w:sz w:val="24"/>
          <w:highlight w:val="none"/>
        </w:rPr>
        <w:t>9.</w:t>
      </w:r>
      <w:r>
        <w:rPr>
          <w:rFonts w:hint="eastAsia" w:ascii="Times New Roman" w:hAnsi="Times New Roman" w:eastAsia="宋体" w:cs="Times New Roman"/>
          <w:color w:val="auto"/>
          <w:sz w:val="24"/>
          <w:highlight w:val="none"/>
          <w:lang w:val="en-US" w:eastAsia="zh-CN"/>
        </w:rPr>
        <w:t>3</w:t>
      </w:r>
      <w:r>
        <w:rPr>
          <w:rFonts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lang w:val="en-US" w:eastAsia="zh-CN"/>
        </w:rPr>
        <w:t xml:space="preserve"> 初步勘察</w:t>
      </w:r>
      <w:bookmarkEnd w:id="410"/>
      <w:bookmarkEnd w:id="411"/>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olor w:val="auto"/>
          <w:szCs w:val="21"/>
          <w:highlight w:val="none"/>
        </w:rPr>
      </w:pPr>
      <w:r>
        <w:rPr>
          <w:rFonts w:ascii="Times New Roman" w:hAnsi="Times New Roman" w:eastAsia="宋体"/>
          <w:b/>
          <w:bCs/>
          <w:color w:val="auto"/>
          <w:highlight w:val="none"/>
        </w:rPr>
        <w:t>9.</w:t>
      </w:r>
      <w:r>
        <w:rPr>
          <w:rFonts w:hint="eastAsia" w:ascii="Times New Roman" w:hAnsi="Times New Roman" w:eastAsia="宋体"/>
          <w:b/>
          <w:bCs/>
          <w:color w:val="auto"/>
          <w:highlight w:val="none"/>
          <w:lang w:val="en-US" w:eastAsia="zh-CN"/>
        </w:rPr>
        <w:t xml:space="preserve">3.4 </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采用钢、铸铁管道时，</w:t>
      </w:r>
      <w:r>
        <w:rPr>
          <w:rFonts w:hint="eastAsia"/>
          <w:color w:val="auto"/>
          <w:highlight w:val="none"/>
          <w:lang w:val="en-US" w:eastAsia="zh-CN"/>
        </w:rPr>
        <w:t>需</w:t>
      </w:r>
      <w:r>
        <w:rPr>
          <w:rFonts w:hint="eastAsia" w:ascii="Times New Roman" w:hAnsi="Times New Roman" w:eastAsia="宋体"/>
          <w:color w:val="auto"/>
          <w:highlight w:val="none"/>
          <w:lang w:val="en-US" w:eastAsia="zh-CN"/>
        </w:rPr>
        <w:t>评价土对地下钢结构的腐蚀性。</w:t>
      </w:r>
    </w:p>
    <w:p>
      <w:pPr>
        <w:pStyle w:val="3"/>
        <w:jc w:val="center"/>
        <w:rPr>
          <w:rFonts w:hint="default" w:ascii="Times New Roman" w:hAnsi="Times New Roman" w:eastAsia="宋体" w:cs="Times New Roman"/>
          <w:color w:val="auto"/>
          <w:sz w:val="24"/>
          <w:highlight w:val="none"/>
          <w:lang w:val="en-US" w:eastAsia="zh-CN"/>
        </w:rPr>
      </w:pPr>
      <w:bookmarkStart w:id="412" w:name="_Toc29409"/>
      <w:bookmarkStart w:id="413" w:name="_Toc22648"/>
      <w:r>
        <w:rPr>
          <w:rFonts w:ascii="Times New Roman" w:hAnsi="Times New Roman" w:eastAsia="宋体" w:cs="Times New Roman"/>
          <w:color w:val="auto"/>
          <w:sz w:val="24"/>
          <w:highlight w:val="none"/>
        </w:rPr>
        <w:t>9.</w:t>
      </w:r>
      <w:r>
        <w:rPr>
          <w:rFonts w:hint="eastAsia" w:ascii="Times New Roman" w:hAnsi="Times New Roman" w:eastAsia="宋体" w:cs="Times New Roman"/>
          <w:color w:val="auto"/>
          <w:sz w:val="24"/>
          <w:highlight w:val="none"/>
          <w:lang w:val="en-US" w:eastAsia="zh-CN"/>
        </w:rPr>
        <w:t>4</w:t>
      </w:r>
      <w:r>
        <w:rPr>
          <w:rFonts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lang w:val="en-US" w:eastAsia="zh-CN"/>
        </w:rPr>
        <w:t xml:space="preserve"> 详细勘察</w:t>
      </w:r>
      <w:bookmarkEnd w:id="412"/>
      <w:bookmarkEnd w:id="413"/>
    </w:p>
    <w:p>
      <w:pPr>
        <w:spacing w:line="360" w:lineRule="auto"/>
        <w:rPr>
          <w:rFonts w:ascii="Times New Roman" w:hAnsi="Times New Roman" w:eastAsia="宋体"/>
          <w:color w:val="auto"/>
          <w:szCs w:val="21"/>
          <w:highlight w:val="none"/>
        </w:rPr>
      </w:pPr>
      <w:r>
        <w:rPr>
          <w:rFonts w:ascii="Times New Roman" w:hAnsi="Times New Roman" w:eastAsia="宋体"/>
          <w:b/>
          <w:bCs/>
          <w:color w:val="auto"/>
          <w:highlight w:val="none"/>
        </w:rPr>
        <w:t>9.</w:t>
      </w:r>
      <w:r>
        <w:rPr>
          <w:rFonts w:hint="eastAsia" w:ascii="Times New Roman" w:hAnsi="Times New Roman" w:eastAsia="宋体"/>
          <w:b/>
          <w:bCs/>
          <w:color w:val="auto"/>
          <w:highlight w:val="none"/>
          <w:lang w:val="en-US" w:eastAsia="zh-CN"/>
        </w:rPr>
        <w:t>4</w:t>
      </w:r>
      <w:r>
        <w:rPr>
          <w:rFonts w:ascii="Times New Roman" w:hAnsi="Times New Roman" w:eastAsia="宋体"/>
          <w:b/>
          <w:bCs/>
          <w:color w:val="auto"/>
          <w:highlight w:val="none"/>
        </w:rPr>
        <w:t>.1</w:t>
      </w:r>
      <w:r>
        <w:rPr>
          <w:rFonts w:hint="eastAsia" w:ascii="Times New Roman" w:hAnsi="Times New Roman" w:eastAsia="宋体"/>
          <w:b/>
          <w:bCs/>
          <w:color w:val="auto"/>
          <w:highlight w:val="none"/>
          <w:lang w:val="en-US" w:eastAsia="zh-CN"/>
        </w:rPr>
        <w:t xml:space="preserve"> </w:t>
      </w:r>
      <w:r>
        <w:rPr>
          <w:rFonts w:hint="eastAsia"/>
          <w:b/>
          <w:bCs/>
          <w:color w:val="auto"/>
          <w:highlight w:val="none"/>
          <w:lang w:val="en-US" w:eastAsia="zh-CN"/>
        </w:rPr>
        <w:t xml:space="preserve"> </w:t>
      </w:r>
      <w:r>
        <w:rPr>
          <w:rFonts w:ascii="Times New Roman" w:hAnsi="Times New Roman" w:eastAsia="宋体"/>
          <w:color w:val="auto"/>
          <w:szCs w:val="21"/>
          <w:highlight w:val="none"/>
        </w:rPr>
        <w:t>顶管法、夯管法在砂层或存在</w:t>
      </w:r>
      <w:r>
        <w:rPr>
          <w:rFonts w:hint="eastAsia" w:ascii="Times New Roman" w:hAnsi="Times New Roman" w:eastAsia="宋体"/>
          <w:color w:val="auto"/>
          <w:szCs w:val="21"/>
          <w:highlight w:val="none"/>
          <w:lang w:val="en-US" w:eastAsia="zh-CN"/>
        </w:rPr>
        <w:t>溶洞、</w:t>
      </w:r>
      <w:r>
        <w:rPr>
          <w:rFonts w:ascii="Times New Roman" w:hAnsi="Times New Roman" w:eastAsia="宋体"/>
          <w:color w:val="auto"/>
          <w:szCs w:val="21"/>
          <w:highlight w:val="none"/>
        </w:rPr>
        <w:t>土洞、脱空区</w:t>
      </w:r>
      <w:r>
        <w:rPr>
          <w:rFonts w:hint="eastAsia" w:ascii="Times New Roman" w:hAnsi="Times New Roman" w:eastAsia="宋体"/>
          <w:color w:val="auto"/>
          <w:szCs w:val="21"/>
          <w:highlight w:val="none"/>
          <w:lang w:val="en-US" w:eastAsia="zh-CN"/>
        </w:rPr>
        <w:t>等</w:t>
      </w:r>
      <w:r>
        <w:rPr>
          <w:rFonts w:ascii="Times New Roman" w:hAnsi="Times New Roman" w:eastAsia="宋体"/>
          <w:color w:val="auto"/>
          <w:szCs w:val="21"/>
          <w:highlight w:val="none"/>
        </w:rPr>
        <w:t>情况下容易</w:t>
      </w:r>
      <w:r>
        <w:rPr>
          <w:rFonts w:hint="eastAsia" w:ascii="宋体" w:hAnsi="宋体" w:eastAsia="宋体" w:cs="宋体"/>
          <w:color w:val="auto"/>
          <w:szCs w:val="21"/>
          <w:highlight w:val="none"/>
        </w:rPr>
        <w:t>发生“叩头”现</w:t>
      </w:r>
      <w:r>
        <w:rPr>
          <w:rFonts w:ascii="Times New Roman" w:hAnsi="Times New Roman" w:eastAsia="宋体"/>
          <w:color w:val="auto"/>
          <w:szCs w:val="21"/>
          <w:highlight w:val="none"/>
        </w:rPr>
        <w:t>象，而填石、孤石等则往往导致管道无法顶进或夯进而产生较大变更，故而需要重点查明。</w:t>
      </w:r>
    </w:p>
    <w:p>
      <w:pPr>
        <w:spacing w:line="360" w:lineRule="auto"/>
        <w:rPr>
          <w:rFonts w:hint="eastAsia" w:ascii="Times New Roman" w:hAnsi="Times New Roman" w:eastAsia="宋体"/>
          <w:color w:val="auto"/>
          <w:highlight w:val="none"/>
          <w:lang w:val="en-US" w:eastAsia="zh-CN"/>
        </w:rPr>
      </w:pPr>
      <w:r>
        <w:rPr>
          <w:rFonts w:ascii="Times New Roman" w:hAnsi="Times New Roman" w:eastAsia="宋体"/>
          <w:b/>
          <w:bCs/>
          <w:color w:val="auto"/>
          <w:highlight w:val="none"/>
        </w:rPr>
        <w:t>9.</w:t>
      </w:r>
      <w:r>
        <w:rPr>
          <w:rFonts w:hint="eastAsia" w:ascii="Times New Roman" w:hAnsi="Times New Roman" w:eastAsia="宋体"/>
          <w:b/>
          <w:bCs/>
          <w:color w:val="auto"/>
          <w:highlight w:val="none"/>
          <w:lang w:val="en-US" w:eastAsia="zh-CN"/>
        </w:rPr>
        <w:t>4</w:t>
      </w:r>
      <w:r>
        <w:rPr>
          <w:rFonts w:ascii="Times New Roman" w:hAnsi="Times New Roman" w:eastAsia="宋体"/>
          <w:b/>
          <w:bCs/>
          <w:color w:val="auto"/>
          <w:highlight w:val="none"/>
        </w:rPr>
        <w:t>.</w:t>
      </w:r>
      <w:r>
        <w:rPr>
          <w:rFonts w:hint="eastAsia" w:ascii="Times New Roman" w:hAnsi="Times New Roman" w:eastAsia="宋体"/>
          <w:b/>
          <w:bCs/>
          <w:color w:val="auto"/>
          <w:highlight w:val="none"/>
          <w:lang w:val="en-US" w:eastAsia="zh-CN"/>
        </w:rPr>
        <w:t xml:space="preserve">2 </w:t>
      </w:r>
      <w:r>
        <w:rPr>
          <w:rFonts w:hint="eastAsia"/>
          <w:b/>
          <w:bCs/>
          <w:color w:val="auto"/>
          <w:highlight w:val="none"/>
          <w:lang w:val="en-US" w:eastAsia="zh-CN"/>
        </w:rPr>
        <w:t xml:space="preserve"> </w:t>
      </w:r>
      <w:r>
        <w:rPr>
          <w:rFonts w:hint="eastAsia" w:ascii="Times New Roman" w:hAnsi="Times New Roman" w:eastAsia="宋体"/>
          <w:b w:val="0"/>
          <w:bCs w:val="0"/>
          <w:color w:val="auto"/>
          <w:highlight w:val="none"/>
          <w:lang w:val="en-US" w:eastAsia="zh-CN"/>
        </w:rPr>
        <w:t>对顶管法、定向钻施工的管道，</w:t>
      </w:r>
      <w:r>
        <w:rPr>
          <w:rFonts w:ascii="Times New Roman" w:hAnsi="Times New Roman" w:eastAsia="宋体"/>
          <w:color w:val="auto"/>
          <w:szCs w:val="21"/>
          <w:highlight w:val="none"/>
        </w:rPr>
        <w:t>《给水排水工程顶管技术规程》CECS 246</w:t>
      </w:r>
      <w:r>
        <w:rPr>
          <w:rFonts w:hint="eastAsia" w:ascii="Times New Roman" w:hAnsi="Times New Roman" w:eastAsia="宋体"/>
          <w:color w:val="auto"/>
          <w:szCs w:val="21"/>
          <w:highlight w:val="none"/>
          <w:lang w:val="en-US" w:eastAsia="zh-CN"/>
        </w:rPr>
        <w:t>:2020、</w:t>
      </w:r>
      <w:r>
        <w:rPr>
          <w:rFonts w:hint="eastAsia" w:ascii="Times New Roman" w:hAnsi="Times New Roman" w:eastAsia="宋体"/>
          <w:color w:val="auto"/>
          <w:szCs w:val="21"/>
          <w:highlight w:val="none"/>
        </w:rPr>
        <w:t>广东省</w:t>
      </w:r>
      <w:r>
        <w:rPr>
          <w:rFonts w:hint="eastAsia" w:ascii="Times New Roman" w:hAnsi="Times New Roman" w:eastAsia="宋体"/>
          <w:color w:val="auto"/>
          <w:szCs w:val="21"/>
          <w:highlight w:val="none"/>
          <w:lang w:val="en-US" w:eastAsia="zh-CN"/>
        </w:rPr>
        <w:t>地方标准</w:t>
      </w:r>
      <w:r>
        <w:rPr>
          <w:rFonts w:hint="eastAsia" w:ascii="Times New Roman" w:hAnsi="Times New Roman" w:eastAsia="宋体"/>
          <w:color w:val="auto"/>
          <w:szCs w:val="21"/>
          <w:highlight w:val="none"/>
        </w:rPr>
        <w:t>《顶管技术规程》D</w:t>
      </w:r>
      <w:r>
        <w:rPr>
          <w:rFonts w:ascii="Times New Roman" w:hAnsi="Times New Roman" w:eastAsia="宋体"/>
          <w:color w:val="auto"/>
          <w:szCs w:val="21"/>
          <w:highlight w:val="none"/>
        </w:rPr>
        <w:t>BJ/T 15-106-2015</w:t>
      </w:r>
      <w:r>
        <w:rPr>
          <w:rFonts w:hint="eastAsia" w:ascii="Times New Roman" w:hAnsi="Times New Roman" w:eastAsia="宋体"/>
          <w:color w:val="auto"/>
          <w:szCs w:val="21"/>
          <w:highlight w:val="none"/>
          <w:lang w:eastAsia="zh-CN"/>
        </w:rPr>
        <w:t>，</w:t>
      </w:r>
      <w:r>
        <w:rPr>
          <w:rFonts w:hint="eastAsia" w:ascii="Times New Roman" w:hAnsi="Times New Roman" w:eastAsia="宋体"/>
          <w:color w:val="auto"/>
          <w:szCs w:val="21"/>
          <w:highlight w:val="none"/>
          <w:lang w:val="en-US" w:eastAsia="zh-CN"/>
        </w:rPr>
        <w:t>以及北京、上海等地的地方标准，其要求的勘探点间距都较</w:t>
      </w:r>
      <w:r>
        <w:rPr>
          <w:rFonts w:ascii="Times New Roman" w:hAnsi="Times New Roman" w:eastAsia="宋体"/>
          <w:color w:val="auto"/>
          <w:szCs w:val="21"/>
          <w:highlight w:val="none"/>
        </w:rPr>
        <w:t>行标</w:t>
      </w:r>
      <w:r>
        <w:rPr>
          <w:rFonts w:ascii="Times New Roman" w:hAnsi="Times New Roman" w:eastAsia="宋体"/>
          <w:color w:val="auto"/>
          <w:highlight w:val="none"/>
        </w:rPr>
        <w:t>《市政工程勘察规范》CJJ 56-2012</w:t>
      </w:r>
      <w:r>
        <w:rPr>
          <w:rFonts w:hint="eastAsia" w:ascii="Times New Roman" w:hAnsi="Times New Roman" w:eastAsia="宋体"/>
          <w:color w:val="auto"/>
          <w:highlight w:val="none"/>
          <w:lang w:val="en-US" w:eastAsia="zh-CN"/>
        </w:rPr>
        <w:t>更大。鉴于广东省地质条件的复杂性，作为地方标准，本规范的要求宜严不宜松，故沿用了</w:t>
      </w:r>
      <w:r>
        <w:rPr>
          <w:rFonts w:ascii="Times New Roman" w:hAnsi="Times New Roman" w:eastAsia="宋体"/>
          <w:color w:val="auto"/>
          <w:szCs w:val="21"/>
          <w:highlight w:val="none"/>
        </w:rPr>
        <w:t>行标</w:t>
      </w:r>
      <w:r>
        <w:rPr>
          <w:rFonts w:ascii="Times New Roman" w:hAnsi="Times New Roman" w:eastAsia="宋体"/>
          <w:color w:val="auto"/>
          <w:highlight w:val="none"/>
        </w:rPr>
        <w:t>《市政工程勘察规范》CJJ 56-2012</w:t>
      </w:r>
      <w:r>
        <w:rPr>
          <w:rFonts w:hint="eastAsia" w:ascii="Times New Roman" w:hAnsi="Times New Roman" w:eastAsia="宋体"/>
          <w:color w:val="auto"/>
          <w:highlight w:val="none"/>
          <w:lang w:val="en-US" w:eastAsia="zh-CN"/>
        </w:rPr>
        <w:t>的勘探点间距要求。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对明挖法施工的管道，</w:t>
      </w:r>
      <w:r>
        <w:rPr>
          <w:rFonts w:ascii="Times New Roman" w:hAnsi="Times New Roman" w:eastAsia="宋体"/>
          <w:color w:val="auto"/>
          <w:szCs w:val="21"/>
          <w:highlight w:val="none"/>
        </w:rPr>
        <w:t>行标</w:t>
      </w:r>
      <w:r>
        <w:rPr>
          <w:rFonts w:ascii="Times New Roman" w:hAnsi="Times New Roman" w:eastAsia="宋体"/>
          <w:color w:val="auto"/>
          <w:highlight w:val="none"/>
        </w:rPr>
        <w:t>《市政工程勘察规范》CJJ 56-2012</w:t>
      </w:r>
      <w:r>
        <w:rPr>
          <w:rFonts w:hint="eastAsia" w:ascii="Times New Roman" w:hAnsi="Times New Roman" w:eastAsia="宋体"/>
          <w:color w:val="auto"/>
          <w:highlight w:val="none"/>
          <w:lang w:val="en-US" w:eastAsia="zh-CN"/>
        </w:rPr>
        <w:t>的钻孔间距要求要低于顶管、定向钻施工的管道。但是，随着经济的发展，一方面管道工程周边的环境日趋复杂，另一方面全社会对基坑施工的安全要求日益提高。对于明挖法施工的重视，在《城市轨道交通岩土工程勘察规范》GB 50307-2012体现得尤为明显，其地下区间段的勘探点间距要求并不区分明挖还是盾构，而明挖施工为主的车站处勘探点间距还略严于区间段。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与此同时，根据住建部印发的《危险性较大的分部分项工程安全管理规定》（住房和城乡建设部令第37号）、《广东省住房和城乡建设厅关于危险性较大的分部分项工程安全管理的实施细则》，基坑开挖深度超过3m（含3m）为危险性较大的分部分项工程，超过5m（含5m）为超过一定规模的危险性较大的分部分项工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为此，综合考虑，本规范对于明挖法施工管道的勘探点间距按其工程重要性等级划分，对于一级工程，即深度5m以上的深基坑，其要求与顶管、定向钻施工的管道一致；埋深度3m~5m和埋深小于3m的间距相应减小。</w:t>
      </w:r>
    </w:p>
    <w:p>
      <w:pPr>
        <w:spacing w:line="360" w:lineRule="auto"/>
        <w:rPr>
          <w:rFonts w:ascii="Times New Roman" w:hAnsi="Times New Roman" w:eastAsia="宋体"/>
          <w:color w:val="auto"/>
          <w:highlight w:val="none"/>
        </w:rPr>
      </w:pPr>
      <w:r>
        <w:rPr>
          <w:rFonts w:ascii="Times New Roman" w:hAnsi="Times New Roman" w:eastAsia="宋体"/>
          <w:b/>
          <w:bCs/>
          <w:color w:val="auto"/>
          <w:highlight w:val="none"/>
        </w:rPr>
        <w:t>9.</w:t>
      </w:r>
      <w:r>
        <w:rPr>
          <w:rFonts w:hint="eastAsia" w:ascii="Times New Roman" w:hAnsi="Times New Roman" w:eastAsia="宋体"/>
          <w:b/>
          <w:bCs/>
          <w:color w:val="auto"/>
          <w:highlight w:val="none"/>
          <w:lang w:val="en-US" w:eastAsia="zh-CN"/>
        </w:rPr>
        <w:t>4.4</w:t>
      </w:r>
      <w:r>
        <w:rPr>
          <w:rFonts w:hint="eastAsia"/>
          <w:b/>
          <w:bCs/>
          <w:color w:val="auto"/>
          <w:highlight w:val="none"/>
          <w:lang w:val="en-US" w:eastAsia="zh-CN"/>
        </w:rPr>
        <w:t xml:space="preserve">  </w:t>
      </w:r>
      <w:r>
        <w:rPr>
          <w:rFonts w:ascii="Times New Roman" w:hAnsi="Times New Roman" w:eastAsia="宋体"/>
          <w:b/>
          <w:bCs/>
          <w:color w:val="auto"/>
          <w:highlight w:val="none"/>
        </w:rPr>
        <w:t xml:space="preserve"> </w:t>
      </w:r>
      <w:r>
        <w:rPr>
          <w:rFonts w:ascii="Times New Roman" w:hAnsi="Times New Roman" w:eastAsia="宋体"/>
          <w:color w:val="auto"/>
          <w:highlight w:val="none"/>
        </w:rPr>
        <w:t>除提供土常规项目和地基承载力特征值的建议值外，</w:t>
      </w:r>
      <w:r>
        <w:rPr>
          <w:rFonts w:hint="eastAsia" w:ascii="Times New Roman" w:hAnsi="Times New Roman" w:eastAsia="宋体"/>
          <w:color w:val="auto"/>
          <w:highlight w:val="none"/>
          <w:lang w:val="en-US" w:eastAsia="zh-CN"/>
        </w:rPr>
        <w:t>详细</w:t>
      </w:r>
      <w:r>
        <w:rPr>
          <w:rFonts w:ascii="Times New Roman" w:hAnsi="Times New Roman" w:eastAsia="宋体"/>
          <w:color w:val="auto"/>
          <w:highlight w:val="none"/>
        </w:rPr>
        <w:t>勘察还</w:t>
      </w:r>
      <w:r>
        <w:rPr>
          <w:rFonts w:hint="eastAsia"/>
          <w:color w:val="auto"/>
          <w:highlight w:val="none"/>
          <w:lang w:val="en-US" w:eastAsia="zh-CN"/>
        </w:rPr>
        <w:t>需</w:t>
      </w:r>
      <w:r>
        <w:rPr>
          <w:rFonts w:ascii="Times New Roman" w:hAnsi="Times New Roman" w:eastAsia="宋体"/>
          <w:color w:val="auto"/>
          <w:highlight w:val="none"/>
        </w:rPr>
        <w:t>根据具体情况提供表9</w:t>
      </w:r>
      <w:r>
        <w:rPr>
          <w:rFonts w:hint="eastAsia" w:ascii="Times New Roman" w:hAnsi="Times New Roman" w:eastAsia="宋体"/>
          <w:color w:val="auto"/>
          <w:highlight w:val="none"/>
          <w:lang w:val="en-US" w:eastAsia="zh-CN"/>
        </w:rPr>
        <w:t>-</w:t>
      </w:r>
      <w:r>
        <w:rPr>
          <w:rFonts w:ascii="Times New Roman" w:hAnsi="Times New Roman" w:eastAsia="宋体"/>
          <w:color w:val="auto"/>
          <w:highlight w:val="none"/>
        </w:rPr>
        <w:t>1所示的岩土参数建议值。</w:t>
      </w:r>
    </w:p>
    <w:p>
      <w:pPr>
        <w:spacing w:line="360" w:lineRule="auto"/>
        <w:jc w:val="center"/>
        <w:rPr>
          <w:rFonts w:ascii="Times New Roman" w:hAnsi="Times New Roman" w:eastAsia="宋体"/>
          <w:b/>
          <w:bCs/>
          <w:color w:val="auto"/>
          <w:highlight w:val="none"/>
        </w:rPr>
      </w:pPr>
      <w:r>
        <w:rPr>
          <w:rFonts w:ascii="Times New Roman" w:hAnsi="Times New Roman" w:eastAsia="宋体"/>
          <w:b/>
          <w:bCs/>
          <w:color w:val="auto"/>
          <w:highlight w:val="none"/>
        </w:rPr>
        <w:t>表9</w:t>
      </w:r>
      <w:r>
        <w:rPr>
          <w:rFonts w:hint="eastAsia" w:ascii="Times New Roman" w:hAnsi="Times New Roman" w:eastAsia="宋体"/>
          <w:b/>
          <w:bCs/>
          <w:color w:val="auto"/>
          <w:highlight w:val="none"/>
          <w:lang w:val="en-US" w:eastAsia="zh-CN"/>
        </w:rPr>
        <w:t>-</w:t>
      </w:r>
      <w:r>
        <w:rPr>
          <w:rFonts w:ascii="Times New Roman" w:hAnsi="Times New Roman" w:eastAsia="宋体"/>
          <w:b/>
          <w:bCs/>
          <w:color w:val="auto"/>
          <w:highlight w:val="none"/>
        </w:rPr>
        <w:t xml:space="preserve">1 </w:t>
      </w:r>
      <w:r>
        <w:rPr>
          <w:rFonts w:hint="eastAsia"/>
          <w:b/>
          <w:bCs/>
          <w:color w:val="auto"/>
          <w:highlight w:val="none"/>
          <w:lang w:val="en-US" w:eastAsia="zh-CN"/>
        </w:rPr>
        <w:t xml:space="preserve"> </w:t>
      </w:r>
      <w:r>
        <w:rPr>
          <w:rFonts w:hint="eastAsia" w:ascii="Times New Roman" w:hAnsi="Times New Roman" w:eastAsia="宋体"/>
          <w:b/>
          <w:bCs/>
          <w:color w:val="auto"/>
          <w:highlight w:val="none"/>
          <w:lang w:eastAsia="zh-CN"/>
        </w:rPr>
        <w:t>城市</w:t>
      </w:r>
      <w:r>
        <w:rPr>
          <w:rFonts w:ascii="Times New Roman" w:hAnsi="Times New Roman" w:eastAsia="宋体"/>
          <w:b/>
          <w:bCs/>
          <w:color w:val="auto"/>
          <w:highlight w:val="none"/>
        </w:rPr>
        <w:t>管道勘察提供建议值的岩土参数</w:t>
      </w:r>
    </w:p>
    <w:tbl>
      <w:tblPr>
        <w:tblStyle w:val="22"/>
        <w:tblW w:w="82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6"/>
        <w:gridCol w:w="2368"/>
        <w:gridCol w:w="44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06" w:type="dxa"/>
            <w:tcBorders>
              <w:tl2br w:val="nil"/>
              <w:tr2bl w:val="nil"/>
            </w:tcBorders>
            <w:vAlign w:val="center"/>
          </w:tcPr>
          <w:p>
            <w:pPr>
              <w:widowControl/>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施工工法</w:t>
            </w:r>
          </w:p>
        </w:tc>
        <w:tc>
          <w:tcPr>
            <w:tcW w:w="2368" w:type="dxa"/>
            <w:tcBorders>
              <w:tl2br w:val="nil"/>
              <w:tr2bl w:val="nil"/>
            </w:tcBorders>
            <w:vAlign w:val="center"/>
          </w:tcPr>
          <w:p>
            <w:pPr>
              <w:widowControl/>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明挖法</w:t>
            </w:r>
          </w:p>
        </w:tc>
        <w:tc>
          <w:tcPr>
            <w:tcW w:w="4425" w:type="dxa"/>
            <w:tcBorders>
              <w:tl2br w:val="nil"/>
              <w:tr2bl w:val="nil"/>
            </w:tcBorders>
            <w:vAlign w:val="center"/>
          </w:tcPr>
          <w:p>
            <w:pPr>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顶管法、夯管法、定向钻法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1506" w:type="dxa"/>
            <w:tcBorders>
              <w:tl2br w:val="nil"/>
              <w:tr2bl w:val="nil"/>
            </w:tcBorders>
            <w:vAlign w:val="center"/>
          </w:tcPr>
          <w:p>
            <w:pPr>
              <w:widowControl/>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提供建议值的岩土参数</w:t>
            </w:r>
          </w:p>
        </w:tc>
        <w:tc>
          <w:tcPr>
            <w:tcW w:w="2368" w:type="dxa"/>
            <w:tcBorders>
              <w:tl2br w:val="nil"/>
              <w:tr2bl w:val="nil"/>
            </w:tcBorders>
            <w:vAlign w:val="center"/>
          </w:tcPr>
          <w:p>
            <w:pPr>
              <w:widowControl/>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复合地基增强体的侧阻力、预制桩的侧阻力和端阻力</w:t>
            </w:r>
          </w:p>
        </w:tc>
        <w:tc>
          <w:tcPr>
            <w:tcW w:w="4425" w:type="dxa"/>
            <w:tcBorders>
              <w:tl2br w:val="nil"/>
              <w:tr2bl w:val="nil"/>
            </w:tcBorders>
            <w:vAlign w:val="center"/>
          </w:tcPr>
          <w:p>
            <w:pP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复合地基增强体的侧阻力、预制桩的侧阻力和端阻力、渗透系数、土（岩）体与锚固体粘结强度、水平和垂直基床系数、顶管摩阻力系数</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宋体"/>
          <w:color w:val="auto"/>
          <w:szCs w:val="21"/>
          <w:highlight w:val="none"/>
        </w:rPr>
      </w:pPr>
      <w:r>
        <w:rPr>
          <w:rFonts w:ascii="Times New Roman" w:hAnsi="Times New Roman" w:eastAsia="宋体"/>
          <w:color w:val="auto"/>
          <w:szCs w:val="21"/>
          <w:highlight w:val="none"/>
        </w:rPr>
        <w:t>根据</w:t>
      </w:r>
      <w:bookmarkStart w:id="414" w:name="_Hlk80351932"/>
      <w:r>
        <w:rPr>
          <w:rFonts w:ascii="Times New Roman" w:hAnsi="Times New Roman" w:eastAsia="宋体"/>
          <w:color w:val="auto"/>
          <w:szCs w:val="21"/>
          <w:highlight w:val="none"/>
        </w:rPr>
        <w:t>《给水排水工程顶管技术规程》CECS 246</w:t>
      </w:r>
      <w:bookmarkEnd w:id="414"/>
      <w:r>
        <w:rPr>
          <w:rFonts w:ascii="Times New Roman" w:hAnsi="Times New Roman" w:eastAsia="宋体"/>
          <w:color w:val="auto"/>
          <w:szCs w:val="21"/>
          <w:highlight w:val="none"/>
        </w:rPr>
        <w:t>:2008表12.6.14，</w:t>
      </w:r>
      <w:r>
        <w:rPr>
          <w:rFonts w:hint="eastAsia" w:ascii="Times New Roman" w:hAnsi="Times New Roman" w:eastAsia="宋体"/>
          <w:color w:val="auto"/>
          <w:szCs w:val="21"/>
          <w:highlight w:val="none"/>
        </w:rPr>
        <w:t>采用触变泥浆减阻的顶管，管壁与土的平均摩阻力可按表</w:t>
      </w:r>
      <w:r>
        <w:rPr>
          <w:rFonts w:ascii="Times New Roman" w:hAnsi="Times New Roman" w:eastAsia="宋体"/>
          <w:color w:val="auto"/>
          <w:szCs w:val="21"/>
          <w:highlight w:val="none"/>
        </w:rPr>
        <w:t>9</w:t>
      </w:r>
      <w:r>
        <w:rPr>
          <w:rFonts w:hint="eastAsia" w:ascii="Times New Roman" w:hAnsi="Times New Roman" w:eastAsia="宋体"/>
          <w:color w:val="auto"/>
          <w:szCs w:val="21"/>
          <w:highlight w:val="none"/>
          <w:lang w:val="en-US" w:eastAsia="zh-CN"/>
        </w:rPr>
        <w:t>-2</w:t>
      </w:r>
      <w:r>
        <w:rPr>
          <w:rFonts w:hint="eastAsia" w:ascii="Times New Roman" w:hAnsi="Times New Roman" w:eastAsia="宋体"/>
          <w:color w:val="auto"/>
          <w:szCs w:val="21"/>
          <w:highlight w:val="none"/>
        </w:rPr>
        <w:t>采用。</w:t>
      </w:r>
    </w:p>
    <w:p>
      <w:pPr>
        <w:spacing w:line="360" w:lineRule="auto"/>
        <w:jc w:val="center"/>
        <w:rPr>
          <w:rFonts w:ascii="Times New Roman" w:hAnsi="Times New Roman" w:eastAsia="宋体"/>
          <w:b/>
          <w:bCs/>
          <w:color w:val="auto"/>
          <w:szCs w:val="21"/>
          <w:highlight w:val="none"/>
        </w:rPr>
      </w:pPr>
      <w:r>
        <w:rPr>
          <w:rFonts w:hint="eastAsia" w:ascii="Times New Roman" w:hAnsi="Times New Roman" w:eastAsia="宋体"/>
          <w:b/>
          <w:bCs/>
          <w:color w:val="auto"/>
          <w:szCs w:val="21"/>
          <w:highlight w:val="none"/>
        </w:rPr>
        <w:t>表</w:t>
      </w:r>
      <w:r>
        <w:rPr>
          <w:rFonts w:ascii="Times New Roman" w:hAnsi="Times New Roman" w:eastAsia="宋体"/>
          <w:b/>
          <w:bCs/>
          <w:color w:val="auto"/>
          <w:szCs w:val="21"/>
          <w:highlight w:val="none"/>
        </w:rPr>
        <w:t>9</w:t>
      </w:r>
      <w:r>
        <w:rPr>
          <w:rFonts w:hint="eastAsia" w:ascii="Times New Roman" w:hAnsi="Times New Roman" w:eastAsia="宋体"/>
          <w:b/>
          <w:bCs/>
          <w:color w:val="auto"/>
          <w:szCs w:val="21"/>
          <w:highlight w:val="none"/>
          <w:lang w:val="en-US" w:eastAsia="zh-CN"/>
        </w:rPr>
        <w:t>-2</w:t>
      </w:r>
      <w:r>
        <w:rPr>
          <w:rFonts w:ascii="Times New Roman" w:hAnsi="Times New Roman" w:eastAsia="宋体"/>
          <w:b/>
          <w:bCs/>
          <w:color w:val="auto"/>
          <w:szCs w:val="21"/>
          <w:highlight w:val="none"/>
        </w:rPr>
        <w:t xml:space="preserve"> </w:t>
      </w:r>
      <w:r>
        <w:rPr>
          <w:rFonts w:hint="eastAsia" w:ascii="Times New Roman" w:hAnsi="Times New Roman" w:eastAsia="宋体"/>
          <w:b/>
          <w:bCs/>
          <w:color w:val="auto"/>
          <w:szCs w:val="21"/>
          <w:highlight w:val="none"/>
        </w:rPr>
        <w:t>触变泥浆减阻管壁与土的平均摩阻力（</w:t>
      </w:r>
      <w:r>
        <w:rPr>
          <w:rFonts w:ascii="Times New Roman" w:hAnsi="Times New Roman" w:eastAsia="宋体"/>
          <w:b/>
          <w:bCs/>
          <w:color w:val="auto"/>
          <w:szCs w:val="21"/>
          <w:highlight w:val="none"/>
        </w:rPr>
        <w:t>kPa/m</w:t>
      </w:r>
      <w:r>
        <w:rPr>
          <w:rFonts w:ascii="Times New Roman" w:hAnsi="Times New Roman" w:eastAsia="宋体"/>
          <w:b/>
          <w:bCs/>
          <w:color w:val="auto"/>
          <w:szCs w:val="21"/>
          <w:highlight w:val="none"/>
          <w:vertAlign w:val="superscript"/>
        </w:rPr>
        <w:t>2</w:t>
      </w:r>
      <w:r>
        <w:rPr>
          <w:rFonts w:hint="eastAsia" w:ascii="Times New Roman" w:hAnsi="Times New Roman" w:eastAsia="宋体"/>
          <w:b/>
          <w:bCs/>
          <w:color w:val="auto"/>
          <w:szCs w:val="21"/>
          <w:highlight w:val="none"/>
        </w:rPr>
        <w:t>）</w:t>
      </w:r>
    </w:p>
    <w:tbl>
      <w:tblPr>
        <w:tblStyle w:val="22"/>
        <w:tblW w:w="826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134"/>
        <w:gridCol w:w="1524"/>
        <w:gridCol w:w="1524"/>
        <w:gridCol w:w="1524"/>
        <w:gridCol w:w="15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gridSpan w:val="2"/>
            <w:tcBorders>
              <w:tl2br w:val="nil"/>
              <w:tr2bl w:val="nil"/>
            </w:tcBorders>
            <w:vAlign w:val="center"/>
          </w:tcPr>
          <w:p>
            <w:pPr>
              <w:jc w:val="center"/>
              <w:rPr>
                <w:rFonts w:ascii="Times New Roman" w:hAnsi="Times New Roman" w:eastAsia="宋体"/>
                <w:color w:val="auto"/>
                <w:sz w:val="20"/>
                <w:szCs w:val="20"/>
                <w:highlight w:val="none"/>
              </w:rPr>
            </w:pPr>
            <w:r>
              <w:rPr>
                <w:rFonts w:hint="eastAsia" w:ascii="Times New Roman" w:hAnsi="Times New Roman" w:eastAsia="宋体"/>
                <w:color w:val="auto"/>
                <w:sz w:val="20"/>
                <w:szCs w:val="20"/>
                <w:highlight w:val="none"/>
              </w:rPr>
              <w:t>土的种类</w:t>
            </w:r>
          </w:p>
        </w:tc>
        <w:tc>
          <w:tcPr>
            <w:tcW w:w="1524" w:type="dxa"/>
            <w:tcBorders>
              <w:tl2br w:val="nil"/>
              <w:tr2bl w:val="nil"/>
            </w:tcBorders>
            <w:vAlign w:val="center"/>
          </w:tcPr>
          <w:p>
            <w:pPr>
              <w:jc w:val="center"/>
              <w:rPr>
                <w:rFonts w:ascii="Times New Roman" w:hAnsi="Times New Roman" w:eastAsia="宋体"/>
                <w:color w:val="auto"/>
                <w:sz w:val="20"/>
                <w:szCs w:val="20"/>
                <w:highlight w:val="none"/>
              </w:rPr>
            </w:pPr>
            <w:r>
              <w:rPr>
                <w:rFonts w:hint="eastAsia" w:ascii="Times New Roman" w:hAnsi="Times New Roman" w:eastAsia="宋体"/>
                <w:color w:val="auto"/>
                <w:sz w:val="20"/>
                <w:szCs w:val="20"/>
                <w:highlight w:val="none"/>
              </w:rPr>
              <w:t>软黏土</w:t>
            </w:r>
          </w:p>
        </w:tc>
        <w:tc>
          <w:tcPr>
            <w:tcW w:w="1524" w:type="dxa"/>
            <w:tcBorders>
              <w:tl2br w:val="nil"/>
              <w:tr2bl w:val="nil"/>
            </w:tcBorders>
            <w:vAlign w:val="center"/>
          </w:tcPr>
          <w:p>
            <w:pPr>
              <w:jc w:val="center"/>
              <w:rPr>
                <w:rFonts w:ascii="Times New Roman" w:hAnsi="Times New Roman" w:eastAsia="宋体"/>
                <w:color w:val="auto"/>
                <w:sz w:val="20"/>
                <w:szCs w:val="20"/>
                <w:highlight w:val="none"/>
              </w:rPr>
            </w:pPr>
            <w:r>
              <w:rPr>
                <w:rFonts w:hint="eastAsia" w:ascii="Times New Roman" w:hAnsi="Times New Roman" w:eastAsia="宋体"/>
                <w:color w:val="auto"/>
                <w:sz w:val="20"/>
                <w:szCs w:val="20"/>
                <w:highlight w:val="none"/>
              </w:rPr>
              <w:t>粉性土</w:t>
            </w:r>
          </w:p>
        </w:tc>
        <w:tc>
          <w:tcPr>
            <w:tcW w:w="1524" w:type="dxa"/>
            <w:tcBorders>
              <w:tl2br w:val="nil"/>
              <w:tr2bl w:val="nil"/>
            </w:tcBorders>
            <w:vAlign w:val="center"/>
          </w:tcPr>
          <w:p>
            <w:pPr>
              <w:jc w:val="center"/>
              <w:rPr>
                <w:rFonts w:ascii="Times New Roman" w:hAnsi="Times New Roman" w:eastAsia="宋体"/>
                <w:color w:val="auto"/>
                <w:sz w:val="20"/>
                <w:szCs w:val="20"/>
                <w:highlight w:val="none"/>
              </w:rPr>
            </w:pPr>
            <w:r>
              <w:rPr>
                <w:rFonts w:hint="eastAsia" w:ascii="Times New Roman" w:hAnsi="Times New Roman" w:eastAsia="宋体"/>
                <w:color w:val="auto"/>
                <w:sz w:val="20"/>
                <w:szCs w:val="20"/>
                <w:highlight w:val="none"/>
              </w:rPr>
              <w:t>粉细砂</w:t>
            </w:r>
          </w:p>
        </w:tc>
        <w:tc>
          <w:tcPr>
            <w:tcW w:w="1524" w:type="dxa"/>
            <w:tcBorders>
              <w:tl2br w:val="nil"/>
              <w:tr2bl w:val="nil"/>
            </w:tcBorders>
            <w:vAlign w:val="center"/>
          </w:tcPr>
          <w:p>
            <w:pPr>
              <w:jc w:val="center"/>
              <w:rPr>
                <w:rFonts w:ascii="Times New Roman" w:hAnsi="Times New Roman" w:eastAsia="宋体"/>
                <w:color w:val="auto"/>
                <w:sz w:val="20"/>
                <w:szCs w:val="20"/>
                <w:highlight w:val="none"/>
              </w:rPr>
            </w:pPr>
            <w:r>
              <w:rPr>
                <w:rFonts w:hint="eastAsia" w:ascii="Times New Roman" w:hAnsi="Times New Roman" w:eastAsia="宋体"/>
                <w:color w:val="auto"/>
                <w:sz w:val="20"/>
                <w:szCs w:val="20"/>
                <w:highlight w:val="none"/>
              </w:rPr>
              <w:t>中粗砂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Merge w:val="restart"/>
            <w:tcBorders>
              <w:tl2br w:val="nil"/>
              <w:tr2bl w:val="nil"/>
            </w:tcBorders>
            <w:vAlign w:val="center"/>
          </w:tcPr>
          <w:p>
            <w:pPr>
              <w:jc w:val="center"/>
              <w:rPr>
                <w:rFonts w:ascii="Times New Roman" w:hAnsi="Times New Roman" w:eastAsia="宋体"/>
                <w:color w:val="auto"/>
                <w:sz w:val="20"/>
                <w:szCs w:val="20"/>
                <w:highlight w:val="none"/>
              </w:rPr>
            </w:pPr>
            <w:r>
              <w:rPr>
                <w:rFonts w:hint="eastAsia" w:ascii="Times New Roman" w:hAnsi="Times New Roman" w:eastAsia="宋体"/>
                <w:color w:val="auto"/>
                <w:sz w:val="20"/>
                <w:szCs w:val="20"/>
                <w:highlight w:val="none"/>
              </w:rPr>
              <w:t>触变泥浆</w:t>
            </w:r>
          </w:p>
        </w:tc>
        <w:tc>
          <w:tcPr>
            <w:tcW w:w="1134" w:type="dxa"/>
            <w:tcBorders>
              <w:tl2br w:val="nil"/>
              <w:tr2bl w:val="nil"/>
            </w:tcBorders>
            <w:vAlign w:val="center"/>
          </w:tcPr>
          <w:p>
            <w:pPr>
              <w:jc w:val="center"/>
              <w:rPr>
                <w:rFonts w:ascii="Times New Roman" w:hAnsi="Times New Roman" w:eastAsia="宋体"/>
                <w:color w:val="auto"/>
                <w:sz w:val="20"/>
                <w:szCs w:val="20"/>
                <w:highlight w:val="none"/>
              </w:rPr>
            </w:pPr>
            <w:r>
              <w:rPr>
                <w:rFonts w:hint="eastAsia" w:ascii="Times New Roman" w:hAnsi="Times New Roman" w:eastAsia="宋体"/>
                <w:color w:val="auto"/>
                <w:sz w:val="20"/>
                <w:szCs w:val="20"/>
                <w:highlight w:val="none"/>
              </w:rPr>
              <w:t>混凝土管</w:t>
            </w:r>
          </w:p>
        </w:tc>
        <w:tc>
          <w:tcPr>
            <w:tcW w:w="1524"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3.0~5.0</w:t>
            </w:r>
          </w:p>
        </w:tc>
        <w:tc>
          <w:tcPr>
            <w:tcW w:w="1524"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5.0~8.0</w:t>
            </w:r>
          </w:p>
        </w:tc>
        <w:tc>
          <w:tcPr>
            <w:tcW w:w="1524"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8.0~11.0</w:t>
            </w:r>
          </w:p>
        </w:tc>
        <w:tc>
          <w:tcPr>
            <w:tcW w:w="1524"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11.0~16.0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Merge w:val="continue"/>
            <w:tcBorders>
              <w:tl2br w:val="nil"/>
              <w:tr2bl w:val="nil"/>
            </w:tcBorders>
            <w:vAlign w:val="center"/>
          </w:tcPr>
          <w:p>
            <w:pPr>
              <w:jc w:val="center"/>
              <w:rPr>
                <w:rFonts w:ascii="Times New Roman" w:hAnsi="Times New Roman" w:eastAsia="宋体"/>
                <w:color w:val="auto"/>
                <w:sz w:val="20"/>
                <w:szCs w:val="20"/>
                <w:highlight w:val="none"/>
              </w:rPr>
            </w:pPr>
          </w:p>
        </w:tc>
        <w:tc>
          <w:tcPr>
            <w:tcW w:w="1134" w:type="dxa"/>
            <w:tcBorders>
              <w:tl2br w:val="nil"/>
              <w:tr2bl w:val="nil"/>
            </w:tcBorders>
            <w:vAlign w:val="center"/>
          </w:tcPr>
          <w:p>
            <w:pPr>
              <w:jc w:val="center"/>
              <w:rPr>
                <w:rFonts w:ascii="Times New Roman" w:hAnsi="Times New Roman" w:eastAsia="宋体"/>
                <w:color w:val="auto"/>
                <w:sz w:val="20"/>
                <w:szCs w:val="20"/>
                <w:highlight w:val="none"/>
              </w:rPr>
            </w:pPr>
            <w:r>
              <w:rPr>
                <w:rFonts w:hint="eastAsia" w:ascii="Times New Roman" w:hAnsi="Times New Roman" w:eastAsia="宋体"/>
                <w:color w:val="auto"/>
                <w:sz w:val="20"/>
                <w:szCs w:val="20"/>
                <w:highlight w:val="none"/>
              </w:rPr>
              <w:t>钢管</w:t>
            </w:r>
          </w:p>
        </w:tc>
        <w:tc>
          <w:tcPr>
            <w:tcW w:w="1524"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3.0~4.0</w:t>
            </w:r>
          </w:p>
        </w:tc>
        <w:tc>
          <w:tcPr>
            <w:tcW w:w="1524"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4.0~7.0</w:t>
            </w:r>
          </w:p>
        </w:tc>
        <w:tc>
          <w:tcPr>
            <w:tcW w:w="1524"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7.0~10.0</w:t>
            </w:r>
          </w:p>
        </w:tc>
        <w:tc>
          <w:tcPr>
            <w:tcW w:w="1524"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10.0~13.0</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宋体"/>
          <w:color w:val="auto"/>
          <w:szCs w:val="21"/>
          <w:highlight w:val="none"/>
        </w:rPr>
      </w:pPr>
      <w:r>
        <w:rPr>
          <w:rFonts w:ascii="Times New Roman" w:hAnsi="Times New Roman" w:eastAsia="宋体"/>
          <w:color w:val="auto"/>
          <w:szCs w:val="21"/>
          <w:highlight w:val="none"/>
        </w:rPr>
        <w:t>沉井外壁与土体间的单位摩阻力可参考表</w:t>
      </w:r>
      <w:r>
        <w:rPr>
          <w:rFonts w:hint="eastAsia" w:ascii="Times New Roman" w:hAnsi="Times New Roman" w:eastAsia="宋体"/>
          <w:color w:val="auto"/>
          <w:szCs w:val="21"/>
          <w:highlight w:val="none"/>
          <w:lang w:val="en-US" w:eastAsia="zh-CN"/>
        </w:rPr>
        <w:t>9-3</w:t>
      </w:r>
      <w:r>
        <w:rPr>
          <w:rFonts w:ascii="Times New Roman" w:hAnsi="Times New Roman" w:eastAsia="宋体"/>
          <w:color w:val="auto"/>
          <w:szCs w:val="21"/>
          <w:highlight w:val="none"/>
        </w:rPr>
        <w:t>选用摩阻力建议值。</w:t>
      </w:r>
    </w:p>
    <w:p>
      <w:pPr>
        <w:spacing w:line="360" w:lineRule="auto"/>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9-3</w:t>
      </w:r>
      <w:r>
        <w:rPr>
          <w:rFonts w:ascii="Times New Roman" w:hAnsi="Times New Roman" w:eastAsia="宋体"/>
          <w:b/>
          <w:bCs/>
          <w:color w:val="auto"/>
          <w:szCs w:val="21"/>
          <w:highlight w:val="none"/>
        </w:rPr>
        <w:t xml:space="preserve"> 沉井外壁与土体间的单位摩阻力</w:t>
      </w:r>
    </w:p>
    <w:tbl>
      <w:tblPr>
        <w:tblStyle w:val="22"/>
        <w:tblW w:w="82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48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土质类型</w:t>
            </w:r>
          </w:p>
        </w:tc>
        <w:tc>
          <w:tcPr>
            <w:tcW w:w="4849"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沉井外壁与土体间的单位摩阻力（kPa）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砂卵石</w:t>
            </w:r>
          </w:p>
        </w:tc>
        <w:tc>
          <w:tcPr>
            <w:tcW w:w="4849"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18~30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砂砾石</w:t>
            </w:r>
          </w:p>
        </w:tc>
        <w:tc>
          <w:tcPr>
            <w:tcW w:w="4849"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砂土</w:t>
            </w:r>
          </w:p>
        </w:tc>
        <w:tc>
          <w:tcPr>
            <w:tcW w:w="4849"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硬塑黏性土、粉土</w:t>
            </w:r>
          </w:p>
        </w:tc>
        <w:tc>
          <w:tcPr>
            <w:tcW w:w="4849"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可塑和软塑黏性土、粉土</w:t>
            </w:r>
          </w:p>
        </w:tc>
        <w:tc>
          <w:tcPr>
            <w:tcW w:w="4849"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软土</w:t>
            </w:r>
          </w:p>
        </w:tc>
        <w:tc>
          <w:tcPr>
            <w:tcW w:w="4849"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10~12</w:t>
            </w:r>
          </w:p>
        </w:tc>
      </w:tr>
    </w:tbl>
    <w:p>
      <w:pPr>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注：1</w:t>
      </w:r>
      <w:r>
        <w:rPr>
          <w:rFonts w:hint="eastAsia"/>
          <w:color w:val="auto"/>
          <w:sz w:val="18"/>
          <w:szCs w:val="18"/>
          <w:highlight w:val="none"/>
          <w:lang w:val="en-US" w:eastAsia="zh-CN"/>
        </w:rPr>
        <w:t xml:space="preserve">  </w:t>
      </w:r>
      <w:r>
        <w:rPr>
          <w:rFonts w:ascii="Times New Roman" w:hAnsi="Times New Roman" w:eastAsia="宋体"/>
          <w:color w:val="auto"/>
          <w:sz w:val="18"/>
          <w:szCs w:val="18"/>
          <w:highlight w:val="none"/>
        </w:rPr>
        <w:t>本表适用于深度不超过30m的沉井；</w:t>
      </w:r>
    </w:p>
    <w:p>
      <w:pPr>
        <w:tabs>
          <w:tab w:val="left" w:pos="357"/>
        </w:tabs>
        <w:ind w:left="357" w:leftChars="170"/>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 xml:space="preserve">2 </w:t>
      </w:r>
      <w:r>
        <w:rPr>
          <w:rFonts w:hint="eastAsia"/>
          <w:color w:val="auto"/>
          <w:sz w:val="18"/>
          <w:szCs w:val="18"/>
          <w:highlight w:val="none"/>
          <w:lang w:val="en-US" w:eastAsia="zh-CN"/>
        </w:rPr>
        <w:t xml:space="preserve"> </w:t>
      </w:r>
      <w:r>
        <w:rPr>
          <w:rFonts w:ascii="Times New Roman" w:hAnsi="Times New Roman" w:eastAsia="宋体"/>
          <w:color w:val="auto"/>
          <w:sz w:val="18"/>
          <w:szCs w:val="18"/>
          <w:highlight w:val="none"/>
        </w:rPr>
        <w:t>采用泥浆助沉时，单位摩阻力取3kPa~5kPa；</w:t>
      </w:r>
    </w:p>
    <w:p>
      <w:pPr>
        <w:tabs>
          <w:tab w:val="left" w:pos="357"/>
        </w:tabs>
        <w:ind w:left="357" w:leftChars="170"/>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3</w:t>
      </w:r>
      <w:r>
        <w:rPr>
          <w:rFonts w:hint="eastAsia"/>
          <w:color w:val="auto"/>
          <w:sz w:val="18"/>
          <w:szCs w:val="18"/>
          <w:highlight w:val="none"/>
          <w:lang w:val="en-US" w:eastAsia="zh-CN"/>
        </w:rPr>
        <w:t xml:space="preserve"> </w:t>
      </w:r>
      <w:r>
        <w:rPr>
          <w:rFonts w:ascii="Times New Roman" w:hAnsi="Times New Roman" w:eastAsia="宋体"/>
          <w:color w:val="auto"/>
          <w:sz w:val="18"/>
          <w:szCs w:val="18"/>
          <w:highlight w:val="none"/>
        </w:rPr>
        <w:t xml:space="preserve"> 当井壁外侧为阶梯形并采用灌砂助沉时，灌砂段的单位摩阻力可取7kPa~10kPa；</w:t>
      </w:r>
    </w:p>
    <w:p>
      <w:pPr>
        <w:tabs>
          <w:tab w:val="left" w:pos="357"/>
        </w:tabs>
        <w:ind w:left="627" w:leftChars="170" w:hanging="270" w:hangingChars="150"/>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 xml:space="preserve">4 </w:t>
      </w:r>
      <w:r>
        <w:rPr>
          <w:rFonts w:hint="eastAsia"/>
          <w:color w:val="auto"/>
          <w:sz w:val="18"/>
          <w:szCs w:val="18"/>
          <w:highlight w:val="none"/>
          <w:lang w:val="en-US" w:eastAsia="zh-CN"/>
        </w:rPr>
        <w:t xml:space="preserve"> </w:t>
      </w:r>
      <w:r>
        <w:rPr>
          <w:rFonts w:ascii="Times New Roman" w:hAnsi="Times New Roman" w:eastAsia="宋体"/>
          <w:color w:val="auto"/>
          <w:sz w:val="18"/>
          <w:szCs w:val="18"/>
          <w:highlight w:val="none"/>
        </w:rPr>
        <w:t>沉井外壁的单位摩阻力分布，在0m~5m深度内，单位面积的摩阻力从零按直线增加，大于5m时为常数；当沉井深度内存在多种类型土层时，单位摩阻力可按土层厚度加权平均。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宋体"/>
          <w:color w:val="auto"/>
          <w:highlight w:val="none"/>
        </w:rPr>
      </w:pPr>
      <w:r>
        <w:rPr>
          <w:rFonts w:ascii="Times New Roman" w:hAnsi="Times New Roman" w:eastAsia="宋体"/>
          <w:color w:val="auto"/>
          <w:szCs w:val="21"/>
          <w:highlight w:val="none"/>
        </w:rPr>
        <w:t>表</w:t>
      </w:r>
      <w:r>
        <w:rPr>
          <w:rFonts w:hint="eastAsia" w:ascii="Times New Roman" w:hAnsi="Times New Roman" w:eastAsia="宋体"/>
          <w:color w:val="auto"/>
          <w:szCs w:val="21"/>
          <w:highlight w:val="none"/>
          <w:lang w:val="en-US" w:eastAsia="zh-CN"/>
        </w:rPr>
        <w:t>9-3</w:t>
      </w:r>
      <w:r>
        <w:rPr>
          <w:rFonts w:ascii="Times New Roman" w:hAnsi="Times New Roman" w:eastAsia="宋体"/>
          <w:color w:val="auto"/>
          <w:szCs w:val="21"/>
          <w:highlight w:val="none"/>
        </w:rPr>
        <w:t>引自《市政工程勘察规范》CJJ56-2012。</w:t>
      </w:r>
      <w:r>
        <w:rPr>
          <w:rFonts w:ascii="Times New Roman" w:hAnsi="Times New Roman" w:eastAsia="宋体"/>
          <w:color w:val="auto"/>
          <w:highlight w:val="none"/>
        </w:rPr>
        <w:br w:type="page"/>
      </w:r>
    </w:p>
    <w:p>
      <w:pPr>
        <w:rPr>
          <w:rFonts w:ascii="Times New Roman" w:hAnsi="Times New Roman" w:eastAsia="宋体"/>
          <w:color w:val="auto"/>
          <w:sz w:val="10"/>
          <w:szCs w:val="10"/>
          <w:highlight w:val="none"/>
        </w:rPr>
      </w:pPr>
    </w:p>
    <w:p>
      <w:pPr>
        <w:pStyle w:val="2"/>
        <w:rPr>
          <w:rFonts w:ascii="Times New Roman" w:hAnsi="Times New Roman" w:eastAsia="宋体"/>
          <w:color w:val="auto"/>
          <w:highlight w:val="none"/>
        </w:rPr>
      </w:pPr>
      <w:bookmarkStart w:id="415" w:name="_Toc10426"/>
      <w:bookmarkStart w:id="416" w:name="_Toc789"/>
      <w:r>
        <w:rPr>
          <w:rFonts w:ascii="Times New Roman" w:hAnsi="Times New Roman" w:eastAsia="宋体"/>
          <w:color w:val="auto"/>
          <w:highlight w:val="none"/>
        </w:rPr>
        <w:t>1</w:t>
      </w:r>
      <w:r>
        <w:rPr>
          <w:rFonts w:hint="eastAsia" w:ascii="Times New Roman" w:hAnsi="Times New Roman" w:eastAsia="宋体"/>
          <w:color w:val="auto"/>
          <w:highlight w:val="none"/>
          <w:lang w:val="en-US" w:eastAsia="zh-CN"/>
        </w:rPr>
        <w:t>0</w:t>
      </w:r>
      <w:r>
        <w:rPr>
          <w:rFonts w:hint="eastAsia" w:ascii="Times New Roman" w:hAnsi="Times New Roman" w:eastAsia="宋体"/>
          <w:color w:val="auto"/>
          <w:highlight w:val="none"/>
        </w:rPr>
        <w:t xml:space="preserve">  </w:t>
      </w:r>
      <w:r>
        <w:rPr>
          <w:rFonts w:hint="eastAsia" w:ascii="Times New Roman" w:hAnsi="Times New Roman" w:eastAsia="宋体"/>
          <w:color w:val="auto"/>
          <w:highlight w:val="none"/>
          <w:lang w:eastAsia="zh-CN"/>
        </w:rPr>
        <w:t>城市</w:t>
      </w:r>
      <w:r>
        <w:rPr>
          <w:rFonts w:hint="default" w:ascii="Times New Roman" w:hAnsi="Times New Roman" w:eastAsia="宋体" w:cs="Times New Roman"/>
          <w:color w:val="auto"/>
          <w:highlight w:val="none"/>
        </w:rPr>
        <w:t>综合管廊</w:t>
      </w:r>
      <w:r>
        <w:rPr>
          <w:rFonts w:ascii="Times New Roman" w:hAnsi="Times New Roman" w:eastAsia="宋体"/>
          <w:color w:val="auto"/>
          <w:highlight w:val="none"/>
        </w:rPr>
        <w:t>工程</w:t>
      </w:r>
      <w:bookmarkEnd w:id="415"/>
      <w:bookmarkEnd w:id="416"/>
    </w:p>
    <w:p>
      <w:pPr>
        <w:pStyle w:val="3"/>
        <w:jc w:val="center"/>
        <w:rPr>
          <w:rFonts w:hint="default" w:ascii="Times New Roman" w:hAnsi="Times New Roman" w:eastAsia="宋体" w:cs="Times New Roman"/>
          <w:color w:val="auto"/>
          <w:sz w:val="24"/>
          <w:highlight w:val="none"/>
          <w:lang w:val="en-US" w:eastAsia="zh-CN"/>
        </w:rPr>
      </w:pPr>
      <w:bookmarkStart w:id="417" w:name="_Toc24973"/>
      <w:bookmarkStart w:id="418" w:name="_Toc8258"/>
      <w:r>
        <w:rPr>
          <w:rFonts w:hint="default" w:ascii="Times New Roman" w:hAnsi="Times New Roman" w:eastAsia="宋体" w:cs="Times New Roman"/>
          <w:color w:val="auto"/>
          <w:sz w:val="24"/>
          <w:highlight w:val="none"/>
          <w:lang w:val="en-US" w:eastAsia="zh-CN"/>
        </w:rPr>
        <w:t>10.1</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一般规定</w:t>
      </w:r>
      <w:bookmarkEnd w:id="417"/>
      <w:bookmarkEnd w:id="418"/>
    </w:p>
    <w:p>
      <w:pPr>
        <w:autoSpaceDE w:val="0"/>
        <w:spacing w:line="360" w:lineRule="auto"/>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b/>
          <w:bCs/>
          <w:color w:val="auto"/>
          <w:kern w:val="0"/>
          <w:highlight w:val="none"/>
        </w:rPr>
        <w:t>10.1.</w:t>
      </w:r>
      <w:r>
        <w:rPr>
          <w:rFonts w:hint="eastAsia" w:ascii="Times New Roman" w:hAnsi="Times New Roman" w:eastAsia="宋体" w:cs="Times New Roman"/>
          <w:b/>
          <w:bCs/>
          <w:color w:val="auto"/>
          <w:kern w:val="0"/>
          <w:highlight w:val="none"/>
          <w:lang w:val="en-US" w:eastAsia="zh-CN"/>
        </w:rPr>
        <w:t>1</w:t>
      </w:r>
      <w:r>
        <w:rPr>
          <w:rFonts w:hint="eastAsia" w:cs="Times New Roman"/>
          <w:b/>
          <w:bCs/>
          <w:color w:val="auto"/>
          <w:kern w:val="0"/>
          <w:highlight w:val="none"/>
          <w:lang w:val="en-US" w:eastAsia="zh-CN"/>
        </w:rPr>
        <w:t xml:space="preserve">  </w:t>
      </w:r>
      <w:r>
        <w:rPr>
          <w:rFonts w:hint="default" w:ascii="Times New Roman" w:hAnsi="Times New Roman" w:eastAsia="宋体" w:cs="Times New Roman"/>
          <w:color w:val="auto"/>
          <w:kern w:val="0"/>
          <w:highlight w:val="none"/>
        </w:rPr>
        <w:t>综合管廊勘察可按设计要求进行专门勘察，也可结合城市道路工程、城市地下空间开发、轨道交通工程勘察同步实施。</w:t>
      </w:r>
    </w:p>
    <w:p>
      <w:pPr>
        <w:keepNext w:val="0"/>
        <w:keepLines w:val="0"/>
        <w:pageBreakBefore w:val="0"/>
        <w:widowControl w:val="0"/>
        <w:kinsoku/>
        <w:wordWrap/>
        <w:overflowPunct/>
        <w:topLinePunct w:val="0"/>
        <w:autoSpaceDE w:val="0"/>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综合管廊是指按照统一规划、设计、施工和维护原则，建于城市地下用于敷设两类及以上城市工程管线的市政公用设施。而我国综合管廊建设正处于起步阶段，管廊建设完全可以和城市道路、地下空间开发及城市轨道交通工程同步规划、同步勘察设计</w:t>
      </w:r>
      <w:r>
        <w:rPr>
          <w:rFonts w:hint="eastAsia" w:ascii="Times New Roman" w:hAnsi="Times New Roman" w:eastAsia="宋体" w:cs="Times New Roman"/>
          <w:color w:val="auto"/>
          <w:kern w:val="0"/>
          <w:highlight w:val="none"/>
          <w:lang w:eastAsia="zh-CN"/>
        </w:rPr>
        <w:t>。</w:t>
      </w:r>
      <w:r>
        <w:rPr>
          <w:rFonts w:hint="default" w:ascii="Times New Roman" w:hAnsi="Times New Roman" w:eastAsia="宋体" w:cs="Times New Roman"/>
          <w:color w:val="auto"/>
          <w:kern w:val="0"/>
          <w:highlight w:val="none"/>
        </w:rPr>
        <w:t>近年来广州、深圳等地实施了多个综合管廊和道路、轨道交通同步实施工程，取得了良好的效果，如：广州广花106国道改造综合管廊同步实施工程、广州地铁11号线综合管廊同步实施工程等。</w:t>
      </w:r>
    </w:p>
    <w:p>
      <w:pPr>
        <w:pStyle w:val="3"/>
        <w:jc w:val="center"/>
        <w:rPr>
          <w:rFonts w:hint="default" w:ascii="Times New Roman" w:hAnsi="Times New Roman" w:eastAsia="宋体" w:cs="Times New Roman"/>
          <w:color w:val="auto"/>
          <w:sz w:val="24"/>
          <w:highlight w:val="none"/>
          <w:lang w:val="en-US" w:eastAsia="zh-CN"/>
        </w:rPr>
      </w:pPr>
      <w:bookmarkStart w:id="419" w:name="_Toc20205"/>
      <w:bookmarkStart w:id="420" w:name="_Toc22059"/>
      <w:r>
        <w:rPr>
          <w:rFonts w:hint="default" w:ascii="Times New Roman" w:hAnsi="Times New Roman" w:eastAsia="宋体" w:cs="Times New Roman"/>
          <w:color w:val="auto"/>
          <w:sz w:val="24"/>
          <w:highlight w:val="none"/>
          <w:lang w:val="en-US" w:eastAsia="zh-CN"/>
        </w:rPr>
        <w:t>10.3</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初步勘察</w:t>
      </w:r>
      <w:bookmarkEnd w:id="419"/>
      <w:bookmarkEnd w:id="420"/>
    </w:p>
    <w:p>
      <w:pPr>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10.3.1</w:t>
      </w:r>
      <w:r>
        <w:rPr>
          <w:rFonts w:hint="eastAsia" w:cs="Times New Roman"/>
          <w:b/>
          <w:bCs/>
          <w:color w:val="auto"/>
          <w:highlight w:val="none"/>
          <w:lang w:val="en-US" w:eastAsia="zh-CN"/>
        </w:rPr>
        <w:t xml:space="preserve"> </w:t>
      </w:r>
      <w:r>
        <w:rPr>
          <w:rFonts w:hint="default" w:ascii="Times New Roman" w:hAnsi="Times New Roman" w:eastAsia="宋体" w:cs="Times New Roman"/>
          <w:color w:val="auto"/>
          <w:highlight w:val="none"/>
        </w:rPr>
        <w:t xml:space="preserve"> 广东地区地质条件复杂，如何客观、准确及科学地评价岩土的工程性质，除使用常规的</w:t>
      </w:r>
      <w:r>
        <w:rPr>
          <w:rFonts w:hint="eastAsia" w:ascii="Times New Roman" w:hAnsi="Times New Roman" w:eastAsia="宋体" w:cs="Times New Roman"/>
          <w:color w:val="auto"/>
          <w:highlight w:val="none"/>
          <w:lang w:eastAsia="zh-CN"/>
        </w:rPr>
        <w:t>勘探</w:t>
      </w:r>
      <w:r>
        <w:rPr>
          <w:rFonts w:hint="default" w:ascii="Times New Roman" w:hAnsi="Times New Roman" w:eastAsia="宋体" w:cs="Times New Roman"/>
          <w:color w:val="auto"/>
          <w:highlight w:val="none"/>
        </w:rPr>
        <w:t>、井探、坑探等勘探方法外，对于丘陵、山地地段开展必要的工程地质测绘；对于软弱土、残积土及花岗岩类全风化、强风化土层结合使用</w:t>
      </w:r>
      <w:r>
        <w:rPr>
          <w:rFonts w:hint="eastAsia" w:ascii="Times New Roman" w:hAnsi="Times New Roman" w:eastAsia="宋体" w:cs="Times New Roman"/>
          <w:color w:val="auto"/>
          <w:highlight w:val="none"/>
          <w:lang w:eastAsia="zh-CN"/>
        </w:rPr>
        <w:t>勘探</w:t>
      </w:r>
      <w:r>
        <w:rPr>
          <w:rFonts w:hint="default" w:ascii="Times New Roman" w:hAnsi="Times New Roman" w:eastAsia="宋体" w:cs="Times New Roman"/>
          <w:color w:val="auto"/>
          <w:highlight w:val="none"/>
        </w:rPr>
        <w:t>、原位测试手段，不良地质作用发育地段采用物探手段是合适的和妥当的。工程地质测绘及物探工作一般在初勘阶段完成，工程地质测绘比例尺宜为 1:1000～1:2000。</w:t>
      </w:r>
    </w:p>
    <w:p>
      <w:pPr>
        <w:autoSpaceDE w:val="0"/>
        <w:spacing w:line="360" w:lineRule="auto"/>
        <w:jc w:val="left"/>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kern w:val="0"/>
          <w:highlight w:val="none"/>
        </w:rPr>
        <w:t>10.3.</w:t>
      </w:r>
      <w:r>
        <w:rPr>
          <w:rFonts w:hint="eastAsia" w:ascii="Times New Roman" w:hAnsi="Times New Roman" w:eastAsia="宋体" w:cs="Times New Roman"/>
          <w:b/>
          <w:bCs/>
          <w:color w:val="auto"/>
          <w:kern w:val="0"/>
          <w:highlight w:val="none"/>
          <w:lang w:val="en-US" w:eastAsia="zh-CN"/>
        </w:rPr>
        <w:t>3</w:t>
      </w:r>
      <w:r>
        <w:rPr>
          <w:rFonts w:hint="default" w:ascii="Times New Roman" w:hAnsi="Times New Roman" w:eastAsia="宋体" w:cs="Times New Roman"/>
          <w:color w:val="auto"/>
          <w:highlight w:val="none"/>
        </w:rPr>
        <w:t xml:space="preserve"> </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rPr>
        <w:t>依据《城市综合管廊工程技术规范》GB</w:t>
      </w:r>
      <w:r>
        <w:rPr>
          <w:rFonts w:hint="eastAsia"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50838-2015，管廊节点指人员出入口、逃生口、吊装口、排风口、进风口、管线分支口等。缆线管廊一般埋深较小，勘探点间距可适当放宽。勘探点宜沿综合管廊外侧交叉布置，是为了保证基坑坑壁土层取样，满足稳定性分析的要求；同时，对于暗挖施工方法，可避免勘探孔形成渗水通道，且便于明挖或暗挖施工工法的调整。依据《市政工程勘察规范》CJJ50-2012城市隧道章节，暗挖法施工的隧道工程陆域钻孔布置在结构边线外侧3-5m，水域钻孔一般布置在结构边线外侧6-10m，宜交错布置。</w:t>
      </w:r>
    </w:p>
    <w:p>
      <w:pPr>
        <w:autoSpaceDE w:val="0"/>
        <w:spacing w:line="360" w:lineRule="auto"/>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b/>
          <w:bCs/>
          <w:color w:val="auto"/>
          <w:highlight w:val="none"/>
        </w:rPr>
        <w:t>10.3.</w:t>
      </w:r>
      <w:r>
        <w:rPr>
          <w:rFonts w:hint="eastAsia" w:ascii="Times New Roman" w:hAnsi="Times New Roman" w:eastAsia="宋体" w:cs="Times New Roman"/>
          <w:b/>
          <w:bCs/>
          <w:color w:val="auto"/>
          <w:highlight w:val="none"/>
          <w:lang w:val="en-US" w:eastAsia="zh-CN"/>
        </w:rPr>
        <w:t>4</w:t>
      </w:r>
      <w:r>
        <w:rPr>
          <w:rFonts w:hint="eastAsia" w:cs="Times New Roman"/>
          <w:b/>
          <w:bCs/>
          <w:color w:val="auto"/>
          <w:highlight w:val="none"/>
          <w:lang w:val="en-US" w:eastAsia="zh-CN"/>
        </w:rPr>
        <w:t xml:space="preserve"> </w:t>
      </w:r>
      <w:r>
        <w:rPr>
          <w:rFonts w:hint="default" w:ascii="Times New Roman" w:hAnsi="Times New Roman" w:eastAsia="宋体" w:cs="Times New Roman"/>
          <w:color w:val="auto"/>
          <w:highlight w:val="none"/>
        </w:rPr>
        <w:t>初勘阶段勘探点个数相对较少，间距较大，一般统一布置为控制性钻孔。缆线管廊一般平面尺寸较小，荷载较轻，一般不存在承载力问题，只要满足变形要求即可，故</w:t>
      </w:r>
      <w:r>
        <w:rPr>
          <w:rFonts w:hint="eastAsia" w:ascii="Times New Roman" w:hAnsi="Times New Roman" w:eastAsia="宋体" w:cs="Times New Roman"/>
          <w:color w:val="auto"/>
          <w:highlight w:val="none"/>
          <w:lang w:eastAsia="zh-CN"/>
        </w:rPr>
        <w:t>勘探</w:t>
      </w:r>
      <w:r>
        <w:rPr>
          <w:rFonts w:hint="default" w:ascii="Times New Roman" w:hAnsi="Times New Roman" w:eastAsia="宋体" w:cs="Times New Roman"/>
          <w:color w:val="auto"/>
          <w:highlight w:val="none"/>
        </w:rPr>
        <w:t>深度可适当减小。</w:t>
      </w:r>
    </w:p>
    <w:p>
      <w:pPr>
        <w:spacing w:line="36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b/>
          <w:bCs/>
          <w:color w:val="auto"/>
          <w:highlight w:val="none"/>
          <w:lang w:val="en-US" w:eastAsia="zh-CN"/>
        </w:rPr>
        <w:t>10.3.5</w:t>
      </w:r>
      <w:r>
        <w:rPr>
          <w:rFonts w:hint="eastAsia" w:ascii="Times New Roman" w:hAnsi="Times New Roman" w:eastAsia="宋体" w:cs="Times New Roman"/>
          <w:color w:val="auto"/>
          <w:highlight w:val="none"/>
          <w:lang w:val="en-US" w:eastAsia="zh-CN"/>
        </w:rPr>
        <w:t xml:space="preserve"> </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rPr>
        <w:t>初步勘察除提供地基土常规指标外，尚宜结合施工工法、所涉的地质条件、设计要求提供相应的岩土参数，详见表10</w:t>
      </w:r>
      <w:r>
        <w:rPr>
          <w:rFonts w:hint="eastAsia" w:ascii="Times New Roman" w:hAnsi="Times New Roman" w:eastAsia="宋体" w:cs="Times New Roman"/>
          <w:color w:val="auto"/>
          <w:highlight w:val="none"/>
          <w:lang w:val="en-US" w:eastAsia="zh-CN"/>
        </w:rPr>
        <w:t>-1。</w:t>
      </w:r>
    </w:p>
    <w:p>
      <w:pPr>
        <w:spacing w:line="360" w:lineRule="auto"/>
        <w:ind w:firstLine="632" w:firstLineChars="30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 10</w:t>
      </w:r>
      <w:r>
        <w:rPr>
          <w:rFonts w:hint="eastAsia" w:ascii="Times New Roman" w:hAnsi="Times New Roman" w:eastAsia="宋体" w:cs="Times New Roman"/>
          <w:b/>
          <w:bCs/>
          <w:color w:val="auto"/>
          <w:highlight w:val="none"/>
          <w:lang w:val="en-US" w:eastAsia="zh-CN"/>
        </w:rPr>
        <w:t>-1</w:t>
      </w:r>
      <w:r>
        <w:rPr>
          <w:rFonts w:hint="default" w:ascii="Times New Roman" w:hAnsi="Times New Roman" w:eastAsia="宋体" w:cs="Times New Roman"/>
          <w:b/>
          <w:bCs/>
          <w:color w:val="auto"/>
          <w:highlight w:val="none"/>
        </w:rPr>
        <w:t xml:space="preserve"> </w:t>
      </w:r>
      <w:r>
        <w:rPr>
          <w:rFonts w:hint="eastAsia"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初步勘察选择提供的岩土参数</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3402"/>
        <w:gridCol w:w="37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384" w:type="dxa"/>
            <w:tcBorders>
              <w:tl2br w:val="nil"/>
              <w:tr2bl w:val="nil"/>
            </w:tcBorders>
            <w:vAlign w:val="center"/>
          </w:tcPr>
          <w:p>
            <w:pPr>
              <w:autoSpaceDE w:val="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施工工法</w:t>
            </w:r>
          </w:p>
        </w:tc>
        <w:tc>
          <w:tcPr>
            <w:tcW w:w="3402" w:type="dxa"/>
            <w:tcBorders>
              <w:tl2br w:val="nil"/>
              <w:tr2bl w:val="nil"/>
            </w:tcBorders>
            <w:vAlign w:val="center"/>
          </w:tcPr>
          <w:p>
            <w:pPr>
              <w:autoSpaceDE w:val="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明挖法施工</w:t>
            </w:r>
          </w:p>
        </w:tc>
        <w:tc>
          <w:tcPr>
            <w:tcW w:w="3736" w:type="dxa"/>
            <w:tcBorders>
              <w:tl2br w:val="nil"/>
              <w:tr2bl w:val="nil"/>
            </w:tcBorders>
            <w:vAlign w:val="center"/>
          </w:tcPr>
          <w:p>
            <w:pPr>
              <w:autoSpaceDE w:val="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暗挖法施工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tcBorders>
              <w:tl2br w:val="nil"/>
              <w:tr2bl w:val="nil"/>
            </w:tcBorders>
            <w:vAlign w:val="center"/>
          </w:tcPr>
          <w:p>
            <w:pPr>
              <w:autoSpaceDE w:val="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常规参数</w:t>
            </w:r>
          </w:p>
        </w:tc>
        <w:tc>
          <w:tcPr>
            <w:tcW w:w="7138" w:type="dxa"/>
            <w:gridSpan w:val="2"/>
            <w:tcBorders>
              <w:tl2br w:val="nil"/>
              <w:tr2bl w:val="nil"/>
            </w:tcBorders>
            <w:vAlign w:val="center"/>
          </w:tcPr>
          <w:p>
            <w:pPr>
              <w:autoSpaceDE w:val="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含水率、密度、土粒比重、颗粒分析、界限含水率、直接固结快剪、直接快剪、400kPa压力以下的固结试验、岩石单轴抗压强度（含天然和饱和状态）试验直接测定的和由这些试验计算求得的指标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tcBorders>
              <w:tl2br w:val="nil"/>
              <w:tr2bl w:val="nil"/>
            </w:tcBorders>
            <w:vAlign w:val="center"/>
          </w:tcPr>
          <w:p>
            <w:pPr>
              <w:autoSpaceDE w:val="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特殊参数</w:t>
            </w:r>
          </w:p>
        </w:tc>
        <w:tc>
          <w:tcPr>
            <w:tcW w:w="3402" w:type="dxa"/>
            <w:tcBorders>
              <w:tl2br w:val="nil"/>
              <w:tr2bl w:val="nil"/>
            </w:tcBorders>
          </w:tcPr>
          <w:p>
            <w:pPr>
              <w:autoSpaceDE w:val="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渗透系数、静止侧压力系数、无侧限抗压强度、三轴 CU 抗剪强度、三轴 UU 抗剪强度、桩基设计参数、岩土体波速、土层电阻率、有机质含量</w:t>
            </w:r>
          </w:p>
        </w:tc>
        <w:tc>
          <w:tcPr>
            <w:tcW w:w="3736" w:type="dxa"/>
            <w:tcBorders>
              <w:tl2br w:val="nil"/>
              <w:tr2bl w:val="nil"/>
            </w:tcBorders>
          </w:tcPr>
          <w:p>
            <w:pPr>
              <w:autoSpaceDE w:val="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渗透系数、无侧限抗压强度、灵敏度、三轴UU 抗剪强度、岩土体波速、有害气体成分、压力、流量</w:t>
            </w:r>
          </w:p>
        </w:tc>
      </w:tr>
    </w:tbl>
    <w:p>
      <w:pPr>
        <w:spacing w:line="360" w:lineRule="auto"/>
        <w:rPr>
          <w:rFonts w:hint="default" w:ascii="Times New Roman" w:hAnsi="Times New Roman" w:eastAsia="宋体" w:cs="Times New Roman"/>
          <w:color w:val="auto"/>
          <w:sz w:val="20"/>
          <w:szCs w:val="21"/>
          <w:highlight w:val="none"/>
        </w:rPr>
      </w:pPr>
      <w:r>
        <w:rPr>
          <w:rFonts w:hint="default" w:ascii="Times New Roman" w:hAnsi="Times New Roman" w:eastAsia="宋体" w:cs="Times New Roman"/>
          <w:color w:val="auto"/>
          <w:sz w:val="20"/>
          <w:szCs w:val="21"/>
          <w:highlight w:val="none"/>
        </w:rPr>
        <w:t>注：具体需提供岩土参数可由设计根据工程实际需要酌情增减。</w:t>
      </w:r>
    </w:p>
    <w:p>
      <w:pPr>
        <w:pStyle w:val="3"/>
        <w:jc w:val="center"/>
        <w:rPr>
          <w:rFonts w:hint="default" w:ascii="Times New Roman" w:hAnsi="Times New Roman" w:eastAsia="宋体" w:cs="Times New Roman"/>
          <w:color w:val="auto"/>
          <w:sz w:val="24"/>
          <w:highlight w:val="none"/>
          <w:lang w:val="en-US" w:eastAsia="zh-CN"/>
        </w:rPr>
      </w:pPr>
      <w:bookmarkStart w:id="421" w:name="_Toc7491"/>
      <w:bookmarkStart w:id="422" w:name="_Toc2675"/>
      <w:r>
        <w:rPr>
          <w:rFonts w:hint="default" w:ascii="Times New Roman" w:hAnsi="Times New Roman" w:eastAsia="宋体" w:cs="Times New Roman"/>
          <w:color w:val="auto"/>
          <w:sz w:val="24"/>
          <w:highlight w:val="none"/>
          <w:lang w:val="en-US" w:eastAsia="zh-CN"/>
        </w:rPr>
        <w:t>10.4</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详细勘察</w:t>
      </w:r>
      <w:bookmarkEnd w:id="421"/>
      <w:bookmarkEnd w:id="422"/>
    </w:p>
    <w:p>
      <w:pPr>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10.4.2</w:t>
      </w:r>
      <w:r>
        <w:rPr>
          <w:rFonts w:hint="eastAsia" w:cs="Times New Roman"/>
          <w:b/>
          <w:bCs/>
          <w:color w:val="auto"/>
          <w:highlight w:val="none"/>
          <w:lang w:val="en-US" w:eastAsia="zh-CN"/>
        </w:rPr>
        <w:t xml:space="preserve"> </w:t>
      </w:r>
      <w:r>
        <w:rPr>
          <w:rFonts w:hint="default" w:ascii="Times New Roman" w:hAnsi="Times New Roman" w:eastAsia="宋体" w:cs="Times New Roman"/>
          <w:color w:val="auto"/>
          <w:highlight w:val="none"/>
        </w:rPr>
        <w:t>详勘阶段勘探点布置时首先充分利用前阶段勘察成果，参照广州地铁勘察经验，利用钻孔距拟建结构边线距离不宜大于10m。勘探点间距参考了《城市轨道交通岩土工程勘察规范》GB50307-2012关于详勘钻孔布置的原则。</w:t>
      </w:r>
    </w:p>
    <w:p>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b/>
          <w:bCs/>
          <w:color w:val="auto"/>
          <w:highlight w:val="none"/>
          <w:lang w:val="en-US" w:eastAsia="zh-CN"/>
        </w:rPr>
        <w:t>10.4.3</w:t>
      </w:r>
      <w:r>
        <w:rPr>
          <w:rFonts w:hint="eastAsia" w:ascii="Times New Roman" w:hAnsi="Times New Roman" w:eastAsia="宋体" w:cs="Times New Roman"/>
          <w:color w:val="auto"/>
          <w:highlight w:val="none"/>
          <w:lang w:val="en-US" w:eastAsia="zh-CN"/>
        </w:rPr>
        <w:t xml:space="preserve"> </w:t>
      </w:r>
      <w:r>
        <w:rPr>
          <w:rFonts w:hint="eastAsia" w:cs="Times New Roman"/>
          <w:color w:val="auto"/>
          <w:highlight w:val="none"/>
          <w:lang w:val="en-US" w:eastAsia="zh-CN"/>
        </w:rPr>
        <w:t xml:space="preserve"> </w:t>
      </w:r>
      <w:r>
        <w:rPr>
          <w:rFonts w:hint="default" w:ascii="Times New Roman" w:hAnsi="Times New Roman" w:eastAsia="宋体" w:cs="Times New Roman"/>
          <w:color w:val="auto"/>
          <w:kern w:val="0"/>
          <w:highlight w:val="none"/>
        </w:rPr>
        <w:t>为降、截水设计需要，控制性勘探孔</w:t>
      </w:r>
      <w:r>
        <w:rPr>
          <w:rFonts w:hint="eastAsia" w:cs="Times New Roman"/>
          <w:color w:val="auto"/>
          <w:kern w:val="0"/>
          <w:highlight w:val="none"/>
          <w:lang w:val="en-US" w:eastAsia="zh-CN"/>
        </w:rPr>
        <w:t>需</w:t>
      </w:r>
      <w:r>
        <w:rPr>
          <w:rFonts w:hint="default" w:ascii="Times New Roman" w:hAnsi="Times New Roman" w:eastAsia="宋体" w:cs="Times New Roman"/>
          <w:color w:val="auto"/>
          <w:kern w:val="0"/>
          <w:highlight w:val="none"/>
        </w:rPr>
        <w:t>穿透主要含水层进入隔水层一定深度</w:t>
      </w:r>
      <w:r>
        <w:rPr>
          <w:rFonts w:hint="eastAsia" w:ascii="Times New Roman" w:hAnsi="Times New Roman" w:eastAsia="宋体" w:cs="Times New Roman"/>
          <w:color w:val="auto"/>
          <w:kern w:val="0"/>
          <w:highlight w:val="none"/>
          <w:lang w:eastAsia="zh-CN"/>
        </w:rPr>
        <w:t>。</w:t>
      </w:r>
    </w:p>
    <w:p>
      <w:pPr>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10.4.</w:t>
      </w:r>
      <w:r>
        <w:rPr>
          <w:rFonts w:hint="eastAsia" w:ascii="Times New Roman" w:hAnsi="Times New Roman" w:eastAsia="宋体" w:cs="Times New Roman"/>
          <w:b/>
          <w:bCs/>
          <w:color w:val="auto"/>
          <w:highlight w:val="none"/>
          <w:lang w:val="en-US" w:eastAsia="zh-CN"/>
        </w:rPr>
        <w:t>6</w:t>
      </w:r>
      <w:r>
        <w:rPr>
          <w:rFonts w:hint="default" w:ascii="Times New Roman" w:hAnsi="Times New Roman" w:eastAsia="宋体" w:cs="Times New Roman"/>
          <w:color w:val="auto"/>
          <w:highlight w:val="none"/>
        </w:rPr>
        <w:t xml:space="preserve"> 详细勘察除提供地基土常规指标外，尚宜结合施工工法、所涉的地质条件、设计要</w:t>
      </w:r>
    </w:p>
    <w:p>
      <w:pPr>
        <w:autoSpaceDE w:val="0"/>
        <w:spacing w:line="360" w:lineRule="auto"/>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求提供相应的岩土参数，详见表10</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w:t>
      </w:r>
    </w:p>
    <w:p>
      <w:pPr>
        <w:spacing w:line="360" w:lineRule="auto"/>
        <w:ind w:firstLine="632" w:firstLineChars="30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 10</w:t>
      </w:r>
      <w:r>
        <w:rPr>
          <w:rFonts w:hint="eastAsia"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rPr>
        <w:t xml:space="preserve"> 详细勘察选择提供的岩土参数</w:t>
      </w:r>
    </w:p>
    <w:tbl>
      <w:tblPr>
        <w:tblStyle w:val="23"/>
        <w:tblW w:w="823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3475"/>
        <w:gridCol w:w="38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42" w:type="dxa"/>
            <w:tcBorders>
              <w:tl2br w:val="nil"/>
              <w:tr2bl w:val="nil"/>
            </w:tcBorders>
            <w:vAlign w:val="center"/>
          </w:tcPr>
          <w:p>
            <w:pPr>
              <w:autoSpaceDE w:val="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施工工法</w:t>
            </w:r>
          </w:p>
        </w:tc>
        <w:tc>
          <w:tcPr>
            <w:tcW w:w="3475" w:type="dxa"/>
            <w:tcBorders>
              <w:tl2br w:val="nil"/>
              <w:tr2bl w:val="nil"/>
            </w:tcBorders>
            <w:vAlign w:val="center"/>
          </w:tcPr>
          <w:p>
            <w:pPr>
              <w:autoSpaceDE w:val="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明挖法施工</w:t>
            </w:r>
          </w:p>
        </w:tc>
        <w:tc>
          <w:tcPr>
            <w:tcW w:w="3815" w:type="dxa"/>
            <w:tcBorders>
              <w:tl2br w:val="nil"/>
              <w:tr2bl w:val="nil"/>
            </w:tcBorders>
            <w:vAlign w:val="center"/>
          </w:tcPr>
          <w:p>
            <w:pPr>
              <w:autoSpaceDE w:val="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暗挖法施工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2" w:type="dxa"/>
            <w:tcBorders>
              <w:tl2br w:val="nil"/>
              <w:tr2bl w:val="nil"/>
            </w:tcBorders>
            <w:vAlign w:val="center"/>
          </w:tcPr>
          <w:p>
            <w:pPr>
              <w:autoSpaceDE w:val="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常规参数</w:t>
            </w:r>
          </w:p>
        </w:tc>
        <w:tc>
          <w:tcPr>
            <w:tcW w:w="7290" w:type="dxa"/>
            <w:gridSpan w:val="2"/>
            <w:tcBorders>
              <w:tl2br w:val="nil"/>
              <w:tr2bl w:val="nil"/>
            </w:tcBorders>
            <w:vAlign w:val="center"/>
          </w:tcPr>
          <w:p>
            <w:pPr>
              <w:autoSpaceDE w:val="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含水率、密度、土粒比重、颗粒分析、界限含水率、直接固结快剪、直接快剪、400kPa 压力以下的固结试验、岩石单轴抗压强度（含天然和饱和状态）试验直接测定的和由这些试验计算求得的指标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2" w:type="dxa"/>
            <w:tcBorders>
              <w:tl2br w:val="nil"/>
              <w:tr2bl w:val="nil"/>
            </w:tcBorders>
            <w:vAlign w:val="center"/>
          </w:tcPr>
          <w:p>
            <w:pPr>
              <w:autoSpaceDE w:val="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特殊参数</w:t>
            </w:r>
          </w:p>
        </w:tc>
        <w:tc>
          <w:tcPr>
            <w:tcW w:w="3475" w:type="dxa"/>
            <w:tcBorders>
              <w:tl2br w:val="nil"/>
              <w:tr2bl w:val="nil"/>
            </w:tcBorders>
          </w:tcPr>
          <w:p>
            <w:pPr>
              <w:autoSpaceDE w:val="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渗透系数、静止侧压力系数、三轴 CU 抗剪强度、三轴 UU 抗剪强度、先期固结压力、基床系数、无侧限抗压强度、灵敏度、十字板抗剪强度、回弹模量、回弹指数、岩土体速、桩基设计参数、土层电阻率、单井涌水量、影响半径、有机质含量</w:t>
            </w:r>
          </w:p>
        </w:tc>
        <w:tc>
          <w:tcPr>
            <w:tcW w:w="3815" w:type="dxa"/>
            <w:tcBorders>
              <w:tl2br w:val="nil"/>
              <w:tr2bl w:val="nil"/>
            </w:tcBorders>
          </w:tcPr>
          <w:p>
            <w:pPr>
              <w:autoSpaceDE w:val="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渗透系数、静止侧压力系数、无侧限抗压强</w:t>
            </w:r>
          </w:p>
          <w:p>
            <w:pPr>
              <w:autoSpaceDE w:val="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度、灵敏度、三轴 CU 抗剪强度、三轴 UU</w:t>
            </w:r>
          </w:p>
          <w:p>
            <w:pPr>
              <w:autoSpaceDE w:val="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抗剪强度、先期固结压力、次固结系数、基</w:t>
            </w:r>
          </w:p>
          <w:p>
            <w:pPr>
              <w:autoSpaceDE w:val="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床系数、不均匀系数及 d70、土层电阻率及</w:t>
            </w:r>
          </w:p>
          <w:p>
            <w:pPr>
              <w:autoSpaceDE w:val="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热物理指标、岩土体波速、砂卵石地层及硬</w:t>
            </w:r>
          </w:p>
          <w:p>
            <w:pPr>
              <w:autoSpaceDE w:val="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质岩石的石英含量、有害气体成分、压力、</w:t>
            </w:r>
          </w:p>
          <w:p>
            <w:pPr>
              <w:autoSpaceDE w:val="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流量</w:t>
            </w:r>
          </w:p>
        </w:tc>
      </w:tr>
    </w:tbl>
    <w:p>
      <w:pPr>
        <w:keepNext w:val="0"/>
        <w:keepLines w:val="0"/>
        <w:pageBreakBefore w:val="0"/>
        <w:widowControl w:val="0"/>
        <w:kinsoku/>
        <w:wordWrap/>
        <w:overflowPunct/>
        <w:topLinePunct w:val="0"/>
        <w:autoSpaceDE w:val="0"/>
        <w:autoSpaceDN/>
        <w:bidi w:val="0"/>
        <w:adjustRightInd/>
        <w:snapToGrid/>
        <w:spacing w:line="360" w:lineRule="auto"/>
        <w:ind w:firstLine="360" w:firstLineChars="200"/>
        <w:jc w:val="left"/>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sz w:val="18"/>
          <w:szCs w:val="18"/>
          <w:highlight w:val="none"/>
        </w:rPr>
        <w:t>注：具体需提供</w:t>
      </w:r>
      <w:r>
        <w:rPr>
          <w:rFonts w:hint="eastAsia" w:ascii="Times New Roman" w:hAnsi="Times New Roman" w:eastAsia="宋体" w:cs="Times New Roman"/>
          <w:color w:val="auto"/>
          <w:sz w:val="18"/>
          <w:szCs w:val="18"/>
          <w:highlight w:val="none"/>
          <w:lang w:val="en-US" w:eastAsia="zh-CN"/>
        </w:rPr>
        <w:t>的</w:t>
      </w:r>
      <w:r>
        <w:rPr>
          <w:rFonts w:hint="default" w:ascii="Times New Roman" w:hAnsi="Times New Roman" w:eastAsia="宋体" w:cs="Times New Roman"/>
          <w:color w:val="auto"/>
          <w:sz w:val="18"/>
          <w:szCs w:val="18"/>
          <w:highlight w:val="none"/>
        </w:rPr>
        <w:t>岩土参数可由设计根据工程实际需要酌情增减。</w:t>
      </w:r>
    </w:p>
    <w:p>
      <w:pPr>
        <w:rPr>
          <w:rFonts w:ascii="Times New Roman" w:hAnsi="Times New Roman" w:eastAsia="宋体"/>
          <w:color w:val="auto"/>
          <w:sz w:val="10"/>
          <w:szCs w:val="10"/>
          <w:highlight w:val="none"/>
        </w:rPr>
      </w:pPr>
      <w:r>
        <w:rPr>
          <w:rFonts w:ascii="Times New Roman" w:hAnsi="Times New Roman" w:eastAsia="宋体"/>
          <w:color w:val="auto"/>
          <w:sz w:val="10"/>
          <w:szCs w:val="10"/>
          <w:highlight w:val="none"/>
        </w:rPr>
        <w:br w:type="page"/>
      </w:r>
    </w:p>
    <w:p>
      <w:pPr>
        <w:rPr>
          <w:rFonts w:ascii="Times New Roman" w:hAnsi="Times New Roman" w:eastAsia="宋体"/>
          <w:color w:val="auto"/>
          <w:sz w:val="10"/>
          <w:szCs w:val="10"/>
          <w:highlight w:val="none"/>
        </w:rPr>
      </w:pPr>
    </w:p>
    <w:p>
      <w:pPr>
        <w:pStyle w:val="2"/>
        <w:rPr>
          <w:rFonts w:ascii="Times New Roman" w:hAnsi="Times New Roman" w:eastAsia="宋体"/>
          <w:color w:val="auto"/>
          <w:highlight w:val="none"/>
        </w:rPr>
      </w:pPr>
      <w:bookmarkStart w:id="423" w:name="_Toc76998288"/>
      <w:bookmarkStart w:id="424" w:name="_Toc11106"/>
      <w:bookmarkStart w:id="425" w:name="_Toc8558"/>
      <w:r>
        <w:rPr>
          <w:rFonts w:ascii="Times New Roman" w:hAnsi="Times New Roman" w:eastAsia="宋体"/>
          <w:color w:val="auto"/>
          <w:highlight w:val="none"/>
        </w:rPr>
        <w:t>1</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rPr>
        <w:t xml:space="preserve">  </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场地平整工程</w:t>
      </w:r>
      <w:bookmarkEnd w:id="423"/>
      <w:bookmarkEnd w:id="424"/>
      <w:bookmarkEnd w:id="425"/>
    </w:p>
    <w:p>
      <w:pPr>
        <w:pStyle w:val="3"/>
        <w:jc w:val="center"/>
        <w:rPr>
          <w:rFonts w:hint="default" w:ascii="Times New Roman" w:hAnsi="Times New Roman" w:eastAsia="宋体" w:cs="Times New Roman"/>
          <w:color w:val="auto"/>
          <w:sz w:val="24"/>
          <w:highlight w:val="none"/>
          <w:lang w:val="en-US" w:eastAsia="zh-CN"/>
        </w:rPr>
      </w:pPr>
      <w:bookmarkStart w:id="426" w:name="_Toc29377"/>
      <w:bookmarkStart w:id="427" w:name="_Toc3269"/>
      <w:bookmarkStart w:id="428" w:name="_Toc76998290"/>
      <w:r>
        <w:rPr>
          <w:rFonts w:hint="eastAsia" w:ascii="Times New Roman" w:hAnsi="Times New Roman" w:eastAsia="宋体" w:cs="Times New Roman"/>
          <w:color w:val="auto"/>
          <w:sz w:val="24"/>
          <w:highlight w:val="none"/>
          <w:lang w:eastAsia="zh-CN"/>
        </w:rPr>
        <w:t>11.</w:t>
      </w:r>
      <w:r>
        <w:rPr>
          <w:rFonts w:hint="eastAsia" w:ascii="Times New Roman" w:hAnsi="Times New Roman" w:eastAsia="宋体" w:cs="Times New Roman"/>
          <w:color w:val="auto"/>
          <w:sz w:val="24"/>
          <w:highlight w:val="none"/>
          <w:lang w:val="en-US" w:eastAsia="zh-CN"/>
        </w:rPr>
        <w:t>1</w:t>
      </w:r>
      <w:r>
        <w:rPr>
          <w:rFonts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lang w:val="en-US" w:eastAsia="zh-CN"/>
        </w:rPr>
        <w:t xml:space="preserve"> 一般规定</w:t>
      </w:r>
      <w:bookmarkEnd w:id="426"/>
      <w:bookmarkEnd w:id="427"/>
    </w:p>
    <w:p>
      <w:pPr>
        <w:autoSpaceDE w:val="0"/>
        <w:spacing w:line="360" w:lineRule="auto"/>
        <w:rPr>
          <w:rFonts w:hint="eastAsia" w:ascii="Times New Roman" w:hAnsi="Times New Roman" w:eastAsia="宋体"/>
          <w:color w:val="auto"/>
          <w:highlight w:val="none"/>
          <w:lang w:val="en-US" w:eastAsia="zh-CN"/>
        </w:rPr>
      </w:pPr>
      <w:r>
        <w:rPr>
          <w:rFonts w:hint="eastAsia" w:ascii="Times New Roman" w:hAnsi="Times New Roman" w:eastAsia="宋体"/>
          <w:b/>
          <w:bCs/>
          <w:color w:val="auto"/>
          <w:highlight w:val="none"/>
          <w:lang w:eastAsia="zh-CN"/>
        </w:rPr>
        <w:t>11.</w:t>
      </w:r>
      <w:r>
        <w:rPr>
          <w:rFonts w:hint="eastAsia" w:ascii="Times New Roman" w:hAnsi="Times New Roman" w:eastAsia="宋体"/>
          <w:b/>
          <w:bCs/>
          <w:color w:val="auto"/>
          <w:highlight w:val="none"/>
          <w:lang w:val="en-US" w:eastAsia="zh-CN"/>
        </w:rPr>
        <w:t>1.1</w:t>
      </w:r>
      <w:r>
        <w:rPr>
          <w:rFonts w:hint="eastAsia"/>
          <w:b/>
          <w:bCs/>
          <w:color w:val="auto"/>
          <w:highlight w:val="none"/>
          <w:lang w:val="en-US" w:eastAsia="zh-CN"/>
        </w:rPr>
        <w:t xml:space="preserve"> </w:t>
      </w:r>
      <w:r>
        <w:rPr>
          <w:rFonts w:ascii="Times New Roman" w:hAnsi="Times New Roman" w:eastAsia="宋体"/>
          <w:b/>
          <w:bCs/>
          <w:color w:val="auto"/>
          <w:highlight w:val="none"/>
        </w:rPr>
        <w:t xml:space="preserve"> </w:t>
      </w:r>
      <w:r>
        <w:rPr>
          <w:rFonts w:hint="eastAsia" w:ascii="Times New Roman" w:hAnsi="Times New Roman" w:eastAsia="宋体"/>
          <w:color w:val="auto"/>
          <w:highlight w:val="none"/>
          <w:lang w:val="en-US" w:eastAsia="zh-CN"/>
        </w:rPr>
        <w:t>广东省地貌北高南低，山地占全省面积约31.7%，丘陵占28.5%，盆地占16.1%，平原占23.7%。省内经济最发达、人口最密集的区域主要位于珠江三角洲平原，其次是韩江三角洲平原。随着经济的发展，三角洲平原的用地日益紧张，为此分别对周边的丘陵和滨海区进行平整，改造成适合建设的场地。</w:t>
      </w:r>
    </w:p>
    <w:p>
      <w:pPr>
        <w:autoSpaceDE w:val="0"/>
        <w:spacing w:line="360" w:lineRule="auto"/>
        <w:ind w:firstLine="420" w:firstLineChars="20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丘陵是陆地上起伏和缓、连绵不断的低矮山丘，海拔一般在200m~500m之间。孤立存在的称为丘，群丘相连称为丘陵。丘陵一般比较破碎、低矮，顶部浑圆，坡度和缓，没有明显的脉络，多为山地向平原过渡地带，是山地久经侵蚀的产物。在地貌演化过程中，丘陵是山地向平原过渡的中间阶段；从构造上看，丘陵区一般地壳抬升缓慢；从气候上看，丘陵一般分布于温暖湿润地区。相对而言，山地海拔一般在海拔500m以上，500m~1000m为低山，1000m~3500m为中山，3500m以上为高山。</w:t>
      </w:r>
    </w:p>
    <w:p>
      <w:pPr>
        <w:autoSpaceDE w:val="0"/>
        <w:spacing w:line="360" w:lineRule="auto"/>
        <w:rPr>
          <w:rFonts w:hint="eastAsia" w:ascii="Times New Roman" w:hAnsi="Times New Roman" w:eastAsia="宋体"/>
          <w:color w:val="auto"/>
          <w:highlight w:val="none"/>
          <w:lang w:val="en-US" w:eastAsia="zh-CN"/>
        </w:rPr>
      </w:pPr>
      <w:r>
        <w:rPr>
          <w:rFonts w:hint="eastAsia" w:ascii="Times New Roman" w:hAnsi="Times New Roman" w:eastAsia="宋体"/>
          <w:b/>
          <w:bCs/>
          <w:color w:val="auto"/>
          <w:highlight w:val="none"/>
          <w:lang w:eastAsia="zh-CN"/>
        </w:rPr>
        <w:t>11.</w:t>
      </w:r>
      <w:r>
        <w:rPr>
          <w:rFonts w:hint="eastAsia" w:ascii="Times New Roman" w:hAnsi="Times New Roman" w:eastAsia="宋体"/>
          <w:b/>
          <w:bCs/>
          <w:color w:val="auto"/>
          <w:highlight w:val="none"/>
          <w:lang w:val="en-US" w:eastAsia="zh-CN"/>
        </w:rPr>
        <w:t>1.2</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丘陵场地平整工程，是指建设方在</w:t>
      </w:r>
      <w:r>
        <w:rPr>
          <w:rFonts w:hint="eastAsia" w:ascii="Times New Roman" w:hAnsi="Times New Roman" w:eastAsia="宋体"/>
          <w:color w:val="auto"/>
          <w:highlight w:val="none"/>
        </w:rPr>
        <w:t>丘陵</w:t>
      </w:r>
      <w:r>
        <w:rPr>
          <w:rFonts w:hint="eastAsia" w:ascii="Times New Roman" w:hAnsi="Times New Roman" w:eastAsia="宋体"/>
          <w:color w:val="auto"/>
          <w:highlight w:val="none"/>
          <w:lang w:val="en-US" w:eastAsia="zh-CN"/>
        </w:rPr>
        <w:t>区通过</w:t>
      </w:r>
      <w:r>
        <w:rPr>
          <w:rFonts w:hint="eastAsia" w:ascii="Times New Roman" w:hAnsi="Times New Roman" w:eastAsia="宋体"/>
          <w:color w:val="auto"/>
          <w:highlight w:val="none"/>
        </w:rPr>
        <w:t>大面积挖方或堆填</w:t>
      </w:r>
      <w:r>
        <w:rPr>
          <w:rFonts w:hint="eastAsia" w:ascii="Times New Roman" w:hAnsi="Times New Roman" w:eastAsia="宋体"/>
          <w:color w:val="auto"/>
          <w:highlight w:val="none"/>
          <w:lang w:val="en-US" w:eastAsia="zh-CN"/>
        </w:rPr>
        <w:t>而进行的地块开发利用活动，包括对丘陵进行大面积削丘填谷所涉及的土石方工程，以及由此形成的一些人工边坡或支挡工程。丘陵场地平整前开展的勘察，主要是为建设方控制土石方工程造价以及边坡治理的设计和施工提供依据。</w:t>
      </w:r>
    </w:p>
    <w:p>
      <w:pPr>
        <w:autoSpaceDE w:val="0"/>
        <w:spacing w:line="360" w:lineRule="auto"/>
        <w:ind w:firstLine="420" w:firstLineChars="20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滨海场地平整工程，是指建设方在滨海区对滩涂地带进行填海造陆开发利用活动，包括围堰、海堤的填筑和填海区的吹填、堆填工程。滨海场地平整前开展的勘察，主要是为建设方控制陆域形成区填方量以及围堰或海堤的设计和施工提供依据。</w:t>
      </w:r>
    </w:p>
    <w:p>
      <w:pPr>
        <w:autoSpaceDE w:val="0"/>
        <w:spacing w:line="360" w:lineRule="auto"/>
        <w:ind w:firstLine="420" w:firstLineChars="20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场地平整工程的任务相对简单，在实际勘察中往往不区分阶段，采取一次性勘察。</w:t>
      </w:r>
    </w:p>
    <w:p>
      <w:pPr>
        <w:pStyle w:val="3"/>
        <w:jc w:val="center"/>
        <w:rPr>
          <w:rFonts w:ascii="Times New Roman" w:hAnsi="Times New Roman" w:eastAsia="宋体" w:cs="Times New Roman"/>
          <w:color w:val="auto"/>
          <w:sz w:val="24"/>
          <w:highlight w:val="none"/>
        </w:rPr>
      </w:pPr>
      <w:bookmarkStart w:id="429" w:name="_Toc28688"/>
      <w:bookmarkStart w:id="430" w:name="_Toc5806"/>
      <w:r>
        <w:rPr>
          <w:rFonts w:hint="eastAsia" w:ascii="Times New Roman" w:hAnsi="Times New Roman" w:eastAsia="宋体" w:cs="Times New Roman"/>
          <w:color w:val="auto"/>
          <w:sz w:val="24"/>
          <w:highlight w:val="none"/>
          <w:lang w:eastAsia="zh-CN"/>
        </w:rPr>
        <w:t>11.</w:t>
      </w:r>
      <w:r>
        <w:rPr>
          <w:rFonts w:ascii="Times New Roman" w:hAnsi="Times New Roman" w:eastAsia="宋体" w:cs="Times New Roman"/>
          <w:color w:val="auto"/>
          <w:sz w:val="24"/>
          <w:highlight w:val="none"/>
        </w:rPr>
        <w:t xml:space="preserve">2 </w:t>
      </w:r>
      <w:r>
        <w:rPr>
          <w:rFonts w:hint="eastAsia" w:ascii="Times New Roman" w:hAnsi="Times New Roman" w:eastAsia="宋体" w:cs="Times New Roman"/>
          <w:color w:val="auto"/>
          <w:sz w:val="24"/>
          <w:highlight w:val="none"/>
          <w:lang w:val="en-US" w:eastAsia="zh-CN"/>
        </w:rPr>
        <w:t xml:space="preserve"> </w:t>
      </w:r>
      <w:r>
        <w:rPr>
          <w:rFonts w:ascii="Times New Roman" w:hAnsi="Times New Roman" w:eastAsia="宋体" w:cs="Times New Roman"/>
          <w:color w:val="auto"/>
          <w:sz w:val="24"/>
          <w:highlight w:val="none"/>
        </w:rPr>
        <w:t>丘陵场地平整勘察</w:t>
      </w:r>
      <w:bookmarkEnd w:id="428"/>
      <w:bookmarkEnd w:id="429"/>
      <w:bookmarkEnd w:id="430"/>
    </w:p>
    <w:p>
      <w:pPr>
        <w:autoSpaceDE w:val="0"/>
        <w:spacing w:line="360" w:lineRule="auto"/>
        <w:rPr>
          <w:rFonts w:hint="eastAsia" w:ascii="Times New Roman" w:hAnsi="Times New Roman" w:eastAsia="宋体"/>
          <w:color w:val="auto"/>
          <w:highlight w:val="none"/>
          <w:lang w:val="en-US" w:eastAsia="zh-CN"/>
        </w:rPr>
      </w:pPr>
      <w:r>
        <w:rPr>
          <w:rFonts w:hint="eastAsia" w:ascii="Times New Roman" w:hAnsi="Times New Roman" w:eastAsia="宋体"/>
          <w:b/>
          <w:bCs/>
          <w:color w:val="auto"/>
          <w:highlight w:val="none"/>
          <w:lang w:eastAsia="zh-CN"/>
        </w:rPr>
        <w:t>11.</w:t>
      </w:r>
      <w:r>
        <w:rPr>
          <w:rFonts w:hint="eastAsia" w:ascii="Times New Roman" w:hAnsi="Times New Roman" w:eastAsia="宋体"/>
          <w:b/>
          <w:bCs/>
          <w:color w:val="auto"/>
          <w:highlight w:val="none"/>
          <w:lang w:val="en-US" w:eastAsia="zh-CN"/>
        </w:rPr>
        <w:t>2.1</w:t>
      </w:r>
      <w:r>
        <w:rPr>
          <w:rFonts w:hint="eastAsia"/>
          <w:b/>
          <w:bCs/>
          <w:color w:val="auto"/>
          <w:highlight w:val="none"/>
          <w:lang w:val="en-US" w:eastAsia="zh-CN"/>
        </w:rPr>
        <w:t xml:space="preserve"> </w:t>
      </w:r>
      <w:r>
        <w:rPr>
          <w:rFonts w:ascii="Times New Roman" w:hAnsi="Times New Roman" w:eastAsia="宋体"/>
          <w:b/>
          <w:bCs/>
          <w:color w:val="auto"/>
          <w:highlight w:val="none"/>
        </w:rPr>
        <w:t xml:space="preserve"> </w:t>
      </w:r>
      <w:r>
        <w:rPr>
          <w:rFonts w:ascii="Times New Roman" w:hAnsi="Times New Roman" w:eastAsia="宋体"/>
          <w:color w:val="auto"/>
          <w:highlight w:val="none"/>
        </w:rPr>
        <w:t>土方是指人工填土、表土、</w:t>
      </w:r>
      <w:r>
        <w:rPr>
          <w:rFonts w:hint="eastAsia" w:ascii="Times New Roman" w:hAnsi="Times New Roman" w:eastAsia="宋体"/>
          <w:color w:val="auto"/>
          <w:highlight w:val="none"/>
          <w:lang w:eastAsia="zh-CN"/>
        </w:rPr>
        <w:t>黏土</w:t>
      </w:r>
      <w:r>
        <w:rPr>
          <w:rFonts w:ascii="Times New Roman" w:hAnsi="Times New Roman" w:eastAsia="宋体"/>
          <w:color w:val="auto"/>
          <w:highlight w:val="none"/>
        </w:rPr>
        <w:t xml:space="preserve">、砾质土、松散坍塌体、软弱的全风化岩石，以及小于1.0 </w:t>
      </w:r>
      <w:r>
        <w:rPr>
          <w:rFonts w:hint="eastAsia" w:ascii="Times New Roman" w:hAnsi="Times New Roman" w:eastAsia="宋体"/>
          <w:color w:val="auto"/>
          <w:highlight w:val="none"/>
        </w:rPr>
        <w:t>m³</w:t>
      </w:r>
      <w:r>
        <w:rPr>
          <w:rFonts w:ascii="Times New Roman" w:hAnsi="Times New Roman" w:eastAsia="宋体"/>
          <w:color w:val="auto"/>
          <w:highlight w:val="none"/>
        </w:rPr>
        <w:t xml:space="preserve"> 的孤石，</w:t>
      </w:r>
      <w:r>
        <w:rPr>
          <w:rFonts w:hint="eastAsia" w:ascii="Times New Roman" w:hAnsi="Times New Roman" w:eastAsia="宋体"/>
          <w:color w:val="auto"/>
          <w:highlight w:val="none"/>
          <w:lang w:val="en-US" w:eastAsia="zh-CN"/>
        </w:rPr>
        <w:t>开挖过程</w:t>
      </w:r>
      <w:r>
        <w:rPr>
          <w:rFonts w:ascii="Times New Roman" w:hAnsi="Times New Roman" w:eastAsia="宋体"/>
          <w:color w:val="auto"/>
          <w:highlight w:val="none"/>
        </w:rPr>
        <w:t>无需采用爆破技术而可直接用手工工具或土方机械开挖的全部材料</w:t>
      </w:r>
      <w:r>
        <w:rPr>
          <w:rFonts w:hint="eastAsia" w:ascii="Times New Roman" w:hAnsi="Times New Roman" w:eastAsia="宋体"/>
          <w:color w:val="auto"/>
          <w:highlight w:val="none"/>
          <w:lang w:val="en-US" w:eastAsia="zh-CN"/>
        </w:rPr>
        <w:t>所占的体积</w:t>
      </w:r>
      <w:r>
        <w:rPr>
          <w:rFonts w:ascii="Times New Roman" w:hAnsi="Times New Roman" w:eastAsia="宋体"/>
          <w:color w:val="auto"/>
          <w:highlight w:val="none"/>
        </w:rPr>
        <w:t>；而石方是指用功率</w:t>
      </w:r>
      <w:r>
        <w:rPr>
          <w:rFonts w:hint="eastAsia" w:ascii="宋体" w:hAnsi="宋体" w:eastAsia="宋体" w:cs="宋体"/>
          <w:color w:val="auto"/>
          <w:highlight w:val="none"/>
        </w:rPr>
        <w:t>≥</w:t>
      </w:r>
      <w:r>
        <w:rPr>
          <w:rFonts w:ascii="Times New Roman" w:hAnsi="Times New Roman" w:eastAsia="宋体"/>
          <w:color w:val="auto"/>
          <w:highlight w:val="none"/>
        </w:rPr>
        <w:t>165kW的推土机单齿松土器无法勾动，须用爆破</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钢楔或气钻方法开挖</w:t>
      </w:r>
      <w:r>
        <w:rPr>
          <w:rFonts w:hint="eastAsia" w:ascii="Times New Roman" w:hAnsi="Times New Roman" w:eastAsia="宋体"/>
          <w:color w:val="auto"/>
          <w:highlight w:val="none"/>
          <w:lang w:val="en-US" w:eastAsia="zh-CN"/>
        </w:rPr>
        <w:t>的基岩或</w:t>
      </w:r>
      <w:r>
        <w:rPr>
          <w:rFonts w:ascii="Times New Roman" w:hAnsi="Times New Roman" w:eastAsia="宋体"/>
          <w:color w:val="auto"/>
          <w:highlight w:val="none"/>
        </w:rPr>
        <w:t>体积</w:t>
      </w:r>
      <w:r>
        <w:rPr>
          <w:rFonts w:hint="eastAsia" w:ascii="宋体" w:hAnsi="宋体" w:eastAsia="宋体" w:cs="宋体"/>
          <w:color w:val="auto"/>
          <w:highlight w:val="none"/>
        </w:rPr>
        <w:t>≥</w:t>
      </w:r>
      <w:r>
        <w:rPr>
          <w:rFonts w:ascii="Times New Roman" w:hAnsi="Times New Roman" w:eastAsia="宋体"/>
          <w:color w:val="auto"/>
          <w:highlight w:val="none"/>
        </w:rPr>
        <w:t>1.0m</w:t>
      </w:r>
      <w:r>
        <w:rPr>
          <w:rFonts w:ascii="Times New Roman" w:hAnsi="Times New Roman" w:eastAsia="宋体"/>
          <w:color w:val="auto"/>
          <w:highlight w:val="none"/>
          <w:vertAlign w:val="superscript"/>
        </w:rPr>
        <w:t>3</w:t>
      </w:r>
      <w:r>
        <w:rPr>
          <w:rFonts w:ascii="Times New Roman" w:hAnsi="Times New Roman" w:eastAsia="宋体"/>
          <w:color w:val="auto"/>
          <w:highlight w:val="none"/>
        </w:rPr>
        <w:t xml:space="preserve"> 的孤石</w:t>
      </w:r>
      <w:r>
        <w:rPr>
          <w:rFonts w:hint="eastAsia" w:ascii="Times New Roman" w:hAnsi="Times New Roman" w:eastAsia="宋体"/>
          <w:color w:val="auto"/>
          <w:highlight w:val="none"/>
          <w:lang w:val="en-US" w:eastAsia="zh-CN"/>
        </w:rPr>
        <w:t>所占的体积</w:t>
      </w:r>
      <w:r>
        <w:rPr>
          <w:rFonts w:ascii="Times New Roman" w:hAnsi="Times New Roman" w:eastAsia="宋体"/>
          <w:color w:val="auto"/>
          <w:highlight w:val="none"/>
        </w:rPr>
        <w:t>。</w:t>
      </w:r>
      <w:r>
        <w:rPr>
          <w:rFonts w:hint="eastAsia" w:ascii="Times New Roman" w:hAnsi="Times New Roman" w:eastAsia="宋体"/>
          <w:color w:val="auto"/>
          <w:highlight w:val="none"/>
          <w:lang w:val="en-US" w:eastAsia="zh-CN"/>
        </w:rPr>
        <w:t>土石比即总挖方中土方和石方的比例。以上体积均指原位体积，而非开挖后的松方体积。</w:t>
      </w:r>
    </w:p>
    <w:p>
      <w:pPr>
        <w:autoSpaceDE w:val="0"/>
        <w:spacing w:line="360" w:lineRule="auto"/>
        <w:ind w:firstLine="420" w:firstLineChars="20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在具体划分中，土状、半岩半土状的</w:t>
      </w:r>
    </w:p>
    <w:p>
      <w:pPr>
        <w:autoSpaceDE w:val="0"/>
        <w:spacing w:line="360" w:lineRule="auto"/>
        <w:ind w:firstLine="420" w:firstLineChars="20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这其中，比较特殊的是碎块状的强风化硬质岩或强偏中风化较软岩，其介于土和石之间，在时间许可的情况下可用风镐开挖，而在工期许可时则需要爆破。因此，在实际项目中可根据岩块强度、裂隙发育情况、工期要求等，经相关方协商，确定这部分岩的石方、土方所占的比例。</w:t>
      </w:r>
    </w:p>
    <w:p>
      <w:pPr>
        <w:autoSpaceDE w:val="0"/>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土石比计算过程：1）根据勘察结果，作出各条勘探测线所在的断面，给出基岩面、孤石边界及设计开挖线，计算该断面开挖线以上部分的石方面积及总面积，两者相除即为该勘探测线开挖</w:t>
      </w:r>
      <w:r>
        <w:rPr>
          <w:rFonts w:hint="eastAsia" w:ascii="Times New Roman" w:hAnsi="Times New Roman" w:eastAsia="宋体"/>
          <w:color w:val="auto"/>
          <w:highlight w:val="none"/>
          <w:lang w:val="en-US" w:eastAsia="zh-CN"/>
        </w:rPr>
        <w:t>断</w:t>
      </w:r>
      <w:r>
        <w:rPr>
          <w:rFonts w:ascii="Times New Roman" w:hAnsi="Times New Roman" w:eastAsia="宋体"/>
          <w:color w:val="auto"/>
          <w:highlight w:val="none"/>
        </w:rPr>
        <w:t>面的石方比例；2）将各勘探测线开挖</w:t>
      </w:r>
      <w:r>
        <w:rPr>
          <w:rFonts w:hint="eastAsia" w:ascii="Times New Roman" w:hAnsi="Times New Roman" w:eastAsia="宋体"/>
          <w:color w:val="auto"/>
          <w:highlight w:val="none"/>
          <w:lang w:val="en-US" w:eastAsia="zh-CN"/>
        </w:rPr>
        <w:t>断</w:t>
      </w:r>
      <w:r>
        <w:rPr>
          <w:rFonts w:ascii="Times New Roman" w:hAnsi="Times New Roman" w:eastAsia="宋体"/>
          <w:color w:val="auto"/>
          <w:highlight w:val="none"/>
        </w:rPr>
        <w:t>面的石方比例加权平均，各自的权重与其开挖</w:t>
      </w:r>
      <w:r>
        <w:rPr>
          <w:rFonts w:hint="eastAsia" w:ascii="Times New Roman" w:hAnsi="Times New Roman" w:eastAsia="宋体"/>
          <w:color w:val="auto"/>
          <w:highlight w:val="none"/>
          <w:lang w:val="en-US" w:eastAsia="zh-CN"/>
        </w:rPr>
        <w:t>断面</w:t>
      </w:r>
      <w:r>
        <w:rPr>
          <w:rFonts w:ascii="Times New Roman" w:hAnsi="Times New Roman" w:eastAsia="宋体"/>
          <w:color w:val="auto"/>
          <w:highlight w:val="none"/>
        </w:rPr>
        <w:t>总面积成正比，由此即可得到本场地开挖体的平均石方比例；3）用1减去开挖体平均石方比例即得到开挖体的平均土方比例</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4）</w:t>
      </w:r>
      <w:r>
        <w:rPr>
          <w:rFonts w:ascii="Times New Roman" w:hAnsi="Times New Roman" w:eastAsia="宋体"/>
          <w:color w:val="auto"/>
          <w:highlight w:val="none"/>
        </w:rPr>
        <w:t>开挖体平均土方比例和平均石方比例之比即为土石比。</w:t>
      </w:r>
    </w:p>
    <w:p>
      <w:pPr>
        <w:autoSpaceDE w:val="0"/>
        <w:spacing w:line="360" w:lineRule="auto"/>
        <w:rPr>
          <w:rFonts w:ascii="Times New Roman" w:hAnsi="Times New Roman" w:eastAsia="宋体"/>
          <w:color w:val="auto"/>
          <w:highlight w:val="none"/>
        </w:rPr>
      </w:pPr>
      <w:r>
        <w:rPr>
          <w:rFonts w:hint="eastAsia" w:ascii="Times New Roman" w:hAnsi="Times New Roman" w:eastAsia="宋体"/>
          <w:b/>
          <w:bCs/>
          <w:color w:val="auto"/>
          <w:highlight w:val="none"/>
          <w:lang w:eastAsia="zh-CN"/>
        </w:rPr>
        <w:t>11.</w:t>
      </w:r>
      <w:r>
        <w:rPr>
          <w:rFonts w:ascii="Times New Roman" w:hAnsi="Times New Roman" w:eastAsia="宋体"/>
          <w:b/>
          <w:bCs/>
          <w:color w:val="auto"/>
          <w:highlight w:val="none"/>
        </w:rPr>
        <w:t>2.</w:t>
      </w:r>
      <w:r>
        <w:rPr>
          <w:rFonts w:hint="eastAsia" w:ascii="Times New Roman" w:hAnsi="Times New Roman" w:eastAsia="宋体"/>
          <w:b/>
          <w:bCs/>
          <w:color w:val="auto"/>
          <w:highlight w:val="none"/>
          <w:lang w:val="en-US" w:eastAsia="zh-CN"/>
        </w:rPr>
        <w:t>3</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ascii="Times New Roman" w:hAnsi="Times New Roman" w:eastAsia="宋体"/>
          <w:color w:val="auto"/>
          <w:highlight w:val="none"/>
        </w:rPr>
        <w:t>查明挖方体中土方和石方的比例，</w:t>
      </w:r>
      <w:r>
        <w:rPr>
          <w:rFonts w:hint="eastAsia" w:ascii="Times New Roman" w:hAnsi="Times New Roman" w:eastAsia="宋体"/>
          <w:color w:val="auto"/>
          <w:highlight w:val="none"/>
          <w:lang w:val="en-US" w:eastAsia="zh-CN"/>
        </w:rPr>
        <w:t>关键</w:t>
      </w:r>
      <w:r>
        <w:rPr>
          <w:rFonts w:ascii="Times New Roman" w:hAnsi="Times New Roman" w:eastAsia="宋体"/>
          <w:color w:val="auto"/>
          <w:highlight w:val="none"/>
        </w:rPr>
        <w:t>是</w:t>
      </w:r>
      <w:r>
        <w:rPr>
          <w:rFonts w:hint="eastAsia" w:ascii="Times New Roman" w:hAnsi="Times New Roman" w:eastAsia="宋体"/>
          <w:color w:val="auto"/>
          <w:highlight w:val="none"/>
          <w:lang w:val="en-US" w:eastAsia="zh-CN"/>
        </w:rPr>
        <w:t>查明基</w:t>
      </w:r>
      <w:r>
        <w:rPr>
          <w:rFonts w:ascii="Times New Roman" w:hAnsi="Times New Roman" w:eastAsia="宋体"/>
          <w:color w:val="auto"/>
          <w:highlight w:val="none"/>
        </w:rPr>
        <w:t>岩面的起伏和球状风化体（俗称</w:t>
      </w:r>
      <w:r>
        <w:rPr>
          <w:rFonts w:hint="eastAsia" w:ascii="宋体" w:hAnsi="宋体" w:eastAsia="宋体" w:cs="宋体"/>
          <w:color w:val="auto"/>
          <w:highlight w:val="none"/>
        </w:rPr>
        <w:t>“孤石”</w:t>
      </w:r>
      <w:r>
        <w:rPr>
          <w:rFonts w:ascii="Times New Roman" w:hAnsi="Times New Roman" w:eastAsia="宋体"/>
          <w:color w:val="auto"/>
          <w:highlight w:val="none"/>
        </w:rPr>
        <w:t>）的分布、规模。</w:t>
      </w:r>
    </w:p>
    <w:p>
      <w:pPr>
        <w:autoSpaceDE w:val="0"/>
        <w:spacing w:line="360" w:lineRule="auto"/>
        <w:ind w:firstLine="420" w:firstLineChars="200"/>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目前，广州市丘陵场地平整挖方区的勘察一般采用高密度电法、地质雷达等物探方法为主，结合局部钻探验证的勘察方案。在具体实施过程中，首先结合现场地形按11.2.7条的规定布置物探测线；在场地最高点、物探发现异常的位置，或地形变化大、物探效果不理想的位置，布置若干验证性钻孔对物探成果进行反演和验证，依此得到孤石的空间分布和基岩面的空间形态，最终结合场地平整设计方案算出土石比。该勘察方案</w:t>
      </w:r>
      <w:r>
        <w:rPr>
          <w:rFonts w:ascii="Times New Roman" w:hAnsi="Times New Roman" w:eastAsia="宋体"/>
          <w:color w:val="auto"/>
          <w:highlight w:val="none"/>
        </w:rPr>
        <w:t>在广州市黄埔区北部</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中新知识城等</w:t>
      </w:r>
      <w:r>
        <w:rPr>
          <w:rFonts w:ascii="Times New Roman" w:hAnsi="Times New Roman" w:eastAsia="宋体"/>
          <w:color w:val="auto"/>
          <w:highlight w:val="none"/>
        </w:rPr>
        <w:t>丘陵地带的场地平整中</w:t>
      </w:r>
      <w:r>
        <w:rPr>
          <w:rFonts w:hint="eastAsia" w:ascii="Times New Roman" w:hAnsi="Times New Roman" w:eastAsia="宋体"/>
          <w:color w:val="auto"/>
          <w:highlight w:val="none"/>
          <w:lang w:val="en-US" w:eastAsia="zh-CN"/>
        </w:rPr>
        <w:t>得到</w:t>
      </w:r>
      <w:r>
        <w:rPr>
          <w:rFonts w:ascii="Times New Roman" w:hAnsi="Times New Roman" w:eastAsia="宋体"/>
          <w:color w:val="auto"/>
          <w:highlight w:val="none"/>
        </w:rPr>
        <w:t>广泛应用。</w:t>
      </w:r>
    </w:p>
    <w:p>
      <w:pPr>
        <w:autoSpaceDE w:val="0"/>
        <w:spacing w:line="360" w:lineRule="auto"/>
        <w:ind w:firstLine="420" w:firstLineChars="20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深圳市丘陵场地平整挖方区的勘察则一般以钻探为主，根据钻探揭示的土石比例提交勘察成果。其勘探点间距一般按场地复杂程度控制，具体为：复杂场地30m~50m、中等复杂场地50m~100m、简单场地100m~200m。</w:t>
      </w:r>
    </w:p>
    <w:p>
      <w:pPr>
        <w:autoSpaceDE w:val="0"/>
        <w:spacing w:line="360" w:lineRule="auto"/>
        <w:ind w:firstLine="420" w:firstLineChars="20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各地在场地平整项目勘察中可酌情参考广、深两地的经验制定勘察方案。</w:t>
      </w:r>
    </w:p>
    <w:p>
      <w:pPr>
        <w:autoSpaceDE w:val="0"/>
        <w:spacing w:line="360" w:lineRule="auto"/>
        <w:rPr>
          <w:rFonts w:hint="default" w:ascii="Times New Roman" w:hAnsi="Times New Roman" w:eastAsia="宋体"/>
          <w:color w:val="auto"/>
          <w:highlight w:val="none"/>
          <w:lang w:val="en-US" w:eastAsia="zh-CN"/>
        </w:rPr>
      </w:pPr>
      <w:r>
        <w:rPr>
          <w:rFonts w:hint="eastAsia" w:ascii="Times New Roman" w:hAnsi="Times New Roman" w:eastAsia="宋体"/>
          <w:b/>
          <w:bCs/>
          <w:color w:val="auto"/>
          <w:highlight w:val="none"/>
          <w:lang w:eastAsia="zh-CN"/>
        </w:rPr>
        <w:t>11.</w:t>
      </w:r>
      <w:r>
        <w:rPr>
          <w:rFonts w:ascii="Times New Roman" w:hAnsi="Times New Roman" w:eastAsia="宋体"/>
          <w:b/>
          <w:bCs/>
          <w:color w:val="auto"/>
          <w:highlight w:val="none"/>
        </w:rPr>
        <w:t>2.</w:t>
      </w:r>
      <w:r>
        <w:rPr>
          <w:rFonts w:hint="eastAsia" w:ascii="Times New Roman" w:hAnsi="Times New Roman" w:eastAsia="宋体"/>
          <w:b/>
          <w:bCs/>
          <w:color w:val="auto"/>
          <w:highlight w:val="none"/>
          <w:lang w:val="en-US" w:eastAsia="zh-CN"/>
        </w:rPr>
        <w:t>5</w:t>
      </w:r>
      <w:r>
        <w:rPr>
          <w:rFonts w:hint="eastAsia"/>
          <w:b/>
          <w:bCs/>
          <w:color w:val="auto"/>
          <w:highlight w:val="none"/>
          <w:lang w:val="en-US" w:eastAsia="zh-CN"/>
        </w:rPr>
        <w:t xml:space="preserve"> </w:t>
      </w:r>
      <w:r>
        <w:rPr>
          <w:rFonts w:ascii="Times New Roman" w:hAnsi="Times New Roman" w:eastAsia="宋体"/>
          <w:b/>
          <w:bCs/>
          <w:color w:val="auto"/>
          <w:highlight w:val="none"/>
        </w:rPr>
        <w:t xml:space="preserve"> </w:t>
      </w:r>
      <w:r>
        <w:rPr>
          <w:rFonts w:hint="eastAsia" w:ascii="Times New Roman" w:hAnsi="Times New Roman" w:eastAsia="宋体"/>
          <w:color w:val="auto"/>
          <w:highlight w:val="none"/>
          <w:lang w:val="en-US" w:eastAsia="zh-CN"/>
        </w:rPr>
        <w:t>在花岗岩类丘陵区，所钻遇的中微风化岩可能是“孤石”，是否为基岩技术人员</w:t>
      </w:r>
      <w:r>
        <w:rPr>
          <w:rFonts w:hint="eastAsia"/>
          <w:color w:val="auto"/>
          <w:highlight w:val="none"/>
          <w:lang w:val="en-US" w:eastAsia="zh-CN"/>
        </w:rPr>
        <w:t>需要</w:t>
      </w:r>
      <w:r>
        <w:rPr>
          <w:rFonts w:hint="eastAsia" w:ascii="Times New Roman" w:hAnsi="Times New Roman" w:eastAsia="宋体"/>
          <w:color w:val="auto"/>
          <w:highlight w:val="none"/>
          <w:lang w:val="en-US" w:eastAsia="zh-CN"/>
        </w:rPr>
        <w:t>根据具体条件判断，若误当岩面，可能导致判断失误</w:t>
      </w:r>
      <w:r>
        <w:rPr>
          <w:rFonts w:ascii="Times New Roman" w:hAnsi="Times New Roman" w:eastAsia="宋体"/>
          <w:color w:val="auto"/>
          <w:highlight w:val="none"/>
        </w:rPr>
        <w:t>。</w:t>
      </w:r>
      <w:r>
        <w:rPr>
          <w:rFonts w:hint="eastAsia" w:ascii="Times New Roman" w:hAnsi="Times New Roman" w:eastAsia="宋体"/>
          <w:color w:val="auto"/>
          <w:highlight w:val="none"/>
          <w:lang w:val="en-US" w:eastAsia="zh-CN"/>
        </w:rPr>
        <w:t>下图是花岗岩区典型的“孤石”照片。</w:t>
      </w:r>
    </w:p>
    <w:p>
      <w:pPr>
        <w:autoSpaceDE w:val="0"/>
        <w:spacing w:line="360" w:lineRule="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drawing>
          <wp:inline distT="0" distB="0" distL="114300" distR="114300">
            <wp:extent cx="2600325" cy="1952625"/>
            <wp:effectExtent l="0" t="0" r="9525" b="9525"/>
            <wp:docPr id="29" name="图片 29" descr="172896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28965758"/>
                    <pic:cNvPicPr>
                      <a:picLocks noChangeAspect="1"/>
                    </pic:cNvPicPr>
                  </pic:nvPicPr>
                  <pic:blipFill>
                    <a:blip r:embed="rId92"/>
                    <a:stretch>
                      <a:fillRect/>
                    </a:stretch>
                  </pic:blipFill>
                  <pic:spPr>
                    <a:xfrm>
                      <a:off x="0" y="0"/>
                      <a:ext cx="2600325" cy="1952625"/>
                    </a:xfrm>
                    <a:prstGeom prst="rect">
                      <a:avLst/>
                    </a:prstGeom>
                  </pic:spPr>
                </pic:pic>
              </a:graphicData>
            </a:graphic>
          </wp:inline>
        </w:drawing>
      </w:r>
      <w:r>
        <w:rPr>
          <w:rFonts w:hint="eastAsia" w:ascii="Times New Roman" w:hAnsi="Times New Roman" w:eastAsia="宋体"/>
          <w:color w:val="auto"/>
          <w:highlight w:val="none"/>
          <w:lang w:eastAsia="zh-CN"/>
        </w:rPr>
        <w:drawing>
          <wp:inline distT="0" distB="0" distL="114300" distR="114300">
            <wp:extent cx="2600325" cy="1952625"/>
            <wp:effectExtent l="0" t="0" r="9525" b="9525"/>
            <wp:docPr id="36" name="图片 36" descr="172896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28965760"/>
                    <pic:cNvPicPr>
                      <a:picLocks noChangeAspect="1"/>
                    </pic:cNvPicPr>
                  </pic:nvPicPr>
                  <pic:blipFill>
                    <a:blip r:embed="rId93"/>
                    <a:stretch>
                      <a:fillRect/>
                    </a:stretch>
                  </pic:blipFill>
                  <pic:spPr>
                    <a:xfrm>
                      <a:off x="0" y="0"/>
                      <a:ext cx="2600325" cy="1952625"/>
                    </a:xfrm>
                    <a:prstGeom prst="rect">
                      <a:avLst/>
                    </a:prstGeom>
                  </pic:spPr>
                </pic:pic>
              </a:graphicData>
            </a:graphic>
          </wp:inline>
        </w:drawing>
      </w:r>
    </w:p>
    <w:p>
      <w:pPr>
        <w:autoSpaceDE w:val="0"/>
        <w:spacing w:line="360" w:lineRule="auto"/>
        <w:rPr>
          <w:rFonts w:ascii="Times New Roman" w:hAnsi="Times New Roman" w:eastAsia="宋体"/>
          <w:color w:val="auto"/>
          <w:highlight w:val="none"/>
        </w:rPr>
      </w:pPr>
      <w:r>
        <w:rPr>
          <w:rFonts w:hint="eastAsia" w:ascii="Times New Roman" w:hAnsi="Times New Roman" w:eastAsia="宋体"/>
          <w:b/>
          <w:bCs/>
          <w:color w:val="auto"/>
          <w:highlight w:val="none"/>
          <w:lang w:eastAsia="zh-CN"/>
        </w:rPr>
        <w:t>11.</w:t>
      </w:r>
      <w:r>
        <w:rPr>
          <w:rFonts w:ascii="Times New Roman" w:hAnsi="Times New Roman" w:eastAsia="宋体"/>
          <w:b/>
          <w:bCs/>
          <w:color w:val="auto"/>
          <w:highlight w:val="none"/>
        </w:rPr>
        <w:t>2.</w:t>
      </w:r>
      <w:r>
        <w:rPr>
          <w:rFonts w:hint="eastAsia" w:ascii="Times New Roman" w:hAnsi="Times New Roman" w:eastAsia="宋体"/>
          <w:b/>
          <w:bCs/>
          <w:color w:val="auto"/>
          <w:highlight w:val="none"/>
          <w:lang w:val="en-US" w:eastAsia="zh-CN"/>
        </w:rPr>
        <w:t>7</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ascii="Times New Roman" w:hAnsi="Times New Roman" w:eastAsia="宋体"/>
          <w:color w:val="auto"/>
          <w:highlight w:val="none"/>
        </w:rPr>
        <w:t>主测线探测的解译结果作为土石比的主要依据，辅测线探测的解译结果用于补充和对比验证。</w:t>
      </w:r>
    </w:p>
    <w:p>
      <w:pPr>
        <w:pStyle w:val="3"/>
        <w:jc w:val="center"/>
        <w:rPr>
          <w:rFonts w:ascii="Times New Roman" w:hAnsi="Times New Roman" w:eastAsia="宋体" w:cs="Times New Roman"/>
          <w:color w:val="auto"/>
          <w:sz w:val="24"/>
          <w:highlight w:val="none"/>
        </w:rPr>
      </w:pPr>
      <w:bookmarkStart w:id="431" w:name="_Toc18446"/>
      <w:bookmarkStart w:id="432" w:name="_Toc15066"/>
      <w:bookmarkStart w:id="433" w:name="_Toc76998291"/>
      <w:r>
        <w:rPr>
          <w:rFonts w:hint="eastAsia" w:ascii="Times New Roman" w:hAnsi="Times New Roman" w:eastAsia="宋体" w:cs="Times New Roman"/>
          <w:color w:val="auto"/>
          <w:sz w:val="24"/>
          <w:highlight w:val="none"/>
          <w:lang w:eastAsia="zh-CN"/>
        </w:rPr>
        <w:t>11.</w:t>
      </w:r>
      <w:r>
        <w:rPr>
          <w:rFonts w:ascii="Times New Roman" w:hAnsi="Times New Roman" w:eastAsia="宋体" w:cs="Times New Roman"/>
          <w:color w:val="auto"/>
          <w:sz w:val="24"/>
          <w:highlight w:val="none"/>
        </w:rPr>
        <w:t xml:space="preserve">3 </w:t>
      </w:r>
      <w:r>
        <w:rPr>
          <w:rFonts w:hint="eastAsia" w:ascii="Times New Roman" w:hAnsi="Times New Roman" w:eastAsia="宋体" w:cs="Times New Roman"/>
          <w:color w:val="auto"/>
          <w:sz w:val="24"/>
          <w:highlight w:val="none"/>
          <w:lang w:val="en-US" w:eastAsia="zh-CN"/>
        </w:rPr>
        <w:t xml:space="preserve"> 滨海</w:t>
      </w:r>
      <w:r>
        <w:rPr>
          <w:rFonts w:ascii="Times New Roman" w:hAnsi="Times New Roman" w:eastAsia="宋体" w:cs="Times New Roman"/>
          <w:color w:val="auto"/>
          <w:sz w:val="24"/>
          <w:highlight w:val="none"/>
        </w:rPr>
        <w:t>场地平整勘察</w:t>
      </w:r>
      <w:bookmarkEnd w:id="431"/>
      <w:bookmarkEnd w:id="432"/>
      <w:bookmarkEnd w:id="433"/>
    </w:p>
    <w:p>
      <w:pPr>
        <w:autoSpaceDE w:val="0"/>
        <w:spacing w:line="360" w:lineRule="auto"/>
        <w:rPr>
          <w:rFonts w:ascii="Times New Roman" w:hAnsi="Times New Roman" w:eastAsia="宋体"/>
          <w:color w:val="auto"/>
          <w:highlight w:val="none"/>
        </w:rPr>
      </w:pPr>
      <w:r>
        <w:rPr>
          <w:rFonts w:hint="eastAsia" w:ascii="Times New Roman" w:hAnsi="Times New Roman" w:eastAsia="宋体"/>
          <w:b/>
          <w:bCs/>
          <w:color w:val="auto"/>
          <w:highlight w:val="none"/>
          <w:lang w:eastAsia="zh-CN"/>
        </w:rPr>
        <w:t>11.</w:t>
      </w:r>
      <w:r>
        <w:rPr>
          <w:rFonts w:ascii="Times New Roman" w:hAnsi="Times New Roman" w:eastAsia="宋体"/>
          <w:b/>
          <w:bCs/>
          <w:color w:val="auto"/>
          <w:highlight w:val="none"/>
        </w:rPr>
        <w:t>3.</w:t>
      </w:r>
      <w:r>
        <w:rPr>
          <w:rFonts w:hint="eastAsia" w:ascii="Times New Roman" w:hAnsi="Times New Roman" w:eastAsia="宋体"/>
          <w:b/>
          <w:bCs/>
          <w:color w:val="auto"/>
          <w:highlight w:val="none"/>
          <w:lang w:val="en-US" w:eastAsia="zh-CN"/>
        </w:rPr>
        <w:t>1</w:t>
      </w:r>
      <w:r>
        <w:rPr>
          <w:rFonts w:ascii="Times New Roman" w:hAnsi="Times New Roman" w:eastAsia="宋体"/>
          <w:b/>
          <w:bCs/>
          <w:color w:val="auto"/>
          <w:highlight w:val="none"/>
        </w:rPr>
        <w:t xml:space="preserve"> </w:t>
      </w:r>
      <w:r>
        <w:rPr>
          <w:rFonts w:ascii="Times New Roman" w:hAnsi="Times New Roman" w:eastAsia="宋体"/>
          <w:color w:val="auto"/>
          <w:highlight w:val="none"/>
        </w:rPr>
        <w:t xml:space="preserve"> </w:t>
      </w:r>
      <w:r>
        <w:rPr>
          <w:rFonts w:hint="eastAsia" w:ascii="Times New Roman" w:hAnsi="Times New Roman" w:eastAsia="宋体"/>
          <w:color w:val="auto"/>
          <w:highlight w:val="none"/>
        </w:rPr>
        <w:t>填海造地是一项系统工程，涉及多方面技术应用，对施工设备、施工工艺、工程材料等都有较高的要求。按施工工艺可以将填海造地技术分为三个部分</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围堰形成技术、陆域形成技术、软基处理技术。</w:t>
      </w:r>
    </w:p>
    <w:p>
      <w:pPr>
        <w:keepNext w:val="0"/>
        <w:keepLines w:val="0"/>
        <w:pageBreakBefore w:val="0"/>
        <w:widowControl w:val="0"/>
        <w:kinsoku/>
        <w:wordWrap/>
        <w:overflowPunct/>
        <w:topLinePunct w:val="0"/>
        <w:autoSpaceDE w:val="0"/>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default" w:ascii="Times New Roman" w:hAnsi="Times New Roman" w:eastAsia="宋体" w:cs="Times New Roman"/>
          <w:b w:val="0"/>
          <w:bCs w:val="0"/>
          <w:color w:val="auto"/>
          <w:highlight w:val="none"/>
        </w:rPr>
        <w:t>1</w:t>
      </w:r>
      <w:r>
        <w:rPr>
          <w:rFonts w:hint="default" w:ascii="Times New Roman" w:hAnsi="Times New Roman" w:cs="Times New Roman"/>
          <w:b w:val="0"/>
          <w:bCs w:val="0"/>
          <w:color w:val="auto"/>
          <w:highlight w:val="none"/>
          <w:lang w:val="en-US" w:eastAsia="zh-CN"/>
        </w:rPr>
        <w:t xml:space="preserve"> </w:t>
      </w:r>
      <w:r>
        <w:rPr>
          <w:rFonts w:hint="eastAsia" w:ascii="宋体" w:hAnsi="宋体" w:eastAsia="宋体" w:cs="宋体"/>
          <w:color w:val="auto"/>
          <w:highlight w:val="none"/>
        </w:rPr>
        <w:t xml:space="preserve"> 围堰形成技术</w:t>
      </w:r>
    </w:p>
    <w:p>
      <w:pPr>
        <w:keepNext w:val="0"/>
        <w:keepLines w:val="0"/>
        <w:pageBreakBefore w:val="0"/>
        <w:widowControl w:val="0"/>
        <w:kinsoku/>
        <w:wordWrap/>
        <w:overflowPunct/>
        <w:topLinePunct w:val="0"/>
        <w:autoSpaceDE w:val="0"/>
        <w:autoSpaceDN/>
        <w:bidi w:val="0"/>
        <w:adjustRightInd/>
        <w:snapToGrid/>
        <w:spacing w:line="360" w:lineRule="auto"/>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围堰形成是指在海上通过人工围堰的方式形成一定造陆界限，为后期的吹填、造陆作准备，是围海造陆工程的基础。按其施工方法的不同，可分为</w:t>
      </w:r>
      <w:r>
        <w:rPr>
          <w:rFonts w:hint="eastAsia"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(1)抛石围堰</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(2)模袋围堰</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(3)复合围堰</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(4)临时围堰。</w:t>
      </w:r>
    </w:p>
    <w:p>
      <w:pPr>
        <w:keepNext w:val="0"/>
        <w:keepLines w:val="0"/>
        <w:pageBreakBefore w:val="0"/>
        <w:widowControl w:val="0"/>
        <w:kinsoku/>
        <w:wordWrap/>
        <w:overflowPunct/>
        <w:topLinePunct w:val="0"/>
        <w:autoSpaceDE w:val="0"/>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default" w:ascii="Times New Roman" w:hAnsi="Times New Roman" w:eastAsia="宋体" w:cs="Times New Roman"/>
          <w:b w:val="0"/>
          <w:bCs w:val="0"/>
          <w:color w:val="auto"/>
          <w:highlight w:val="none"/>
        </w:rPr>
        <w:t>2</w:t>
      </w:r>
      <w:r>
        <w:rPr>
          <w:rFonts w:hint="default" w:ascii="Times New Roman" w:hAnsi="Times New Roman" w:cs="Times New Roman"/>
          <w:b/>
          <w:bCs/>
          <w:color w:val="auto"/>
          <w:highlight w:val="none"/>
          <w:lang w:val="en-US" w:eastAsia="zh-CN"/>
        </w:rPr>
        <w:t xml:space="preserve"> </w:t>
      </w:r>
      <w:r>
        <w:rPr>
          <w:rFonts w:hint="eastAsia" w:ascii="宋体" w:hAnsi="宋体" w:eastAsia="宋体" w:cs="宋体"/>
          <w:color w:val="auto"/>
          <w:highlight w:val="none"/>
        </w:rPr>
        <w:t xml:space="preserve"> 陆域形成技术</w:t>
      </w:r>
    </w:p>
    <w:p>
      <w:pPr>
        <w:keepNext w:val="0"/>
        <w:keepLines w:val="0"/>
        <w:pageBreakBefore w:val="0"/>
        <w:widowControl w:val="0"/>
        <w:kinsoku/>
        <w:wordWrap/>
        <w:overflowPunct/>
        <w:topLinePunct w:val="0"/>
        <w:autoSpaceDE w:val="0"/>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陆域形成，即在围堰范围以内填</w:t>
      </w:r>
      <w:r>
        <w:rPr>
          <w:rFonts w:hint="eastAsia" w:ascii="宋体" w:hAnsi="宋体" w:eastAsia="宋体" w:cs="宋体"/>
          <w:color w:val="auto"/>
          <w:highlight w:val="none"/>
          <w:lang w:val="en-US" w:eastAsia="zh-CN"/>
        </w:rPr>
        <w:t>入</w:t>
      </w:r>
      <w:r>
        <w:rPr>
          <w:rFonts w:hint="eastAsia" w:ascii="宋体" w:hAnsi="宋体" w:eastAsia="宋体" w:cs="宋体"/>
          <w:color w:val="auto"/>
          <w:highlight w:val="none"/>
        </w:rPr>
        <w:t>一定的土石等，从而达到形成陆域的目的。按施工工艺的不同，可以分成吹填、抛填、推填等。目前应用较为广泛的是吹填砂或淤泥、抛填开山</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土</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石法。</w:t>
      </w:r>
    </w:p>
    <w:p>
      <w:pPr>
        <w:keepNext w:val="0"/>
        <w:keepLines w:val="0"/>
        <w:pageBreakBefore w:val="0"/>
        <w:widowControl w:val="0"/>
        <w:kinsoku/>
        <w:wordWrap/>
        <w:overflowPunct/>
        <w:topLinePunct w:val="0"/>
        <w:autoSpaceDE w:val="0"/>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default" w:ascii="Times New Roman" w:hAnsi="Times New Roman" w:eastAsia="宋体" w:cs="Times New Roman"/>
          <w:b w:val="0"/>
          <w:bCs w:val="0"/>
          <w:color w:val="auto"/>
          <w:highlight w:val="none"/>
        </w:rPr>
        <w:t>3</w:t>
      </w:r>
      <w:r>
        <w:rPr>
          <w:rFonts w:hint="default" w:ascii="Times New Roman" w:hAnsi="Times New Roman"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 xml:space="preserve"> </w:t>
      </w:r>
      <w:r>
        <w:rPr>
          <w:rFonts w:hint="eastAsia" w:ascii="宋体" w:hAnsi="宋体" w:eastAsia="宋体" w:cs="宋体"/>
          <w:color w:val="auto"/>
          <w:highlight w:val="none"/>
        </w:rPr>
        <w:t>软基处理技术</w:t>
      </w:r>
    </w:p>
    <w:p>
      <w:pPr>
        <w:keepNext w:val="0"/>
        <w:keepLines w:val="0"/>
        <w:pageBreakBefore w:val="0"/>
        <w:widowControl w:val="0"/>
        <w:kinsoku/>
        <w:wordWrap/>
        <w:overflowPunct/>
        <w:topLinePunct w:val="0"/>
        <w:autoSpaceDE w:val="0"/>
        <w:autoSpaceDN/>
        <w:bidi w:val="0"/>
        <w:adjustRightInd/>
        <w:snapToGrid/>
        <w:spacing w:line="360" w:lineRule="auto"/>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包括</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(1)排水固结法</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(2)振冲挤密法</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(3)真空预压联合强夯快速加固技术。</w:t>
      </w:r>
    </w:p>
    <w:p>
      <w:pPr>
        <w:keepNext w:val="0"/>
        <w:keepLines w:val="0"/>
        <w:pageBreakBefore w:val="0"/>
        <w:widowControl w:val="0"/>
        <w:kinsoku/>
        <w:wordWrap/>
        <w:overflowPunct/>
        <w:topLinePunct w:val="0"/>
        <w:autoSpaceDE w:val="0"/>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default" w:ascii="Times New Roman" w:hAnsi="Times New Roman" w:eastAsia="宋体" w:cs="Times New Roman"/>
          <w:color w:val="auto"/>
          <w:highlight w:val="none"/>
        </w:rPr>
        <w:t>广东深圳地区采用工艺最多的为“围海造地”，先筑海堤、隔堤，海堤主要以抛石挤淤堤为主，然后陆域形成，具</w:t>
      </w:r>
      <w:r>
        <w:rPr>
          <w:rFonts w:hint="eastAsia" w:ascii="宋体" w:hAnsi="宋体" w:eastAsia="宋体" w:cs="宋体"/>
          <w:color w:val="auto"/>
          <w:highlight w:val="none"/>
        </w:rPr>
        <w:t>体方式有吹填、抛填、堆填等。深圳地区应用最多的为吹填砂河淤泥、抛填开山（土）石等。具体案例可参考《深圳海积软土地基加固技术和工程实践》（丘建金等著）。</w:t>
      </w:r>
    </w:p>
    <w:p>
      <w:pPr>
        <w:keepNext w:val="0"/>
        <w:keepLines w:val="0"/>
        <w:pageBreakBefore w:val="0"/>
        <w:widowControl w:val="0"/>
        <w:kinsoku/>
        <w:wordWrap/>
        <w:overflowPunct/>
        <w:topLinePunct w:val="0"/>
        <w:autoSpaceDE w:val="0"/>
        <w:autoSpaceDN/>
        <w:bidi w:val="0"/>
        <w:adjustRightInd/>
        <w:snapToGrid/>
        <w:spacing w:line="360" w:lineRule="auto"/>
        <w:ind w:firstLine="420" w:firstLineChars="200"/>
        <w:textAlignment w:val="auto"/>
        <w:rPr>
          <w:rFonts w:ascii="Times New Roman" w:hAnsi="Times New Roman" w:eastAsia="宋体"/>
          <w:color w:val="auto"/>
          <w:highlight w:val="none"/>
        </w:rPr>
      </w:pPr>
      <w:r>
        <w:rPr>
          <w:rFonts w:hint="eastAsia" w:ascii="宋体" w:hAnsi="宋体" w:eastAsia="宋体" w:cs="宋体"/>
          <w:color w:val="auto"/>
          <w:highlight w:val="none"/>
        </w:rPr>
        <w:t>从岩土工程技术来说，不管海堤形成还是陆域形成，软土性质和分布特征是填海勘察重点。</w:t>
      </w:r>
      <w:r>
        <w:rPr>
          <w:rFonts w:ascii="Times New Roman" w:hAnsi="Times New Roman" w:eastAsia="宋体"/>
          <w:color w:val="auto"/>
          <w:highlight w:val="none"/>
        </w:rPr>
        <w:br w:type="page"/>
      </w:r>
    </w:p>
    <w:p>
      <w:pPr>
        <w:rPr>
          <w:rFonts w:ascii="Times New Roman" w:hAnsi="Times New Roman" w:eastAsia="宋体"/>
          <w:color w:val="auto"/>
          <w:sz w:val="10"/>
          <w:szCs w:val="10"/>
          <w:highlight w:val="none"/>
        </w:rPr>
      </w:pPr>
    </w:p>
    <w:p>
      <w:pPr>
        <w:pStyle w:val="2"/>
        <w:rPr>
          <w:rFonts w:ascii="Times New Roman" w:hAnsi="Times New Roman" w:eastAsia="宋体"/>
          <w:color w:val="auto"/>
          <w:highlight w:val="none"/>
        </w:rPr>
      </w:pPr>
      <w:bookmarkStart w:id="434" w:name="_Toc12742"/>
      <w:bookmarkStart w:id="435" w:name="_Toc76998292"/>
      <w:bookmarkStart w:id="436" w:name="_Toc22417"/>
      <w:r>
        <w:rPr>
          <w:rFonts w:ascii="Times New Roman" w:hAnsi="Times New Roman" w:eastAsia="宋体"/>
          <w:color w:val="auto"/>
          <w:highlight w:val="none"/>
        </w:rPr>
        <w:t>1</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 xml:space="preserve">  </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固体废弃物</w:t>
      </w:r>
      <w:r>
        <w:rPr>
          <w:rFonts w:hint="eastAsia" w:ascii="Times New Roman" w:hAnsi="Times New Roman" w:eastAsia="宋体"/>
          <w:color w:val="auto"/>
          <w:highlight w:val="none"/>
          <w:lang w:val="en-US" w:eastAsia="zh-CN"/>
        </w:rPr>
        <w:t>处置</w:t>
      </w:r>
      <w:r>
        <w:rPr>
          <w:rFonts w:ascii="Times New Roman" w:hAnsi="Times New Roman" w:eastAsia="宋体"/>
          <w:color w:val="auto"/>
          <w:highlight w:val="none"/>
        </w:rPr>
        <w:t>场工程</w:t>
      </w:r>
      <w:bookmarkEnd w:id="434"/>
      <w:bookmarkEnd w:id="435"/>
      <w:bookmarkEnd w:id="436"/>
    </w:p>
    <w:p>
      <w:pPr>
        <w:pStyle w:val="3"/>
        <w:jc w:val="center"/>
        <w:rPr>
          <w:rFonts w:ascii="Times New Roman" w:hAnsi="Times New Roman" w:eastAsia="宋体" w:cs="Times New Roman"/>
          <w:color w:val="auto"/>
          <w:sz w:val="24"/>
          <w:highlight w:val="none"/>
        </w:rPr>
      </w:pPr>
      <w:bookmarkStart w:id="437" w:name="_Toc14571"/>
      <w:bookmarkStart w:id="438" w:name="_Toc15158"/>
      <w:bookmarkStart w:id="439" w:name="_Toc76998293"/>
      <w:r>
        <w:rPr>
          <w:rFonts w:hint="eastAsia" w:ascii="Times New Roman" w:hAnsi="Times New Roman" w:eastAsia="宋体" w:cs="Times New Roman"/>
          <w:color w:val="auto"/>
          <w:sz w:val="24"/>
          <w:highlight w:val="none"/>
          <w:lang w:eastAsia="zh-CN"/>
        </w:rPr>
        <w:t>12.</w:t>
      </w:r>
      <w:r>
        <w:rPr>
          <w:rFonts w:ascii="Times New Roman" w:hAnsi="Times New Roman" w:eastAsia="宋体" w:cs="Times New Roman"/>
          <w:color w:val="auto"/>
          <w:sz w:val="24"/>
          <w:highlight w:val="none"/>
        </w:rPr>
        <w:t xml:space="preserve">1 </w:t>
      </w:r>
      <w:r>
        <w:rPr>
          <w:rFonts w:hint="eastAsia" w:ascii="Times New Roman" w:hAnsi="Times New Roman" w:eastAsia="宋体" w:cs="Times New Roman"/>
          <w:color w:val="auto"/>
          <w:sz w:val="24"/>
          <w:highlight w:val="none"/>
          <w:lang w:val="en-US" w:eastAsia="zh-CN"/>
        </w:rPr>
        <w:t xml:space="preserve"> </w:t>
      </w:r>
      <w:r>
        <w:rPr>
          <w:rFonts w:ascii="Times New Roman" w:hAnsi="Times New Roman" w:eastAsia="宋体" w:cs="Times New Roman"/>
          <w:color w:val="auto"/>
          <w:sz w:val="24"/>
          <w:highlight w:val="none"/>
        </w:rPr>
        <w:t>一般规定</w:t>
      </w:r>
      <w:bookmarkEnd w:id="437"/>
      <w:bookmarkEnd w:id="438"/>
      <w:bookmarkEnd w:id="439"/>
      <w:r>
        <w:rPr>
          <w:rFonts w:ascii="Times New Roman" w:hAnsi="Times New Roman" w:eastAsia="宋体" w:cs="Times New Roman"/>
          <w:color w:val="auto"/>
          <w:sz w:val="24"/>
          <w:highlight w:val="none"/>
        </w:rPr>
        <w:tab/>
      </w:r>
    </w:p>
    <w:p>
      <w:pPr>
        <w:spacing w:line="360" w:lineRule="auto"/>
        <w:rPr>
          <w:rFonts w:hint="default" w:ascii="Times New Roman" w:hAnsi="Times New Roman" w:eastAsia="宋体"/>
          <w:color w:val="auto"/>
          <w:highlight w:val="none"/>
          <w:lang w:val="en-US" w:eastAsia="zh-CN"/>
        </w:rPr>
      </w:pPr>
      <w:r>
        <w:rPr>
          <w:rFonts w:hint="eastAsia" w:ascii="Times New Roman" w:hAnsi="Times New Roman" w:eastAsia="宋体"/>
          <w:b/>
          <w:bCs/>
          <w:color w:val="auto"/>
          <w:kern w:val="0"/>
          <w:highlight w:val="none"/>
          <w:lang w:eastAsia="zh-CN"/>
        </w:rPr>
        <w:t>12.</w:t>
      </w:r>
      <w:r>
        <w:rPr>
          <w:rFonts w:ascii="Times New Roman" w:hAnsi="Times New Roman" w:eastAsia="宋体"/>
          <w:b/>
          <w:bCs/>
          <w:color w:val="auto"/>
          <w:kern w:val="0"/>
          <w:highlight w:val="none"/>
        </w:rPr>
        <w:t xml:space="preserve">1.1 </w:t>
      </w:r>
      <w:r>
        <w:rPr>
          <w:rFonts w:hint="eastAsia"/>
          <w:b/>
          <w:bCs/>
          <w:color w:val="auto"/>
          <w:kern w:val="0"/>
          <w:highlight w:val="none"/>
          <w:lang w:val="en-US" w:eastAsia="zh-CN"/>
        </w:rPr>
        <w:t xml:space="preserve"> </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固体废弃物包括</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生活垃圾、</w:t>
      </w:r>
      <w:r>
        <w:rPr>
          <w:rFonts w:hint="eastAsia" w:ascii="Times New Roman" w:hAnsi="Times New Roman" w:eastAsia="宋体"/>
          <w:color w:val="auto"/>
          <w:highlight w:val="none"/>
        </w:rPr>
        <w:t>建筑垃圾、医疗垃圾、工业垃圾等。卫生填埋场</w:t>
      </w:r>
      <w:r>
        <w:rPr>
          <w:rFonts w:hint="eastAsia" w:ascii="Times New Roman" w:hAnsi="Times New Roman" w:eastAsia="宋体"/>
          <w:color w:val="auto"/>
          <w:highlight w:val="none"/>
          <w:lang w:val="en-US" w:eastAsia="zh-CN"/>
        </w:rPr>
        <w:t>为</w:t>
      </w:r>
      <w:r>
        <w:rPr>
          <w:rFonts w:hint="eastAsia" w:ascii="Times New Roman" w:hAnsi="Times New Roman" w:eastAsia="宋体"/>
          <w:color w:val="auto"/>
          <w:highlight w:val="none"/>
        </w:rPr>
        <w:t>处理生活垃圾以及经其他方式预处置过的医疗垃圾</w:t>
      </w:r>
      <w:r>
        <w:rPr>
          <w:rFonts w:hint="eastAsia" w:ascii="Times New Roman" w:hAnsi="Times New Roman" w:eastAsia="宋体"/>
          <w:color w:val="auto"/>
          <w:highlight w:val="none"/>
          <w:lang w:val="en-US" w:eastAsia="zh-CN"/>
        </w:rPr>
        <w:t>的填埋场</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用于处置建筑垃圾的弃土场，其主要工程问题是坡体稳定性问题，可参照</w:t>
      </w:r>
      <w:r>
        <w:rPr>
          <w:rFonts w:ascii="Times New Roman" w:hAnsi="Times New Roman" w:eastAsia="宋体"/>
          <w:color w:val="auto"/>
          <w:highlight w:val="none"/>
        </w:rPr>
        <w:t>《建筑边坡工程技术规范》GB 50330</w:t>
      </w:r>
      <w:r>
        <w:rPr>
          <w:rFonts w:hint="eastAsia" w:ascii="Times New Roman" w:hAnsi="Times New Roman" w:eastAsia="宋体"/>
          <w:color w:val="auto"/>
          <w:highlight w:val="none"/>
          <w:lang w:val="en-US" w:eastAsia="zh-CN"/>
        </w:rPr>
        <w:t>的相关规定进行勘察、设计。工业垃圾的处理一般不纳入市政工程范畴，按工业行业相关规定处理。</w:t>
      </w:r>
    </w:p>
    <w:p>
      <w:pPr>
        <w:spacing w:line="360" w:lineRule="auto"/>
        <w:ind w:firstLine="420" w:firstLineChars="200"/>
        <w:rPr>
          <w:rFonts w:ascii="Times New Roman" w:hAnsi="Times New Roman" w:eastAsia="宋体"/>
          <w:color w:val="auto"/>
          <w:highlight w:val="none"/>
        </w:rPr>
      </w:pPr>
      <w:r>
        <w:rPr>
          <w:rFonts w:hint="eastAsia" w:ascii="Times New Roman" w:hAnsi="Times New Roman" w:eastAsia="宋体"/>
          <w:color w:val="auto"/>
          <w:highlight w:val="none"/>
        </w:rPr>
        <w:t>固体废弃物填埋场工程建设内容包括主要包括填埋场（库区）、垃圾坝，配套工程包括相关的管道、截水沟、污水调节池等建（构）筑物（配套设施的勘察按相关章节执行），</w:t>
      </w:r>
      <w:r>
        <w:rPr>
          <w:rFonts w:ascii="Times New Roman" w:hAnsi="Times New Roman" w:eastAsia="宋体"/>
          <w:color w:val="auto"/>
          <w:highlight w:val="none"/>
        </w:rPr>
        <w:t>对于山谷型废弃物堆场，一般由下列工程组成：</w:t>
      </w:r>
    </w:p>
    <w:p>
      <w:pPr>
        <w:spacing w:line="360" w:lineRule="auto"/>
        <w:ind w:firstLine="420" w:firstLineChars="200"/>
        <w:rPr>
          <w:rFonts w:ascii="Times New Roman" w:hAnsi="Times New Roman" w:eastAsia="宋体"/>
          <w:color w:val="auto"/>
          <w:highlight w:val="none"/>
        </w:rPr>
      </w:pPr>
      <w:r>
        <w:rPr>
          <w:rFonts w:hint="eastAsia"/>
          <w:color w:val="auto"/>
          <w:highlight w:val="none"/>
          <w:lang w:val="en-US" w:eastAsia="zh-CN"/>
        </w:rPr>
        <w:t xml:space="preserve">1  </w:t>
      </w:r>
      <w:r>
        <w:rPr>
          <w:rFonts w:ascii="Times New Roman" w:hAnsi="Times New Roman" w:eastAsia="宋体"/>
          <w:color w:val="auto"/>
          <w:highlight w:val="none"/>
        </w:rPr>
        <w:t>垃圾坝：一般为土石坝，有的上游用砂石、土工布组成反滤层；</w:t>
      </w:r>
    </w:p>
    <w:p>
      <w:pPr>
        <w:spacing w:line="360" w:lineRule="auto"/>
        <w:ind w:firstLine="420" w:firstLineChars="200"/>
        <w:rPr>
          <w:rFonts w:ascii="Times New Roman" w:hAnsi="Times New Roman" w:eastAsia="宋体"/>
          <w:color w:val="auto"/>
          <w:highlight w:val="none"/>
        </w:rPr>
      </w:pPr>
      <w:r>
        <w:rPr>
          <w:rFonts w:hint="eastAsia"/>
          <w:color w:val="auto"/>
          <w:highlight w:val="none"/>
          <w:lang w:val="en-US" w:eastAsia="zh-CN"/>
        </w:rPr>
        <w:t xml:space="preserve">2  </w:t>
      </w:r>
      <w:r>
        <w:rPr>
          <w:rFonts w:ascii="Times New Roman" w:hAnsi="Times New Roman" w:eastAsia="宋体"/>
          <w:color w:val="auto"/>
          <w:highlight w:val="none"/>
        </w:rPr>
        <w:t>堆填场：即库区，有的还设截洪沟，防止洪水入库；</w:t>
      </w:r>
    </w:p>
    <w:p>
      <w:pPr>
        <w:spacing w:line="360" w:lineRule="auto"/>
        <w:ind w:firstLine="420" w:firstLineChars="200"/>
        <w:rPr>
          <w:rFonts w:ascii="Times New Roman" w:hAnsi="Times New Roman" w:eastAsia="宋体"/>
          <w:color w:val="auto"/>
          <w:highlight w:val="none"/>
        </w:rPr>
      </w:pPr>
      <w:r>
        <w:rPr>
          <w:rFonts w:hint="eastAsia"/>
          <w:color w:val="auto"/>
          <w:highlight w:val="none"/>
          <w:lang w:val="en-US" w:eastAsia="zh-CN"/>
        </w:rPr>
        <w:t xml:space="preserve">3  </w:t>
      </w:r>
      <w:r>
        <w:rPr>
          <w:rFonts w:ascii="Times New Roman" w:hAnsi="Times New Roman" w:eastAsia="宋体"/>
          <w:color w:val="auto"/>
          <w:highlight w:val="none"/>
        </w:rPr>
        <w:t>管道、排水井等，用于输送渗滤液及降水、排水、排气；</w:t>
      </w:r>
    </w:p>
    <w:p>
      <w:pPr>
        <w:spacing w:line="360" w:lineRule="auto"/>
        <w:ind w:firstLine="420" w:firstLineChars="200"/>
        <w:rPr>
          <w:rFonts w:ascii="Times New Roman" w:hAnsi="Times New Roman" w:eastAsia="宋体"/>
          <w:color w:val="auto"/>
          <w:highlight w:val="none"/>
        </w:rPr>
      </w:pPr>
      <w:r>
        <w:rPr>
          <w:rFonts w:hint="eastAsia"/>
          <w:color w:val="auto"/>
          <w:highlight w:val="none"/>
          <w:lang w:val="en-US" w:eastAsia="zh-CN"/>
        </w:rPr>
        <w:t xml:space="preserve">4  </w:t>
      </w:r>
      <w:r>
        <w:rPr>
          <w:rFonts w:ascii="Times New Roman" w:hAnsi="Times New Roman" w:eastAsia="宋体"/>
          <w:color w:val="auto"/>
          <w:highlight w:val="none"/>
        </w:rPr>
        <w:t>截污坝、污水池、截水墙、防渗帷幕等，用于集中有害渗滤液，防止对周围环境的污染；</w:t>
      </w:r>
    </w:p>
    <w:p>
      <w:pPr>
        <w:spacing w:line="360" w:lineRule="auto"/>
        <w:ind w:firstLine="420" w:firstLineChars="200"/>
        <w:rPr>
          <w:rFonts w:ascii="Times New Roman" w:hAnsi="Times New Roman" w:eastAsia="宋体"/>
          <w:color w:val="auto"/>
          <w:highlight w:val="none"/>
        </w:rPr>
      </w:pPr>
      <w:r>
        <w:rPr>
          <w:rFonts w:hint="eastAsia"/>
          <w:color w:val="auto"/>
          <w:highlight w:val="none"/>
          <w:lang w:val="en-US" w:eastAsia="zh-CN"/>
        </w:rPr>
        <w:t xml:space="preserve">5  </w:t>
      </w:r>
      <w:r>
        <w:rPr>
          <w:rFonts w:ascii="Times New Roman" w:hAnsi="Times New Roman" w:eastAsia="宋体"/>
          <w:color w:val="auto"/>
          <w:highlight w:val="none"/>
        </w:rPr>
        <w:t>垃圾填埋场的底部设有复合型密封层，顶部设有密封层；</w:t>
      </w:r>
    </w:p>
    <w:p>
      <w:pPr>
        <w:spacing w:line="360" w:lineRule="auto"/>
        <w:ind w:firstLine="420" w:firstLineChars="200"/>
        <w:rPr>
          <w:rFonts w:ascii="Times New Roman" w:hAnsi="Times New Roman" w:eastAsia="宋体"/>
          <w:color w:val="auto"/>
          <w:highlight w:val="none"/>
        </w:rPr>
      </w:pPr>
      <w:r>
        <w:rPr>
          <w:rFonts w:hint="eastAsia"/>
          <w:color w:val="auto"/>
          <w:highlight w:val="none"/>
          <w:lang w:val="en-US" w:eastAsia="zh-CN"/>
        </w:rPr>
        <w:t xml:space="preserve">6  </w:t>
      </w:r>
      <w:r>
        <w:rPr>
          <w:rFonts w:ascii="Times New Roman" w:hAnsi="Times New Roman" w:eastAsia="宋体"/>
          <w:color w:val="auto"/>
          <w:highlight w:val="none"/>
        </w:rPr>
        <w:t>稳定、变形、渗漏、污染等的监测系统。</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由于废弃物的种类、地形条件、环境保护要求等各不相同，工程建设运行过程有较大差别，勘察范围</w:t>
      </w:r>
      <w:r>
        <w:rPr>
          <w:rFonts w:hint="eastAsia"/>
          <w:color w:val="auto"/>
          <w:highlight w:val="none"/>
          <w:lang w:val="en-US" w:eastAsia="zh-CN"/>
        </w:rPr>
        <w:t>需</w:t>
      </w:r>
      <w:r>
        <w:rPr>
          <w:rFonts w:ascii="Times New Roman" w:hAnsi="Times New Roman" w:eastAsia="宋体"/>
          <w:color w:val="auto"/>
          <w:highlight w:val="none"/>
        </w:rPr>
        <w:t>根据任务要求和工程具体情况确定。</w:t>
      </w:r>
    </w:p>
    <w:p>
      <w:pPr>
        <w:spacing w:line="360" w:lineRule="auto"/>
        <w:ind w:firstLine="420" w:firstLineChars="20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垃圾焚烧厂近年来在少量城市有建设，除烟囱外，大部分建构筑物属普通建构筑物，可参照给排水厂站的相关要求进行勘察。</w:t>
      </w:r>
    </w:p>
    <w:p>
      <w:pPr>
        <w:spacing w:line="360" w:lineRule="auto"/>
        <w:rPr>
          <w:rFonts w:hint="eastAsia" w:ascii="Times New Roman" w:hAnsi="Times New Roman" w:eastAsia="宋体"/>
          <w:color w:val="auto"/>
          <w:highlight w:val="none"/>
          <w:lang w:val="en-US" w:eastAsia="zh-CN"/>
        </w:rPr>
      </w:pPr>
      <w:r>
        <w:rPr>
          <w:rFonts w:hint="eastAsia" w:ascii="Times New Roman" w:hAnsi="Times New Roman" w:eastAsia="宋体"/>
          <w:b/>
          <w:bCs/>
          <w:color w:val="auto"/>
          <w:kern w:val="0"/>
          <w:highlight w:val="none"/>
          <w:lang w:eastAsia="zh-CN"/>
        </w:rPr>
        <w:t>12.</w:t>
      </w:r>
      <w:r>
        <w:rPr>
          <w:rFonts w:ascii="Times New Roman" w:hAnsi="Times New Roman" w:eastAsia="宋体"/>
          <w:b/>
          <w:bCs/>
          <w:color w:val="auto"/>
          <w:kern w:val="0"/>
          <w:highlight w:val="none"/>
        </w:rPr>
        <w:t xml:space="preserve">1.2 </w:t>
      </w:r>
      <w:r>
        <w:rPr>
          <w:rFonts w:hint="eastAsia"/>
          <w:b/>
          <w:bCs/>
          <w:color w:val="auto"/>
          <w:kern w:val="0"/>
          <w:highlight w:val="none"/>
          <w:lang w:val="en-US" w:eastAsia="zh-CN"/>
        </w:rPr>
        <w:t xml:space="preserve"> </w:t>
      </w:r>
      <w:r>
        <w:rPr>
          <w:rFonts w:ascii="Times New Roman" w:hAnsi="Times New Roman" w:eastAsia="宋体"/>
          <w:color w:val="auto"/>
          <w:highlight w:val="none"/>
        </w:rPr>
        <w:t>本条规定了勘探前需搜集的主要技术资料，各阶段搜集资料的重点有所不同。</w:t>
      </w:r>
      <w:r>
        <w:rPr>
          <w:rFonts w:hint="eastAsia" w:ascii="Times New Roman" w:hAnsi="Times New Roman" w:eastAsia="宋体"/>
          <w:color w:val="auto"/>
          <w:highlight w:val="none"/>
          <w:lang w:val="en-US" w:eastAsia="zh-CN"/>
        </w:rPr>
        <w:t>此外</w:t>
      </w:r>
      <w:r>
        <w:rPr>
          <w:rFonts w:ascii="Times New Roman" w:hAnsi="Times New Roman" w:eastAsia="宋体"/>
          <w:color w:val="auto"/>
          <w:highlight w:val="none"/>
        </w:rPr>
        <w:t>，还</w:t>
      </w:r>
      <w:r>
        <w:rPr>
          <w:rFonts w:hint="eastAsia"/>
          <w:color w:val="auto"/>
          <w:highlight w:val="none"/>
          <w:lang w:val="en-US" w:eastAsia="zh-CN"/>
        </w:rPr>
        <w:t>需</w:t>
      </w:r>
      <w:r>
        <w:rPr>
          <w:rFonts w:ascii="Times New Roman" w:hAnsi="Times New Roman" w:eastAsia="宋体"/>
          <w:color w:val="auto"/>
          <w:highlight w:val="none"/>
        </w:rPr>
        <w:t>搜集、整理、分析、利用场区已有地质资料，以及地形、地貌、水文、气象、地下管线、其他地下设施和</w:t>
      </w:r>
      <w:r>
        <w:rPr>
          <w:rFonts w:hint="eastAsia" w:ascii="Times New Roman" w:hAnsi="Times New Roman" w:eastAsia="宋体"/>
          <w:color w:val="auto"/>
          <w:highlight w:val="none"/>
          <w:lang w:val="en-US" w:eastAsia="zh-CN"/>
        </w:rPr>
        <w:t>障碍</w:t>
      </w:r>
      <w:r>
        <w:rPr>
          <w:rFonts w:ascii="Times New Roman" w:hAnsi="Times New Roman" w:eastAsia="宋体"/>
          <w:color w:val="auto"/>
          <w:highlight w:val="none"/>
        </w:rPr>
        <w:t>物等相关资料。</w:t>
      </w:r>
    </w:p>
    <w:p>
      <w:pPr>
        <w:spacing w:line="360" w:lineRule="auto"/>
        <w:rPr>
          <w:rFonts w:ascii="Times New Roman" w:hAnsi="Times New Roman" w:eastAsia="宋体"/>
          <w:color w:val="auto"/>
          <w:highlight w:val="none"/>
        </w:rPr>
      </w:pPr>
      <w:r>
        <w:rPr>
          <w:rFonts w:hint="eastAsia" w:ascii="Times New Roman" w:hAnsi="Times New Roman" w:eastAsia="宋体"/>
          <w:b/>
          <w:bCs/>
          <w:color w:val="auto"/>
          <w:kern w:val="0"/>
          <w:highlight w:val="none"/>
          <w:lang w:eastAsia="zh-CN"/>
        </w:rPr>
        <w:t>12.</w:t>
      </w:r>
      <w:r>
        <w:rPr>
          <w:rFonts w:ascii="Times New Roman" w:hAnsi="Times New Roman" w:eastAsia="宋体"/>
          <w:b/>
          <w:bCs/>
          <w:color w:val="auto"/>
          <w:kern w:val="0"/>
          <w:highlight w:val="none"/>
        </w:rPr>
        <w:t xml:space="preserve">1.3 </w:t>
      </w:r>
      <w:r>
        <w:rPr>
          <w:rFonts w:hint="eastAsia"/>
          <w:b/>
          <w:bCs/>
          <w:color w:val="auto"/>
          <w:kern w:val="0"/>
          <w:highlight w:val="none"/>
          <w:lang w:val="en-US" w:eastAsia="zh-CN"/>
        </w:rPr>
        <w:t xml:space="preserve">  </w:t>
      </w:r>
      <w:r>
        <w:rPr>
          <w:rFonts w:ascii="Times New Roman" w:hAnsi="Times New Roman" w:eastAsia="宋体"/>
          <w:color w:val="auto"/>
          <w:highlight w:val="none"/>
        </w:rPr>
        <w:t>为了确保废弃物处理工程建设及营运期的安全，避免发生渗漏，需要正确评价地基土的强度、变形、渗透特征。地基土渗透性指标是防渗设计的重要依据。稳定性评价包括场地整体稳定、坝基稳定性、堆体边坡及自然边坡的稳定性。</w:t>
      </w:r>
    </w:p>
    <w:p>
      <w:pPr>
        <w:spacing w:line="360" w:lineRule="auto"/>
        <w:rPr>
          <w:rFonts w:ascii="Times New Roman" w:hAnsi="Times New Roman" w:eastAsia="宋体"/>
          <w:color w:val="auto"/>
          <w:highlight w:val="none"/>
        </w:rPr>
      </w:pPr>
      <w:r>
        <w:rPr>
          <w:rFonts w:hint="eastAsia" w:ascii="Times New Roman" w:hAnsi="Times New Roman" w:eastAsia="宋体"/>
          <w:b/>
          <w:bCs/>
          <w:color w:val="auto"/>
          <w:highlight w:val="none"/>
          <w:lang w:eastAsia="zh-CN"/>
        </w:rPr>
        <w:t>12.</w:t>
      </w:r>
      <w:r>
        <w:rPr>
          <w:rFonts w:ascii="Times New Roman" w:hAnsi="Times New Roman" w:eastAsia="宋体"/>
          <w:b/>
          <w:bCs/>
          <w:color w:val="auto"/>
          <w:highlight w:val="none"/>
        </w:rPr>
        <w:t xml:space="preserve">1.4 </w:t>
      </w:r>
      <w:r>
        <w:rPr>
          <w:rFonts w:hint="eastAsia"/>
          <w:b/>
          <w:bCs/>
          <w:color w:val="auto"/>
          <w:highlight w:val="none"/>
          <w:lang w:val="en-US" w:eastAsia="zh-CN"/>
        </w:rPr>
        <w:t xml:space="preserve"> </w:t>
      </w:r>
      <w:r>
        <w:rPr>
          <w:rFonts w:ascii="Times New Roman" w:hAnsi="Times New Roman" w:eastAsia="宋体"/>
          <w:color w:val="auto"/>
          <w:highlight w:val="none"/>
        </w:rPr>
        <w:t>废弃物的堆积方式和工程性质不同于天然土，按其性质可分为似土废弃物和非土废弃物。似土废弃物如建筑垃圾、余泥、弃渣等，类似于砂土、粉土、黏性土，其颗粒组成、物理性质、强度、变形、渗透和动力性质，可用土工试验方法测试。非土废弃物如生活垃圾，取样测试都较困难，</w:t>
      </w:r>
      <w:r>
        <w:rPr>
          <w:rFonts w:hint="eastAsia"/>
          <w:color w:val="auto"/>
          <w:highlight w:val="none"/>
          <w:lang w:val="en-US" w:eastAsia="zh-CN"/>
        </w:rPr>
        <w:t>需</w:t>
      </w:r>
      <w:r>
        <w:rPr>
          <w:rFonts w:ascii="Times New Roman" w:hAnsi="Times New Roman" w:eastAsia="宋体"/>
          <w:color w:val="auto"/>
          <w:highlight w:val="none"/>
        </w:rPr>
        <w:t>针对具体情况，专门考虑。有些力学参数也可通过现场监测，用反分析确定。</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废弃物填埋场作为一个存放巨大污染源的特殊构筑物，对其长期稳定性和安全性有非常严格的要求。因此在进行岩土工程勘察时，</w:t>
      </w:r>
      <w:r>
        <w:rPr>
          <w:rFonts w:hint="eastAsia"/>
          <w:color w:val="auto"/>
          <w:highlight w:val="none"/>
          <w:lang w:val="en-US" w:eastAsia="zh-CN"/>
        </w:rPr>
        <w:t>要</w:t>
      </w:r>
      <w:r>
        <w:rPr>
          <w:rFonts w:ascii="Times New Roman" w:hAnsi="Times New Roman" w:eastAsia="宋体"/>
          <w:color w:val="auto"/>
          <w:highlight w:val="none"/>
        </w:rPr>
        <w:t>把查明场地防渗条件和场地稳定性评价作为勘察工作的重点。</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除提供土常规项目和地基承载力特征值的建议值外，</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废弃物填埋场勘察报告还</w:t>
      </w:r>
      <w:r>
        <w:rPr>
          <w:rFonts w:hint="eastAsia"/>
          <w:color w:val="auto"/>
          <w:highlight w:val="none"/>
          <w:lang w:val="en-US" w:eastAsia="zh-CN"/>
        </w:rPr>
        <w:t>可</w:t>
      </w:r>
      <w:r>
        <w:rPr>
          <w:rFonts w:ascii="Times New Roman" w:hAnsi="Times New Roman" w:eastAsia="宋体"/>
          <w:color w:val="auto"/>
          <w:highlight w:val="none"/>
        </w:rPr>
        <w:t>根据具体情况提供表</w:t>
      </w:r>
      <w:r>
        <w:rPr>
          <w:rFonts w:hint="eastAsia" w:ascii="Times New Roman" w:hAnsi="Times New Roman" w:eastAsia="宋体"/>
          <w:color w:val="auto"/>
          <w:highlight w:val="none"/>
          <w:lang w:eastAsia="zh-CN"/>
        </w:rPr>
        <w:t>12</w:t>
      </w:r>
      <w:r>
        <w:rPr>
          <w:rFonts w:hint="eastAsia"/>
          <w:color w:val="auto"/>
          <w:highlight w:val="none"/>
          <w:lang w:val="en-US" w:eastAsia="zh-CN"/>
        </w:rPr>
        <w:t>-</w:t>
      </w:r>
      <w:r>
        <w:rPr>
          <w:rFonts w:ascii="Times New Roman" w:hAnsi="Times New Roman" w:eastAsia="宋体"/>
          <w:color w:val="auto"/>
          <w:highlight w:val="none"/>
        </w:rPr>
        <w:t>1所示的岩土参数建议值，对</w:t>
      </w:r>
      <w:r>
        <w:rPr>
          <w:rFonts w:ascii="Times New Roman" w:hAnsi="Times New Roman" w:eastAsia="宋体"/>
          <w:color w:val="auto"/>
          <w:kern w:val="0"/>
          <w:highlight w:val="none"/>
        </w:rPr>
        <w:t>挖方工程</w:t>
      </w:r>
      <w:r>
        <w:rPr>
          <w:rFonts w:hint="eastAsia"/>
          <w:color w:val="auto"/>
          <w:highlight w:val="none"/>
          <w:lang w:val="en-US" w:eastAsia="zh-CN"/>
        </w:rPr>
        <w:t>需</w:t>
      </w:r>
      <w:r>
        <w:rPr>
          <w:rFonts w:ascii="Times New Roman" w:hAnsi="Times New Roman" w:eastAsia="宋体"/>
          <w:color w:val="auto"/>
          <w:highlight w:val="none"/>
        </w:rPr>
        <w:t>进行土、石工程分级。</w:t>
      </w:r>
    </w:p>
    <w:p>
      <w:pPr>
        <w:spacing w:line="360" w:lineRule="auto"/>
        <w:jc w:val="center"/>
        <w:rPr>
          <w:rFonts w:ascii="Times New Roman" w:hAnsi="Times New Roman" w:eastAsia="宋体"/>
          <w:b/>
          <w:bCs/>
          <w:color w:val="auto"/>
          <w:highlight w:val="none"/>
        </w:rPr>
      </w:pPr>
      <w:r>
        <w:rPr>
          <w:rFonts w:ascii="Times New Roman" w:hAnsi="Times New Roman" w:eastAsia="宋体"/>
          <w:b/>
          <w:bCs/>
          <w:color w:val="auto"/>
          <w:highlight w:val="none"/>
        </w:rPr>
        <w:t>表</w:t>
      </w:r>
      <w:r>
        <w:rPr>
          <w:rFonts w:hint="eastAsia" w:ascii="Times New Roman" w:hAnsi="Times New Roman" w:eastAsia="宋体"/>
          <w:b/>
          <w:bCs/>
          <w:color w:val="auto"/>
          <w:highlight w:val="none"/>
          <w:lang w:eastAsia="zh-CN"/>
        </w:rPr>
        <w:t>12</w:t>
      </w:r>
      <w:r>
        <w:rPr>
          <w:rFonts w:hint="eastAsia"/>
          <w:b/>
          <w:bCs/>
          <w:color w:val="auto"/>
          <w:highlight w:val="none"/>
          <w:lang w:val="en-US" w:eastAsia="zh-CN"/>
        </w:rPr>
        <w:t>-</w:t>
      </w:r>
      <w:r>
        <w:rPr>
          <w:rFonts w:ascii="Times New Roman" w:hAnsi="Times New Roman" w:eastAsia="宋体"/>
          <w:b/>
          <w:bCs/>
          <w:color w:val="auto"/>
          <w:highlight w:val="none"/>
        </w:rPr>
        <w:t xml:space="preserve">1 </w:t>
      </w:r>
      <w:r>
        <w:rPr>
          <w:rFonts w:hint="eastAsia"/>
          <w:b/>
          <w:bCs/>
          <w:color w:val="auto"/>
          <w:highlight w:val="none"/>
          <w:lang w:val="en-US" w:eastAsia="zh-CN"/>
        </w:rPr>
        <w:t xml:space="preserve">  </w:t>
      </w:r>
      <w:r>
        <w:rPr>
          <w:rFonts w:hint="eastAsia" w:ascii="Times New Roman" w:hAnsi="Times New Roman" w:eastAsia="宋体"/>
          <w:b/>
          <w:bCs/>
          <w:color w:val="auto"/>
          <w:highlight w:val="none"/>
          <w:lang w:eastAsia="zh-CN"/>
        </w:rPr>
        <w:t>城市</w:t>
      </w:r>
      <w:r>
        <w:rPr>
          <w:rFonts w:ascii="Times New Roman" w:hAnsi="Times New Roman" w:eastAsia="宋体"/>
          <w:b/>
          <w:bCs/>
          <w:color w:val="auto"/>
          <w:highlight w:val="none"/>
        </w:rPr>
        <w:t>废弃物填埋场勘察提供建议值的岩土参数</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2829"/>
        <w:gridCol w:w="2500"/>
        <w:gridCol w:w="20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tcBorders>
              <w:tl2br w:val="nil"/>
              <w:tr2bl w:val="nil"/>
            </w:tcBorders>
            <w:vAlign w:val="center"/>
          </w:tcPr>
          <w:p>
            <w:pPr>
              <w:widowControl/>
              <w:spacing w:line="0" w:lineRule="atLeast"/>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类型</w:t>
            </w:r>
          </w:p>
        </w:tc>
        <w:tc>
          <w:tcPr>
            <w:tcW w:w="1660" w:type="pct"/>
            <w:tcBorders>
              <w:tl2br w:val="nil"/>
              <w:tr2bl w:val="nil"/>
            </w:tcBorders>
            <w:vAlign w:val="center"/>
          </w:tcPr>
          <w:p>
            <w:pPr>
              <w:widowControl/>
              <w:spacing w:line="0" w:lineRule="atLeast"/>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填埋场（库区）、垃圾坝</w:t>
            </w:r>
          </w:p>
        </w:tc>
        <w:tc>
          <w:tcPr>
            <w:tcW w:w="1467" w:type="pct"/>
            <w:tcBorders>
              <w:tl2br w:val="nil"/>
              <w:tr2bl w:val="nil"/>
            </w:tcBorders>
            <w:vAlign w:val="center"/>
          </w:tcPr>
          <w:p>
            <w:pPr>
              <w:widowControl/>
              <w:spacing w:line="0" w:lineRule="atLeast"/>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填埋场其它范围、相关的管道、截水沟、污水调节池等</w:t>
            </w:r>
          </w:p>
        </w:tc>
        <w:tc>
          <w:tcPr>
            <w:tcW w:w="1178" w:type="pct"/>
            <w:tcBorders>
              <w:tl2br w:val="nil"/>
              <w:tr2bl w:val="nil"/>
            </w:tcBorders>
            <w:vAlign w:val="center"/>
          </w:tcPr>
          <w:p>
            <w:pPr>
              <w:widowControl/>
              <w:spacing w:line="0" w:lineRule="atLeast"/>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废弃物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tcBorders>
              <w:tl2br w:val="nil"/>
              <w:tr2bl w:val="nil"/>
            </w:tcBorders>
            <w:vAlign w:val="center"/>
          </w:tcPr>
          <w:p>
            <w:pPr>
              <w:widowControl/>
              <w:spacing w:line="0" w:lineRule="atLeast"/>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提供建议值</w:t>
            </w:r>
          </w:p>
          <w:p>
            <w:pPr>
              <w:widowControl/>
              <w:spacing w:line="0" w:lineRule="atLeast"/>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的岩土参数</w:t>
            </w:r>
          </w:p>
        </w:tc>
        <w:tc>
          <w:tcPr>
            <w:tcW w:w="1660" w:type="pct"/>
            <w:tcBorders>
              <w:tl2br w:val="nil"/>
              <w:tr2bl w:val="nil"/>
            </w:tcBorders>
            <w:vAlign w:val="center"/>
          </w:tcPr>
          <w:p>
            <w:pPr>
              <w:widowControl/>
              <w:spacing w:line="0" w:lineRule="atLeast"/>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 软土的有机质含量、pH值</w:t>
            </w:r>
          </w:p>
          <w:p>
            <w:pPr>
              <w:widowControl/>
              <w:spacing w:line="0" w:lineRule="atLeas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2 复合地基增强体的侧阻力</w:t>
            </w:r>
          </w:p>
          <w:p>
            <w:pPr>
              <w:spacing w:line="0" w:lineRule="atLeas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3 预制桩、灌注桩的侧阻力和端阻力</w:t>
            </w:r>
          </w:p>
          <w:p>
            <w:pPr>
              <w:spacing w:line="0" w:lineRule="atLeas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4 岩土层渗透系数</w:t>
            </w:r>
          </w:p>
          <w:p>
            <w:pPr>
              <w:spacing w:line="0" w:lineRule="atLeas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5 土（岩）体与锚固体粘结强度</w:t>
            </w:r>
          </w:p>
          <w:p>
            <w:pPr>
              <w:spacing w:line="0" w:lineRule="atLeas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6 水平和垂直基床系数</w:t>
            </w:r>
          </w:p>
          <w:p>
            <w:pPr>
              <w:spacing w:line="0" w:lineRule="atLeas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7 静止侧压力系数</w:t>
            </w:r>
          </w:p>
          <w:p>
            <w:pPr>
              <w:spacing w:line="0" w:lineRule="atLeas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8 抗剪强度指标*</w:t>
            </w:r>
          </w:p>
          <w:p>
            <w:pPr>
              <w:spacing w:line="0" w:lineRule="atLeas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9 沉井侧壁与土体间的单位摩阻力</w:t>
            </w:r>
          </w:p>
        </w:tc>
        <w:tc>
          <w:tcPr>
            <w:tcW w:w="1467" w:type="pct"/>
            <w:tcBorders>
              <w:tl2br w:val="nil"/>
              <w:tr2bl w:val="nil"/>
            </w:tcBorders>
            <w:vAlign w:val="center"/>
          </w:tcPr>
          <w:p>
            <w:pPr>
              <w:widowControl/>
              <w:spacing w:line="0" w:lineRule="atLeast"/>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 软土的有机质含量、pH值</w:t>
            </w:r>
          </w:p>
          <w:p>
            <w:pPr>
              <w:widowControl/>
              <w:spacing w:line="0" w:lineRule="atLeas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2 复合地基增强体的侧阻力</w:t>
            </w:r>
          </w:p>
          <w:p>
            <w:pPr>
              <w:widowControl/>
              <w:spacing w:line="0" w:lineRule="atLeas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3 预制桩的侧阻力和端阻力</w:t>
            </w:r>
          </w:p>
        </w:tc>
        <w:tc>
          <w:tcPr>
            <w:tcW w:w="1178" w:type="pct"/>
            <w:tcBorders>
              <w:tl2br w:val="nil"/>
              <w:tr2bl w:val="nil"/>
            </w:tcBorders>
            <w:vAlign w:val="center"/>
          </w:tcPr>
          <w:p>
            <w:pPr>
              <w:widowControl/>
              <w:spacing w:line="0" w:lineRule="atLeast"/>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1 成分、污染源、腐蚀性</w:t>
            </w:r>
          </w:p>
          <w:p>
            <w:pPr>
              <w:widowControl/>
              <w:spacing w:line="0" w:lineRule="atLeast"/>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2 渗透系数</w:t>
            </w:r>
          </w:p>
          <w:p>
            <w:pPr>
              <w:widowControl/>
              <w:spacing w:line="0" w:lineRule="atLeast"/>
              <w:jc w:val="left"/>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3 压缩性、抗剪强度指标</w:t>
            </w:r>
          </w:p>
        </w:tc>
      </w:tr>
    </w:tbl>
    <w:p>
      <w:pPr>
        <w:pStyle w:val="3"/>
        <w:keepNext/>
        <w:keepLines/>
        <w:pageBreakBefore w:val="0"/>
        <w:widowControl w:val="0"/>
        <w:kinsoku/>
        <w:wordWrap/>
        <w:overflowPunct/>
        <w:topLinePunct w:val="0"/>
        <w:autoSpaceDE/>
        <w:autoSpaceDN/>
        <w:bidi w:val="0"/>
        <w:adjustRightInd/>
        <w:snapToGrid/>
        <w:spacing w:before="380" w:line="416" w:lineRule="auto"/>
        <w:jc w:val="center"/>
        <w:textAlignment w:val="auto"/>
        <w:rPr>
          <w:rFonts w:ascii="Times New Roman" w:hAnsi="Times New Roman" w:eastAsia="宋体" w:cs="Times New Roman"/>
          <w:color w:val="auto"/>
          <w:sz w:val="24"/>
          <w:highlight w:val="none"/>
        </w:rPr>
      </w:pPr>
      <w:bookmarkStart w:id="440" w:name="_Toc14353"/>
      <w:bookmarkStart w:id="441" w:name="_Toc13519"/>
      <w:bookmarkStart w:id="442" w:name="_Toc76998294"/>
      <w:r>
        <w:rPr>
          <w:rFonts w:hint="eastAsia" w:ascii="Times New Roman" w:hAnsi="Times New Roman" w:eastAsia="宋体" w:cs="Times New Roman"/>
          <w:color w:val="auto"/>
          <w:sz w:val="24"/>
          <w:highlight w:val="none"/>
          <w:lang w:eastAsia="zh-CN"/>
        </w:rPr>
        <w:t>12.</w:t>
      </w:r>
      <w:r>
        <w:rPr>
          <w:rFonts w:ascii="Times New Roman" w:hAnsi="Times New Roman" w:eastAsia="宋体" w:cs="Times New Roman"/>
          <w:color w:val="auto"/>
          <w:sz w:val="24"/>
          <w:highlight w:val="none"/>
        </w:rPr>
        <w:t xml:space="preserve">2 </w:t>
      </w:r>
      <w:r>
        <w:rPr>
          <w:rFonts w:hint="eastAsia" w:ascii="Times New Roman" w:hAnsi="Times New Roman" w:eastAsia="宋体" w:cs="Times New Roman"/>
          <w:color w:val="auto"/>
          <w:sz w:val="24"/>
          <w:highlight w:val="none"/>
          <w:lang w:val="en-US" w:eastAsia="zh-CN"/>
        </w:rPr>
        <w:t xml:space="preserve"> </w:t>
      </w:r>
      <w:r>
        <w:rPr>
          <w:rFonts w:ascii="Times New Roman" w:hAnsi="Times New Roman" w:eastAsia="宋体" w:cs="Times New Roman"/>
          <w:color w:val="auto"/>
          <w:sz w:val="24"/>
          <w:highlight w:val="none"/>
        </w:rPr>
        <w:t>可行性研究勘察</w:t>
      </w:r>
      <w:bookmarkEnd w:id="440"/>
      <w:bookmarkEnd w:id="441"/>
      <w:bookmarkEnd w:id="442"/>
    </w:p>
    <w:p>
      <w:pPr>
        <w:spacing w:line="360" w:lineRule="auto"/>
        <w:rPr>
          <w:rFonts w:ascii="Times New Roman" w:hAnsi="Times New Roman" w:eastAsia="宋体"/>
          <w:color w:val="auto"/>
          <w:highlight w:val="none"/>
        </w:rPr>
      </w:pPr>
      <w:r>
        <w:rPr>
          <w:rFonts w:hint="eastAsia" w:ascii="Times New Roman" w:hAnsi="Times New Roman" w:eastAsia="宋体"/>
          <w:b/>
          <w:bCs/>
          <w:color w:val="auto"/>
          <w:highlight w:val="none"/>
          <w:lang w:eastAsia="zh-CN"/>
        </w:rPr>
        <w:t>12.</w:t>
      </w:r>
      <w:r>
        <w:rPr>
          <w:rFonts w:ascii="Times New Roman" w:hAnsi="Times New Roman" w:eastAsia="宋体"/>
          <w:b/>
          <w:bCs/>
          <w:color w:val="auto"/>
          <w:highlight w:val="none"/>
        </w:rPr>
        <w:t xml:space="preserve">2.1 </w:t>
      </w:r>
      <w:r>
        <w:rPr>
          <w:rFonts w:hint="eastAsia"/>
          <w:b/>
          <w:bCs/>
          <w:color w:val="auto"/>
          <w:highlight w:val="none"/>
          <w:lang w:val="en-US" w:eastAsia="zh-CN"/>
        </w:rPr>
        <w:t xml:space="preserve"> </w:t>
      </w:r>
      <w:r>
        <w:rPr>
          <w:rFonts w:ascii="Times New Roman" w:hAnsi="Times New Roman" w:eastAsia="宋体"/>
          <w:color w:val="auto"/>
          <w:highlight w:val="none"/>
        </w:rPr>
        <w:t>在</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建设中，多数情况下地质条件并非选址的首要考虑因素，政治因素、经济因素或其它社会因素才是决定性的，往往是已经初步选定的场址即因人为反对而最终放弃，不得不重新选场址。也存在极个别场址地质条件特别复杂而调整的情况，可行性研究勘察阶段</w:t>
      </w:r>
      <w:r>
        <w:rPr>
          <w:rFonts w:hint="eastAsia" w:ascii="Times New Roman" w:hAnsi="Times New Roman" w:eastAsia="宋体"/>
          <w:color w:val="auto"/>
          <w:highlight w:val="none"/>
          <w:lang w:val="en-US" w:eastAsia="zh-CN"/>
        </w:rPr>
        <w:t>能及时发现可以避免造成不必要的损失</w:t>
      </w:r>
      <w:r>
        <w:rPr>
          <w:rFonts w:ascii="Times New Roman" w:hAnsi="Times New Roman" w:eastAsia="宋体"/>
          <w:color w:val="auto"/>
          <w:highlight w:val="none"/>
        </w:rPr>
        <w:t>。</w:t>
      </w:r>
    </w:p>
    <w:p>
      <w:pPr>
        <w:spacing w:line="360" w:lineRule="auto"/>
        <w:rPr>
          <w:rFonts w:hint="default"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12.2.3</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hint="eastAsia" w:eastAsia="宋体" w:cs="Times New Roman"/>
          <w:b w:val="0"/>
          <w:bCs/>
          <w:color w:val="auto"/>
          <w:kern w:val="2"/>
          <w:sz w:val="21"/>
          <w:szCs w:val="24"/>
          <w:highlight w:val="none"/>
          <w:lang w:val="en-US" w:eastAsia="zh-CN" w:bidi="ar-SA"/>
        </w:rPr>
        <w:t>广东省丘陵山地多，填埋场均置于山谷，覆盖层厚度大多情况下较小，除非遇深大断裂带，否则均能在不深处钻遇</w:t>
      </w:r>
      <w:r>
        <w:rPr>
          <w:rFonts w:hint="eastAsia" w:ascii="Times New Roman" w:hAnsi="Times New Roman" w:eastAsia="宋体"/>
          <w:color w:val="auto"/>
          <w:highlight w:val="none"/>
          <w:lang w:val="en-US" w:eastAsia="zh-CN"/>
        </w:rPr>
        <w:t>中微风化</w:t>
      </w:r>
      <w:r>
        <w:rPr>
          <w:rFonts w:hint="eastAsia" w:eastAsia="宋体" w:cs="Times New Roman"/>
          <w:b w:val="0"/>
          <w:bCs/>
          <w:color w:val="auto"/>
          <w:kern w:val="2"/>
          <w:sz w:val="21"/>
          <w:szCs w:val="24"/>
          <w:highlight w:val="none"/>
          <w:lang w:val="en-US" w:eastAsia="zh-CN" w:bidi="ar-SA"/>
        </w:rPr>
        <w:t>岩。若遇深大断裂带，那场址务必另选。</w:t>
      </w:r>
    </w:p>
    <w:p>
      <w:pPr>
        <w:spacing w:line="360" w:lineRule="auto"/>
        <w:rPr>
          <w:rFonts w:ascii="Times New Roman" w:hAnsi="Times New Roman" w:eastAsia="宋体"/>
          <w:color w:val="auto"/>
          <w:highlight w:val="none"/>
        </w:rPr>
      </w:pPr>
      <w:r>
        <w:rPr>
          <w:rFonts w:hint="eastAsia" w:ascii="Times New Roman" w:hAnsi="Times New Roman" w:eastAsia="宋体"/>
          <w:b/>
          <w:bCs/>
          <w:color w:val="auto"/>
          <w:highlight w:val="none"/>
          <w:lang w:eastAsia="zh-CN"/>
        </w:rPr>
        <w:t>12.</w:t>
      </w:r>
      <w:r>
        <w:rPr>
          <w:rFonts w:ascii="Times New Roman" w:hAnsi="Times New Roman" w:eastAsia="宋体"/>
          <w:b/>
          <w:bCs/>
          <w:color w:val="auto"/>
          <w:highlight w:val="none"/>
        </w:rPr>
        <w:t>2.</w:t>
      </w:r>
      <w:r>
        <w:rPr>
          <w:rFonts w:hint="eastAsia" w:ascii="Times New Roman" w:hAnsi="Times New Roman" w:eastAsia="宋体"/>
          <w:b/>
          <w:bCs/>
          <w:color w:val="auto"/>
          <w:highlight w:val="none"/>
          <w:lang w:val="en-US" w:eastAsia="zh-CN"/>
        </w:rPr>
        <w:t>4</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ascii="Times New Roman" w:hAnsi="Times New Roman" w:eastAsia="宋体"/>
          <w:color w:val="auto"/>
          <w:highlight w:val="none"/>
        </w:rPr>
        <w:t>废弃物填埋工程一般是由衬垫系统、渗滤液收集系统、气体排放系统、封顶系统组成的。与普通构筑物不同，为了防止渗滤液造成二次污染，选址时对于场地的隔水条件及地基土的不均匀沉降有较高的要求：如果天然隔水条件好，就可节约大量的人工防渗处理费用。而地基的不均匀沉降可造成衬垫层拉裂，使渗滤液外泄造成二次污染。</w:t>
      </w:r>
    </w:p>
    <w:p>
      <w:pPr>
        <w:pStyle w:val="3"/>
        <w:jc w:val="center"/>
        <w:rPr>
          <w:rFonts w:ascii="Times New Roman" w:hAnsi="Times New Roman" w:eastAsia="宋体" w:cs="Times New Roman"/>
          <w:color w:val="auto"/>
          <w:sz w:val="24"/>
          <w:highlight w:val="none"/>
        </w:rPr>
      </w:pPr>
      <w:bookmarkStart w:id="443" w:name="_Toc19962"/>
      <w:bookmarkStart w:id="444" w:name="_Toc76998295"/>
      <w:bookmarkStart w:id="445" w:name="_Toc28458"/>
      <w:r>
        <w:rPr>
          <w:rFonts w:hint="eastAsia" w:ascii="Times New Roman" w:hAnsi="Times New Roman" w:eastAsia="宋体" w:cs="Times New Roman"/>
          <w:color w:val="auto"/>
          <w:sz w:val="24"/>
          <w:highlight w:val="none"/>
          <w:lang w:eastAsia="zh-CN"/>
        </w:rPr>
        <w:t>12.</w:t>
      </w:r>
      <w:r>
        <w:rPr>
          <w:rFonts w:ascii="Times New Roman" w:hAnsi="Times New Roman" w:eastAsia="宋体" w:cs="Times New Roman"/>
          <w:color w:val="auto"/>
          <w:sz w:val="24"/>
          <w:highlight w:val="none"/>
        </w:rPr>
        <w:t xml:space="preserve">3 </w:t>
      </w:r>
      <w:r>
        <w:rPr>
          <w:rFonts w:hint="eastAsia" w:ascii="Times New Roman" w:hAnsi="Times New Roman" w:eastAsia="宋体" w:cs="Times New Roman"/>
          <w:color w:val="auto"/>
          <w:sz w:val="24"/>
          <w:highlight w:val="none"/>
          <w:lang w:val="en-US" w:eastAsia="zh-CN"/>
        </w:rPr>
        <w:t xml:space="preserve"> </w:t>
      </w:r>
      <w:r>
        <w:rPr>
          <w:rFonts w:ascii="Times New Roman" w:hAnsi="Times New Roman" w:eastAsia="宋体" w:cs="Times New Roman"/>
          <w:color w:val="auto"/>
          <w:sz w:val="24"/>
          <w:highlight w:val="none"/>
        </w:rPr>
        <w:t>初步勘察</w:t>
      </w:r>
      <w:bookmarkEnd w:id="443"/>
      <w:bookmarkEnd w:id="444"/>
      <w:bookmarkEnd w:id="445"/>
    </w:p>
    <w:p>
      <w:pPr>
        <w:spacing w:line="360" w:lineRule="auto"/>
        <w:rPr>
          <w:rFonts w:ascii="Times New Roman" w:hAnsi="Times New Roman" w:eastAsia="宋体"/>
          <w:color w:val="auto"/>
          <w:highlight w:val="none"/>
        </w:rPr>
      </w:pPr>
      <w:r>
        <w:rPr>
          <w:rFonts w:hint="eastAsia" w:ascii="Times New Roman" w:hAnsi="Times New Roman" w:eastAsia="宋体"/>
          <w:b/>
          <w:bCs/>
          <w:color w:val="auto"/>
          <w:highlight w:val="none"/>
          <w:lang w:eastAsia="zh-CN"/>
        </w:rPr>
        <w:t>12.</w:t>
      </w:r>
      <w:r>
        <w:rPr>
          <w:rFonts w:ascii="Times New Roman" w:hAnsi="Times New Roman" w:eastAsia="宋体"/>
          <w:b/>
          <w:bCs/>
          <w:color w:val="auto"/>
          <w:highlight w:val="none"/>
        </w:rPr>
        <w:t>3.2</w:t>
      </w:r>
      <w:r>
        <w:rPr>
          <w:rFonts w:hint="eastAsia"/>
          <w:b/>
          <w:bCs/>
          <w:color w:val="auto"/>
          <w:highlight w:val="none"/>
          <w:lang w:val="en-US" w:eastAsia="zh-CN"/>
        </w:rPr>
        <w:t xml:space="preserve"> </w:t>
      </w:r>
      <w:r>
        <w:rPr>
          <w:rFonts w:ascii="Times New Roman" w:hAnsi="Times New Roman" w:eastAsia="宋体"/>
          <w:b/>
          <w:bCs/>
          <w:color w:val="auto"/>
          <w:highlight w:val="none"/>
        </w:rPr>
        <w:t xml:space="preserve"> </w:t>
      </w:r>
      <w:r>
        <w:rPr>
          <w:rFonts w:hint="eastAsia" w:ascii="Times New Roman" w:hAnsi="Times New Roman" w:eastAsia="宋体"/>
          <w:b w:val="0"/>
          <w:bCs w:val="0"/>
          <w:color w:val="auto"/>
          <w:highlight w:val="none"/>
          <w:lang w:val="en-US" w:eastAsia="zh-CN"/>
        </w:rPr>
        <w:t>就本条第4款说明如下：</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4</w:t>
      </w:r>
      <w:r>
        <w:rPr>
          <w:rFonts w:ascii="Times New Roman" w:hAnsi="Times New Roman" w:eastAsia="宋体"/>
          <w:color w:val="auto"/>
          <w:highlight w:val="none"/>
        </w:rPr>
        <w:t xml:space="preserve"> </w:t>
      </w:r>
      <w:r>
        <w:rPr>
          <w:rFonts w:hint="eastAsia"/>
          <w:color w:val="auto"/>
          <w:highlight w:val="none"/>
          <w:lang w:val="en-US" w:eastAsia="zh-CN"/>
        </w:rPr>
        <w:t xml:space="preserve"> </w:t>
      </w:r>
      <w:r>
        <w:rPr>
          <w:rFonts w:ascii="Times New Roman" w:hAnsi="Times New Roman" w:eastAsia="宋体"/>
          <w:color w:val="auto"/>
          <w:highlight w:val="none"/>
        </w:rPr>
        <w:t>堆体复杂程度等级分为3级。复杂堆体是指填埋物种类较多，除单一废弃物以外还有污水污泥等废弃物，或填埋过程大多采用低渗透性的中间覆土：简单堆体是指填埋物比较单一且其组分变化不显著的：中等复杂堆体是除复杂、简单以外的堆体。</w:t>
      </w:r>
    </w:p>
    <w:p>
      <w:pPr>
        <w:spacing w:line="360" w:lineRule="auto"/>
        <w:rPr>
          <w:rFonts w:ascii="Times New Roman" w:hAnsi="Times New Roman" w:eastAsia="宋体"/>
          <w:color w:val="auto"/>
          <w:highlight w:val="none"/>
        </w:rPr>
      </w:pPr>
      <w:r>
        <w:rPr>
          <w:rFonts w:hint="eastAsia" w:ascii="Times New Roman" w:hAnsi="Times New Roman" w:eastAsia="宋体"/>
          <w:b/>
          <w:bCs/>
          <w:color w:val="auto"/>
          <w:highlight w:val="none"/>
          <w:lang w:eastAsia="zh-CN"/>
        </w:rPr>
        <w:t>12.</w:t>
      </w:r>
      <w:r>
        <w:rPr>
          <w:rFonts w:ascii="Times New Roman" w:hAnsi="Times New Roman" w:eastAsia="宋体"/>
          <w:b/>
          <w:bCs/>
          <w:color w:val="auto"/>
          <w:highlight w:val="none"/>
        </w:rPr>
        <w:t xml:space="preserve">3.3  </w:t>
      </w:r>
      <w:r>
        <w:rPr>
          <w:rFonts w:ascii="Times New Roman" w:hAnsi="Times New Roman" w:eastAsia="宋体"/>
          <w:color w:val="auto"/>
          <w:highlight w:val="none"/>
        </w:rPr>
        <w:t>勘探点深度根据设计的填埋场高度、估算的荷载、工程地质及水文地质条件综合确定。</w:t>
      </w:r>
      <w:r>
        <w:rPr>
          <w:rFonts w:hint="eastAsia" w:ascii="Times New Roman" w:hAnsi="Times New Roman" w:eastAsia="宋体"/>
          <w:color w:val="auto"/>
          <w:highlight w:val="none"/>
          <w:lang w:eastAsia="zh-CN"/>
        </w:rPr>
        <w:t>勘探</w:t>
      </w:r>
      <w:r>
        <w:rPr>
          <w:rFonts w:ascii="Times New Roman" w:hAnsi="Times New Roman" w:eastAsia="宋体"/>
          <w:color w:val="auto"/>
          <w:highlight w:val="none"/>
        </w:rPr>
        <w:t>宜采取多级套管、分层灌浆回填等隔离措施，避免可能发生的地下水污染扩散或不同含水层的交叉污染。钻孔终孔后采用无污染、低渗透性材料及时回填封孔</w:t>
      </w:r>
      <w:r>
        <w:rPr>
          <w:rFonts w:hint="eastAsia"/>
          <w:color w:val="auto"/>
          <w:highlight w:val="none"/>
          <w:lang w:eastAsia="zh-CN"/>
        </w:rPr>
        <w:t>，</w:t>
      </w:r>
      <w:r>
        <w:rPr>
          <w:rFonts w:ascii="Times New Roman" w:hAnsi="Times New Roman" w:eastAsia="宋体"/>
          <w:color w:val="auto"/>
          <w:highlight w:val="none"/>
        </w:rPr>
        <w:t>避免产生地下水、土壤污染等后续环境影响或风险。</w:t>
      </w:r>
    </w:p>
    <w:p>
      <w:pPr>
        <w:spacing w:line="360" w:lineRule="auto"/>
        <w:rPr>
          <w:rFonts w:ascii="Times New Roman" w:hAnsi="Times New Roman" w:eastAsia="宋体"/>
          <w:b/>
          <w:bCs/>
          <w:color w:val="auto"/>
          <w:highlight w:val="none"/>
        </w:rPr>
      </w:pPr>
    </w:p>
    <w:p>
      <w:pPr>
        <w:widowControl/>
        <w:jc w:val="left"/>
        <w:rPr>
          <w:rFonts w:ascii="Times New Roman" w:hAnsi="Times New Roman" w:eastAsia="宋体"/>
          <w:color w:val="auto"/>
          <w:highlight w:val="none"/>
        </w:rPr>
      </w:pPr>
      <w:r>
        <w:rPr>
          <w:rFonts w:ascii="Times New Roman" w:hAnsi="Times New Roman" w:eastAsia="宋体"/>
          <w:color w:val="auto"/>
          <w:highlight w:val="none"/>
        </w:rPr>
        <w:br w:type="page"/>
      </w:r>
    </w:p>
    <w:p>
      <w:pPr>
        <w:rPr>
          <w:rFonts w:ascii="Times New Roman" w:hAnsi="Times New Roman" w:eastAsia="宋体"/>
          <w:color w:val="auto"/>
          <w:sz w:val="10"/>
          <w:szCs w:val="10"/>
          <w:highlight w:val="none"/>
        </w:rPr>
      </w:pPr>
    </w:p>
    <w:p>
      <w:pPr>
        <w:pStyle w:val="2"/>
        <w:rPr>
          <w:rFonts w:ascii="Times New Roman" w:hAnsi="Times New Roman" w:eastAsia="宋体"/>
          <w:color w:val="auto"/>
          <w:highlight w:val="none"/>
        </w:rPr>
      </w:pPr>
      <w:bookmarkStart w:id="446" w:name="_Toc76998297"/>
      <w:bookmarkStart w:id="447" w:name="_Toc21990"/>
      <w:bookmarkStart w:id="448" w:name="_Toc5457"/>
      <w:r>
        <w:rPr>
          <w:rFonts w:ascii="Times New Roman" w:hAnsi="Times New Roman" w:eastAsia="宋体"/>
          <w:color w:val="auto"/>
          <w:highlight w:val="none"/>
        </w:rPr>
        <w:t>1</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rPr>
        <w:t xml:space="preserve">  </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堤岸工程</w:t>
      </w:r>
      <w:bookmarkEnd w:id="446"/>
      <w:bookmarkEnd w:id="447"/>
      <w:bookmarkEnd w:id="448"/>
    </w:p>
    <w:p>
      <w:pPr>
        <w:pStyle w:val="3"/>
        <w:jc w:val="center"/>
        <w:rPr>
          <w:rFonts w:ascii="Times New Roman" w:hAnsi="Times New Roman" w:eastAsia="宋体" w:cs="Times New Roman"/>
          <w:color w:val="auto"/>
          <w:sz w:val="24"/>
          <w:highlight w:val="none"/>
        </w:rPr>
      </w:pPr>
      <w:bookmarkStart w:id="449" w:name="_Toc824"/>
      <w:bookmarkStart w:id="450" w:name="_Toc5638"/>
      <w:bookmarkStart w:id="451" w:name="_Toc76998298"/>
      <w:r>
        <w:rPr>
          <w:rFonts w:hint="eastAsia" w:ascii="Times New Roman" w:hAnsi="Times New Roman" w:eastAsia="宋体" w:cs="Times New Roman"/>
          <w:color w:val="auto"/>
          <w:sz w:val="24"/>
          <w:highlight w:val="none"/>
          <w:lang w:eastAsia="zh-CN"/>
        </w:rPr>
        <w:t>13.</w:t>
      </w:r>
      <w:r>
        <w:rPr>
          <w:rFonts w:ascii="Times New Roman" w:hAnsi="Times New Roman" w:eastAsia="宋体" w:cs="Times New Roman"/>
          <w:color w:val="auto"/>
          <w:sz w:val="24"/>
          <w:highlight w:val="none"/>
        </w:rPr>
        <w:t>1</w:t>
      </w:r>
      <w:r>
        <w:rPr>
          <w:rFonts w:hint="eastAsia" w:ascii="Times New Roman" w:hAnsi="Times New Roman" w:eastAsia="宋体" w:cs="Times New Roman"/>
          <w:color w:val="auto"/>
          <w:sz w:val="24"/>
          <w:highlight w:val="none"/>
          <w:lang w:val="en-US" w:eastAsia="zh-CN"/>
        </w:rPr>
        <w:t xml:space="preserve"> </w:t>
      </w:r>
      <w:r>
        <w:rPr>
          <w:rFonts w:ascii="Times New Roman" w:hAnsi="Times New Roman" w:eastAsia="宋体" w:cs="Times New Roman"/>
          <w:color w:val="auto"/>
          <w:sz w:val="24"/>
          <w:highlight w:val="none"/>
        </w:rPr>
        <w:t xml:space="preserve"> 一般规定</w:t>
      </w:r>
      <w:bookmarkEnd w:id="449"/>
      <w:bookmarkEnd w:id="450"/>
      <w:bookmarkEnd w:id="451"/>
    </w:p>
    <w:p>
      <w:pPr>
        <w:autoSpaceDE w:val="0"/>
        <w:autoSpaceDN w:val="0"/>
        <w:adjustRightInd w:val="0"/>
        <w:spacing w:line="360" w:lineRule="auto"/>
        <w:jc w:val="left"/>
        <w:rPr>
          <w:rFonts w:hint="eastAsia" w:ascii="Times New Roman" w:hAnsi="Times New Roman" w:eastAsia="宋体"/>
          <w:color w:val="auto"/>
          <w:highlight w:val="none"/>
          <w:lang w:val="en-US" w:eastAsia="zh-CN"/>
        </w:rPr>
      </w:pPr>
      <w:r>
        <w:rPr>
          <w:rFonts w:hint="eastAsia" w:ascii="Times New Roman" w:hAnsi="Times New Roman" w:eastAsia="宋体"/>
          <w:b/>
          <w:bCs/>
          <w:color w:val="auto"/>
          <w:highlight w:val="none"/>
          <w:lang w:eastAsia="zh-CN"/>
        </w:rPr>
        <w:t>13.</w:t>
      </w:r>
      <w:r>
        <w:rPr>
          <w:rFonts w:ascii="Times New Roman" w:hAnsi="Times New Roman" w:eastAsia="宋体"/>
          <w:b/>
          <w:bCs/>
          <w:color w:val="auto"/>
          <w:highlight w:val="none"/>
        </w:rPr>
        <w:t>1.</w:t>
      </w:r>
      <w:r>
        <w:rPr>
          <w:rFonts w:hint="eastAsia" w:ascii="Times New Roman" w:hAnsi="Times New Roman" w:eastAsia="宋体"/>
          <w:b/>
          <w:bCs/>
          <w:color w:val="auto"/>
          <w:highlight w:val="none"/>
          <w:lang w:val="en-US" w:eastAsia="zh-CN"/>
        </w:rPr>
        <w:t>3</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hint="eastAsia"/>
          <w:b w:val="0"/>
          <w:bCs w:val="0"/>
          <w:color w:val="auto"/>
          <w:highlight w:val="none"/>
          <w:lang w:val="en-US" w:eastAsia="zh-CN"/>
        </w:rPr>
        <w:t>本条对</w:t>
      </w:r>
      <w:r>
        <w:rPr>
          <w:rFonts w:hint="eastAsia" w:ascii="Times New Roman" w:hAnsi="Times New Roman" w:eastAsia="宋体"/>
          <w:color w:val="auto"/>
          <w:highlight w:val="none"/>
          <w:lang w:val="en-US" w:eastAsia="zh-CN"/>
        </w:rPr>
        <w:t>城市</w:t>
      </w:r>
      <w:r>
        <w:rPr>
          <w:rFonts w:hint="eastAsia" w:ascii="Times New Roman" w:hAnsi="Times New Roman" w:eastAsia="宋体"/>
          <w:color w:val="auto"/>
          <w:highlight w:val="none"/>
        </w:rPr>
        <w:t>堤岸</w:t>
      </w:r>
      <w:r>
        <w:rPr>
          <w:rFonts w:hint="eastAsia" w:ascii="Times New Roman" w:hAnsi="Times New Roman" w:eastAsia="宋体"/>
          <w:color w:val="auto"/>
          <w:highlight w:val="none"/>
          <w:lang w:val="en-US" w:eastAsia="zh-CN"/>
        </w:rPr>
        <w:t>工程钻孔封孔</w:t>
      </w:r>
      <w:r>
        <w:rPr>
          <w:rFonts w:hint="eastAsia"/>
          <w:color w:val="auto"/>
          <w:highlight w:val="none"/>
          <w:lang w:val="en-US" w:eastAsia="zh-CN"/>
        </w:rPr>
        <w:t>的</w:t>
      </w:r>
      <w:r>
        <w:rPr>
          <w:rFonts w:hint="eastAsia" w:ascii="Times New Roman" w:hAnsi="Times New Roman" w:eastAsia="宋体"/>
          <w:color w:val="auto"/>
          <w:highlight w:val="none"/>
          <w:lang w:val="en-US" w:eastAsia="zh-CN"/>
        </w:rPr>
        <w:t>要求</w:t>
      </w:r>
      <w:r>
        <w:rPr>
          <w:rFonts w:hint="eastAsia"/>
          <w:color w:val="auto"/>
          <w:highlight w:val="none"/>
          <w:lang w:val="en-US" w:eastAsia="zh-CN"/>
        </w:rPr>
        <w:t>考虑</w:t>
      </w:r>
      <w:r>
        <w:rPr>
          <w:rFonts w:hint="eastAsia" w:ascii="Times New Roman" w:hAnsi="Times New Roman" w:eastAsia="宋体"/>
          <w:color w:val="auto"/>
          <w:highlight w:val="none"/>
          <w:lang w:val="en-US" w:eastAsia="zh-CN"/>
        </w:rPr>
        <w:t>如下：</w:t>
      </w:r>
    </w:p>
    <w:p>
      <w:pPr>
        <w:spacing w:line="360" w:lineRule="auto"/>
        <w:ind w:firstLine="422" w:firstLineChars="200"/>
        <w:jc w:val="left"/>
        <w:rPr>
          <w:rFonts w:hint="eastAsia" w:ascii="Times New Roman" w:hAnsi="Times New Roman" w:eastAsia="宋体"/>
          <w:color w:val="auto"/>
          <w:kern w:val="0"/>
          <w:highlight w:val="none"/>
          <w:lang w:val="en-US" w:eastAsia="zh-CN"/>
        </w:rPr>
      </w:pPr>
      <w:r>
        <w:rPr>
          <w:rFonts w:hint="eastAsia" w:ascii="Times New Roman" w:hAnsi="Times New Roman" w:eastAsia="宋体"/>
          <w:b/>
          <w:bCs/>
          <w:color w:val="auto"/>
          <w:kern w:val="0"/>
          <w:highlight w:val="none"/>
          <w:lang w:val="en-US" w:eastAsia="zh-CN"/>
        </w:rPr>
        <w:t xml:space="preserve">1 </w:t>
      </w:r>
      <w:r>
        <w:rPr>
          <w:rFonts w:hint="eastAsia"/>
          <w:b/>
          <w:bCs/>
          <w:color w:val="auto"/>
          <w:kern w:val="0"/>
          <w:highlight w:val="none"/>
          <w:lang w:val="en-US" w:eastAsia="zh-CN"/>
        </w:rPr>
        <w:t xml:space="preserve"> </w:t>
      </w:r>
      <w:r>
        <w:rPr>
          <w:rFonts w:hint="eastAsia" w:ascii="Times New Roman" w:hAnsi="Times New Roman" w:eastAsia="宋体"/>
          <w:color w:val="auto"/>
          <w:kern w:val="0"/>
          <w:highlight w:val="none"/>
          <w:lang w:val="en-US" w:eastAsia="zh-CN"/>
        </w:rPr>
        <w:t>岩基采用水泥砂浆封填，土基采用黏土球封填；</w:t>
      </w:r>
    </w:p>
    <w:p>
      <w:pPr>
        <w:spacing w:line="360" w:lineRule="auto"/>
        <w:ind w:firstLine="422" w:firstLineChars="200"/>
        <w:jc w:val="left"/>
        <w:rPr>
          <w:rFonts w:hint="eastAsia" w:ascii="Times New Roman" w:hAnsi="Times New Roman" w:eastAsia="宋体"/>
          <w:color w:val="auto"/>
          <w:kern w:val="0"/>
          <w:highlight w:val="none"/>
          <w:lang w:val="en-US" w:eastAsia="zh-CN"/>
        </w:rPr>
      </w:pPr>
      <w:r>
        <w:rPr>
          <w:rFonts w:hint="eastAsia" w:ascii="Times New Roman" w:hAnsi="Times New Roman" w:eastAsia="宋体"/>
          <w:b/>
          <w:bCs/>
          <w:color w:val="auto"/>
          <w:kern w:val="0"/>
          <w:highlight w:val="none"/>
          <w:lang w:val="en-US" w:eastAsia="zh-CN"/>
        </w:rPr>
        <w:t>2</w:t>
      </w:r>
      <w:r>
        <w:rPr>
          <w:rFonts w:hint="eastAsia"/>
          <w:b/>
          <w:bCs/>
          <w:color w:val="auto"/>
          <w:kern w:val="0"/>
          <w:highlight w:val="none"/>
          <w:lang w:val="en-US" w:eastAsia="zh-CN"/>
        </w:rPr>
        <w:t xml:space="preserve"> </w:t>
      </w:r>
      <w:r>
        <w:rPr>
          <w:rFonts w:hint="eastAsia" w:ascii="Times New Roman" w:hAnsi="Times New Roman" w:eastAsia="宋体"/>
          <w:color w:val="auto"/>
          <w:kern w:val="0"/>
          <w:highlight w:val="none"/>
          <w:lang w:val="en-US" w:eastAsia="zh-CN"/>
        </w:rPr>
        <w:t xml:space="preserve"> 钻孔回填</w:t>
      </w:r>
      <w:r>
        <w:rPr>
          <w:rFonts w:hint="eastAsia"/>
          <w:color w:val="auto"/>
          <w:kern w:val="0"/>
          <w:highlight w:val="none"/>
          <w:lang w:val="en-US" w:eastAsia="zh-CN"/>
        </w:rPr>
        <w:t>方式</w:t>
      </w:r>
      <w:r>
        <w:rPr>
          <w:rFonts w:hint="eastAsia" w:ascii="Times New Roman" w:hAnsi="Times New Roman" w:eastAsia="宋体"/>
          <w:color w:val="auto"/>
          <w:kern w:val="0"/>
          <w:highlight w:val="none"/>
          <w:lang w:val="en-US" w:eastAsia="zh-CN"/>
        </w:rPr>
        <w:t>：</w:t>
      </w:r>
    </w:p>
    <w:p>
      <w:pPr>
        <w:spacing w:line="360" w:lineRule="auto"/>
        <w:ind w:firstLine="420" w:firstLineChars="200"/>
        <w:jc w:val="left"/>
        <w:rPr>
          <w:rFonts w:hint="eastAsia" w:ascii="Times New Roman" w:hAnsi="Times New Roman" w:eastAsia="宋体"/>
          <w:color w:val="auto"/>
          <w:kern w:val="0"/>
          <w:highlight w:val="none"/>
          <w:lang w:val="en-US" w:eastAsia="zh-CN"/>
        </w:rPr>
      </w:pPr>
      <w:r>
        <w:rPr>
          <w:rFonts w:hint="eastAsia" w:ascii="Times New Roman" w:hAnsi="Times New Roman" w:eastAsia="宋体"/>
          <w:color w:val="auto"/>
          <w:kern w:val="0"/>
          <w:highlight w:val="none"/>
          <w:lang w:val="en-US" w:eastAsia="zh-CN"/>
        </w:rPr>
        <w:t>1）回填孔（段）按“以土还土，以砂还砂”的原则执行，分段回填击实，分段长度不大于1m；</w:t>
      </w:r>
    </w:p>
    <w:p>
      <w:pPr>
        <w:spacing w:line="360" w:lineRule="auto"/>
        <w:ind w:firstLine="420" w:firstLineChars="200"/>
        <w:jc w:val="left"/>
        <w:rPr>
          <w:rFonts w:hint="eastAsia" w:ascii="Times New Roman" w:hAnsi="Times New Roman" w:eastAsia="宋体"/>
          <w:color w:val="auto"/>
          <w:kern w:val="0"/>
          <w:highlight w:val="none"/>
          <w:lang w:val="en-US" w:eastAsia="zh-CN"/>
        </w:rPr>
      </w:pPr>
      <w:r>
        <w:rPr>
          <w:rFonts w:hint="eastAsia" w:ascii="Times New Roman" w:hAnsi="Times New Roman" w:eastAsia="宋体"/>
          <w:color w:val="auto"/>
          <w:kern w:val="0"/>
          <w:highlight w:val="none"/>
          <w:lang w:val="en-US" w:eastAsia="zh-CN"/>
        </w:rPr>
        <w:t>2）封孔前用潜水置换孔内泥浆，直至认定能顺利封孔为止；</w:t>
      </w:r>
    </w:p>
    <w:p>
      <w:pPr>
        <w:spacing w:line="360" w:lineRule="auto"/>
        <w:ind w:firstLine="420" w:firstLineChars="200"/>
        <w:jc w:val="left"/>
        <w:rPr>
          <w:rFonts w:hint="eastAsia" w:ascii="Times New Roman" w:hAnsi="Times New Roman" w:eastAsia="宋体"/>
          <w:color w:val="auto"/>
          <w:kern w:val="0"/>
          <w:highlight w:val="none"/>
          <w:lang w:val="en-US" w:eastAsia="zh-CN"/>
        </w:rPr>
      </w:pPr>
      <w:r>
        <w:rPr>
          <w:rFonts w:hint="eastAsia" w:ascii="Times New Roman" w:hAnsi="Times New Roman" w:eastAsia="宋体"/>
          <w:color w:val="auto"/>
          <w:kern w:val="0"/>
          <w:highlight w:val="none"/>
          <w:lang w:val="en-US" w:eastAsia="zh-CN"/>
        </w:rPr>
        <w:t>3）堤防钻探封孔落实责任制，做好过程控制，封孔回填记录表上有操作人员</w:t>
      </w:r>
      <w:r>
        <w:rPr>
          <w:rFonts w:hint="eastAsia"/>
          <w:color w:val="auto"/>
          <w:kern w:val="0"/>
          <w:highlight w:val="none"/>
          <w:lang w:val="en-US" w:eastAsia="zh-CN"/>
        </w:rPr>
        <w:t>、</w:t>
      </w:r>
      <w:r>
        <w:rPr>
          <w:rFonts w:hint="eastAsia" w:ascii="Times New Roman" w:hAnsi="Times New Roman" w:eastAsia="宋体"/>
          <w:color w:val="auto"/>
          <w:kern w:val="0"/>
          <w:highlight w:val="none"/>
          <w:lang w:val="en-US" w:eastAsia="zh-CN"/>
        </w:rPr>
        <w:t>各级责任人签名；</w:t>
      </w:r>
    </w:p>
    <w:p>
      <w:pPr>
        <w:spacing w:line="360" w:lineRule="auto"/>
        <w:ind w:firstLine="420" w:firstLineChars="200"/>
        <w:jc w:val="left"/>
        <w:rPr>
          <w:rFonts w:hint="eastAsia" w:ascii="Times New Roman" w:hAnsi="Times New Roman" w:eastAsia="宋体"/>
          <w:color w:val="auto"/>
          <w:kern w:val="0"/>
          <w:highlight w:val="none"/>
          <w:lang w:val="en-US" w:eastAsia="zh-CN"/>
        </w:rPr>
      </w:pPr>
      <w:r>
        <w:rPr>
          <w:rFonts w:hint="eastAsia" w:ascii="Times New Roman" w:hAnsi="Times New Roman" w:eastAsia="宋体"/>
          <w:color w:val="auto"/>
          <w:kern w:val="0"/>
          <w:highlight w:val="none"/>
          <w:lang w:val="en-US" w:eastAsia="zh-CN"/>
        </w:rPr>
        <w:t>4）作业单位对封孔质量进行自检自查，责任单位对封孔质量进场抽查，必要时请堤防管理部门一道进行检查。</w:t>
      </w:r>
    </w:p>
    <w:p>
      <w:pPr>
        <w:spacing w:line="360" w:lineRule="auto"/>
        <w:ind w:firstLine="422" w:firstLineChars="200"/>
        <w:jc w:val="left"/>
        <w:rPr>
          <w:rFonts w:hint="eastAsia" w:ascii="Times New Roman" w:hAnsi="Times New Roman" w:eastAsia="宋体"/>
          <w:color w:val="auto"/>
          <w:kern w:val="0"/>
          <w:highlight w:val="none"/>
          <w:lang w:val="en-US" w:eastAsia="zh-CN"/>
        </w:rPr>
      </w:pPr>
      <w:r>
        <w:rPr>
          <w:rFonts w:hint="eastAsia" w:ascii="Times New Roman" w:hAnsi="Times New Roman" w:eastAsia="宋体"/>
          <w:b/>
          <w:bCs/>
          <w:color w:val="auto"/>
          <w:kern w:val="0"/>
          <w:highlight w:val="none"/>
          <w:lang w:val="en-US" w:eastAsia="zh-CN"/>
        </w:rPr>
        <w:t>3</w:t>
      </w:r>
      <w:r>
        <w:rPr>
          <w:rFonts w:hint="eastAsia" w:ascii="Times New Roman" w:hAnsi="Times New Roman" w:eastAsia="宋体"/>
          <w:color w:val="auto"/>
          <w:kern w:val="0"/>
          <w:highlight w:val="none"/>
          <w:lang w:val="en-US" w:eastAsia="zh-CN"/>
        </w:rPr>
        <w:t xml:space="preserve"> </w:t>
      </w:r>
      <w:r>
        <w:rPr>
          <w:rFonts w:hint="eastAsia"/>
          <w:color w:val="auto"/>
          <w:kern w:val="0"/>
          <w:highlight w:val="none"/>
          <w:lang w:val="en-US" w:eastAsia="zh-CN"/>
        </w:rPr>
        <w:t xml:space="preserve"> </w:t>
      </w:r>
      <w:r>
        <w:rPr>
          <w:rFonts w:hint="eastAsia" w:ascii="Times New Roman" w:hAnsi="Times New Roman" w:eastAsia="宋体"/>
          <w:color w:val="auto"/>
          <w:kern w:val="0"/>
          <w:highlight w:val="none"/>
          <w:lang w:val="en-US" w:eastAsia="zh-CN"/>
        </w:rPr>
        <w:t>采用黏土球封填时，黏土球直径一般2.0~2.5cm，风干后使用，黏土球所用的黏粒含量大于30%，塑性指数大于17；按2.5倍于孔内取出土体的重量向孔内投入黏土球，每次实际按压封实的孔段长度控制在0.3m。向孔内投入黏土球</w:t>
      </w:r>
      <w:r>
        <w:rPr>
          <w:rFonts w:hint="eastAsia"/>
          <w:color w:val="auto"/>
          <w:kern w:val="0"/>
          <w:highlight w:val="none"/>
          <w:lang w:val="en-US" w:eastAsia="zh-CN"/>
        </w:rPr>
        <w:t>时</w:t>
      </w:r>
      <w:r>
        <w:rPr>
          <w:rFonts w:hint="eastAsia" w:ascii="Times New Roman" w:hAnsi="Times New Roman" w:eastAsia="宋体"/>
          <w:color w:val="auto"/>
          <w:kern w:val="0"/>
          <w:highlight w:val="none"/>
          <w:lang w:val="en-US" w:eastAsia="zh-CN"/>
        </w:rPr>
        <w:t>，注意防止一次性投入量太多而发生堵塞；</w:t>
      </w:r>
    </w:p>
    <w:p>
      <w:pPr>
        <w:spacing w:line="360" w:lineRule="auto"/>
        <w:ind w:firstLine="422" w:firstLineChars="200"/>
        <w:jc w:val="left"/>
        <w:rPr>
          <w:rFonts w:hint="eastAsia" w:ascii="Times New Roman" w:hAnsi="Times New Roman" w:eastAsia="宋体"/>
          <w:color w:val="auto"/>
          <w:kern w:val="0"/>
          <w:highlight w:val="none"/>
          <w:lang w:val="en-US" w:eastAsia="zh-CN"/>
        </w:rPr>
      </w:pPr>
      <w:r>
        <w:rPr>
          <w:rFonts w:hint="eastAsia" w:ascii="Times New Roman" w:hAnsi="Times New Roman" w:eastAsia="宋体"/>
          <w:b/>
          <w:bCs/>
          <w:color w:val="auto"/>
          <w:kern w:val="0"/>
          <w:highlight w:val="none"/>
          <w:lang w:val="en-US" w:eastAsia="zh-CN"/>
        </w:rPr>
        <w:t>4</w:t>
      </w:r>
      <w:r>
        <w:rPr>
          <w:rFonts w:hint="eastAsia"/>
          <w:b/>
          <w:bCs/>
          <w:color w:val="auto"/>
          <w:kern w:val="0"/>
          <w:highlight w:val="none"/>
          <w:lang w:val="en-US" w:eastAsia="zh-CN"/>
        </w:rPr>
        <w:t xml:space="preserve"> </w:t>
      </w:r>
      <w:r>
        <w:rPr>
          <w:rFonts w:hint="eastAsia" w:ascii="Times New Roman" w:hAnsi="Times New Roman" w:eastAsia="宋体"/>
          <w:color w:val="auto"/>
          <w:kern w:val="0"/>
          <w:highlight w:val="none"/>
          <w:lang w:val="en-US" w:eastAsia="zh-CN"/>
        </w:rPr>
        <w:t xml:space="preserve"> 采用水泥砂浆封填时，水泥宜选用标号22.5的普通硅酸盐水泥，砂粒粒径宜在1mm以下，其中0.5mm以下的细砂宜占总量的50%以上；封孔前，宜清除孔内沉淀物；水泥砂浆拌和比应为：清水:水泥:细砂=(0.5~0.6):1:3，并按水泥用量加膨胀剂；</w:t>
      </w:r>
    </w:p>
    <w:p>
      <w:pPr>
        <w:spacing w:line="360" w:lineRule="auto"/>
        <w:ind w:firstLine="420" w:firstLineChars="200"/>
        <w:jc w:val="left"/>
        <w:rPr>
          <w:rFonts w:hint="eastAsia" w:ascii="Times New Roman" w:hAnsi="Times New Roman" w:eastAsia="宋体"/>
          <w:color w:val="auto"/>
          <w:kern w:val="0"/>
          <w:highlight w:val="none"/>
          <w:lang w:val="en-US" w:eastAsia="zh-CN"/>
        </w:rPr>
      </w:pPr>
      <w:r>
        <w:rPr>
          <w:rFonts w:hint="eastAsia" w:ascii="Times New Roman" w:hAnsi="Times New Roman" w:eastAsia="宋体"/>
          <w:color w:val="auto"/>
          <w:kern w:val="0"/>
          <w:highlight w:val="none"/>
          <w:lang w:val="en-US" w:eastAsia="zh-CN"/>
        </w:rPr>
        <w:t>水泥砂浆灌注方法可采用导管灌注法和灌注器送入法，也可用手捏成团，往孔内投放，边投放边用钻杆捣实，直至孔口，让砂浆自由沉降，翌日检查水泥砂浆沉降深度，再用同样配比的水泥砂浆进行封填。</w:t>
      </w:r>
    </w:p>
    <w:p>
      <w:pPr>
        <w:spacing w:line="360" w:lineRule="auto"/>
        <w:ind w:firstLine="420" w:firstLineChars="200"/>
        <w:jc w:val="left"/>
        <w:rPr>
          <w:rFonts w:hint="eastAsia" w:ascii="Times New Roman" w:hAnsi="Times New Roman" w:eastAsia="宋体"/>
          <w:color w:val="auto"/>
          <w:kern w:val="0"/>
          <w:highlight w:val="none"/>
          <w:lang w:val="en-US" w:eastAsia="zh-CN"/>
        </w:rPr>
      </w:pPr>
      <w:r>
        <w:rPr>
          <w:rFonts w:hint="eastAsia" w:ascii="Times New Roman" w:hAnsi="Times New Roman" w:eastAsia="宋体"/>
          <w:color w:val="auto"/>
          <w:kern w:val="0"/>
          <w:highlight w:val="none"/>
          <w:lang w:val="en-US" w:eastAsia="zh-CN"/>
        </w:rPr>
        <w:t>由于水泥砂浆在凝固过程中容易离析，与孔壁形成空隙，影响封孔质量，建议水泥砂浆封孔不要在土层中使用。</w:t>
      </w:r>
    </w:p>
    <w:p>
      <w:pPr>
        <w:spacing w:line="360" w:lineRule="auto"/>
        <w:ind w:firstLine="422" w:firstLineChars="200"/>
        <w:jc w:val="left"/>
        <w:rPr>
          <w:rFonts w:hint="eastAsia" w:ascii="Times New Roman" w:hAnsi="Times New Roman" w:eastAsia="宋体"/>
          <w:color w:val="auto"/>
          <w:kern w:val="0"/>
          <w:highlight w:val="none"/>
          <w:lang w:val="en-US" w:eastAsia="zh-CN"/>
        </w:rPr>
      </w:pPr>
      <w:r>
        <w:rPr>
          <w:rFonts w:hint="eastAsia" w:ascii="Times New Roman" w:hAnsi="Times New Roman" w:eastAsia="宋体"/>
          <w:b/>
          <w:bCs/>
          <w:color w:val="auto"/>
          <w:kern w:val="0"/>
          <w:highlight w:val="none"/>
          <w:lang w:val="en-US" w:eastAsia="zh-CN"/>
        </w:rPr>
        <w:t>5</w:t>
      </w:r>
      <w:r>
        <w:rPr>
          <w:rFonts w:hint="eastAsia" w:ascii="Times New Roman" w:hAnsi="Times New Roman" w:eastAsia="宋体"/>
          <w:color w:val="auto"/>
          <w:kern w:val="0"/>
          <w:highlight w:val="none"/>
          <w:lang w:val="en-US" w:eastAsia="zh-CN"/>
        </w:rPr>
        <w:t xml:space="preserve"> </w:t>
      </w:r>
      <w:r>
        <w:rPr>
          <w:rFonts w:hint="eastAsia"/>
          <w:color w:val="auto"/>
          <w:kern w:val="0"/>
          <w:highlight w:val="none"/>
          <w:lang w:val="en-US" w:eastAsia="zh-CN"/>
        </w:rPr>
        <w:t xml:space="preserve"> </w:t>
      </w:r>
      <w:r>
        <w:rPr>
          <w:rFonts w:hint="eastAsia" w:ascii="Times New Roman" w:hAnsi="Times New Roman" w:eastAsia="宋体"/>
          <w:color w:val="auto"/>
          <w:kern w:val="0"/>
          <w:highlight w:val="none"/>
          <w:lang w:val="en-US" w:eastAsia="zh-CN"/>
        </w:rPr>
        <w:t>采用岩芯回填时，按岩芯上、下次序，分段将取出的岩心投入钻孔中，采用钻杆分层捣实，该方法封孔质量不好保证，在汛期堤内外水头差异较大的堤段不能使用。</w:t>
      </w:r>
    </w:p>
    <w:p>
      <w:pPr>
        <w:autoSpaceDE w:val="0"/>
        <w:autoSpaceDN w:val="0"/>
        <w:adjustRightInd w:val="0"/>
        <w:spacing w:line="360" w:lineRule="auto"/>
        <w:jc w:val="left"/>
        <w:rPr>
          <w:rFonts w:ascii="Times New Roman" w:hAnsi="Times New Roman" w:eastAsia="宋体"/>
          <w:color w:val="auto"/>
          <w:highlight w:val="none"/>
        </w:rPr>
      </w:pPr>
      <w:r>
        <w:rPr>
          <w:rFonts w:hint="eastAsia" w:ascii="Times New Roman" w:hAnsi="Times New Roman" w:eastAsia="宋体"/>
          <w:b/>
          <w:bCs/>
          <w:color w:val="auto"/>
          <w:highlight w:val="none"/>
          <w:lang w:eastAsia="zh-CN"/>
        </w:rPr>
        <w:t>13.</w:t>
      </w:r>
      <w:r>
        <w:rPr>
          <w:rFonts w:ascii="Times New Roman" w:hAnsi="Times New Roman" w:eastAsia="宋体"/>
          <w:b/>
          <w:bCs/>
          <w:color w:val="auto"/>
          <w:highlight w:val="none"/>
        </w:rPr>
        <w:t>1.</w:t>
      </w:r>
      <w:r>
        <w:rPr>
          <w:rFonts w:hint="eastAsia" w:ascii="Times New Roman" w:hAnsi="Times New Roman" w:eastAsia="宋体"/>
          <w:b/>
          <w:bCs/>
          <w:color w:val="auto"/>
          <w:highlight w:val="none"/>
          <w:lang w:val="en-US" w:eastAsia="zh-CN"/>
        </w:rPr>
        <w:t>4</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城市</w:t>
      </w:r>
      <w:r>
        <w:rPr>
          <w:rFonts w:hint="eastAsia" w:ascii="Times New Roman" w:hAnsi="Times New Roman" w:eastAsia="宋体"/>
          <w:color w:val="auto"/>
          <w:highlight w:val="none"/>
        </w:rPr>
        <w:t>堤岸</w:t>
      </w:r>
      <w:r>
        <w:rPr>
          <w:rFonts w:hint="eastAsia" w:ascii="Times New Roman" w:hAnsi="Times New Roman" w:eastAsia="宋体"/>
          <w:color w:val="auto"/>
          <w:highlight w:val="none"/>
          <w:lang w:val="en-US" w:eastAsia="zh-CN"/>
        </w:rPr>
        <w:t>工程</w:t>
      </w:r>
      <w:r>
        <w:rPr>
          <w:rFonts w:hint="eastAsia" w:ascii="Times New Roman" w:hAnsi="Times New Roman" w:eastAsia="宋体"/>
          <w:color w:val="auto"/>
          <w:highlight w:val="none"/>
        </w:rPr>
        <w:t>是线形结构物，</w:t>
      </w:r>
      <w:r>
        <w:rPr>
          <w:rFonts w:hint="eastAsia" w:ascii="Times New Roman" w:hAnsi="Times New Roman" w:eastAsia="宋体"/>
          <w:color w:val="auto"/>
          <w:highlight w:val="none"/>
          <w:lang w:val="en-US" w:eastAsia="zh-CN"/>
        </w:rPr>
        <w:t>因此规定沿堤岸中心线布置勘探纵剖面。</w:t>
      </w:r>
      <w:r>
        <w:rPr>
          <w:rFonts w:hint="eastAsia" w:ascii="Times New Roman" w:hAnsi="Times New Roman" w:eastAsia="宋体"/>
          <w:color w:val="auto"/>
          <w:highlight w:val="none"/>
        </w:rPr>
        <w:t>考虑到垂直堤岸走向的</w:t>
      </w:r>
      <w:r>
        <w:rPr>
          <w:rFonts w:hint="eastAsia" w:ascii="Times New Roman" w:hAnsi="Times New Roman" w:eastAsia="宋体"/>
          <w:color w:val="auto"/>
          <w:highlight w:val="none"/>
          <w:lang w:val="en-US" w:eastAsia="zh-CN"/>
        </w:rPr>
        <w:t>勘探</w:t>
      </w:r>
      <w:r>
        <w:rPr>
          <w:rFonts w:hint="eastAsia" w:ascii="Times New Roman" w:hAnsi="Times New Roman" w:eastAsia="宋体"/>
          <w:color w:val="auto"/>
          <w:highlight w:val="none"/>
        </w:rPr>
        <w:t>横剖面是验算堤岸稳定性不可缺少的重要依据，</w:t>
      </w:r>
      <w:r>
        <w:rPr>
          <w:rFonts w:hint="eastAsia" w:ascii="Times New Roman" w:hAnsi="Times New Roman" w:eastAsia="宋体"/>
          <w:color w:val="auto"/>
          <w:highlight w:val="none"/>
          <w:lang w:val="en-US" w:eastAsia="zh-CN"/>
        </w:rPr>
        <w:t>并且</w:t>
      </w:r>
      <w:r>
        <w:rPr>
          <w:rFonts w:hint="eastAsia" w:ascii="Times New Roman" w:hAnsi="Times New Roman" w:eastAsia="宋体"/>
          <w:color w:val="auto"/>
          <w:highlight w:val="none"/>
        </w:rPr>
        <w:t>从地质角度看，垂直堤岸走向的沿岸地带</w:t>
      </w:r>
      <w:r>
        <w:rPr>
          <w:rFonts w:hint="eastAsia" w:ascii="Times New Roman" w:hAnsi="Times New Roman" w:eastAsia="宋体"/>
          <w:color w:val="auto"/>
          <w:highlight w:val="none"/>
          <w:lang w:val="en-US" w:eastAsia="zh-CN"/>
        </w:rPr>
        <w:t>因</w:t>
      </w:r>
      <w:r>
        <w:rPr>
          <w:rFonts w:hint="eastAsia" w:ascii="Times New Roman" w:hAnsi="Times New Roman" w:eastAsia="宋体"/>
          <w:color w:val="auto"/>
          <w:highlight w:val="none"/>
        </w:rPr>
        <w:t>岸线历史变迁，地质</w:t>
      </w:r>
      <w:r>
        <w:rPr>
          <w:rFonts w:hint="eastAsia" w:ascii="Times New Roman" w:hAnsi="Times New Roman" w:eastAsia="宋体"/>
          <w:color w:val="auto"/>
          <w:highlight w:val="none"/>
          <w:lang w:val="en-US" w:eastAsia="zh-CN"/>
        </w:rPr>
        <w:t>和岩土条件</w:t>
      </w:r>
      <w:r>
        <w:rPr>
          <w:rFonts w:hint="eastAsia" w:ascii="Times New Roman" w:hAnsi="Times New Roman" w:eastAsia="宋体"/>
          <w:color w:val="auto"/>
          <w:highlight w:val="none"/>
        </w:rPr>
        <w:t>复杂多变，本规范规定</w:t>
      </w:r>
      <w:r>
        <w:rPr>
          <w:rFonts w:hint="eastAsia" w:ascii="Times New Roman" w:hAnsi="Times New Roman" w:eastAsia="宋体"/>
          <w:color w:val="auto"/>
          <w:highlight w:val="none"/>
          <w:lang w:val="en-US" w:eastAsia="zh-CN"/>
        </w:rPr>
        <w:t>城市堤岸工程</w:t>
      </w:r>
      <w:r>
        <w:rPr>
          <w:rFonts w:hint="eastAsia" w:ascii="Times New Roman" w:hAnsi="Times New Roman" w:eastAsia="宋体"/>
          <w:color w:val="auto"/>
          <w:highlight w:val="none"/>
        </w:rPr>
        <w:t>除</w:t>
      </w:r>
      <w:r>
        <w:rPr>
          <w:rFonts w:hint="eastAsia" w:ascii="Times New Roman" w:hAnsi="Times New Roman" w:eastAsia="宋体"/>
          <w:color w:val="auto"/>
          <w:highlight w:val="none"/>
          <w:lang w:val="en-US" w:eastAsia="zh-CN"/>
        </w:rPr>
        <w:t>了布置勘探纵剖面外，</w:t>
      </w:r>
      <w:r>
        <w:rPr>
          <w:rFonts w:hint="eastAsia" w:ascii="Times New Roman" w:hAnsi="Times New Roman" w:eastAsia="宋体"/>
          <w:color w:val="auto"/>
          <w:highlight w:val="none"/>
        </w:rPr>
        <w:t>还</w:t>
      </w:r>
      <w:r>
        <w:rPr>
          <w:rFonts w:hint="eastAsia"/>
          <w:color w:val="auto"/>
          <w:highlight w:val="none"/>
          <w:lang w:val="en-US" w:eastAsia="zh-CN"/>
        </w:rPr>
        <w:t>建议</w:t>
      </w:r>
      <w:r>
        <w:rPr>
          <w:rFonts w:hint="eastAsia" w:ascii="Times New Roman" w:hAnsi="Times New Roman" w:eastAsia="宋体"/>
          <w:color w:val="auto"/>
          <w:highlight w:val="none"/>
        </w:rPr>
        <w:t>布置具有代表性的勘探</w:t>
      </w:r>
      <w:r>
        <w:rPr>
          <w:rFonts w:hint="eastAsia" w:ascii="Times New Roman" w:hAnsi="Times New Roman" w:eastAsia="宋体"/>
          <w:color w:val="auto"/>
          <w:highlight w:val="none"/>
          <w:lang w:val="en-US" w:eastAsia="zh-CN"/>
        </w:rPr>
        <w:t>横剖面</w:t>
      </w:r>
      <w:r>
        <w:rPr>
          <w:rFonts w:ascii="Times New Roman" w:hAnsi="Times New Roman" w:eastAsia="宋体"/>
          <w:color w:val="auto"/>
          <w:highlight w:val="none"/>
        </w:rPr>
        <w:t>。</w:t>
      </w:r>
    </w:p>
    <w:p>
      <w:pPr>
        <w:autoSpaceDE w:val="0"/>
        <w:autoSpaceDN w:val="0"/>
        <w:adjustRightInd w:val="0"/>
        <w:spacing w:line="360" w:lineRule="auto"/>
        <w:ind w:firstLine="420" w:firstLineChars="200"/>
        <w:jc w:val="left"/>
        <w:rPr>
          <w:rFonts w:ascii="Times New Roman" w:hAnsi="Times New Roman" w:eastAsia="宋体"/>
          <w:color w:val="auto"/>
          <w:highlight w:val="none"/>
        </w:rPr>
      </w:pPr>
      <w:r>
        <w:rPr>
          <w:rFonts w:ascii="Times New Roman" w:hAnsi="Times New Roman" w:eastAsia="宋体"/>
          <w:color w:val="auto"/>
          <w:highlight w:val="none"/>
        </w:rPr>
        <w:t>对堤岸的改造、加固工程勘察的勘探点，</w:t>
      </w:r>
      <w:r>
        <w:rPr>
          <w:rFonts w:hint="eastAsia"/>
          <w:color w:val="auto"/>
          <w:highlight w:val="none"/>
          <w:lang w:val="en-US" w:eastAsia="zh-CN"/>
        </w:rPr>
        <w:t>需要</w:t>
      </w:r>
      <w:r>
        <w:rPr>
          <w:rFonts w:ascii="Times New Roman" w:hAnsi="Times New Roman" w:eastAsia="宋体"/>
          <w:color w:val="auto"/>
          <w:highlight w:val="none"/>
        </w:rPr>
        <w:t>查明原有堤岸基底以下的地基土，但为了避免损伤原有堤岸结构，勘探扰动原有堤岸基底下的地基土，勘探点</w:t>
      </w:r>
      <w:r>
        <w:rPr>
          <w:rFonts w:hint="eastAsia"/>
          <w:color w:val="auto"/>
          <w:highlight w:val="none"/>
          <w:lang w:val="en-US" w:eastAsia="zh-CN"/>
        </w:rPr>
        <w:t>要</w:t>
      </w:r>
      <w:r>
        <w:rPr>
          <w:rFonts w:ascii="Times New Roman" w:hAnsi="Times New Roman" w:eastAsia="宋体"/>
          <w:color w:val="auto"/>
          <w:highlight w:val="none"/>
        </w:rPr>
        <w:t>接近并避开原有堤岸支护结构布置。</w:t>
      </w:r>
    </w:p>
    <w:p>
      <w:pPr>
        <w:spacing w:line="360" w:lineRule="auto"/>
        <w:jc w:val="left"/>
        <w:rPr>
          <w:rFonts w:ascii="Times New Roman" w:hAnsi="Times New Roman" w:eastAsia="宋体"/>
          <w:color w:val="auto"/>
          <w:kern w:val="0"/>
          <w:highlight w:val="none"/>
        </w:rPr>
      </w:pPr>
      <w:r>
        <w:rPr>
          <w:rFonts w:hint="eastAsia" w:ascii="Times New Roman" w:hAnsi="Times New Roman" w:eastAsia="宋体"/>
          <w:b/>
          <w:bCs/>
          <w:color w:val="auto"/>
          <w:highlight w:val="none"/>
          <w:lang w:val="en-US" w:eastAsia="zh-CN"/>
        </w:rPr>
        <w:t>13.1.5</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主要土层取样组数可适当多于6组，确保有效的物理力学指标不少于6个</w:t>
      </w:r>
      <w:r>
        <w:rPr>
          <w:rFonts w:ascii="Times New Roman" w:hAnsi="Times New Roman" w:eastAsia="宋体"/>
          <w:color w:val="auto"/>
          <w:highlight w:val="none"/>
        </w:rPr>
        <w:t>。</w:t>
      </w:r>
      <w:r>
        <w:rPr>
          <w:rFonts w:ascii="Times New Roman" w:hAnsi="Times New Roman" w:eastAsia="宋体"/>
          <w:color w:val="auto"/>
          <w:kern w:val="0"/>
          <w:highlight w:val="none"/>
        </w:rPr>
        <w:t xml:space="preserve">按岩土类别提供下列岩土试验参数： </w:t>
      </w:r>
    </w:p>
    <w:p>
      <w:pPr>
        <w:spacing w:line="360" w:lineRule="auto"/>
        <w:ind w:firstLine="422" w:firstLineChars="200"/>
        <w:jc w:val="left"/>
        <w:rPr>
          <w:rFonts w:ascii="Times New Roman" w:hAnsi="Times New Roman" w:eastAsia="宋体"/>
          <w:color w:val="auto"/>
          <w:kern w:val="0"/>
          <w:highlight w:val="none"/>
        </w:rPr>
      </w:pPr>
      <w:r>
        <w:rPr>
          <w:rFonts w:ascii="Times New Roman" w:hAnsi="Times New Roman" w:eastAsia="宋体"/>
          <w:b/>
          <w:bCs/>
          <w:color w:val="auto"/>
          <w:kern w:val="0"/>
          <w:highlight w:val="none"/>
        </w:rPr>
        <w:t>1</w:t>
      </w:r>
      <w:r>
        <w:rPr>
          <w:rFonts w:hint="eastAsia"/>
          <w:b/>
          <w:bCs/>
          <w:color w:val="auto"/>
          <w:kern w:val="0"/>
          <w:highlight w:val="none"/>
          <w:lang w:val="en-US" w:eastAsia="zh-CN"/>
        </w:rPr>
        <w:t xml:space="preserve"> </w:t>
      </w:r>
      <w:r>
        <w:rPr>
          <w:rFonts w:ascii="Times New Roman" w:hAnsi="Times New Roman" w:eastAsia="宋体"/>
          <w:color w:val="auto"/>
          <w:kern w:val="0"/>
          <w:highlight w:val="none"/>
        </w:rPr>
        <w:t xml:space="preserve"> 黏性土、粉土提供密度、比重、含水率、界限含水率、渗透系数、压缩模量和直接剪切试验指标，并视工程需要，提供易溶盐、有机质、膨胀性、三轴压缩试验指标。</w:t>
      </w:r>
    </w:p>
    <w:p>
      <w:pPr>
        <w:spacing w:line="360" w:lineRule="auto"/>
        <w:ind w:firstLine="422" w:firstLineChars="200"/>
        <w:jc w:val="left"/>
        <w:rPr>
          <w:rFonts w:ascii="Times New Roman" w:hAnsi="Times New Roman" w:eastAsia="宋体"/>
          <w:color w:val="auto"/>
          <w:kern w:val="0"/>
          <w:highlight w:val="none"/>
        </w:rPr>
      </w:pPr>
      <w:r>
        <w:rPr>
          <w:rFonts w:ascii="Times New Roman" w:hAnsi="Times New Roman" w:eastAsia="宋体"/>
          <w:b/>
          <w:bCs/>
          <w:color w:val="auto"/>
          <w:kern w:val="0"/>
          <w:highlight w:val="none"/>
        </w:rPr>
        <w:t xml:space="preserve">2 </w:t>
      </w:r>
      <w:r>
        <w:rPr>
          <w:rFonts w:hint="eastAsia"/>
          <w:b/>
          <w:bCs/>
          <w:color w:val="auto"/>
          <w:kern w:val="0"/>
          <w:highlight w:val="none"/>
          <w:lang w:val="en-US" w:eastAsia="zh-CN"/>
        </w:rPr>
        <w:t xml:space="preserve"> </w:t>
      </w:r>
      <w:r>
        <w:rPr>
          <w:rFonts w:ascii="Times New Roman" w:hAnsi="Times New Roman" w:eastAsia="宋体"/>
          <w:color w:val="auto"/>
          <w:kern w:val="0"/>
          <w:highlight w:val="none"/>
        </w:rPr>
        <w:t>砂土提供密度、比重、含水率、颗粒分析、不均匀系数及曲率系数、渗透系数，密实度，并视工程需要，提供休止角试验指标。</w:t>
      </w:r>
    </w:p>
    <w:p>
      <w:pPr>
        <w:spacing w:line="360" w:lineRule="auto"/>
        <w:ind w:firstLine="422" w:firstLineChars="200"/>
        <w:jc w:val="left"/>
        <w:rPr>
          <w:rFonts w:ascii="Times New Roman" w:hAnsi="Times New Roman" w:eastAsia="宋体"/>
          <w:color w:val="auto"/>
          <w:kern w:val="0"/>
          <w:highlight w:val="none"/>
        </w:rPr>
      </w:pPr>
      <w:r>
        <w:rPr>
          <w:rFonts w:ascii="Times New Roman" w:hAnsi="Times New Roman" w:eastAsia="宋体"/>
          <w:b/>
          <w:bCs/>
          <w:color w:val="auto"/>
          <w:kern w:val="0"/>
          <w:highlight w:val="none"/>
        </w:rPr>
        <w:t xml:space="preserve">3 </w:t>
      </w:r>
      <w:r>
        <w:rPr>
          <w:rFonts w:hint="eastAsia"/>
          <w:b/>
          <w:bCs/>
          <w:color w:val="auto"/>
          <w:kern w:val="0"/>
          <w:highlight w:val="none"/>
          <w:lang w:val="en-US" w:eastAsia="zh-CN"/>
        </w:rPr>
        <w:t xml:space="preserve"> </w:t>
      </w:r>
      <w:r>
        <w:rPr>
          <w:rFonts w:ascii="Times New Roman" w:hAnsi="Times New Roman" w:eastAsia="宋体"/>
          <w:color w:val="auto"/>
          <w:kern w:val="0"/>
          <w:highlight w:val="none"/>
        </w:rPr>
        <w:t>碎石土提供密度、含水率、不均匀系数及曲率系数、渗透系数。</w:t>
      </w:r>
    </w:p>
    <w:p>
      <w:pPr>
        <w:spacing w:line="360" w:lineRule="auto"/>
        <w:ind w:firstLine="422" w:firstLineChars="200"/>
        <w:jc w:val="left"/>
        <w:rPr>
          <w:rFonts w:ascii="Times New Roman" w:hAnsi="Times New Roman" w:eastAsia="宋体"/>
          <w:color w:val="auto"/>
          <w:highlight w:val="none"/>
        </w:rPr>
      </w:pPr>
      <w:r>
        <w:rPr>
          <w:rFonts w:ascii="Times New Roman" w:hAnsi="Times New Roman" w:eastAsia="宋体"/>
          <w:b/>
          <w:bCs/>
          <w:color w:val="auto"/>
          <w:kern w:val="0"/>
          <w:highlight w:val="none"/>
        </w:rPr>
        <w:t xml:space="preserve">4 </w:t>
      </w:r>
      <w:r>
        <w:rPr>
          <w:rFonts w:hint="eastAsia"/>
          <w:b/>
          <w:bCs/>
          <w:color w:val="auto"/>
          <w:kern w:val="0"/>
          <w:highlight w:val="none"/>
          <w:lang w:val="en-US" w:eastAsia="zh-CN"/>
        </w:rPr>
        <w:t xml:space="preserve"> </w:t>
      </w:r>
      <w:r>
        <w:rPr>
          <w:rFonts w:ascii="Times New Roman" w:hAnsi="Times New Roman" w:eastAsia="宋体"/>
          <w:color w:val="auto"/>
          <w:kern w:val="0"/>
          <w:highlight w:val="none"/>
        </w:rPr>
        <w:t>岩石提供密度、吸水率、天然和饱和单轴抗压强度指标，对于膨胀岩还应提供膨胀性、湿化性指标，并视工程需要提供剪切试验指标。</w:t>
      </w:r>
    </w:p>
    <w:p>
      <w:pPr>
        <w:pStyle w:val="3"/>
        <w:jc w:val="center"/>
        <w:rPr>
          <w:rFonts w:ascii="Times New Roman" w:hAnsi="Times New Roman" w:eastAsia="宋体" w:cs="Times New Roman"/>
          <w:color w:val="auto"/>
          <w:sz w:val="24"/>
          <w:highlight w:val="none"/>
        </w:rPr>
      </w:pPr>
      <w:bookmarkStart w:id="452" w:name="_Toc5997"/>
      <w:bookmarkStart w:id="453" w:name="_Toc4189"/>
      <w:bookmarkStart w:id="454" w:name="_Toc76998299"/>
      <w:r>
        <w:rPr>
          <w:rFonts w:hint="eastAsia" w:ascii="Times New Roman" w:hAnsi="Times New Roman" w:eastAsia="宋体" w:cs="Times New Roman"/>
          <w:color w:val="auto"/>
          <w:sz w:val="24"/>
          <w:highlight w:val="none"/>
          <w:lang w:eastAsia="zh-CN"/>
        </w:rPr>
        <w:t>13.</w:t>
      </w:r>
      <w:r>
        <w:rPr>
          <w:rFonts w:ascii="Times New Roman" w:hAnsi="Times New Roman" w:eastAsia="宋体" w:cs="Times New Roman"/>
          <w:color w:val="auto"/>
          <w:sz w:val="24"/>
          <w:highlight w:val="none"/>
        </w:rPr>
        <w:t>2</w:t>
      </w:r>
      <w:r>
        <w:rPr>
          <w:rFonts w:hint="eastAsia" w:ascii="Times New Roman" w:hAnsi="Times New Roman" w:eastAsia="宋体" w:cs="Times New Roman"/>
          <w:color w:val="auto"/>
          <w:sz w:val="24"/>
          <w:highlight w:val="none"/>
          <w:lang w:val="en-US" w:eastAsia="zh-CN"/>
        </w:rPr>
        <w:t xml:space="preserve">  </w:t>
      </w:r>
      <w:r>
        <w:rPr>
          <w:rFonts w:ascii="Times New Roman" w:hAnsi="Times New Roman" w:eastAsia="宋体" w:cs="Times New Roman"/>
          <w:color w:val="auto"/>
          <w:sz w:val="24"/>
          <w:highlight w:val="none"/>
        </w:rPr>
        <w:t>可行性研究勘察</w:t>
      </w:r>
      <w:bookmarkEnd w:id="452"/>
      <w:bookmarkEnd w:id="453"/>
      <w:bookmarkEnd w:id="454"/>
    </w:p>
    <w:p>
      <w:pPr>
        <w:autoSpaceDE w:val="0"/>
        <w:autoSpaceDN w:val="0"/>
        <w:adjustRightInd w:val="0"/>
        <w:spacing w:line="360" w:lineRule="auto"/>
        <w:jc w:val="left"/>
        <w:rPr>
          <w:rFonts w:ascii="Times New Roman" w:hAnsi="Times New Roman" w:eastAsia="宋体"/>
          <w:color w:val="auto"/>
          <w:kern w:val="0"/>
          <w:highlight w:val="none"/>
        </w:rPr>
      </w:pPr>
      <w:r>
        <w:rPr>
          <w:rFonts w:hint="eastAsia" w:ascii="Times New Roman" w:hAnsi="Times New Roman" w:eastAsia="宋体"/>
          <w:b/>
          <w:bCs/>
          <w:color w:val="auto"/>
          <w:highlight w:val="none"/>
          <w:lang w:eastAsia="zh-CN"/>
        </w:rPr>
        <w:t>13.</w:t>
      </w:r>
      <w:r>
        <w:rPr>
          <w:rFonts w:ascii="Times New Roman" w:hAnsi="Times New Roman" w:eastAsia="宋体"/>
          <w:b/>
          <w:bCs/>
          <w:color w:val="auto"/>
          <w:highlight w:val="none"/>
        </w:rPr>
        <w:t xml:space="preserve">2.4 </w:t>
      </w:r>
      <w:r>
        <w:rPr>
          <w:rFonts w:hint="eastAsia"/>
          <w:b/>
          <w:bCs/>
          <w:color w:val="auto"/>
          <w:highlight w:val="none"/>
          <w:lang w:val="en-US" w:eastAsia="zh-CN"/>
        </w:rPr>
        <w:t xml:space="preserve"> </w:t>
      </w:r>
      <w:r>
        <w:rPr>
          <w:rFonts w:hint="eastAsia" w:ascii="Times New Roman" w:hAnsi="Times New Roman" w:eastAsia="宋体"/>
          <w:color w:val="auto"/>
          <w:highlight w:val="none"/>
        </w:rPr>
        <w:t>可行性研究阶段现场工作量少，应重点</w:t>
      </w:r>
      <w:r>
        <w:rPr>
          <w:rFonts w:hint="eastAsia" w:ascii="Times New Roman" w:hAnsi="Times New Roman" w:eastAsia="宋体"/>
          <w:color w:val="auto"/>
          <w:highlight w:val="none"/>
          <w:lang w:val="en-US" w:eastAsia="zh-CN"/>
        </w:rPr>
        <w:t>依</w:t>
      </w:r>
      <w:r>
        <w:rPr>
          <w:rFonts w:hint="eastAsia" w:ascii="Times New Roman" w:hAnsi="Times New Roman" w:eastAsia="宋体"/>
          <w:color w:val="auto"/>
          <w:highlight w:val="none"/>
        </w:rPr>
        <w:t>据所收集的资料</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采用合适的物探方法</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进一步了解和核实</w:t>
      </w:r>
      <w:r>
        <w:rPr>
          <w:rFonts w:hint="eastAsia" w:ascii="Times New Roman" w:hAnsi="Times New Roman" w:eastAsia="宋体"/>
          <w:color w:val="auto"/>
          <w:highlight w:val="none"/>
          <w:lang w:val="en-US" w:eastAsia="zh-CN"/>
        </w:rPr>
        <w:t>搜集资料所反映的</w:t>
      </w:r>
      <w:r>
        <w:rPr>
          <w:rFonts w:hint="eastAsia" w:ascii="Times New Roman" w:hAnsi="Times New Roman" w:eastAsia="宋体"/>
          <w:color w:val="auto"/>
          <w:highlight w:val="none"/>
        </w:rPr>
        <w:t>堤岸沿线</w:t>
      </w:r>
      <w:r>
        <w:rPr>
          <w:rFonts w:hint="eastAsia" w:ascii="Times New Roman" w:hAnsi="Times New Roman" w:eastAsia="宋体"/>
          <w:color w:val="auto"/>
          <w:highlight w:val="none"/>
          <w:lang w:val="en-US" w:eastAsia="zh-CN"/>
        </w:rPr>
        <w:t>工程</w:t>
      </w:r>
      <w:r>
        <w:rPr>
          <w:rFonts w:hint="eastAsia" w:ascii="Times New Roman" w:hAnsi="Times New Roman" w:eastAsia="宋体"/>
          <w:color w:val="auto"/>
          <w:highlight w:val="none"/>
        </w:rPr>
        <w:t>地质和水文地质条件</w:t>
      </w:r>
      <w:r>
        <w:rPr>
          <w:rFonts w:ascii="Times New Roman" w:hAnsi="Times New Roman" w:eastAsia="宋体"/>
          <w:color w:val="auto"/>
          <w:highlight w:val="none"/>
        </w:rPr>
        <w:t>。</w:t>
      </w:r>
    </w:p>
    <w:p>
      <w:pPr>
        <w:pStyle w:val="3"/>
        <w:jc w:val="center"/>
        <w:rPr>
          <w:rFonts w:ascii="Times New Roman" w:hAnsi="Times New Roman" w:eastAsia="宋体" w:cs="Times New Roman"/>
          <w:color w:val="auto"/>
          <w:sz w:val="24"/>
          <w:highlight w:val="none"/>
        </w:rPr>
      </w:pPr>
      <w:bookmarkStart w:id="455" w:name="_Toc12697"/>
      <w:bookmarkStart w:id="456" w:name="_Toc15509"/>
      <w:bookmarkStart w:id="457" w:name="_Toc76998300"/>
      <w:r>
        <w:rPr>
          <w:rFonts w:hint="eastAsia" w:ascii="Times New Roman" w:hAnsi="Times New Roman" w:eastAsia="宋体" w:cs="Times New Roman"/>
          <w:color w:val="auto"/>
          <w:sz w:val="24"/>
          <w:highlight w:val="none"/>
          <w:lang w:eastAsia="zh-CN"/>
        </w:rPr>
        <w:t>13.</w:t>
      </w:r>
      <w:r>
        <w:rPr>
          <w:rFonts w:ascii="Times New Roman" w:hAnsi="Times New Roman" w:eastAsia="宋体" w:cs="Times New Roman"/>
          <w:color w:val="auto"/>
          <w:sz w:val="24"/>
          <w:highlight w:val="none"/>
        </w:rPr>
        <w:t>3</w:t>
      </w:r>
      <w:r>
        <w:rPr>
          <w:rFonts w:hint="eastAsia" w:ascii="Times New Roman" w:hAnsi="Times New Roman" w:eastAsia="宋体" w:cs="Times New Roman"/>
          <w:color w:val="auto"/>
          <w:sz w:val="24"/>
          <w:highlight w:val="none"/>
          <w:lang w:val="en-US" w:eastAsia="zh-CN"/>
        </w:rPr>
        <w:t xml:space="preserve">  </w:t>
      </w:r>
      <w:r>
        <w:rPr>
          <w:rFonts w:ascii="Times New Roman" w:hAnsi="Times New Roman" w:eastAsia="宋体" w:cs="Times New Roman"/>
          <w:color w:val="auto"/>
          <w:sz w:val="24"/>
          <w:highlight w:val="none"/>
        </w:rPr>
        <w:t>初步勘察</w:t>
      </w:r>
      <w:bookmarkEnd w:id="455"/>
      <w:bookmarkEnd w:id="456"/>
      <w:bookmarkEnd w:id="457"/>
    </w:p>
    <w:p>
      <w:pPr>
        <w:autoSpaceDE w:val="0"/>
        <w:autoSpaceDN w:val="0"/>
        <w:adjustRightInd w:val="0"/>
        <w:spacing w:line="360" w:lineRule="auto"/>
        <w:jc w:val="left"/>
        <w:rPr>
          <w:rFonts w:ascii="Times New Roman" w:hAnsi="Times New Roman" w:eastAsia="宋体"/>
          <w:color w:val="auto"/>
          <w:highlight w:val="none"/>
        </w:rPr>
      </w:pPr>
      <w:r>
        <w:rPr>
          <w:rFonts w:hint="eastAsia" w:ascii="Times New Roman" w:hAnsi="Times New Roman" w:eastAsia="宋体"/>
          <w:b/>
          <w:bCs/>
          <w:color w:val="auto"/>
          <w:highlight w:val="none"/>
          <w:lang w:eastAsia="zh-CN"/>
        </w:rPr>
        <w:t>13.</w:t>
      </w:r>
      <w:r>
        <w:rPr>
          <w:rFonts w:ascii="Times New Roman" w:hAnsi="Times New Roman" w:eastAsia="宋体"/>
          <w:b/>
          <w:bCs/>
          <w:color w:val="auto"/>
          <w:highlight w:val="none"/>
        </w:rPr>
        <w:t>3.</w:t>
      </w:r>
      <w:r>
        <w:rPr>
          <w:rFonts w:hint="eastAsia" w:ascii="Times New Roman" w:hAnsi="Times New Roman" w:eastAsia="宋体"/>
          <w:b/>
          <w:bCs/>
          <w:color w:val="auto"/>
          <w:highlight w:val="none"/>
          <w:lang w:val="en-US" w:eastAsia="zh-CN"/>
        </w:rPr>
        <w:t>2</w:t>
      </w:r>
      <w:r>
        <w:rPr>
          <w:rFonts w:ascii="Times New Roman" w:hAnsi="Times New Roman" w:eastAsia="宋体"/>
          <w:color w:val="auto"/>
          <w:highlight w:val="none"/>
        </w:rPr>
        <w:t xml:space="preserve"> </w:t>
      </w:r>
      <w:r>
        <w:rPr>
          <w:rFonts w:hint="eastAsia"/>
          <w:color w:val="auto"/>
          <w:highlight w:val="none"/>
          <w:lang w:val="en-US" w:eastAsia="zh-CN"/>
        </w:rPr>
        <w:t xml:space="preserve"> </w:t>
      </w:r>
      <w:r>
        <w:rPr>
          <w:rFonts w:hint="eastAsia" w:ascii="Times New Roman" w:hAnsi="Times New Roman" w:eastAsia="宋体"/>
          <w:color w:val="auto"/>
          <w:highlight w:val="none"/>
          <w:lang w:eastAsia="zh-CN"/>
        </w:rPr>
        <w:t>表13.3.</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eastAsia="zh-CN"/>
        </w:rPr>
        <w:t>中勘探点间距是根据堤岸勘察实践中一般选用的勘探钻孔间距，并参考其他规范的有关规定提出。勘察时，可根据现场实际情况和地区经验，在表中规定的勘探孔间距范围内</w:t>
      </w:r>
      <w:r>
        <w:rPr>
          <w:rFonts w:hint="eastAsia" w:ascii="Times New Roman" w:hAnsi="Times New Roman" w:eastAsia="宋体"/>
          <w:color w:val="auto"/>
          <w:highlight w:val="none"/>
          <w:lang w:val="en-US" w:eastAsia="zh-CN"/>
        </w:rPr>
        <w:t>合理</w:t>
      </w:r>
      <w:r>
        <w:rPr>
          <w:rFonts w:hint="eastAsia" w:ascii="Times New Roman" w:hAnsi="Times New Roman" w:eastAsia="宋体"/>
          <w:color w:val="auto"/>
          <w:highlight w:val="none"/>
          <w:lang w:eastAsia="zh-CN"/>
        </w:rPr>
        <w:t>选用；垂直堤岸代表性横剖面勘探孔间距，以能控制地层土质变化，满足滑动验算要求为原则，每条横剖面勘探线，一般布置不少于3个勘探点。对</w:t>
      </w:r>
      <w:r>
        <w:rPr>
          <w:rFonts w:hint="eastAsia" w:ascii="Times New Roman" w:hAnsi="Times New Roman" w:eastAsia="宋体"/>
          <w:color w:val="auto"/>
          <w:highlight w:val="none"/>
          <w:lang w:val="en-US" w:eastAsia="zh-CN"/>
        </w:rPr>
        <w:t>于</w:t>
      </w:r>
      <w:r>
        <w:rPr>
          <w:rFonts w:hint="eastAsia" w:ascii="Times New Roman" w:hAnsi="Times New Roman" w:eastAsia="宋体"/>
          <w:color w:val="auto"/>
          <w:highlight w:val="none"/>
          <w:lang w:eastAsia="zh-CN"/>
        </w:rPr>
        <w:t>堤岸改造或加固工程的勘探点，</w:t>
      </w:r>
      <w:r>
        <w:rPr>
          <w:rFonts w:hint="eastAsia"/>
          <w:color w:val="auto"/>
          <w:highlight w:val="none"/>
          <w:lang w:val="en-US" w:eastAsia="zh-CN"/>
        </w:rPr>
        <w:t>需要</w:t>
      </w:r>
      <w:r>
        <w:rPr>
          <w:rFonts w:hint="eastAsia" w:ascii="Times New Roman" w:hAnsi="Times New Roman" w:eastAsia="宋体"/>
          <w:color w:val="auto"/>
          <w:highlight w:val="none"/>
          <w:lang w:eastAsia="zh-CN"/>
        </w:rPr>
        <w:t>查明原有堤岸基底以下的地基土，</w:t>
      </w:r>
      <w:r>
        <w:rPr>
          <w:rFonts w:hint="eastAsia" w:ascii="Times New Roman" w:hAnsi="Times New Roman" w:eastAsia="宋体"/>
          <w:color w:val="auto"/>
          <w:highlight w:val="none"/>
          <w:lang w:val="en-US" w:eastAsia="zh-CN"/>
        </w:rPr>
        <w:t>勘察施工时</w:t>
      </w:r>
      <w:r>
        <w:rPr>
          <w:rFonts w:hint="eastAsia" w:ascii="Times New Roman" w:hAnsi="Times New Roman" w:eastAsia="宋体"/>
          <w:color w:val="auto"/>
          <w:highlight w:val="none"/>
          <w:lang w:eastAsia="zh-CN"/>
        </w:rPr>
        <w:t>避免损伤原有堤岸结构</w:t>
      </w:r>
      <w:r>
        <w:rPr>
          <w:rFonts w:hint="eastAsia" w:ascii="Times New Roman" w:hAnsi="Times New Roman" w:eastAsia="宋体"/>
          <w:color w:val="auto"/>
          <w:highlight w:val="none"/>
          <w:lang w:val="en-US" w:eastAsia="zh-CN"/>
        </w:rPr>
        <w:t>或</w:t>
      </w:r>
      <w:r>
        <w:rPr>
          <w:rFonts w:hint="eastAsia" w:ascii="Times New Roman" w:hAnsi="Times New Roman" w:eastAsia="宋体"/>
          <w:color w:val="auto"/>
          <w:highlight w:val="none"/>
          <w:lang w:eastAsia="zh-CN"/>
        </w:rPr>
        <w:t>扰动原有</w:t>
      </w:r>
      <w:r>
        <w:rPr>
          <w:rFonts w:hint="eastAsia" w:ascii="Times New Roman" w:hAnsi="Times New Roman" w:eastAsia="宋体"/>
          <w:color w:val="auto"/>
          <w:highlight w:val="none"/>
          <w:lang w:val="en-US" w:eastAsia="zh-CN"/>
        </w:rPr>
        <w:t>基础地基</w:t>
      </w:r>
      <w:r>
        <w:rPr>
          <w:rFonts w:hint="eastAsia" w:ascii="Times New Roman" w:hAnsi="Times New Roman" w:eastAsia="宋体"/>
          <w:color w:val="auto"/>
          <w:highlight w:val="none"/>
          <w:lang w:eastAsia="zh-CN"/>
        </w:rPr>
        <w:t>，勘探点</w:t>
      </w:r>
      <w:r>
        <w:rPr>
          <w:rFonts w:hint="eastAsia" w:ascii="Times New Roman" w:hAnsi="Times New Roman" w:eastAsia="宋体"/>
          <w:color w:val="auto"/>
          <w:highlight w:val="none"/>
          <w:lang w:val="en-US" w:eastAsia="zh-CN"/>
        </w:rPr>
        <w:t>避开并尽可能</w:t>
      </w:r>
      <w:r>
        <w:rPr>
          <w:rFonts w:hint="eastAsia" w:ascii="Times New Roman" w:hAnsi="Times New Roman" w:eastAsia="宋体"/>
          <w:color w:val="auto"/>
          <w:highlight w:val="none"/>
          <w:lang w:eastAsia="zh-CN"/>
        </w:rPr>
        <w:t>接近原有堤岸支护结构布置</w:t>
      </w:r>
      <w:r>
        <w:rPr>
          <w:rFonts w:ascii="Times New Roman" w:hAnsi="Times New Roman" w:eastAsia="宋体"/>
          <w:color w:val="auto"/>
          <w:highlight w:val="none"/>
        </w:rPr>
        <w:t>。</w:t>
      </w:r>
    </w:p>
    <w:p>
      <w:pPr>
        <w:autoSpaceDE w:val="0"/>
        <w:autoSpaceDN w:val="0"/>
        <w:adjustRightInd w:val="0"/>
        <w:spacing w:line="360" w:lineRule="auto"/>
        <w:jc w:val="left"/>
        <w:rPr>
          <w:rFonts w:ascii="Times New Roman" w:hAnsi="Times New Roman" w:eastAsia="宋体"/>
          <w:color w:val="auto"/>
          <w:highlight w:val="none"/>
        </w:rPr>
      </w:pPr>
      <w:r>
        <w:rPr>
          <w:rFonts w:hint="eastAsia" w:ascii="Times New Roman" w:hAnsi="Times New Roman" w:eastAsia="宋体"/>
          <w:b/>
          <w:bCs/>
          <w:color w:val="auto"/>
          <w:highlight w:val="none"/>
          <w:lang w:eastAsia="zh-CN"/>
        </w:rPr>
        <w:t>13.</w:t>
      </w:r>
      <w:r>
        <w:rPr>
          <w:rFonts w:ascii="Times New Roman" w:hAnsi="Times New Roman" w:eastAsia="宋体"/>
          <w:b/>
          <w:bCs/>
          <w:color w:val="auto"/>
          <w:highlight w:val="none"/>
        </w:rPr>
        <w:t>3.</w:t>
      </w:r>
      <w:r>
        <w:rPr>
          <w:rFonts w:hint="eastAsia" w:ascii="Times New Roman" w:hAnsi="Times New Roman" w:eastAsia="宋体"/>
          <w:b/>
          <w:bCs/>
          <w:color w:val="auto"/>
          <w:highlight w:val="none"/>
          <w:lang w:val="en-US" w:eastAsia="zh-CN"/>
        </w:rPr>
        <w:t>3</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ascii="Times New Roman" w:hAnsi="Times New Roman" w:eastAsia="宋体"/>
          <w:color w:val="auto"/>
          <w:highlight w:val="none"/>
        </w:rPr>
        <w:t>规范对堤岸勘察勘探孔深度的要求是根据各类堤岸的特点、堤岸勘察的实践经验，参考了相关规范的有关要求，并考虑了不同地基计算类别的需要确定的。</w:t>
      </w:r>
    </w:p>
    <w:p>
      <w:pPr>
        <w:pStyle w:val="3"/>
        <w:jc w:val="center"/>
        <w:rPr>
          <w:rFonts w:ascii="Times New Roman" w:hAnsi="Times New Roman" w:eastAsia="宋体" w:cs="Times New Roman"/>
          <w:color w:val="auto"/>
          <w:sz w:val="24"/>
          <w:highlight w:val="none"/>
        </w:rPr>
      </w:pPr>
      <w:bookmarkStart w:id="458" w:name="_Toc29800"/>
      <w:bookmarkStart w:id="459" w:name="_Toc7395"/>
      <w:r>
        <w:rPr>
          <w:rFonts w:hint="eastAsia" w:ascii="Times New Roman" w:hAnsi="Times New Roman" w:eastAsia="宋体" w:cs="Times New Roman"/>
          <w:color w:val="auto"/>
          <w:sz w:val="24"/>
          <w:highlight w:val="none"/>
          <w:lang w:eastAsia="zh-CN"/>
        </w:rPr>
        <w:t>13.</w:t>
      </w:r>
      <w:r>
        <w:rPr>
          <w:rFonts w:ascii="Times New Roman" w:hAnsi="Times New Roman" w:eastAsia="宋体" w:cs="Times New Roman"/>
          <w:color w:val="auto"/>
          <w:sz w:val="24"/>
          <w:highlight w:val="none"/>
        </w:rPr>
        <w:t xml:space="preserve">4 </w:t>
      </w:r>
      <w:r>
        <w:rPr>
          <w:rFonts w:hint="eastAsia" w:ascii="Times New Roman" w:hAnsi="Times New Roman" w:eastAsia="宋体" w:cs="Times New Roman"/>
          <w:color w:val="auto"/>
          <w:sz w:val="24"/>
          <w:highlight w:val="none"/>
          <w:lang w:val="en-US" w:eastAsia="zh-CN"/>
        </w:rPr>
        <w:t xml:space="preserve"> </w:t>
      </w:r>
      <w:r>
        <w:rPr>
          <w:rFonts w:ascii="Times New Roman" w:hAnsi="Times New Roman" w:eastAsia="宋体" w:cs="Times New Roman"/>
          <w:color w:val="auto"/>
          <w:sz w:val="24"/>
          <w:highlight w:val="none"/>
        </w:rPr>
        <w:t>详细勘察</w:t>
      </w:r>
      <w:bookmarkEnd w:id="458"/>
      <w:bookmarkEnd w:id="459"/>
    </w:p>
    <w:p>
      <w:pPr>
        <w:autoSpaceDE w:val="0"/>
        <w:autoSpaceDN w:val="0"/>
        <w:adjustRightInd w:val="0"/>
        <w:spacing w:line="360" w:lineRule="auto"/>
        <w:jc w:val="left"/>
        <w:rPr>
          <w:rFonts w:ascii="Times New Roman" w:hAnsi="Times New Roman" w:eastAsia="宋体"/>
          <w:color w:val="auto"/>
          <w:highlight w:val="none"/>
        </w:rPr>
      </w:pPr>
      <w:r>
        <w:rPr>
          <w:rFonts w:hint="eastAsia" w:ascii="Times New Roman" w:hAnsi="Times New Roman" w:eastAsia="宋体"/>
          <w:b/>
          <w:bCs/>
          <w:color w:val="auto"/>
          <w:highlight w:val="none"/>
          <w:lang w:eastAsia="zh-CN"/>
        </w:rPr>
        <w:t>13.</w:t>
      </w:r>
      <w:r>
        <w:rPr>
          <w:rFonts w:ascii="Times New Roman" w:hAnsi="Times New Roman" w:eastAsia="宋体"/>
          <w:b/>
          <w:bCs/>
          <w:color w:val="auto"/>
          <w:highlight w:val="none"/>
        </w:rPr>
        <w:t>4.</w:t>
      </w:r>
      <w:r>
        <w:rPr>
          <w:rFonts w:hint="eastAsia" w:ascii="Times New Roman" w:hAnsi="Times New Roman" w:eastAsia="宋体"/>
          <w:b/>
          <w:bCs/>
          <w:color w:val="auto"/>
          <w:highlight w:val="none"/>
          <w:lang w:val="en-US" w:eastAsia="zh-CN"/>
        </w:rPr>
        <w:t>2</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ascii="Times New Roman" w:hAnsi="Times New Roman" w:eastAsia="宋体"/>
          <w:color w:val="auto"/>
          <w:highlight w:val="none"/>
        </w:rPr>
        <w:t>垂直堤岸代表性横剖面勘探孔间距，以能控制地层土质变化，满足滑动验算要求为原则，每条横剖面勘探线，一般布置不少于3个勘探点。</w:t>
      </w:r>
    </w:p>
    <w:p>
      <w:pPr>
        <w:autoSpaceDE w:val="0"/>
        <w:autoSpaceDN w:val="0"/>
        <w:adjustRightInd w:val="0"/>
        <w:spacing w:line="360" w:lineRule="auto"/>
        <w:jc w:val="left"/>
        <w:rPr>
          <w:rFonts w:hint="default"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13.4.3</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hint="eastAsia" w:ascii="Times New Roman" w:hAnsi="Times New Roman" w:eastAsia="宋体"/>
          <w:color w:val="auto"/>
          <w:highlight w:val="none"/>
        </w:rPr>
        <w:t>对堤岸勘察勘探孔深度的要求是根据各类堤岸的特点、堤岸勘察的实践经验，参考了相关规范的有关要求，并考虑了不同地基计算类别的需要确定的。</w:t>
      </w:r>
    </w:p>
    <w:p>
      <w:pPr>
        <w:spacing w:line="360" w:lineRule="auto"/>
        <w:ind w:firstLine="400" w:firstLineChars="200"/>
        <w:rPr>
          <w:rFonts w:ascii="Times New Roman" w:hAnsi="Times New Roman" w:eastAsia="宋体"/>
          <w:color w:val="auto"/>
          <w:sz w:val="20"/>
          <w:szCs w:val="21"/>
          <w:highlight w:val="none"/>
        </w:rPr>
      </w:pPr>
    </w:p>
    <w:p>
      <w:pPr>
        <w:rPr>
          <w:rFonts w:ascii="Times New Roman" w:hAnsi="Times New Roman" w:eastAsia="宋体"/>
          <w:color w:val="auto"/>
          <w:sz w:val="10"/>
          <w:szCs w:val="10"/>
          <w:highlight w:val="none"/>
        </w:rPr>
      </w:pPr>
      <w:r>
        <w:rPr>
          <w:rFonts w:ascii="Times New Roman" w:hAnsi="Times New Roman" w:eastAsia="宋体"/>
          <w:color w:val="auto"/>
          <w:sz w:val="10"/>
          <w:szCs w:val="10"/>
          <w:highlight w:val="none"/>
        </w:rPr>
        <w:br w:type="page"/>
      </w:r>
    </w:p>
    <w:p>
      <w:pPr>
        <w:rPr>
          <w:rFonts w:ascii="Times New Roman" w:hAnsi="Times New Roman" w:eastAsia="宋体"/>
          <w:color w:val="auto"/>
          <w:sz w:val="10"/>
          <w:szCs w:val="10"/>
          <w:highlight w:val="none"/>
        </w:rPr>
      </w:pPr>
    </w:p>
    <w:p>
      <w:pPr>
        <w:pStyle w:val="2"/>
        <w:rPr>
          <w:rFonts w:ascii="Times New Roman" w:hAnsi="Times New Roman" w:eastAsia="宋体"/>
          <w:color w:val="auto"/>
          <w:highlight w:val="none"/>
        </w:rPr>
      </w:pPr>
      <w:bookmarkStart w:id="460" w:name="_Toc11977"/>
      <w:bookmarkStart w:id="461" w:name="_Toc12589"/>
      <w:r>
        <w:rPr>
          <w:rFonts w:hint="eastAsia" w:ascii="Times New Roman" w:hAnsi="Times New Roman" w:eastAsia="宋体"/>
          <w:color w:val="auto"/>
          <w:highlight w:val="none"/>
          <w:lang w:eastAsia="zh-CN"/>
        </w:rPr>
        <w:t>14</w:t>
      </w:r>
      <w:r>
        <w:rPr>
          <w:rFonts w:hint="eastAsia" w:ascii="Times New Roman" w:hAnsi="Times New Roman" w:eastAsia="宋体"/>
          <w:color w:val="auto"/>
          <w:highlight w:val="none"/>
        </w:rPr>
        <w:t xml:space="preserve">  </w:t>
      </w:r>
      <w:r>
        <w:rPr>
          <w:rFonts w:ascii="Times New Roman" w:hAnsi="Times New Roman" w:eastAsia="宋体"/>
          <w:color w:val="auto"/>
          <w:highlight w:val="none"/>
        </w:rPr>
        <w:t>施工勘察</w:t>
      </w:r>
      <w:bookmarkEnd w:id="460"/>
      <w:bookmarkEnd w:id="461"/>
    </w:p>
    <w:p>
      <w:pPr>
        <w:pStyle w:val="3"/>
        <w:jc w:val="center"/>
        <w:rPr>
          <w:rFonts w:ascii="Times New Roman" w:hAnsi="Times New Roman" w:eastAsia="宋体" w:cs="Times New Roman"/>
          <w:color w:val="auto"/>
          <w:sz w:val="24"/>
          <w:highlight w:val="none"/>
        </w:rPr>
      </w:pPr>
      <w:bookmarkStart w:id="462" w:name="_Toc14905"/>
      <w:bookmarkStart w:id="463" w:name="_Toc16655"/>
      <w:r>
        <w:rPr>
          <w:rFonts w:hint="eastAsia" w:ascii="Times New Roman" w:hAnsi="Times New Roman" w:eastAsia="宋体" w:cs="Times New Roman"/>
          <w:color w:val="auto"/>
          <w:sz w:val="24"/>
          <w:highlight w:val="none"/>
          <w:lang w:eastAsia="zh-CN"/>
        </w:rPr>
        <w:t>14</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rPr>
        <w:t>1</w:t>
      </w:r>
      <w:r>
        <w:rPr>
          <w:rFonts w:hint="eastAsia" w:ascii="Times New Roman" w:hAnsi="Times New Roman" w:eastAsia="宋体" w:cs="Times New Roman"/>
          <w:color w:val="auto"/>
          <w:sz w:val="24"/>
          <w:highlight w:val="none"/>
        </w:rPr>
        <w:t xml:space="preserve">  </w:t>
      </w:r>
      <w:r>
        <w:rPr>
          <w:rFonts w:ascii="Times New Roman" w:hAnsi="Times New Roman" w:eastAsia="宋体" w:cs="Times New Roman"/>
          <w:color w:val="auto"/>
          <w:sz w:val="24"/>
          <w:highlight w:val="none"/>
        </w:rPr>
        <w:t>一般规定</w:t>
      </w:r>
      <w:bookmarkEnd w:id="462"/>
      <w:bookmarkEnd w:id="463"/>
    </w:p>
    <w:p>
      <w:pPr>
        <w:spacing w:line="360" w:lineRule="auto"/>
        <w:rPr>
          <w:rFonts w:ascii="Times New Roman" w:hAnsi="Times New Roman" w:eastAsia="宋体"/>
          <w:color w:val="auto"/>
          <w:szCs w:val="21"/>
          <w:highlight w:val="none"/>
          <w:shd w:val="clear" w:color="auto" w:fill="FFFFFF"/>
        </w:rPr>
      </w:pPr>
      <w:r>
        <w:rPr>
          <w:rFonts w:hint="eastAsia" w:ascii="Times New Roman" w:hAnsi="Times New Roman" w:eastAsia="宋体"/>
          <w:b/>
          <w:color w:val="auto"/>
          <w:szCs w:val="21"/>
          <w:highlight w:val="none"/>
          <w:shd w:val="clear" w:color="auto" w:fill="FFFFFF"/>
          <w:lang w:eastAsia="zh-CN"/>
        </w:rPr>
        <w:t>14</w:t>
      </w:r>
      <w:r>
        <w:rPr>
          <w:rFonts w:hint="eastAsia" w:ascii="Times New Roman" w:hAnsi="Times New Roman" w:eastAsia="宋体"/>
          <w:b/>
          <w:color w:val="auto"/>
          <w:szCs w:val="21"/>
          <w:highlight w:val="none"/>
          <w:shd w:val="clear" w:color="auto" w:fill="FFFFFF"/>
        </w:rPr>
        <w:t>.</w:t>
      </w:r>
      <w:r>
        <w:rPr>
          <w:rFonts w:ascii="Times New Roman" w:hAnsi="Times New Roman" w:eastAsia="宋体"/>
          <w:b/>
          <w:color w:val="auto"/>
          <w:szCs w:val="21"/>
          <w:highlight w:val="none"/>
          <w:shd w:val="clear" w:color="auto" w:fill="FFFFFF"/>
        </w:rPr>
        <w:t xml:space="preserve">1.1 </w:t>
      </w:r>
      <w:r>
        <w:rPr>
          <w:rFonts w:ascii="Times New Roman" w:hAnsi="Times New Roman" w:eastAsia="宋体"/>
          <w:color w:val="auto"/>
          <w:szCs w:val="21"/>
          <w:highlight w:val="none"/>
          <w:shd w:val="clear" w:color="auto" w:fill="FFFFFF"/>
        </w:rPr>
        <w:t xml:space="preserve"> 实际工作中</w:t>
      </w:r>
      <w:r>
        <w:rPr>
          <w:rFonts w:hint="eastAsia" w:ascii="Times New Roman" w:hAnsi="Times New Roman" w:eastAsia="宋体"/>
          <w:color w:val="auto"/>
          <w:szCs w:val="21"/>
          <w:highlight w:val="none"/>
          <w:shd w:val="clear" w:color="auto" w:fill="FFFFFF"/>
          <w:lang w:val="en-US" w:eastAsia="zh-CN"/>
        </w:rPr>
        <w:t>有时</w:t>
      </w:r>
      <w:r>
        <w:rPr>
          <w:rFonts w:hint="eastAsia" w:ascii="Times New Roman" w:hAnsi="Times New Roman" w:eastAsia="宋体"/>
          <w:color w:val="auto"/>
          <w:szCs w:val="21"/>
          <w:highlight w:val="none"/>
          <w:shd w:val="clear" w:color="auto" w:fill="FFFFFF"/>
        </w:rPr>
        <w:t>参建</w:t>
      </w:r>
      <w:r>
        <w:rPr>
          <w:rFonts w:hint="eastAsia" w:ascii="Times New Roman" w:hAnsi="Times New Roman" w:eastAsia="宋体"/>
          <w:color w:val="auto"/>
          <w:szCs w:val="21"/>
          <w:highlight w:val="none"/>
          <w:shd w:val="clear" w:color="auto" w:fill="FFFFFF"/>
          <w:lang w:val="en-US" w:eastAsia="zh-CN"/>
        </w:rPr>
        <w:t>单位难以区分</w:t>
      </w:r>
      <w:r>
        <w:rPr>
          <w:rFonts w:ascii="Times New Roman" w:hAnsi="Times New Roman" w:eastAsia="宋体"/>
          <w:color w:val="auto"/>
          <w:szCs w:val="21"/>
          <w:highlight w:val="none"/>
          <w:shd w:val="clear" w:color="auto" w:fill="FFFFFF"/>
        </w:rPr>
        <w:t>施工勘察和补充详</w:t>
      </w:r>
      <w:r>
        <w:rPr>
          <w:rFonts w:hint="eastAsia" w:ascii="Times New Roman" w:hAnsi="Times New Roman" w:eastAsia="宋体"/>
          <w:color w:val="auto"/>
          <w:szCs w:val="21"/>
          <w:highlight w:val="none"/>
          <w:shd w:val="clear" w:color="auto" w:fill="FFFFFF"/>
        </w:rPr>
        <w:t>细勘察的</w:t>
      </w:r>
      <w:r>
        <w:rPr>
          <w:rFonts w:ascii="Times New Roman" w:hAnsi="Times New Roman" w:eastAsia="宋体"/>
          <w:color w:val="auto"/>
          <w:szCs w:val="21"/>
          <w:highlight w:val="none"/>
          <w:shd w:val="clear" w:color="auto" w:fill="FFFFFF"/>
        </w:rPr>
        <w:t>工作</w:t>
      </w:r>
      <w:r>
        <w:rPr>
          <w:rFonts w:hint="eastAsia" w:ascii="Times New Roman" w:hAnsi="Times New Roman" w:eastAsia="宋体"/>
          <w:color w:val="auto"/>
          <w:szCs w:val="21"/>
          <w:highlight w:val="none"/>
          <w:shd w:val="clear" w:color="auto" w:fill="FFFFFF"/>
          <w:lang w:val="en-US" w:eastAsia="zh-CN"/>
        </w:rPr>
        <w:t>内容</w:t>
      </w:r>
      <w:r>
        <w:rPr>
          <w:rFonts w:ascii="Times New Roman" w:hAnsi="Times New Roman" w:eastAsia="宋体"/>
          <w:color w:val="auto"/>
          <w:szCs w:val="21"/>
          <w:highlight w:val="none"/>
          <w:shd w:val="clear" w:color="auto" w:fill="FFFFFF"/>
        </w:rPr>
        <w:t>。上海市《岩土工程勘察规范》</w:t>
      </w:r>
      <w:r>
        <w:rPr>
          <w:rFonts w:hint="eastAsia" w:ascii="Times New Roman" w:hAnsi="Times New Roman" w:eastAsia="宋体"/>
          <w:color w:val="auto"/>
          <w:szCs w:val="21"/>
          <w:highlight w:val="none"/>
          <w:shd w:val="clear" w:color="auto" w:fill="FFFFFF"/>
        </w:rPr>
        <w:t>（</w:t>
      </w:r>
      <w:r>
        <w:rPr>
          <w:rFonts w:ascii="Times New Roman" w:hAnsi="Times New Roman" w:eastAsia="宋体"/>
          <w:color w:val="auto"/>
          <w:szCs w:val="21"/>
          <w:highlight w:val="none"/>
          <w:shd w:val="clear" w:color="auto" w:fill="FFFFFF"/>
        </w:rPr>
        <w:t>DGJ08-37-2012</w:t>
      </w:r>
      <w:r>
        <w:rPr>
          <w:rFonts w:hint="eastAsia" w:ascii="Times New Roman" w:hAnsi="Times New Roman" w:eastAsia="宋体"/>
          <w:color w:val="auto"/>
          <w:szCs w:val="21"/>
          <w:highlight w:val="none"/>
          <w:shd w:val="clear" w:color="auto" w:fill="FFFFFF"/>
        </w:rPr>
        <w:t>）</w:t>
      </w:r>
      <w:r>
        <w:rPr>
          <w:rFonts w:ascii="Times New Roman" w:hAnsi="Times New Roman" w:eastAsia="宋体"/>
          <w:color w:val="auto"/>
          <w:szCs w:val="21"/>
          <w:highlight w:val="none"/>
          <w:shd w:val="clear" w:color="auto" w:fill="FFFFFF"/>
        </w:rPr>
        <w:t>规定，因设计变更需补充的勘察资料，属于详细勘察阶段的范畴。为了区分详细勘察和施工勘察的工作界面，本规范</w:t>
      </w:r>
      <w:r>
        <w:rPr>
          <w:rFonts w:hint="eastAsia" w:ascii="Times New Roman" w:hAnsi="Times New Roman" w:eastAsia="宋体"/>
          <w:color w:val="auto"/>
          <w:szCs w:val="21"/>
          <w:highlight w:val="none"/>
          <w:shd w:val="clear" w:color="auto" w:fill="FFFFFF"/>
        </w:rPr>
        <w:t>作出如下界定</w:t>
      </w:r>
      <w:r>
        <w:rPr>
          <w:rFonts w:ascii="Times New Roman" w:hAnsi="Times New Roman" w:eastAsia="宋体"/>
          <w:color w:val="auto"/>
          <w:szCs w:val="21"/>
          <w:highlight w:val="none"/>
          <w:shd w:val="clear" w:color="auto" w:fill="FFFFFF"/>
        </w:rPr>
        <w:t>：</w:t>
      </w:r>
    </w:p>
    <w:p>
      <w:pPr>
        <w:spacing w:line="360" w:lineRule="auto"/>
        <w:ind w:firstLine="420" w:firstLineChars="200"/>
        <w:rPr>
          <w:rFonts w:ascii="Times New Roman" w:hAnsi="Times New Roman" w:eastAsia="宋体"/>
          <w:color w:val="auto"/>
          <w:szCs w:val="21"/>
          <w:highlight w:val="none"/>
          <w:shd w:val="clear" w:color="auto" w:fill="FFFFFF"/>
        </w:rPr>
      </w:pPr>
      <w:r>
        <w:rPr>
          <w:rFonts w:ascii="Times New Roman" w:hAnsi="Times New Roman" w:eastAsia="宋体"/>
          <w:color w:val="auto"/>
          <w:szCs w:val="21"/>
          <w:highlight w:val="none"/>
          <w:shd w:val="clear" w:color="auto" w:fill="FFFFFF"/>
        </w:rPr>
        <w:t>施工勘察</w:t>
      </w:r>
      <w:r>
        <w:rPr>
          <w:rFonts w:hint="eastAsia" w:ascii="Times New Roman" w:hAnsi="Times New Roman" w:eastAsia="宋体"/>
          <w:color w:val="auto"/>
          <w:szCs w:val="21"/>
          <w:highlight w:val="none"/>
          <w:shd w:val="clear" w:color="auto" w:fill="FFFFFF"/>
        </w:rPr>
        <w:t>，是指</w:t>
      </w:r>
      <w:r>
        <w:rPr>
          <w:rFonts w:ascii="Times New Roman" w:hAnsi="Times New Roman" w:eastAsia="宋体"/>
          <w:color w:val="auto"/>
          <w:szCs w:val="21"/>
          <w:highlight w:val="none"/>
          <w:shd w:val="clear" w:color="auto" w:fill="FFFFFF"/>
        </w:rPr>
        <w:t>限于详勘工作的目的，受详细勘察阶段工作量布置限制而不能彻底查清楚地质条件，需在施工阶段进一步开展的勘察工作，例如施工阶段进一步查明层面起伏、溶洞、土洞、球状风化体、断裂破碎带、暗埋的地下构筑物等的分布等。施工勘察可结合要解决的工程问题，选择一种勘察方法或多种勘察方法组合。</w:t>
      </w:r>
    </w:p>
    <w:p>
      <w:pPr>
        <w:spacing w:line="360" w:lineRule="auto"/>
        <w:ind w:firstLine="420" w:firstLineChars="200"/>
        <w:rPr>
          <w:rFonts w:ascii="Times New Roman" w:hAnsi="Times New Roman" w:eastAsia="宋体"/>
          <w:color w:val="auto"/>
          <w:szCs w:val="21"/>
          <w:highlight w:val="none"/>
          <w:shd w:val="clear" w:color="auto" w:fill="FFFFFF"/>
        </w:rPr>
      </w:pPr>
      <w:r>
        <w:rPr>
          <w:rFonts w:ascii="Times New Roman" w:hAnsi="Times New Roman" w:eastAsia="宋体"/>
          <w:color w:val="auto"/>
          <w:szCs w:val="21"/>
          <w:highlight w:val="none"/>
          <w:shd w:val="clear" w:color="auto" w:fill="FFFFFF"/>
        </w:rPr>
        <w:t>补充详细勘察</w:t>
      </w:r>
      <w:r>
        <w:rPr>
          <w:rFonts w:hint="eastAsia" w:ascii="Times New Roman" w:hAnsi="Times New Roman" w:eastAsia="宋体"/>
          <w:color w:val="auto"/>
          <w:szCs w:val="21"/>
          <w:highlight w:val="none"/>
          <w:shd w:val="clear" w:color="auto" w:fill="FFFFFF"/>
        </w:rPr>
        <w:t>，是指</w:t>
      </w:r>
      <w:r>
        <w:rPr>
          <w:rFonts w:ascii="Times New Roman" w:hAnsi="Times New Roman" w:eastAsia="宋体"/>
          <w:color w:val="auto"/>
          <w:szCs w:val="21"/>
          <w:highlight w:val="none"/>
          <w:shd w:val="clear" w:color="auto" w:fill="FFFFFF"/>
        </w:rPr>
        <w:t>施工阶段由于设计方案调整，或采用了新技术、新工艺、新方法、新材料，或施工阶段遇到有别于详细勘察成果中揭示的地质条件，而需要在施工阶段进一步开展勘察工作，补充详细勘察</w:t>
      </w:r>
      <w:r>
        <w:rPr>
          <w:rFonts w:hint="eastAsia" w:ascii="Times New Roman" w:hAnsi="Times New Roman" w:eastAsia="宋体"/>
          <w:color w:val="auto"/>
          <w:szCs w:val="21"/>
          <w:highlight w:val="none"/>
          <w:shd w:val="clear" w:color="auto" w:fill="FFFFFF"/>
        </w:rPr>
        <w:t>仍属于详勘工程范畴</w:t>
      </w:r>
      <w:r>
        <w:rPr>
          <w:rFonts w:ascii="Times New Roman" w:hAnsi="Times New Roman" w:eastAsia="宋体"/>
          <w:color w:val="auto"/>
          <w:szCs w:val="21"/>
          <w:highlight w:val="none"/>
          <w:shd w:val="clear" w:color="auto" w:fill="FFFFFF"/>
        </w:rPr>
        <w:t>。</w:t>
      </w:r>
    </w:p>
    <w:p>
      <w:pPr>
        <w:spacing w:line="360" w:lineRule="auto"/>
        <w:ind w:firstLine="420" w:firstLineChars="200"/>
        <w:rPr>
          <w:rFonts w:ascii="Times New Roman" w:hAnsi="Times New Roman" w:eastAsia="宋体"/>
          <w:color w:val="auto"/>
          <w:szCs w:val="21"/>
          <w:highlight w:val="none"/>
          <w:shd w:val="clear" w:color="auto" w:fill="FFFFFF"/>
        </w:rPr>
      </w:pPr>
      <w:r>
        <w:rPr>
          <w:rFonts w:ascii="Times New Roman" w:hAnsi="Times New Roman" w:eastAsia="宋体"/>
          <w:color w:val="auto"/>
          <w:szCs w:val="21"/>
          <w:highlight w:val="none"/>
          <w:shd w:val="clear" w:color="auto" w:fill="FFFFFF"/>
        </w:rPr>
        <w:t>在岩溶、花岗岩球状风化体或基岩中存在软弱风化夹层的地段，当以基岩为基础持力层时，为了查明</w:t>
      </w:r>
      <w:r>
        <w:rPr>
          <w:rFonts w:hint="eastAsia" w:ascii="Times New Roman" w:hAnsi="Times New Roman" w:eastAsia="宋体"/>
          <w:color w:val="auto"/>
          <w:szCs w:val="21"/>
          <w:highlight w:val="none"/>
          <w:shd w:val="clear" w:color="auto" w:fill="FFFFFF"/>
        </w:rPr>
        <w:t>初定的</w:t>
      </w:r>
      <w:r>
        <w:rPr>
          <w:rFonts w:ascii="Times New Roman" w:hAnsi="Times New Roman" w:eastAsia="宋体"/>
          <w:color w:val="auto"/>
          <w:szCs w:val="21"/>
          <w:highlight w:val="none"/>
          <w:shd w:val="clear" w:color="auto" w:fill="FFFFFF"/>
        </w:rPr>
        <w:t>持力层是否存在</w:t>
      </w:r>
      <w:r>
        <w:rPr>
          <w:rFonts w:hint="eastAsia" w:ascii="Times New Roman" w:hAnsi="Times New Roman" w:eastAsia="宋体"/>
          <w:color w:val="auto"/>
          <w:szCs w:val="21"/>
          <w:highlight w:val="none"/>
          <w:shd w:val="clear" w:color="auto" w:fill="FFFFFF"/>
        </w:rPr>
        <w:t>缺陷</w:t>
      </w:r>
      <w:r>
        <w:rPr>
          <w:rFonts w:ascii="Times New Roman" w:hAnsi="Times New Roman" w:eastAsia="宋体"/>
          <w:color w:val="auto"/>
          <w:szCs w:val="21"/>
          <w:highlight w:val="none"/>
          <w:shd w:val="clear" w:color="auto" w:fill="FFFFFF"/>
        </w:rPr>
        <w:t>，</w:t>
      </w:r>
      <w:r>
        <w:rPr>
          <w:rFonts w:hint="eastAsia" w:ascii="Times New Roman" w:hAnsi="Times New Roman" w:eastAsia="宋体"/>
          <w:color w:val="auto"/>
          <w:szCs w:val="21"/>
          <w:highlight w:val="none"/>
          <w:shd w:val="clear" w:color="auto" w:fill="FFFFFF"/>
        </w:rPr>
        <w:t>常常要在</w:t>
      </w:r>
      <w:r>
        <w:rPr>
          <w:rFonts w:ascii="Times New Roman" w:hAnsi="Times New Roman" w:eastAsia="宋体"/>
          <w:color w:val="auto"/>
          <w:szCs w:val="21"/>
          <w:highlight w:val="none"/>
          <w:shd w:val="clear" w:color="auto" w:fill="FFFFFF"/>
        </w:rPr>
        <w:t>施工阶段开展</w:t>
      </w:r>
      <w:r>
        <w:rPr>
          <w:rFonts w:hint="eastAsia" w:ascii="Times New Roman" w:hAnsi="Times New Roman" w:eastAsia="宋体"/>
          <w:color w:val="auto"/>
          <w:szCs w:val="21"/>
          <w:highlight w:val="none"/>
          <w:shd w:val="clear" w:color="auto" w:fill="FFFFFF"/>
          <w:lang w:eastAsia="zh-CN"/>
        </w:rPr>
        <w:t>勘探</w:t>
      </w:r>
      <w:r>
        <w:rPr>
          <w:rFonts w:ascii="Times New Roman" w:hAnsi="Times New Roman" w:eastAsia="宋体"/>
          <w:color w:val="auto"/>
          <w:szCs w:val="21"/>
          <w:highlight w:val="none"/>
          <w:shd w:val="clear" w:color="auto" w:fill="FFFFFF"/>
        </w:rPr>
        <w:t>工作，行业内习惯称之为</w:t>
      </w:r>
      <w:r>
        <w:rPr>
          <w:rFonts w:hint="eastAsia" w:ascii="Times New Roman" w:hAnsi="Times New Roman" w:eastAsia="宋体"/>
          <w:color w:val="auto"/>
          <w:szCs w:val="21"/>
          <w:highlight w:val="none"/>
          <w:shd w:val="clear" w:color="auto" w:fill="FFFFFF"/>
        </w:rPr>
        <w:t>“</w:t>
      </w:r>
      <w:r>
        <w:rPr>
          <w:rFonts w:ascii="Times New Roman" w:hAnsi="Times New Roman" w:eastAsia="宋体"/>
          <w:color w:val="auto"/>
          <w:szCs w:val="21"/>
          <w:highlight w:val="none"/>
          <w:shd w:val="clear" w:color="auto" w:fill="FFFFFF"/>
        </w:rPr>
        <w:t>超前钻</w:t>
      </w:r>
      <w:r>
        <w:rPr>
          <w:rFonts w:hint="eastAsia" w:ascii="Times New Roman" w:hAnsi="Times New Roman" w:eastAsia="宋体"/>
          <w:color w:val="auto"/>
          <w:szCs w:val="21"/>
          <w:highlight w:val="none"/>
          <w:shd w:val="clear" w:color="auto" w:fill="FFFFFF"/>
        </w:rPr>
        <w:t>”</w:t>
      </w:r>
      <w:r>
        <w:rPr>
          <w:rFonts w:ascii="Times New Roman" w:hAnsi="Times New Roman" w:eastAsia="宋体"/>
          <w:color w:val="auto"/>
          <w:szCs w:val="21"/>
          <w:highlight w:val="none"/>
          <w:shd w:val="clear" w:color="auto" w:fill="FFFFFF"/>
        </w:rPr>
        <w:t>。在隧道工程中，为了提前发现和分析隧道掌子面前方一定距离内的岩体和不良地质体状态、特征，采用</w:t>
      </w:r>
      <w:r>
        <w:rPr>
          <w:rFonts w:hint="eastAsia" w:ascii="Times New Roman" w:hAnsi="Times New Roman" w:eastAsia="宋体"/>
          <w:color w:val="auto"/>
          <w:szCs w:val="21"/>
          <w:highlight w:val="none"/>
          <w:shd w:val="clear" w:color="auto" w:fill="FFFFFF"/>
          <w:lang w:eastAsia="zh-CN"/>
        </w:rPr>
        <w:t>勘探</w:t>
      </w:r>
      <w:r>
        <w:rPr>
          <w:rFonts w:ascii="Times New Roman" w:hAnsi="Times New Roman" w:eastAsia="宋体"/>
          <w:color w:val="auto"/>
          <w:szCs w:val="21"/>
          <w:highlight w:val="none"/>
          <w:shd w:val="clear" w:color="auto" w:fill="FFFFFF"/>
        </w:rPr>
        <w:t>、坑探和地球物理勘探等工作手段组合的施工勘察，习惯上称为</w:t>
      </w:r>
      <w:r>
        <w:rPr>
          <w:rFonts w:hint="eastAsia" w:ascii="Times New Roman" w:hAnsi="Times New Roman" w:eastAsia="宋体"/>
          <w:color w:val="auto"/>
          <w:szCs w:val="21"/>
          <w:highlight w:val="none"/>
          <w:shd w:val="clear" w:color="auto" w:fill="FFFFFF"/>
        </w:rPr>
        <w:t>“</w:t>
      </w:r>
      <w:r>
        <w:rPr>
          <w:rFonts w:ascii="Times New Roman" w:hAnsi="Times New Roman" w:eastAsia="宋体"/>
          <w:color w:val="auto"/>
          <w:szCs w:val="21"/>
          <w:highlight w:val="none"/>
          <w:shd w:val="clear" w:color="auto" w:fill="FFFFFF"/>
        </w:rPr>
        <w:t>超前地质预报</w:t>
      </w:r>
      <w:r>
        <w:rPr>
          <w:rFonts w:hint="eastAsia" w:ascii="Times New Roman" w:hAnsi="Times New Roman" w:eastAsia="宋体"/>
          <w:color w:val="auto"/>
          <w:szCs w:val="21"/>
          <w:highlight w:val="none"/>
          <w:shd w:val="clear" w:color="auto" w:fill="FFFFFF"/>
        </w:rPr>
        <w:t>”</w:t>
      </w:r>
      <w:r>
        <w:rPr>
          <w:rFonts w:ascii="Times New Roman" w:hAnsi="Times New Roman" w:eastAsia="宋体"/>
          <w:color w:val="auto"/>
          <w:szCs w:val="21"/>
          <w:highlight w:val="none"/>
          <w:shd w:val="clear" w:color="auto" w:fill="FFFFFF"/>
        </w:rPr>
        <w:t>。</w:t>
      </w:r>
    </w:p>
    <w:p>
      <w:pPr>
        <w:spacing w:line="360" w:lineRule="auto"/>
        <w:ind w:firstLine="420" w:firstLineChars="200"/>
        <w:rPr>
          <w:rFonts w:ascii="Times New Roman" w:hAnsi="Times New Roman" w:eastAsia="宋体"/>
          <w:color w:val="auto"/>
          <w:szCs w:val="21"/>
          <w:highlight w:val="none"/>
          <w:shd w:val="clear" w:color="auto" w:fill="FFFFFF"/>
        </w:rPr>
      </w:pPr>
      <w:r>
        <w:rPr>
          <w:rFonts w:hint="eastAsia" w:ascii="Times New Roman" w:hAnsi="Times New Roman" w:eastAsia="宋体"/>
          <w:color w:val="auto"/>
          <w:szCs w:val="21"/>
          <w:highlight w:val="none"/>
          <w:shd w:val="clear" w:color="auto" w:fill="FFFFFF"/>
          <w:lang w:val="en-US" w:eastAsia="zh-CN"/>
        </w:rPr>
        <w:t>施工阶段</w:t>
      </w:r>
      <w:r>
        <w:rPr>
          <w:rFonts w:hint="eastAsia" w:ascii="Times New Roman" w:hAnsi="Times New Roman" w:eastAsia="宋体"/>
          <w:color w:val="auto"/>
          <w:szCs w:val="21"/>
          <w:highlight w:val="none"/>
          <w:shd w:val="clear" w:color="auto" w:fill="FFFFFF"/>
        </w:rPr>
        <w:t>遇下列</w:t>
      </w:r>
      <w:r>
        <w:rPr>
          <w:rFonts w:hint="eastAsia" w:ascii="Times New Roman" w:hAnsi="Times New Roman" w:eastAsia="宋体"/>
          <w:color w:val="auto"/>
          <w:szCs w:val="21"/>
          <w:highlight w:val="none"/>
          <w:shd w:val="clear" w:color="auto" w:fill="FFFFFF"/>
          <w:lang w:val="en-US" w:eastAsia="zh-CN"/>
        </w:rPr>
        <w:t>岩土工程问题</w:t>
      </w:r>
      <w:r>
        <w:rPr>
          <w:rFonts w:hint="eastAsia" w:ascii="Times New Roman" w:hAnsi="Times New Roman" w:eastAsia="宋体"/>
          <w:color w:val="auto"/>
          <w:szCs w:val="21"/>
          <w:highlight w:val="none"/>
          <w:shd w:val="clear" w:color="auto" w:fill="FFFFFF"/>
        </w:rPr>
        <w:t>时</w:t>
      </w:r>
      <w:r>
        <w:rPr>
          <w:rFonts w:hint="eastAsia" w:ascii="Times New Roman" w:hAnsi="Times New Roman" w:eastAsia="宋体"/>
          <w:color w:val="auto"/>
          <w:szCs w:val="21"/>
          <w:highlight w:val="none"/>
          <w:shd w:val="clear" w:color="auto" w:fill="FFFFFF"/>
          <w:lang w:eastAsia="zh-CN"/>
        </w:rPr>
        <w:t>，</w:t>
      </w:r>
      <w:r>
        <w:rPr>
          <w:rFonts w:ascii="Times New Roman" w:hAnsi="Times New Roman" w:eastAsia="宋体"/>
          <w:color w:val="auto"/>
          <w:szCs w:val="21"/>
          <w:highlight w:val="none"/>
          <w:shd w:val="clear" w:color="auto" w:fill="FFFFFF"/>
        </w:rPr>
        <w:t>宜</w:t>
      </w:r>
      <w:r>
        <w:rPr>
          <w:rFonts w:hint="eastAsia" w:ascii="Times New Roman" w:hAnsi="Times New Roman" w:eastAsia="宋体"/>
          <w:color w:val="auto"/>
          <w:szCs w:val="21"/>
          <w:highlight w:val="none"/>
          <w:shd w:val="clear" w:color="auto" w:fill="FFFFFF"/>
        </w:rPr>
        <w:t>开展</w:t>
      </w:r>
      <w:r>
        <w:rPr>
          <w:rFonts w:ascii="Times New Roman" w:hAnsi="Times New Roman" w:eastAsia="宋体"/>
          <w:color w:val="auto"/>
          <w:szCs w:val="21"/>
          <w:highlight w:val="none"/>
          <w:shd w:val="clear" w:color="auto" w:fill="FFFFFF"/>
        </w:rPr>
        <w:t>施工勘察：</w:t>
      </w:r>
    </w:p>
    <w:p>
      <w:pPr>
        <w:spacing w:line="360" w:lineRule="auto"/>
        <w:ind w:firstLine="420" w:firstLineChars="200"/>
        <w:rPr>
          <w:rFonts w:ascii="Times New Roman" w:hAnsi="Times New Roman" w:eastAsia="宋体"/>
          <w:b w:val="0"/>
          <w:bCs/>
          <w:color w:val="auto"/>
          <w:szCs w:val="21"/>
          <w:highlight w:val="none"/>
          <w:shd w:val="clear" w:color="auto" w:fill="FFFFFF"/>
        </w:rPr>
      </w:pPr>
      <w:r>
        <w:rPr>
          <w:rFonts w:hint="eastAsia"/>
          <w:b w:val="0"/>
          <w:bCs/>
          <w:color w:val="auto"/>
          <w:szCs w:val="21"/>
          <w:highlight w:val="none"/>
          <w:shd w:val="clear" w:color="auto" w:fill="FFFFFF"/>
          <w:lang w:val="en-US" w:eastAsia="zh-CN"/>
        </w:rPr>
        <w:t xml:space="preserve">1  </w:t>
      </w:r>
      <w:r>
        <w:rPr>
          <w:rFonts w:ascii="Times New Roman" w:hAnsi="Times New Roman" w:eastAsia="宋体"/>
          <w:b w:val="0"/>
          <w:bCs/>
          <w:color w:val="auto"/>
          <w:szCs w:val="21"/>
          <w:highlight w:val="none"/>
          <w:shd w:val="clear" w:color="auto" w:fill="FFFFFF"/>
        </w:rPr>
        <w:t>场地</w:t>
      </w:r>
      <w:r>
        <w:rPr>
          <w:rFonts w:hint="eastAsia" w:ascii="Times New Roman" w:hAnsi="Times New Roman" w:eastAsia="宋体"/>
          <w:b w:val="0"/>
          <w:bCs/>
          <w:color w:val="auto"/>
          <w:szCs w:val="21"/>
          <w:highlight w:val="none"/>
          <w:shd w:val="clear" w:color="auto" w:fill="FFFFFF"/>
        </w:rPr>
        <w:t>发育</w:t>
      </w:r>
      <w:r>
        <w:rPr>
          <w:rFonts w:ascii="Times New Roman" w:hAnsi="Times New Roman" w:eastAsia="宋体"/>
          <w:b w:val="0"/>
          <w:bCs/>
          <w:color w:val="auto"/>
          <w:szCs w:val="21"/>
          <w:highlight w:val="none"/>
          <w:shd w:val="clear" w:color="auto" w:fill="FFFFFF"/>
        </w:rPr>
        <w:t>厚度较大且分布不均匀的填土、软土</w:t>
      </w:r>
      <w:r>
        <w:rPr>
          <w:rFonts w:hint="eastAsia" w:ascii="Times New Roman" w:hAnsi="Times New Roman" w:eastAsia="宋体"/>
          <w:b w:val="0"/>
          <w:bCs/>
          <w:color w:val="auto"/>
          <w:szCs w:val="21"/>
          <w:highlight w:val="none"/>
          <w:shd w:val="clear" w:color="auto" w:fill="FFFFFF"/>
        </w:rPr>
        <w:t>、污染土等特殊性岩土，以及发育</w:t>
      </w:r>
      <w:r>
        <w:rPr>
          <w:rFonts w:ascii="Times New Roman" w:hAnsi="Times New Roman" w:eastAsia="宋体"/>
          <w:b w:val="0"/>
          <w:bCs/>
          <w:color w:val="auto"/>
          <w:szCs w:val="21"/>
          <w:highlight w:val="none"/>
          <w:shd w:val="clear" w:color="auto" w:fill="FFFFFF"/>
        </w:rPr>
        <w:t>球状风化体、</w:t>
      </w:r>
      <w:r>
        <w:rPr>
          <w:rFonts w:hint="eastAsia" w:ascii="Times New Roman" w:hAnsi="Times New Roman" w:eastAsia="宋体"/>
          <w:b w:val="0"/>
          <w:bCs/>
          <w:color w:val="auto"/>
          <w:szCs w:val="21"/>
          <w:highlight w:val="none"/>
          <w:shd w:val="clear" w:color="auto" w:fill="FFFFFF"/>
        </w:rPr>
        <w:t>岩面凸起、</w:t>
      </w:r>
      <w:r>
        <w:rPr>
          <w:rFonts w:ascii="Times New Roman" w:hAnsi="Times New Roman" w:eastAsia="宋体"/>
          <w:b w:val="0"/>
          <w:bCs/>
          <w:color w:val="auto"/>
          <w:szCs w:val="21"/>
          <w:highlight w:val="none"/>
          <w:shd w:val="clear" w:color="auto" w:fill="FFFFFF"/>
        </w:rPr>
        <w:t>风化</w:t>
      </w:r>
      <w:r>
        <w:rPr>
          <w:rFonts w:hint="eastAsia" w:ascii="Times New Roman" w:hAnsi="Times New Roman" w:eastAsia="宋体"/>
          <w:b w:val="0"/>
          <w:bCs/>
          <w:color w:val="auto"/>
          <w:szCs w:val="21"/>
          <w:highlight w:val="none"/>
          <w:shd w:val="clear" w:color="auto" w:fill="FFFFFF"/>
        </w:rPr>
        <w:t>深</w:t>
      </w:r>
      <w:r>
        <w:rPr>
          <w:rFonts w:ascii="Times New Roman" w:hAnsi="Times New Roman" w:eastAsia="宋体"/>
          <w:b w:val="0"/>
          <w:bCs/>
          <w:color w:val="auto"/>
          <w:szCs w:val="21"/>
          <w:highlight w:val="none"/>
          <w:shd w:val="clear" w:color="auto" w:fill="FFFFFF"/>
        </w:rPr>
        <w:t>槽</w:t>
      </w:r>
      <w:r>
        <w:rPr>
          <w:rFonts w:hint="eastAsia" w:ascii="Times New Roman" w:hAnsi="Times New Roman" w:eastAsia="宋体"/>
          <w:b w:val="0"/>
          <w:bCs/>
          <w:color w:val="auto"/>
          <w:szCs w:val="21"/>
          <w:highlight w:val="none"/>
          <w:shd w:val="clear" w:color="auto" w:fill="FFFFFF"/>
        </w:rPr>
        <w:t>等地质条件且影响工程</w:t>
      </w:r>
      <w:r>
        <w:rPr>
          <w:rFonts w:ascii="Times New Roman" w:hAnsi="Times New Roman" w:eastAsia="宋体"/>
          <w:b w:val="0"/>
          <w:bCs/>
          <w:color w:val="auto"/>
          <w:szCs w:val="21"/>
          <w:highlight w:val="none"/>
          <w:shd w:val="clear" w:color="auto" w:fill="FFFFFF"/>
        </w:rPr>
        <w:t>施工；</w:t>
      </w:r>
    </w:p>
    <w:p>
      <w:pPr>
        <w:spacing w:line="360" w:lineRule="auto"/>
        <w:ind w:firstLine="420" w:firstLineChars="200"/>
        <w:rPr>
          <w:rFonts w:ascii="Times New Roman" w:hAnsi="Times New Roman" w:eastAsia="宋体"/>
          <w:b w:val="0"/>
          <w:bCs/>
          <w:color w:val="auto"/>
          <w:szCs w:val="21"/>
          <w:highlight w:val="none"/>
          <w:shd w:val="clear" w:color="auto" w:fill="FFFFFF"/>
        </w:rPr>
      </w:pPr>
      <w:r>
        <w:rPr>
          <w:rFonts w:hint="eastAsia"/>
          <w:b w:val="0"/>
          <w:bCs/>
          <w:color w:val="auto"/>
          <w:szCs w:val="21"/>
          <w:highlight w:val="none"/>
          <w:shd w:val="clear" w:color="auto" w:fill="FFFFFF"/>
          <w:lang w:val="en-US" w:eastAsia="zh-CN"/>
        </w:rPr>
        <w:t xml:space="preserve">2  </w:t>
      </w:r>
      <w:r>
        <w:rPr>
          <w:rFonts w:ascii="Times New Roman" w:hAnsi="Times New Roman" w:eastAsia="宋体"/>
          <w:b w:val="0"/>
          <w:bCs/>
          <w:color w:val="auto"/>
          <w:szCs w:val="21"/>
          <w:highlight w:val="none"/>
          <w:shd w:val="clear" w:color="auto" w:fill="FFFFFF"/>
        </w:rPr>
        <w:t>场地发育溶洞、土洞、断裂破碎带等不良地质条件</w:t>
      </w:r>
      <w:r>
        <w:rPr>
          <w:rFonts w:hint="eastAsia" w:ascii="Times New Roman" w:hAnsi="Times New Roman" w:eastAsia="宋体"/>
          <w:b w:val="0"/>
          <w:bCs/>
          <w:color w:val="auto"/>
          <w:szCs w:val="21"/>
          <w:highlight w:val="none"/>
          <w:shd w:val="clear" w:color="auto" w:fill="FFFFFF"/>
        </w:rPr>
        <w:t>且</w:t>
      </w:r>
      <w:r>
        <w:rPr>
          <w:rFonts w:ascii="Times New Roman" w:hAnsi="Times New Roman" w:eastAsia="宋体"/>
          <w:b w:val="0"/>
          <w:bCs/>
          <w:color w:val="auto"/>
          <w:szCs w:val="21"/>
          <w:highlight w:val="none"/>
          <w:shd w:val="clear" w:color="auto" w:fill="FFFFFF"/>
        </w:rPr>
        <w:t>影响施工安全；</w:t>
      </w:r>
    </w:p>
    <w:p>
      <w:pPr>
        <w:spacing w:line="360" w:lineRule="auto"/>
        <w:ind w:firstLine="420" w:firstLineChars="200"/>
        <w:rPr>
          <w:rFonts w:ascii="Times New Roman" w:hAnsi="Times New Roman" w:eastAsia="宋体"/>
          <w:b w:val="0"/>
          <w:bCs/>
          <w:color w:val="auto"/>
          <w:szCs w:val="21"/>
          <w:highlight w:val="none"/>
          <w:shd w:val="clear" w:color="auto" w:fill="FFFFFF"/>
        </w:rPr>
      </w:pPr>
      <w:r>
        <w:rPr>
          <w:rFonts w:hint="eastAsia"/>
          <w:b w:val="0"/>
          <w:bCs/>
          <w:color w:val="auto"/>
          <w:szCs w:val="21"/>
          <w:highlight w:val="none"/>
          <w:shd w:val="clear" w:color="auto" w:fill="FFFFFF"/>
          <w:lang w:val="en-US" w:eastAsia="zh-CN"/>
        </w:rPr>
        <w:t xml:space="preserve">3  </w:t>
      </w:r>
      <w:r>
        <w:rPr>
          <w:rFonts w:ascii="Times New Roman" w:hAnsi="Times New Roman" w:eastAsia="宋体"/>
          <w:b w:val="0"/>
          <w:bCs/>
          <w:color w:val="auto"/>
          <w:szCs w:val="21"/>
          <w:highlight w:val="none"/>
          <w:shd w:val="clear" w:color="auto" w:fill="FFFFFF"/>
        </w:rPr>
        <w:t>施工</w:t>
      </w:r>
      <w:r>
        <w:rPr>
          <w:rFonts w:hint="eastAsia" w:ascii="Times New Roman" w:hAnsi="Times New Roman" w:eastAsia="宋体"/>
          <w:b w:val="0"/>
          <w:bCs/>
          <w:color w:val="auto"/>
          <w:szCs w:val="21"/>
          <w:highlight w:val="none"/>
          <w:shd w:val="clear" w:color="auto" w:fill="FFFFFF"/>
        </w:rPr>
        <w:t>已</w:t>
      </w:r>
      <w:r>
        <w:rPr>
          <w:rFonts w:ascii="Times New Roman" w:hAnsi="Times New Roman" w:eastAsia="宋体"/>
          <w:b w:val="0"/>
          <w:bCs/>
          <w:color w:val="auto"/>
          <w:szCs w:val="21"/>
          <w:highlight w:val="none"/>
          <w:shd w:val="clear" w:color="auto" w:fill="FFFFFF"/>
        </w:rPr>
        <w:t>出现桩（墙）变形过大、基底隆起、涌水、坍塌、失稳等岩土工程问题，或</w:t>
      </w:r>
      <w:r>
        <w:rPr>
          <w:rFonts w:hint="eastAsia" w:ascii="Times New Roman" w:hAnsi="Times New Roman" w:eastAsia="宋体"/>
          <w:b w:val="0"/>
          <w:bCs/>
          <w:color w:val="auto"/>
          <w:szCs w:val="21"/>
          <w:highlight w:val="none"/>
          <w:shd w:val="clear" w:color="auto" w:fill="FFFFFF"/>
        </w:rPr>
        <w:t>已</w:t>
      </w:r>
      <w:r>
        <w:rPr>
          <w:rFonts w:ascii="Times New Roman" w:hAnsi="Times New Roman" w:eastAsia="宋体"/>
          <w:b w:val="0"/>
          <w:bCs/>
          <w:color w:val="auto"/>
          <w:szCs w:val="21"/>
          <w:highlight w:val="none"/>
          <w:shd w:val="clear" w:color="auto" w:fill="FFFFFF"/>
        </w:rPr>
        <w:t>发生地面沉降</w:t>
      </w:r>
      <w:r>
        <w:rPr>
          <w:rFonts w:hint="eastAsia" w:ascii="Times New Roman" w:hAnsi="Times New Roman" w:eastAsia="宋体"/>
          <w:b w:val="0"/>
          <w:bCs/>
          <w:color w:val="auto"/>
          <w:szCs w:val="21"/>
          <w:highlight w:val="none"/>
          <w:shd w:val="clear" w:color="auto" w:fill="FFFFFF"/>
        </w:rPr>
        <w:t>过大</w:t>
      </w:r>
      <w:r>
        <w:rPr>
          <w:rFonts w:ascii="Times New Roman" w:hAnsi="Times New Roman" w:eastAsia="宋体"/>
          <w:b w:val="0"/>
          <w:bCs/>
          <w:color w:val="auto"/>
          <w:szCs w:val="21"/>
          <w:highlight w:val="none"/>
          <w:shd w:val="clear" w:color="auto" w:fill="FFFFFF"/>
        </w:rPr>
        <w:t>、地面塌陷</w:t>
      </w:r>
      <w:r>
        <w:rPr>
          <w:rFonts w:hint="eastAsia" w:ascii="Times New Roman" w:hAnsi="Times New Roman" w:eastAsia="宋体"/>
          <w:b w:val="0"/>
          <w:bCs/>
          <w:color w:val="auto"/>
          <w:szCs w:val="21"/>
          <w:highlight w:val="none"/>
          <w:shd w:val="clear" w:color="auto" w:fill="FFFFFF"/>
        </w:rPr>
        <w:t>或</w:t>
      </w:r>
      <w:r>
        <w:rPr>
          <w:rFonts w:ascii="Times New Roman" w:hAnsi="Times New Roman" w:eastAsia="宋体"/>
          <w:b w:val="0"/>
          <w:bCs/>
          <w:color w:val="auto"/>
          <w:szCs w:val="21"/>
          <w:highlight w:val="none"/>
          <w:shd w:val="clear" w:color="auto" w:fill="FFFFFF"/>
        </w:rPr>
        <w:t>相邻建筑</w:t>
      </w:r>
      <w:r>
        <w:rPr>
          <w:rFonts w:hint="eastAsia" w:ascii="Times New Roman" w:hAnsi="Times New Roman" w:eastAsia="宋体"/>
          <w:b w:val="0"/>
          <w:bCs/>
          <w:color w:val="auto"/>
          <w:szCs w:val="21"/>
          <w:highlight w:val="none"/>
          <w:shd w:val="clear" w:color="auto" w:fill="FFFFFF"/>
        </w:rPr>
        <w:t>倾斜、沉降、</w:t>
      </w:r>
      <w:r>
        <w:rPr>
          <w:rFonts w:ascii="Times New Roman" w:hAnsi="Times New Roman" w:eastAsia="宋体"/>
          <w:b w:val="0"/>
          <w:bCs/>
          <w:color w:val="auto"/>
          <w:szCs w:val="21"/>
          <w:highlight w:val="none"/>
          <w:shd w:val="clear" w:color="auto" w:fill="FFFFFF"/>
        </w:rPr>
        <w:t>开裂等环境工程问题；</w:t>
      </w:r>
    </w:p>
    <w:p>
      <w:pPr>
        <w:spacing w:line="360" w:lineRule="auto"/>
        <w:ind w:firstLine="420" w:firstLineChars="200"/>
        <w:rPr>
          <w:rFonts w:ascii="Times New Roman" w:hAnsi="Times New Roman" w:eastAsia="宋体"/>
          <w:b w:val="0"/>
          <w:bCs/>
          <w:color w:val="auto"/>
          <w:szCs w:val="21"/>
          <w:highlight w:val="none"/>
          <w:shd w:val="clear" w:color="auto" w:fill="FFFFFF"/>
        </w:rPr>
      </w:pPr>
      <w:r>
        <w:rPr>
          <w:rFonts w:hint="eastAsia"/>
          <w:b w:val="0"/>
          <w:bCs/>
          <w:color w:val="auto"/>
          <w:szCs w:val="21"/>
          <w:highlight w:val="none"/>
          <w:shd w:val="clear" w:color="auto" w:fill="FFFFFF"/>
          <w:lang w:val="en-US" w:eastAsia="zh-CN"/>
        </w:rPr>
        <w:t xml:space="preserve">4  </w:t>
      </w:r>
      <w:r>
        <w:rPr>
          <w:rFonts w:hint="eastAsia" w:ascii="Times New Roman" w:hAnsi="Times New Roman" w:eastAsia="宋体"/>
          <w:b w:val="0"/>
          <w:bCs/>
          <w:color w:val="auto"/>
          <w:szCs w:val="21"/>
          <w:highlight w:val="none"/>
          <w:shd w:val="clear" w:color="auto" w:fill="FFFFFF"/>
        </w:rPr>
        <w:t>遇到</w:t>
      </w:r>
      <w:r>
        <w:rPr>
          <w:rFonts w:ascii="Times New Roman" w:hAnsi="Times New Roman" w:eastAsia="宋体"/>
          <w:b w:val="0"/>
          <w:bCs/>
          <w:color w:val="auto"/>
          <w:szCs w:val="21"/>
          <w:highlight w:val="none"/>
          <w:shd w:val="clear" w:color="auto" w:fill="FFFFFF"/>
        </w:rPr>
        <w:t>其它</w:t>
      </w:r>
      <w:r>
        <w:rPr>
          <w:rFonts w:hint="eastAsia" w:ascii="Times New Roman" w:hAnsi="Times New Roman" w:eastAsia="宋体"/>
          <w:b w:val="0"/>
          <w:bCs/>
          <w:color w:val="auto"/>
          <w:szCs w:val="21"/>
          <w:highlight w:val="none"/>
          <w:shd w:val="clear" w:color="auto" w:fill="FFFFFF"/>
        </w:rPr>
        <w:t>不利</w:t>
      </w:r>
      <w:r>
        <w:rPr>
          <w:rFonts w:ascii="Times New Roman" w:hAnsi="Times New Roman" w:eastAsia="宋体"/>
          <w:b w:val="0"/>
          <w:bCs/>
          <w:color w:val="auto"/>
          <w:szCs w:val="21"/>
          <w:highlight w:val="none"/>
          <w:shd w:val="clear" w:color="auto" w:fill="FFFFFF"/>
        </w:rPr>
        <w:t>地质</w:t>
      </w:r>
      <w:r>
        <w:rPr>
          <w:rFonts w:hint="eastAsia" w:ascii="Times New Roman" w:hAnsi="Times New Roman" w:eastAsia="宋体"/>
          <w:b w:val="0"/>
          <w:bCs/>
          <w:color w:val="auto"/>
          <w:szCs w:val="21"/>
          <w:highlight w:val="none"/>
          <w:shd w:val="clear" w:color="auto" w:fill="FFFFFF"/>
        </w:rPr>
        <w:t>条件</w:t>
      </w:r>
      <w:r>
        <w:rPr>
          <w:rFonts w:hint="eastAsia" w:ascii="Times New Roman" w:hAnsi="Times New Roman" w:eastAsia="宋体"/>
          <w:b w:val="0"/>
          <w:bCs/>
          <w:color w:val="auto"/>
          <w:szCs w:val="21"/>
          <w:highlight w:val="none"/>
          <w:shd w:val="clear" w:color="auto" w:fill="FFFFFF"/>
          <w:lang w:val="en-US" w:eastAsia="zh-CN"/>
        </w:rPr>
        <w:t>且</w:t>
      </w:r>
      <w:r>
        <w:rPr>
          <w:rFonts w:hint="eastAsia" w:ascii="Times New Roman" w:hAnsi="Times New Roman" w:eastAsia="宋体"/>
          <w:b w:val="0"/>
          <w:bCs/>
          <w:color w:val="auto"/>
          <w:szCs w:val="21"/>
          <w:highlight w:val="none"/>
          <w:shd w:val="clear" w:color="auto" w:fill="FFFFFF"/>
        </w:rPr>
        <w:t>对工程影响较大</w:t>
      </w:r>
      <w:r>
        <w:rPr>
          <w:rFonts w:ascii="Times New Roman" w:hAnsi="Times New Roman" w:eastAsia="宋体"/>
          <w:b w:val="0"/>
          <w:bCs/>
          <w:color w:val="auto"/>
          <w:szCs w:val="21"/>
          <w:highlight w:val="none"/>
          <w:shd w:val="clear" w:color="auto" w:fill="FFFFFF"/>
        </w:rPr>
        <w:t>。</w:t>
      </w:r>
    </w:p>
    <w:p>
      <w:pPr>
        <w:spacing w:line="360" w:lineRule="auto"/>
        <w:ind w:firstLine="420" w:firstLineChars="200"/>
        <w:rPr>
          <w:rFonts w:ascii="Times New Roman" w:hAnsi="Times New Roman" w:eastAsia="宋体"/>
          <w:color w:val="auto"/>
          <w:kern w:val="0"/>
          <w:szCs w:val="21"/>
          <w:highlight w:val="none"/>
        </w:rPr>
      </w:pPr>
      <w:r>
        <w:rPr>
          <w:rFonts w:ascii="Times New Roman" w:hAnsi="Times New Roman" w:eastAsia="宋体"/>
          <w:color w:val="auto"/>
          <w:kern w:val="0"/>
          <w:szCs w:val="21"/>
          <w:highlight w:val="none"/>
        </w:rPr>
        <w:t>由于岩土工程问题的</w:t>
      </w:r>
      <w:r>
        <w:rPr>
          <w:rFonts w:hint="eastAsia" w:ascii="Times New Roman" w:hAnsi="Times New Roman" w:eastAsia="宋体"/>
          <w:color w:val="auto"/>
          <w:kern w:val="0"/>
          <w:szCs w:val="21"/>
          <w:highlight w:val="none"/>
          <w:lang w:val="en-US" w:eastAsia="zh-CN"/>
        </w:rPr>
        <w:t>复杂性、</w:t>
      </w:r>
      <w:r>
        <w:rPr>
          <w:rFonts w:ascii="Times New Roman" w:hAnsi="Times New Roman" w:eastAsia="宋体"/>
          <w:color w:val="auto"/>
          <w:kern w:val="0"/>
          <w:szCs w:val="21"/>
          <w:highlight w:val="none"/>
        </w:rPr>
        <w:t>多样性</w:t>
      </w:r>
      <w:r>
        <w:rPr>
          <w:rFonts w:hint="eastAsia" w:ascii="Times New Roman" w:hAnsi="Times New Roman" w:eastAsia="宋体"/>
          <w:color w:val="auto"/>
          <w:kern w:val="0"/>
          <w:szCs w:val="21"/>
          <w:highlight w:val="none"/>
          <w:lang w:eastAsia="zh-CN"/>
        </w:rPr>
        <w:t>，</w:t>
      </w:r>
      <w:r>
        <w:rPr>
          <w:rFonts w:ascii="Times New Roman" w:hAnsi="Times New Roman" w:eastAsia="宋体"/>
          <w:color w:val="auto"/>
          <w:kern w:val="0"/>
          <w:szCs w:val="21"/>
          <w:highlight w:val="none"/>
        </w:rPr>
        <w:t>实际施工过程中还</w:t>
      </w:r>
      <w:r>
        <w:rPr>
          <w:rFonts w:hint="eastAsia"/>
          <w:color w:val="auto"/>
          <w:kern w:val="0"/>
          <w:szCs w:val="21"/>
          <w:highlight w:val="none"/>
          <w:lang w:val="en-US" w:eastAsia="zh-CN"/>
        </w:rPr>
        <w:t>需</w:t>
      </w:r>
      <w:r>
        <w:rPr>
          <w:rFonts w:ascii="Times New Roman" w:hAnsi="Times New Roman" w:eastAsia="宋体"/>
          <w:color w:val="auto"/>
          <w:kern w:val="0"/>
          <w:szCs w:val="21"/>
          <w:highlight w:val="none"/>
        </w:rPr>
        <w:t>根据需要解决的具体问题研究和布置施工勘察方案，例如结合市政工程需要进一步查明</w:t>
      </w:r>
      <w:r>
        <w:rPr>
          <w:rFonts w:hint="eastAsia" w:ascii="Times New Roman" w:hAnsi="Times New Roman" w:eastAsia="宋体"/>
          <w:color w:val="auto"/>
          <w:kern w:val="0"/>
          <w:szCs w:val="21"/>
          <w:highlight w:val="none"/>
          <w:lang w:val="en-US" w:eastAsia="zh-CN"/>
        </w:rPr>
        <w:t>填石、</w:t>
      </w:r>
      <w:r>
        <w:rPr>
          <w:rFonts w:ascii="Times New Roman" w:hAnsi="Times New Roman" w:eastAsia="宋体"/>
          <w:color w:val="auto"/>
          <w:kern w:val="0"/>
          <w:szCs w:val="21"/>
          <w:highlight w:val="none"/>
        </w:rPr>
        <w:t>漂石</w:t>
      </w:r>
      <w:r>
        <w:rPr>
          <w:rFonts w:hint="eastAsia" w:ascii="Times New Roman" w:hAnsi="Times New Roman" w:eastAsia="宋体"/>
          <w:color w:val="auto"/>
          <w:kern w:val="0"/>
          <w:szCs w:val="21"/>
          <w:highlight w:val="none"/>
          <w:lang w:eastAsia="zh-CN"/>
        </w:rPr>
        <w:t>、</w:t>
      </w:r>
      <w:r>
        <w:rPr>
          <w:rFonts w:hint="eastAsia" w:ascii="Times New Roman" w:hAnsi="Times New Roman" w:eastAsia="宋体"/>
          <w:color w:val="auto"/>
          <w:kern w:val="0"/>
          <w:szCs w:val="21"/>
          <w:highlight w:val="none"/>
          <w:lang w:val="en-US" w:eastAsia="zh-CN"/>
        </w:rPr>
        <w:t>地下水等</w:t>
      </w:r>
      <w:r>
        <w:rPr>
          <w:rFonts w:ascii="Times New Roman" w:hAnsi="Times New Roman" w:eastAsia="宋体"/>
          <w:color w:val="auto"/>
          <w:kern w:val="0"/>
          <w:szCs w:val="21"/>
          <w:highlight w:val="none"/>
        </w:rPr>
        <w:t>条件，结合工程周边建筑物和环境保护需要开展工程周边环境保护施工勘察，根据验证地基处理效果或围护结构止水效果开展施工勘察等。</w:t>
      </w:r>
    </w:p>
    <w:p>
      <w:pPr>
        <w:spacing w:line="360" w:lineRule="auto"/>
        <w:ind w:firstLine="420" w:firstLineChars="200"/>
        <w:rPr>
          <w:rFonts w:ascii="Times New Roman" w:hAnsi="Times New Roman" w:eastAsia="宋体"/>
          <w:color w:val="auto"/>
          <w:kern w:val="0"/>
          <w:szCs w:val="21"/>
          <w:highlight w:val="none"/>
        </w:rPr>
      </w:pPr>
      <w:r>
        <w:rPr>
          <w:rFonts w:ascii="Times New Roman" w:hAnsi="Times New Roman" w:eastAsia="宋体"/>
          <w:color w:val="auto"/>
          <w:kern w:val="0"/>
          <w:szCs w:val="21"/>
          <w:highlight w:val="none"/>
        </w:rPr>
        <w:t>当施工勘察揭露的地质条件与详细勘察成果存在较大差异时，及时联系原详勘单位、设计单位等现场复核，必要时研究进一步解决方案。</w:t>
      </w:r>
    </w:p>
    <w:p>
      <w:pPr>
        <w:spacing w:line="360" w:lineRule="auto"/>
        <w:rPr>
          <w:rFonts w:ascii="Times New Roman" w:hAnsi="Times New Roman" w:eastAsia="宋体"/>
          <w:bCs/>
          <w:color w:val="auto"/>
          <w:szCs w:val="21"/>
          <w:highlight w:val="none"/>
        </w:rPr>
      </w:pPr>
      <w:r>
        <w:rPr>
          <w:rFonts w:hint="eastAsia" w:ascii="Times New Roman" w:hAnsi="Times New Roman" w:eastAsia="宋体"/>
          <w:b/>
          <w:color w:val="auto"/>
          <w:szCs w:val="21"/>
          <w:highlight w:val="none"/>
          <w:shd w:val="clear" w:color="auto" w:fill="FFFFFF"/>
          <w:lang w:eastAsia="zh-CN"/>
        </w:rPr>
        <w:t>14</w:t>
      </w:r>
      <w:r>
        <w:rPr>
          <w:rFonts w:hint="eastAsia" w:ascii="Times New Roman" w:hAnsi="Times New Roman" w:eastAsia="宋体"/>
          <w:b/>
          <w:color w:val="auto"/>
          <w:szCs w:val="21"/>
          <w:highlight w:val="none"/>
          <w:shd w:val="clear" w:color="auto" w:fill="FFFFFF"/>
        </w:rPr>
        <w:t>.</w:t>
      </w:r>
      <w:r>
        <w:rPr>
          <w:rFonts w:ascii="Times New Roman" w:hAnsi="Times New Roman" w:eastAsia="宋体"/>
          <w:b/>
          <w:color w:val="auto"/>
          <w:szCs w:val="21"/>
          <w:highlight w:val="none"/>
          <w:shd w:val="clear" w:color="auto" w:fill="FFFFFF"/>
        </w:rPr>
        <w:t xml:space="preserve">1.2 </w:t>
      </w:r>
      <w:r>
        <w:rPr>
          <w:rFonts w:hint="eastAsia" w:ascii="Times New Roman" w:hAnsi="Times New Roman" w:eastAsia="宋体"/>
          <w:b w:val="0"/>
          <w:bCs/>
          <w:color w:val="auto"/>
          <w:szCs w:val="21"/>
          <w:highlight w:val="none"/>
          <w:shd w:val="clear" w:color="auto" w:fill="FFFFFF"/>
        </w:rPr>
        <w:t xml:space="preserve"> </w:t>
      </w:r>
      <w:r>
        <w:rPr>
          <w:rFonts w:hint="eastAsia" w:ascii="Times New Roman" w:hAnsi="Times New Roman" w:eastAsia="宋体"/>
          <w:b w:val="0"/>
          <w:bCs/>
          <w:color w:val="auto"/>
          <w:szCs w:val="21"/>
          <w:highlight w:val="none"/>
          <w:shd w:val="clear" w:color="auto" w:fill="FFFFFF"/>
          <w:lang w:val="en-US" w:eastAsia="zh-CN"/>
        </w:rPr>
        <w:t>搜集的</w:t>
      </w:r>
      <w:r>
        <w:rPr>
          <w:rFonts w:ascii="Times New Roman" w:hAnsi="Times New Roman" w:eastAsia="宋体"/>
          <w:bCs/>
          <w:color w:val="auto"/>
          <w:szCs w:val="21"/>
          <w:highlight w:val="none"/>
        </w:rPr>
        <w:t>施工资料包括工程总平面图、围护结构及地基基础平面图、岩土开挖情况及验槽记录、钻（冲）孔桩施工记录、施工监测报告等，具体搜集范围根据施工勘察需要解决的问题确定。</w:t>
      </w:r>
    </w:p>
    <w:p>
      <w:pPr>
        <w:spacing w:line="360" w:lineRule="auto"/>
        <w:rPr>
          <w:rFonts w:ascii="Times New Roman" w:hAnsi="Times New Roman" w:eastAsia="宋体"/>
          <w:color w:val="auto"/>
          <w:szCs w:val="21"/>
          <w:highlight w:val="none"/>
          <w:shd w:val="clear" w:color="auto" w:fill="FFFFFF"/>
        </w:rPr>
      </w:pPr>
      <w:r>
        <w:rPr>
          <w:rFonts w:hint="eastAsia" w:ascii="Times New Roman" w:hAnsi="Times New Roman" w:eastAsia="宋体"/>
          <w:b/>
          <w:color w:val="auto"/>
          <w:szCs w:val="21"/>
          <w:highlight w:val="none"/>
          <w:shd w:val="clear" w:color="auto" w:fill="FFFFFF"/>
          <w:lang w:eastAsia="zh-CN"/>
        </w:rPr>
        <w:t>14</w:t>
      </w:r>
      <w:r>
        <w:rPr>
          <w:rFonts w:hint="eastAsia" w:ascii="Times New Roman" w:hAnsi="Times New Roman" w:eastAsia="宋体"/>
          <w:b/>
          <w:color w:val="auto"/>
          <w:szCs w:val="21"/>
          <w:highlight w:val="none"/>
          <w:shd w:val="clear" w:color="auto" w:fill="FFFFFF"/>
        </w:rPr>
        <w:t>.</w:t>
      </w:r>
      <w:r>
        <w:rPr>
          <w:rFonts w:ascii="Times New Roman" w:hAnsi="Times New Roman" w:eastAsia="宋体"/>
          <w:b/>
          <w:color w:val="auto"/>
          <w:szCs w:val="21"/>
          <w:highlight w:val="none"/>
          <w:shd w:val="clear" w:color="auto" w:fill="FFFFFF"/>
        </w:rPr>
        <w:t>1.</w:t>
      </w:r>
      <w:r>
        <w:rPr>
          <w:rFonts w:hint="eastAsia" w:ascii="Times New Roman" w:hAnsi="Times New Roman" w:eastAsia="宋体"/>
          <w:b/>
          <w:color w:val="auto"/>
          <w:szCs w:val="21"/>
          <w:highlight w:val="none"/>
          <w:shd w:val="clear" w:color="auto" w:fill="FFFFFF"/>
          <w:lang w:val="en-US" w:eastAsia="zh-CN"/>
        </w:rPr>
        <w:t>4</w:t>
      </w:r>
      <w:r>
        <w:rPr>
          <w:rFonts w:ascii="Times New Roman" w:hAnsi="Times New Roman" w:eastAsia="宋体"/>
          <w:b/>
          <w:color w:val="auto"/>
          <w:szCs w:val="21"/>
          <w:highlight w:val="none"/>
          <w:shd w:val="clear" w:color="auto" w:fill="FFFFFF"/>
        </w:rPr>
        <w:t xml:space="preserve">  </w:t>
      </w:r>
      <w:r>
        <w:rPr>
          <w:rFonts w:hint="eastAsia" w:ascii="Times New Roman" w:hAnsi="Times New Roman" w:eastAsia="宋体"/>
          <w:bCs/>
          <w:color w:val="auto"/>
          <w:szCs w:val="21"/>
          <w:highlight w:val="none"/>
        </w:rPr>
        <w:t>住房和城乡建设部</w:t>
      </w:r>
      <w:r>
        <w:rPr>
          <w:rFonts w:hint="eastAsia" w:ascii="Times New Roman" w:hAnsi="Times New Roman" w:eastAsia="宋体"/>
          <w:bCs/>
          <w:color w:val="auto"/>
          <w:szCs w:val="21"/>
          <w:highlight w:val="none"/>
          <w:lang w:val="en-US" w:eastAsia="zh-CN"/>
        </w:rPr>
        <w:t>已发</w:t>
      </w:r>
      <w:r>
        <w:rPr>
          <w:rFonts w:hint="eastAsia" w:ascii="Times New Roman" w:hAnsi="Times New Roman" w:eastAsia="宋体"/>
          <w:bCs/>
          <w:color w:val="auto"/>
          <w:szCs w:val="21"/>
          <w:highlight w:val="none"/>
        </w:rPr>
        <w:t>布“关于加强城市轨道交通工程关键节点风险管控的通知”（建办质【2017】68号）</w:t>
      </w:r>
      <w:r>
        <w:rPr>
          <w:rFonts w:hint="eastAsia" w:ascii="Times New Roman" w:hAnsi="Times New Roman" w:eastAsia="宋体"/>
          <w:bCs/>
          <w:color w:val="auto"/>
          <w:szCs w:val="21"/>
          <w:highlight w:val="none"/>
          <w:lang w:eastAsia="zh-CN"/>
        </w:rPr>
        <w:t>、</w:t>
      </w:r>
      <w:r>
        <w:rPr>
          <w:rFonts w:hint="eastAsia" w:ascii="Times New Roman" w:hAnsi="Times New Roman" w:eastAsia="宋体"/>
          <w:bCs/>
          <w:color w:val="auto"/>
          <w:szCs w:val="21"/>
          <w:highlight w:val="none"/>
        </w:rPr>
        <w:t>“关于印发大型工程技术风险控制要点的通知”（建质函【2018】28号）</w:t>
      </w:r>
      <w:r>
        <w:rPr>
          <w:rFonts w:hint="eastAsia" w:ascii="Times New Roman" w:hAnsi="Times New Roman" w:eastAsia="宋体"/>
          <w:bCs/>
          <w:color w:val="auto"/>
          <w:szCs w:val="21"/>
          <w:highlight w:val="none"/>
          <w:lang w:eastAsia="zh-CN"/>
        </w:rPr>
        <w:t>、</w:t>
      </w:r>
      <w:r>
        <w:rPr>
          <w:rFonts w:hint="eastAsia" w:ascii="Times New Roman" w:hAnsi="Times New Roman" w:eastAsia="宋体"/>
          <w:bCs/>
          <w:color w:val="auto"/>
          <w:szCs w:val="21"/>
          <w:highlight w:val="none"/>
        </w:rPr>
        <w:t>《危险性较大的分部分项工程安全管理规定》（建设部令第37号）、“关于印发城市轨道交通工程地质风险控制技术指南的通知”【建办质〔2020〕47号】等</w:t>
      </w:r>
      <w:r>
        <w:rPr>
          <w:rFonts w:hint="eastAsia" w:ascii="Times New Roman" w:hAnsi="Times New Roman" w:eastAsia="宋体"/>
          <w:bCs/>
          <w:color w:val="auto"/>
          <w:szCs w:val="21"/>
          <w:highlight w:val="none"/>
          <w:lang w:val="en-US" w:eastAsia="zh-CN"/>
        </w:rPr>
        <w:t>通知和规定</w:t>
      </w:r>
      <w:r>
        <w:rPr>
          <w:rFonts w:hint="eastAsia" w:ascii="Times New Roman" w:hAnsi="Times New Roman" w:eastAsia="宋体"/>
          <w:bCs/>
          <w:color w:val="auto"/>
          <w:szCs w:val="21"/>
          <w:highlight w:val="none"/>
        </w:rPr>
        <w:t>，施工勘察</w:t>
      </w:r>
      <w:r>
        <w:rPr>
          <w:rFonts w:hint="eastAsia" w:ascii="Times New Roman" w:hAnsi="Times New Roman" w:eastAsia="宋体"/>
          <w:bCs/>
          <w:color w:val="auto"/>
          <w:szCs w:val="21"/>
          <w:highlight w:val="none"/>
          <w:lang w:val="en-US" w:eastAsia="zh-CN"/>
        </w:rPr>
        <w:t>成果</w:t>
      </w:r>
      <w:r>
        <w:rPr>
          <w:rFonts w:ascii="Times New Roman" w:hAnsi="Times New Roman" w:eastAsia="宋体"/>
          <w:bCs/>
          <w:color w:val="auto"/>
          <w:szCs w:val="21"/>
          <w:highlight w:val="none"/>
        </w:rPr>
        <w:t>还应</w:t>
      </w:r>
      <w:r>
        <w:rPr>
          <w:rFonts w:hint="eastAsia" w:ascii="Times New Roman" w:hAnsi="Times New Roman" w:eastAsia="宋体"/>
          <w:bCs/>
          <w:color w:val="auto"/>
          <w:szCs w:val="21"/>
          <w:highlight w:val="none"/>
          <w:lang w:val="en-US" w:eastAsia="zh-CN"/>
        </w:rPr>
        <w:t>符合</w:t>
      </w:r>
      <w:r>
        <w:rPr>
          <w:rFonts w:hint="eastAsia" w:ascii="Times New Roman" w:hAnsi="Times New Roman" w:eastAsia="宋体"/>
          <w:bCs/>
          <w:color w:val="auto"/>
          <w:szCs w:val="21"/>
          <w:highlight w:val="none"/>
        </w:rPr>
        <w:t>上述</w:t>
      </w:r>
      <w:r>
        <w:rPr>
          <w:rFonts w:hint="eastAsia" w:ascii="Times New Roman" w:hAnsi="Times New Roman" w:eastAsia="宋体"/>
          <w:bCs/>
          <w:color w:val="auto"/>
          <w:szCs w:val="21"/>
          <w:highlight w:val="none"/>
          <w:lang w:val="en-US" w:eastAsia="zh-CN"/>
        </w:rPr>
        <w:t>通知与</w:t>
      </w:r>
      <w:r>
        <w:rPr>
          <w:rFonts w:hint="eastAsia" w:ascii="Times New Roman" w:hAnsi="Times New Roman" w:eastAsia="宋体"/>
          <w:bCs/>
          <w:color w:val="auto"/>
          <w:szCs w:val="21"/>
          <w:highlight w:val="none"/>
        </w:rPr>
        <w:t>规定</w:t>
      </w:r>
      <w:r>
        <w:rPr>
          <w:rFonts w:hint="eastAsia" w:ascii="Times New Roman" w:hAnsi="Times New Roman" w:eastAsia="宋体"/>
          <w:bCs/>
          <w:color w:val="auto"/>
          <w:szCs w:val="21"/>
          <w:highlight w:val="none"/>
          <w:lang w:val="en-US" w:eastAsia="zh-CN"/>
        </w:rPr>
        <w:t>要求</w:t>
      </w:r>
      <w:r>
        <w:rPr>
          <w:rFonts w:ascii="Times New Roman" w:hAnsi="Times New Roman" w:eastAsia="宋体"/>
          <w:bCs/>
          <w:color w:val="auto"/>
          <w:szCs w:val="21"/>
          <w:highlight w:val="none"/>
        </w:rPr>
        <w:t>。</w:t>
      </w:r>
    </w:p>
    <w:p>
      <w:pPr>
        <w:pStyle w:val="3"/>
        <w:jc w:val="center"/>
        <w:rPr>
          <w:rFonts w:hint="default" w:ascii="Times New Roman" w:hAnsi="Times New Roman" w:eastAsia="宋体" w:cs="Times New Roman"/>
          <w:color w:val="auto"/>
          <w:sz w:val="24"/>
          <w:highlight w:val="none"/>
          <w:lang w:val="en-US" w:eastAsia="zh-CN"/>
        </w:rPr>
      </w:pPr>
      <w:bookmarkStart w:id="464" w:name="_Toc24368"/>
      <w:bookmarkStart w:id="465" w:name="_Toc9738"/>
      <w:r>
        <w:rPr>
          <w:rFonts w:hint="eastAsia" w:ascii="Times New Roman" w:hAnsi="Times New Roman" w:eastAsia="宋体" w:cs="Times New Roman"/>
          <w:color w:val="auto"/>
          <w:sz w:val="24"/>
          <w:highlight w:val="none"/>
          <w:lang w:eastAsia="zh-CN"/>
        </w:rPr>
        <w:t>14</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rPr>
        <w:t xml:space="preserve">2 </w:t>
      </w:r>
      <w:r>
        <w:rPr>
          <w:rFonts w:hint="eastAsia"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lang w:val="en-US" w:eastAsia="zh-CN"/>
        </w:rPr>
        <w:t>勘察要点</w:t>
      </w:r>
      <w:bookmarkEnd w:id="464"/>
      <w:bookmarkEnd w:id="465"/>
    </w:p>
    <w:p>
      <w:pPr>
        <w:spacing w:line="360" w:lineRule="auto"/>
        <w:rPr>
          <w:rFonts w:hint="default" w:ascii="Times New Roman" w:hAnsi="Times New Roman" w:eastAsia="宋体"/>
          <w:color w:val="auto"/>
          <w:szCs w:val="21"/>
          <w:highlight w:val="none"/>
          <w:lang w:val="en-US" w:eastAsia="zh-CN"/>
        </w:rPr>
      </w:pPr>
      <w:r>
        <w:rPr>
          <w:rFonts w:hint="eastAsia" w:ascii="Times New Roman" w:hAnsi="Times New Roman" w:eastAsia="宋体"/>
          <w:b/>
          <w:color w:val="auto"/>
          <w:szCs w:val="21"/>
          <w:highlight w:val="none"/>
          <w:shd w:val="clear" w:color="auto" w:fill="FFFFFF"/>
          <w:lang w:eastAsia="zh-CN"/>
        </w:rPr>
        <w:t>14</w:t>
      </w:r>
      <w:r>
        <w:rPr>
          <w:rFonts w:hint="eastAsia" w:ascii="Times New Roman" w:hAnsi="Times New Roman" w:eastAsia="宋体"/>
          <w:b/>
          <w:color w:val="auto"/>
          <w:szCs w:val="21"/>
          <w:highlight w:val="none"/>
          <w:shd w:val="clear" w:color="auto" w:fill="FFFFFF"/>
        </w:rPr>
        <w:t>.</w:t>
      </w:r>
      <w:r>
        <w:rPr>
          <w:rFonts w:ascii="Times New Roman" w:hAnsi="Times New Roman" w:eastAsia="宋体"/>
          <w:b/>
          <w:color w:val="auto"/>
          <w:szCs w:val="21"/>
          <w:highlight w:val="none"/>
          <w:shd w:val="clear" w:color="auto" w:fill="FFFFFF"/>
        </w:rPr>
        <w:t>2.</w:t>
      </w:r>
      <w:r>
        <w:rPr>
          <w:rFonts w:hint="eastAsia" w:ascii="Times New Roman" w:hAnsi="Times New Roman" w:eastAsia="宋体"/>
          <w:b/>
          <w:color w:val="auto"/>
          <w:szCs w:val="21"/>
          <w:highlight w:val="none"/>
          <w:shd w:val="clear" w:color="auto" w:fill="FFFFFF"/>
          <w:lang w:val="en-US" w:eastAsia="zh-CN"/>
        </w:rPr>
        <w:t>1</w:t>
      </w:r>
      <w:r>
        <w:rPr>
          <w:rFonts w:ascii="Times New Roman" w:hAnsi="Times New Roman" w:eastAsia="宋体"/>
          <w:b/>
          <w:color w:val="auto"/>
          <w:szCs w:val="21"/>
          <w:highlight w:val="none"/>
          <w:shd w:val="clear" w:color="auto" w:fill="FFFFFF"/>
        </w:rPr>
        <w:t xml:space="preserve"> </w:t>
      </w:r>
      <w:r>
        <w:rPr>
          <w:rFonts w:hint="eastAsia" w:ascii="Times New Roman" w:hAnsi="Times New Roman" w:eastAsia="宋体"/>
          <w:b/>
          <w:color w:val="auto"/>
          <w:szCs w:val="21"/>
          <w:highlight w:val="none"/>
          <w:shd w:val="clear" w:color="auto" w:fill="FFFFFF"/>
        </w:rPr>
        <w:t xml:space="preserve"> </w:t>
      </w:r>
      <w:r>
        <w:rPr>
          <w:rFonts w:hint="eastAsia" w:ascii="Times New Roman" w:hAnsi="Times New Roman" w:eastAsia="宋体"/>
          <w:color w:val="auto"/>
          <w:szCs w:val="21"/>
          <w:highlight w:val="none"/>
          <w:lang w:val="en-US" w:eastAsia="zh-CN"/>
        </w:rPr>
        <w:t>岩溶区浅基础施工勘察钻孔平面布置</w:t>
      </w:r>
      <w:r>
        <w:rPr>
          <w:rFonts w:hint="eastAsia" w:ascii="Times New Roman" w:hAnsi="Times New Roman" w:eastAsia="宋体"/>
          <w:color w:val="auto"/>
          <w:szCs w:val="21"/>
          <w:highlight w:val="none"/>
        </w:rPr>
        <w:t>规定与广东省标准《岩溶地区建筑地基基础技术规范》DBJ∕T 15-</w:t>
      </w:r>
      <w:r>
        <w:rPr>
          <w:rFonts w:hint="eastAsia" w:ascii="Times New Roman" w:hAnsi="Times New Roman" w:eastAsia="宋体"/>
          <w:color w:val="auto"/>
          <w:szCs w:val="21"/>
          <w:highlight w:val="none"/>
          <w:lang w:eastAsia="zh-CN"/>
        </w:rPr>
        <w:t>1</w:t>
      </w:r>
      <w:r>
        <w:rPr>
          <w:rFonts w:hint="eastAsia" w:ascii="Times New Roman" w:hAnsi="Times New Roman" w:eastAsia="宋体"/>
          <w:color w:val="auto"/>
          <w:szCs w:val="21"/>
          <w:highlight w:val="none"/>
          <w:lang w:val="en-US" w:eastAsia="zh-CN"/>
        </w:rPr>
        <w:t>3</w:t>
      </w:r>
      <w:r>
        <w:rPr>
          <w:rFonts w:hint="eastAsia" w:ascii="Times New Roman" w:hAnsi="Times New Roman" w:eastAsia="宋体"/>
          <w:color w:val="auto"/>
          <w:szCs w:val="21"/>
          <w:highlight w:val="none"/>
        </w:rPr>
        <w:t>6一致。</w:t>
      </w:r>
      <w:r>
        <w:rPr>
          <w:rFonts w:hint="eastAsia" w:ascii="Times New Roman" w:hAnsi="Times New Roman" w:eastAsia="宋体"/>
          <w:color w:val="auto"/>
          <w:szCs w:val="21"/>
          <w:highlight w:val="none"/>
          <w:lang w:val="en-US" w:eastAsia="zh-CN"/>
        </w:rPr>
        <w:t>根据</w:t>
      </w:r>
      <w:r>
        <w:rPr>
          <w:rFonts w:hint="eastAsia" w:ascii="Times New Roman" w:hAnsi="Times New Roman" w:eastAsia="宋体"/>
          <w:b w:val="0"/>
          <w:bCs/>
          <w:color w:val="auto"/>
          <w:szCs w:val="21"/>
          <w:highlight w:val="none"/>
          <w:shd w:val="clear" w:color="auto" w:fill="FFFFFF"/>
          <w:lang w:val="en-US" w:eastAsia="zh-CN"/>
        </w:rPr>
        <w:t>国标</w:t>
      </w:r>
      <w:r>
        <w:rPr>
          <w:rFonts w:hint="eastAsia" w:ascii="Times New Roman" w:hAnsi="Times New Roman" w:eastAsia="宋体"/>
          <w:color w:val="auto"/>
          <w:szCs w:val="21"/>
          <w:highlight w:val="none"/>
        </w:rPr>
        <w:t>《岩溶地区建筑地基基础技术</w:t>
      </w:r>
      <w:r>
        <w:rPr>
          <w:rFonts w:hint="eastAsia" w:ascii="Times New Roman" w:hAnsi="Times New Roman" w:eastAsia="宋体"/>
          <w:color w:val="auto"/>
          <w:szCs w:val="21"/>
          <w:highlight w:val="none"/>
          <w:lang w:val="en-US" w:eastAsia="zh-CN"/>
        </w:rPr>
        <w:t>标准</w:t>
      </w:r>
      <w:r>
        <w:rPr>
          <w:rFonts w:hint="eastAsia" w:ascii="Times New Roman" w:hAnsi="Times New Roman" w:eastAsia="宋体"/>
          <w:color w:val="auto"/>
          <w:szCs w:val="21"/>
          <w:highlight w:val="none"/>
        </w:rPr>
        <w:t>》</w:t>
      </w:r>
      <w:r>
        <w:rPr>
          <w:rFonts w:hint="eastAsia" w:ascii="Times New Roman" w:hAnsi="Times New Roman" w:eastAsia="宋体"/>
          <w:color w:val="auto"/>
          <w:szCs w:val="21"/>
          <w:highlight w:val="none"/>
          <w:lang w:val="en-US" w:eastAsia="zh-CN"/>
        </w:rPr>
        <w:t>GB/T 51238-2018，并对照</w:t>
      </w:r>
      <w:r>
        <w:rPr>
          <w:rFonts w:hint="eastAsia" w:ascii="Times New Roman" w:hAnsi="Times New Roman" w:eastAsia="宋体"/>
          <w:color w:val="auto"/>
          <w:szCs w:val="21"/>
          <w:highlight w:val="none"/>
        </w:rPr>
        <w:t>广东省标准《岩溶地区建筑地基基础技术规范》DBJ∕T 15-</w:t>
      </w:r>
      <w:r>
        <w:rPr>
          <w:rFonts w:hint="eastAsia" w:ascii="Times New Roman" w:hAnsi="Times New Roman" w:eastAsia="宋体"/>
          <w:color w:val="auto"/>
          <w:szCs w:val="21"/>
          <w:highlight w:val="none"/>
          <w:lang w:eastAsia="zh-CN"/>
        </w:rPr>
        <w:t>1</w:t>
      </w:r>
      <w:r>
        <w:rPr>
          <w:rFonts w:hint="eastAsia" w:ascii="Times New Roman" w:hAnsi="Times New Roman" w:eastAsia="宋体"/>
          <w:color w:val="auto"/>
          <w:szCs w:val="21"/>
          <w:highlight w:val="none"/>
          <w:lang w:val="en-US" w:eastAsia="zh-CN"/>
        </w:rPr>
        <w:t>3</w:t>
      </w:r>
      <w:r>
        <w:rPr>
          <w:rFonts w:hint="eastAsia" w:ascii="Times New Roman" w:hAnsi="Times New Roman" w:eastAsia="宋体"/>
          <w:color w:val="auto"/>
          <w:szCs w:val="21"/>
          <w:highlight w:val="none"/>
        </w:rPr>
        <w:t>6</w:t>
      </w:r>
      <w:r>
        <w:rPr>
          <w:rFonts w:hint="eastAsia"/>
          <w:color w:val="auto"/>
          <w:szCs w:val="21"/>
          <w:highlight w:val="none"/>
          <w:lang w:val="en-US" w:eastAsia="zh-CN"/>
        </w:rPr>
        <w:t>-2018</w:t>
      </w:r>
      <w:r>
        <w:rPr>
          <w:rFonts w:hint="eastAsia" w:ascii="Times New Roman" w:hAnsi="Times New Roman" w:eastAsia="宋体"/>
          <w:color w:val="auto"/>
          <w:szCs w:val="21"/>
          <w:highlight w:val="none"/>
          <w:lang w:eastAsia="zh-CN"/>
        </w:rPr>
        <w:t>，</w:t>
      </w:r>
      <w:r>
        <w:rPr>
          <w:rFonts w:hint="eastAsia" w:ascii="Times New Roman" w:hAnsi="Times New Roman" w:eastAsia="宋体"/>
          <w:color w:val="auto"/>
          <w:szCs w:val="21"/>
          <w:highlight w:val="none"/>
          <w:lang w:val="en-US" w:eastAsia="zh-CN"/>
        </w:rPr>
        <w:t>场地岩溶发育等级按表14-1确定。</w:t>
      </w:r>
    </w:p>
    <w:p>
      <w:pPr>
        <w:autoSpaceDE w:val="0"/>
        <w:autoSpaceDN w:val="0"/>
        <w:adjustRightInd w:val="0"/>
        <w:spacing w:line="360" w:lineRule="auto"/>
        <w:jc w:val="center"/>
        <w:rPr>
          <w:rFonts w:hint="eastAsia" w:ascii="Times New Roman" w:hAnsi="Times New Roman" w:eastAsia="宋体"/>
          <w:b/>
          <w:bCs/>
          <w:color w:val="auto"/>
          <w:kern w:val="0"/>
          <w:highlight w:val="none"/>
        </w:rPr>
      </w:pPr>
      <w:r>
        <w:rPr>
          <w:rFonts w:hint="eastAsia" w:ascii="Times New Roman" w:hAnsi="Times New Roman" w:eastAsia="宋体"/>
          <w:b/>
          <w:bCs/>
          <w:color w:val="auto"/>
          <w:kern w:val="0"/>
          <w:highlight w:val="none"/>
        </w:rPr>
        <w:t>表</w:t>
      </w:r>
      <w:r>
        <w:rPr>
          <w:rFonts w:hint="eastAsia" w:ascii="Times New Roman" w:hAnsi="Times New Roman" w:eastAsia="宋体"/>
          <w:b/>
          <w:bCs/>
          <w:color w:val="auto"/>
          <w:kern w:val="0"/>
          <w:highlight w:val="none"/>
          <w:lang w:val="en-US" w:eastAsia="zh-CN"/>
        </w:rPr>
        <w:t>14-1</w:t>
      </w:r>
      <w:r>
        <w:rPr>
          <w:rFonts w:hint="eastAsia" w:ascii="Times New Roman" w:hAnsi="Times New Roman" w:eastAsia="宋体"/>
          <w:b/>
          <w:bCs/>
          <w:color w:val="auto"/>
          <w:kern w:val="0"/>
          <w:highlight w:val="none"/>
        </w:rPr>
        <w:t xml:space="preserve"> 场地岩溶发育等级</w:t>
      </w:r>
    </w:p>
    <w:tbl>
      <w:tblPr>
        <w:tblStyle w:val="2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17"/>
        <w:gridCol w:w="1196"/>
        <w:gridCol w:w="947"/>
        <w:gridCol w:w="1003"/>
        <w:gridCol w:w="402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17" w:type="dxa"/>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0"/>
                <w:sz w:val="20"/>
                <w:szCs w:val="15"/>
                <w:highlight w:val="none"/>
              </w:rPr>
            </w:pPr>
            <w:r>
              <w:rPr>
                <w:rFonts w:hint="default" w:ascii="Times New Roman" w:hAnsi="Times New Roman" w:eastAsia="宋体" w:cs="Times New Roman"/>
                <w:color w:val="auto"/>
                <w:sz w:val="20"/>
                <w:szCs w:val="20"/>
                <w:highlight w:val="none"/>
              </w:rPr>
              <w:t>岩溶发育等级</w:t>
            </w:r>
          </w:p>
        </w:tc>
        <w:tc>
          <w:tcPr>
            <w:tcW w:w="1196" w:type="dxa"/>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0"/>
                <w:sz w:val="20"/>
                <w:szCs w:val="15"/>
                <w:highlight w:val="none"/>
              </w:rPr>
            </w:pPr>
            <w:r>
              <w:rPr>
                <w:rFonts w:hint="default" w:ascii="Times New Roman" w:hAnsi="Times New Roman" w:eastAsia="宋体" w:cs="Times New Roman"/>
                <w:color w:val="auto"/>
                <w:kern w:val="0"/>
                <w:sz w:val="20"/>
                <w:szCs w:val="15"/>
                <w:highlight w:val="none"/>
              </w:rPr>
              <w:t>地表岩溶发育</w:t>
            </w:r>
            <w:r>
              <w:rPr>
                <w:rFonts w:hint="default" w:ascii="Times New Roman" w:hAnsi="Times New Roman" w:eastAsia="宋体"/>
                <w:color w:val="auto"/>
                <w:sz w:val="20"/>
                <w:szCs w:val="20"/>
                <w:highlight w:val="none"/>
              </w:rPr>
              <w:t>密度</w:t>
            </w:r>
            <w:r>
              <w:rPr>
                <w:rFonts w:hint="default" w:ascii="Times New Roman" w:hAnsi="Times New Roman" w:eastAsia="宋体" w:cs="Times New Roman"/>
                <w:color w:val="auto"/>
                <w:kern w:val="0"/>
                <w:sz w:val="20"/>
                <w:szCs w:val="15"/>
                <w:highlight w:val="none"/>
              </w:rPr>
              <w:t>（个/km</w:t>
            </w:r>
            <w:r>
              <w:rPr>
                <w:rFonts w:hint="default" w:ascii="Times New Roman" w:hAnsi="Times New Roman" w:eastAsia="宋体" w:cs="Times New Roman"/>
                <w:color w:val="auto"/>
                <w:kern w:val="0"/>
                <w:sz w:val="20"/>
                <w:szCs w:val="15"/>
                <w:highlight w:val="none"/>
                <w:vertAlign w:val="superscript"/>
              </w:rPr>
              <w:t>2</w:t>
            </w:r>
            <w:r>
              <w:rPr>
                <w:rFonts w:hint="default" w:ascii="Times New Roman" w:hAnsi="Times New Roman" w:eastAsia="宋体" w:cs="Times New Roman"/>
                <w:color w:val="auto"/>
                <w:kern w:val="0"/>
                <w:sz w:val="20"/>
                <w:szCs w:val="15"/>
                <w:highlight w:val="none"/>
              </w:rPr>
              <w:t>）</w:t>
            </w:r>
          </w:p>
        </w:tc>
        <w:tc>
          <w:tcPr>
            <w:tcW w:w="947" w:type="dxa"/>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0"/>
                <w:sz w:val="20"/>
                <w:szCs w:val="15"/>
                <w:highlight w:val="none"/>
              </w:rPr>
            </w:pPr>
            <w:r>
              <w:rPr>
                <w:rFonts w:hint="default" w:ascii="Times New Roman" w:hAnsi="Times New Roman" w:eastAsia="宋体" w:cs="Times New Roman"/>
                <w:color w:val="auto"/>
                <w:kern w:val="0"/>
                <w:sz w:val="20"/>
                <w:szCs w:val="15"/>
                <w:highlight w:val="none"/>
              </w:rPr>
              <w:t>线岩溶率（%）</w:t>
            </w:r>
          </w:p>
        </w:tc>
        <w:tc>
          <w:tcPr>
            <w:tcW w:w="1003" w:type="dxa"/>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0"/>
                <w:sz w:val="20"/>
                <w:szCs w:val="15"/>
                <w:highlight w:val="none"/>
              </w:rPr>
            </w:pPr>
            <w:r>
              <w:rPr>
                <w:rFonts w:hint="eastAsia" w:ascii="Times New Roman" w:hAnsi="Times New Roman" w:eastAsia="宋体" w:cs="Times New Roman"/>
                <w:color w:val="auto"/>
                <w:kern w:val="0"/>
                <w:sz w:val="20"/>
                <w:szCs w:val="15"/>
                <w:highlight w:val="none"/>
                <w:lang w:val="en-US" w:eastAsia="zh-CN"/>
              </w:rPr>
              <w:t>钻孔见</w:t>
            </w:r>
            <w:r>
              <w:rPr>
                <w:rFonts w:hint="default" w:ascii="Times New Roman" w:hAnsi="Times New Roman" w:eastAsia="宋体" w:cs="Times New Roman"/>
                <w:color w:val="auto"/>
                <w:kern w:val="0"/>
                <w:sz w:val="20"/>
                <w:szCs w:val="15"/>
                <w:highlight w:val="none"/>
              </w:rPr>
              <w:t>洞隙率（%）</w:t>
            </w:r>
          </w:p>
        </w:tc>
        <w:tc>
          <w:tcPr>
            <w:tcW w:w="4022" w:type="dxa"/>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0"/>
                <w:sz w:val="20"/>
                <w:szCs w:val="15"/>
                <w:highlight w:val="none"/>
              </w:rPr>
            </w:pPr>
            <w:r>
              <w:rPr>
                <w:rFonts w:hint="default" w:ascii="Times New Roman" w:hAnsi="Times New Roman" w:eastAsia="宋体" w:cs="Times New Roman"/>
                <w:color w:val="auto"/>
                <w:kern w:val="0"/>
                <w:sz w:val="20"/>
                <w:szCs w:val="15"/>
                <w:highlight w:val="none"/>
              </w:rPr>
              <w:t>岩溶发育特征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17" w:type="dxa"/>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0"/>
                <w:sz w:val="20"/>
                <w:szCs w:val="15"/>
                <w:highlight w:val="none"/>
              </w:rPr>
            </w:pPr>
            <w:r>
              <w:rPr>
                <w:rFonts w:hint="default" w:ascii="Times New Roman" w:hAnsi="Times New Roman" w:eastAsia="宋体" w:cs="Times New Roman"/>
                <w:color w:val="auto"/>
                <w:kern w:val="0"/>
                <w:sz w:val="20"/>
                <w:szCs w:val="15"/>
                <w:highlight w:val="none"/>
              </w:rPr>
              <w:t>岩溶</w:t>
            </w:r>
            <w:r>
              <w:rPr>
                <w:rFonts w:hint="default" w:ascii="Times New Roman" w:hAnsi="Times New Roman" w:eastAsia="宋体"/>
                <w:color w:val="auto"/>
                <w:sz w:val="20"/>
                <w:szCs w:val="20"/>
                <w:highlight w:val="none"/>
              </w:rPr>
              <w:t>强烈</w:t>
            </w:r>
            <w:r>
              <w:rPr>
                <w:rFonts w:hint="default" w:ascii="Times New Roman" w:hAnsi="Times New Roman" w:eastAsia="宋体" w:cs="Times New Roman"/>
                <w:color w:val="auto"/>
                <w:kern w:val="0"/>
                <w:sz w:val="20"/>
                <w:szCs w:val="15"/>
                <w:highlight w:val="none"/>
              </w:rPr>
              <w:t>发育</w:t>
            </w:r>
          </w:p>
        </w:tc>
        <w:tc>
          <w:tcPr>
            <w:tcW w:w="1196" w:type="dxa"/>
            <w:tcBorders>
              <w:tl2br w:val="nil"/>
              <w:tr2bl w:val="nil"/>
            </w:tcBorders>
            <w:noWrap w:val="0"/>
            <w:vAlign w:val="center"/>
          </w:tcPr>
          <w:p>
            <w:pPr>
              <w:adjustRightInd w:val="0"/>
              <w:snapToGrid w:val="0"/>
              <w:spacing w:line="300" w:lineRule="auto"/>
              <w:jc w:val="center"/>
              <w:rPr>
                <w:rFonts w:hint="default" w:ascii="Times New Roman" w:hAnsi="Times New Roman" w:eastAsia="宋体" w:cs="Times New Roman"/>
                <w:color w:val="auto"/>
                <w:kern w:val="0"/>
                <w:sz w:val="20"/>
                <w:szCs w:val="15"/>
                <w:highlight w:val="none"/>
              </w:rPr>
            </w:pPr>
            <w:r>
              <w:rPr>
                <w:rFonts w:hint="default" w:ascii="Times New Roman" w:hAnsi="Times New Roman" w:eastAsia="宋体" w:cs="Times New Roman"/>
                <w:color w:val="auto"/>
                <w:kern w:val="0"/>
                <w:sz w:val="20"/>
                <w:szCs w:val="15"/>
                <w:highlight w:val="none"/>
              </w:rPr>
              <w:t>&gt;5</w:t>
            </w:r>
          </w:p>
        </w:tc>
        <w:tc>
          <w:tcPr>
            <w:tcW w:w="947" w:type="dxa"/>
            <w:tcBorders>
              <w:tl2br w:val="nil"/>
              <w:tr2bl w:val="nil"/>
            </w:tcBorders>
            <w:noWrap w:val="0"/>
            <w:vAlign w:val="center"/>
          </w:tcPr>
          <w:p>
            <w:pPr>
              <w:adjustRightInd w:val="0"/>
              <w:snapToGrid w:val="0"/>
              <w:spacing w:line="300" w:lineRule="auto"/>
              <w:jc w:val="center"/>
              <w:rPr>
                <w:rFonts w:hint="default" w:ascii="Times New Roman" w:hAnsi="Times New Roman" w:eastAsia="宋体" w:cs="Times New Roman"/>
                <w:color w:val="auto"/>
                <w:kern w:val="0"/>
                <w:sz w:val="20"/>
                <w:szCs w:val="15"/>
                <w:highlight w:val="none"/>
              </w:rPr>
            </w:pPr>
            <w:r>
              <w:rPr>
                <w:rFonts w:hint="default" w:ascii="Times New Roman" w:hAnsi="Times New Roman" w:eastAsia="宋体" w:cs="Times New Roman"/>
                <w:color w:val="auto"/>
                <w:kern w:val="0"/>
                <w:sz w:val="20"/>
                <w:szCs w:val="15"/>
                <w:highlight w:val="none"/>
              </w:rPr>
              <w:t>&gt;</w:t>
            </w:r>
            <w:r>
              <w:rPr>
                <w:rFonts w:hint="eastAsia" w:ascii="Times New Roman" w:hAnsi="Times New Roman" w:eastAsia="宋体" w:cs="Times New Roman"/>
                <w:color w:val="auto"/>
                <w:kern w:val="0"/>
                <w:sz w:val="20"/>
                <w:szCs w:val="15"/>
                <w:highlight w:val="none"/>
                <w:lang w:val="en-US" w:eastAsia="zh-CN"/>
              </w:rPr>
              <w:t>2</w:t>
            </w:r>
            <w:r>
              <w:rPr>
                <w:rFonts w:hint="default" w:ascii="Times New Roman" w:hAnsi="Times New Roman" w:eastAsia="宋体" w:cs="Times New Roman"/>
                <w:color w:val="auto"/>
                <w:kern w:val="0"/>
                <w:sz w:val="20"/>
                <w:szCs w:val="15"/>
                <w:highlight w:val="none"/>
              </w:rPr>
              <w:t>0</w:t>
            </w:r>
          </w:p>
        </w:tc>
        <w:tc>
          <w:tcPr>
            <w:tcW w:w="1003" w:type="dxa"/>
            <w:tcBorders>
              <w:tl2br w:val="nil"/>
              <w:tr2bl w:val="nil"/>
            </w:tcBorders>
            <w:noWrap w:val="0"/>
            <w:vAlign w:val="center"/>
          </w:tcPr>
          <w:p>
            <w:pPr>
              <w:adjustRightInd w:val="0"/>
              <w:snapToGrid w:val="0"/>
              <w:spacing w:line="300" w:lineRule="auto"/>
              <w:jc w:val="center"/>
              <w:rPr>
                <w:rFonts w:hint="default" w:ascii="Times New Roman" w:hAnsi="Times New Roman" w:eastAsia="宋体" w:cs="Times New Roman"/>
                <w:color w:val="auto"/>
                <w:kern w:val="0"/>
                <w:sz w:val="20"/>
                <w:szCs w:val="15"/>
                <w:highlight w:val="none"/>
                <w:lang w:val="en-US" w:eastAsia="zh-CN"/>
              </w:rPr>
            </w:pPr>
            <w:r>
              <w:rPr>
                <w:rFonts w:hint="default" w:ascii="Times New Roman" w:hAnsi="Times New Roman" w:eastAsia="宋体" w:cs="Times New Roman"/>
                <w:color w:val="auto"/>
                <w:kern w:val="0"/>
                <w:sz w:val="20"/>
                <w:szCs w:val="15"/>
                <w:highlight w:val="none"/>
              </w:rPr>
              <w:t>&gt;</w:t>
            </w:r>
            <w:r>
              <w:rPr>
                <w:rFonts w:hint="eastAsia" w:ascii="Times New Roman" w:hAnsi="Times New Roman" w:eastAsia="宋体" w:cs="Times New Roman"/>
                <w:color w:val="auto"/>
                <w:kern w:val="0"/>
                <w:sz w:val="20"/>
                <w:szCs w:val="15"/>
                <w:highlight w:val="none"/>
                <w:lang w:val="en-US" w:eastAsia="zh-CN"/>
              </w:rPr>
              <w:t>30</w:t>
            </w:r>
          </w:p>
        </w:tc>
        <w:tc>
          <w:tcPr>
            <w:tcW w:w="4022" w:type="dxa"/>
            <w:tcBorders>
              <w:tl2br w:val="nil"/>
              <w:tr2bl w:val="nil"/>
            </w:tcBorders>
            <w:noWrap w:val="0"/>
            <w:vAlign w:val="center"/>
          </w:tcPr>
          <w:p>
            <w:pPr>
              <w:spacing w:line="240" w:lineRule="atLeast"/>
              <w:jc w:val="left"/>
              <w:rPr>
                <w:rFonts w:hint="default" w:ascii="Times New Roman" w:hAnsi="Times New Roman" w:eastAsia="宋体" w:cs="Times New Roman"/>
                <w:color w:val="auto"/>
                <w:kern w:val="0"/>
                <w:sz w:val="20"/>
                <w:szCs w:val="15"/>
                <w:highlight w:val="none"/>
              </w:rPr>
            </w:pPr>
            <w:r>
              <w:rPr>
                <w:rFonts w:hint="eastAsia" w:ascii="Times New Roman" w:hAnsi="Times New Roman" w:eastAsia="宋体" w:cs="Times New Roman"/>
                <w:color w:val="auto"/>
                <w:kern w:val="0"/>
                <w:sz w:val="20"/>
                <w:szCs w:val="15"/>
                <w:highlight w:val="none"/>
                <w:lang w:val="en-US" w:eastAsia="zh-CN"/>
              </w:rPr>
              <w:t>岩溶洞穴</w:t>
            </w:r>
            <w:r>
              <w:rPr>
                <w:rFonts w:hint="default" w:ascii="Times New Roman" w:hAnsi="Times New Roman" w:eastAsia="宋体" w:cs="Times New Roman"/>
                <w:color w:val="auto"/>
                <w:kern w:val="0"/>
                <w:sz w:val="20"/>
                <w:szCs w:val="15"/>
                <w:highlight w:val="none"/>
              </w:rPr>
              <w:t>分布广，</w:t>
            </w:r>
            <w:r>
              <w:rPr>
                <w:rFonts w:hint="eastAsia" w:ascii="Times New Roman" w:hAnsi="Times New Roman" w:eastAsia="宋体" w:cs="Times New Roman"/>
                <w:color w:val="auto"/>
                <w:kern w:val="0"/>
                <w:sz w:val="20"/>
                <w:szCs w:val="15"/>
                <w:highlight w:val="none"/>
                <w:lang w:val="en-US" w:eastAsia="zh-CN"/>
              </w:rPr>
              <w:t>未覆盖</w:t>
            </w:r>
            <w:r>
              <w:rPr>
                <w:rFonts w:hint="default" w:ascii="Times New Roman" w:hAnsi="Times New Roman" w:eastAsia="宋体" w:cs="Times New Roman"/>
                <w:color w:val="auto"/>
                <w:kern w:val="0"/>
                <w:sz w:val="20"/>
                <w:szCs w:val="15"/>
                <w:highlight w:val="none"/>
              </w:rPr>
              <w:t>地表有较多的洼地、漏斗、落水洞、泉眼、暗河、岩溶发育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17" w:type="dxa"/>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0"/>
                <w:sz w:val="20"/>
                <w:szCs w:val="15"/>
                <w:highlight w:val="none"/>
              </w:rPr>
            </w:pPr>
            <w:r>
              <w:rPr>
                <w:rFonts w:hint="default" w:ascii="Times New Roman" w:hAnsi="Times New Roman" w:eastAsia="宋体" w:cs="Times New Roman"/>
                <w:color w:val="auto"/>
                <w:kern w:val="0"/>
                <w:sz w:val="20"/>
                <w:szCs w:val="15"/>
                <w:highlight w:val="none"/>
              </w:rPr>
              <w:t>岩溶中等</w:t>
            </w:r>
            <w:r>
              <w:rPr>
                <w:rFonts w:hint="default" w:ascii="Times New Roman" w:hAnsi="Times New Roman" w:eastAsia="宋体"/>
                <w:color w:val="auto"/>
                <w:sz w:val="20"/>
                <w:szCs w:val="20"/>
                <w:highlight w:val="none"/>
              </w:rPr>
              <w:t>发育</w:t>
            </w:r>
          </w:p>
        </w:tc>
        <w:tc>
          <w:tcPr>
            <w:tcW w:w="1196" w:type="dxa"/>
            <w:tcBorders>
              <w:tl2br w:val="nil"/>
              <w:tr2bl w:val="nil"/>
            </w:tcBorders>
            <w:noWrap w:val="0"/>
            <w:vAlign w:val="center"/>
          </w:tcPr>
          <w:p>
            <w:pPr>
              <w:adjustRightInd w:val="0"/>
              <w:snapToGrid w:val="0"/>
              <w:spacing w:line="300" w:lineRule="auto"/>
              <w:jc w:val="center"/>
              <w:rPr>
                <w:rFonts w:hint="default" w:ascii="Times New Roman" w:hAnsi="Times New Roman" w:eastAsia="宋体" w:cs="Times New Roman"/>
                <w:color w:val="auto"/>
                <w:kern w:val="0"/>
                <w:sz w:val="20"/>
                <w:szCs w:val="15"/>
                <w:highlight w:val="none"/>
              </w:rPr>
            </w:pPr>
            <w:r>
              <w:rPr>
                <w:rFonts w:hint="default" w:ascii="Times New Roman" w:hAnsi="Times New Roman" w:eastAsia="宋体" w:cs="Times New Roman"/>
                <w:color w:val="auto"/>
                <w:kern w:val="0"/>
                <w:sz w:val="20"/>
                <w:szCs w:val="15"/>
                <w:highlight w:val="none"/>
              </w:rPr>
              <w:t>5~1</w:t>
            </w:r>
          </w:p>
        </w:tc>
        <w:tc>
          <w:tcPr>
            <w:tcW w:w="947" w:type="dxa"/>
            <w:tcBorders>
              <w:tl2br w:val="nil"/>
              <w:tr2bl w:val="nil"/>
            </w:tcBorders>
            <w:noWrap w:val="0"/>
            <w:vAlign w:val="center"/>
          </w:tcPr>
          <w:p>
            <w:pPr>
              <w:adjustRightInd w:val="0"/>
              <w:snapToGrid w:val="0"/>
              <w:spacing w:line="300" w:lineRule="auto"/>
              <w:jc w:val="center"/>
              <w:rPr>
                <w:rFonts w:hint="eastAsia" w:ascii="Times New Roman" w:hAnsi="Times New Roman" w:eastAsia="宋体" w:cs="Times New Roman"/>
                <w:color w:val="auto"/>
                <w:kern w:val="0"/>
                <w:sz w:val="20"/>
                <w:szCs w:val="15"/>
                <w:highlight w:val="none"/>
                <w:lang w:eastAsia="zh-CN"/>
              </w:rPr>
            </w:pPr>
            <w:r>
              <w:rPr>
                <w:rFonts w:hint="eastAsia" w:ascii="Times New Roman" w:hAnsi="Times New Roman" w:eastAsia="宋体" w:cs="Times New Roman"/>
                <w:color w:val="auto"/>
                <w:kern w:val="0"/>
                <w:sz w:val="20"/>
                <w:szCs w:val="15"/>
                <w:highlight w:val="none"/>
                <w:lang w:val="en-US" w:eastAsia="zh-CN"/>
              </w:rPr>
              <w:t>2</w:t>
            </w:r>
            <w:r>
              <w:rPr>
                <w:rFonts w:hint="default" w:ascii="Times New Roman" w:hAnsi="Times New Roman" w:eastAsia="宋体" w:cs="Times New Roman"/>
                <w:color w:val="auto"/>
                <w:kern w:val="0"/>
                <w:sz w:val="20"/>
                <w:szCs w:val="15"/>
                <w:highlight w:val="none"/>
              </w:rPr>
              <w:t>0~</w:t>
            </w:r>
            <w:r>
              <w:rPr>
                <w:rFonts w:hint="eastAsia" w:ascii="Times New Roman" w:hAnsi="Times New Roman" w:eastAsia="宋体" w:cs="Times New Roman"/>
                <w:color w:val="auto"/>
                <w:kern w:val="0"/>
                <w:sz w:val="20"/>
                <w:szCs w:val="15"/>
                <w:highlight w:val="none"/>
                <w:lang w:val="en-US" w:eastAsia="zh-CN"/>
              </w:rPr>
              <w:t>5</w:t>
            </w:r>
          </w:p>
        </w:tc>
        <w:tc>
          <w:tcPr>
            <w:tcW w:w="1003" w:type="dxa"/>
            <w:tcBorders>
              <w:tl2br w:val="nil"/>
              <w:tr2bl w:val="nil"/>
            </w:tcBorders>
            <w:noWrap w:val="0"/>
            <w:vAlign w:val="center"/>
          </w:tcPr>
          <w:p>
            <w:pPr>
              <w:adjustRightInd w:val="0"/>
              <w:snapToGrid w:val="0"/>
              <w:spacing w:line="300" w:lineRule="auto"/>
              <w:jc w:val="center"/>
              <w:rPr>
                <w:rFonts w:hint="default" w:ascii="Times New Roman" w:hAnsi="Times New Roman" w:eastAsia="宋体" w:cs="Times New Roman"/>
                <w:color w:val="auto"/>
                <w:kern w:val="0"/>
                <w:sz w:val="20"/>
                <w:szCs w:val="15"/>
                <w:highlight w:val="none"/>
                <w:lang w:val="en-US" w:eastAsia="zh-CN"/>
              </w:rPr>
            </w:pPr>
            <w:r>
              <w:rPr>
                <w:rFonts w:hint="eastAsia" w:ascii="Times New Roman" w:hAnsi="Times New Roman" w:eastAsia="宋体" w:cs="Times New Roman"/>
                <w:color w:val="auto"/>
                <w:kern w:val="0"/>
                <w:sz w:val="20"/>
                <w:szCs w:val="15"/>
                <w:highlight w:val="none"/>
                <w:lang w:val="en-US" w:eastAsia="zh-CN"/>
              </w:rPr>
              <w:t>30</w:t>
            </w:r>
            <w:r>
              <w:rPr>
                <w:rFonts w:hint="default" w:ascii="Times New Roman" w:hAnsi="Times New Roman" w:eastAsia="宋体" w:cs="Times New Roman"/>
                <w:color w:val="auto"/>
                <w:kern w:val="0"/>
                <w:sz w:val="20"/>
                <w:szCs w:val="15"/>
                <w:highlight w:val="none"/>
              </w:rPr>
              <w:t>~</w:t>
            </w:r>
            <w:r>
              <w:rPr>
                <w:rFonts w:hint="eastAsia" w:ascii="Times New Roman" w:hAnsi="Times New Roman" w:eastAsia="宋体" w:cs="Times New Roman"/>
                <w:color w:val="auto"/>
                <w:kern w:val="0"/>
                <w:sz w:val="20"/>
                <w:szCs w:val="15"/>
                <w:highlight w:val="none"/>
                <w:lang w:val="en-US" w:eastAsia="zh-CN"/>
              </w:rPr>
              <w:t>10</w:t>
            </w:r>
          </w:p>
        </w:tc>
        <w:tc>
          <w:tcPr>
            <w:tcW w:w="4022" w:type="dxa"/>
            <w:tcBorders>
              <w:tl2br w:val="nil"/>
              <w:tr2bl w:val="nil"/>
            </w:tcBorders>
            <w:noWrap w:val="0"/>
            <w:vAlign w:val="center"/>
          </w:tcPr>
          <w:p>
            <w:pPr>
              <w:spacing w:line="240" w:lineRule="atLeast"/>
              <w:jc w:val="left"/>
              <w:rPr>
                <w:rFonts w:hint="default" w:ascii="Times New Roman" w:hAnsi="Times New Roman" w:eastAsia="宋体" w:cs="Times New Roman"/>
                <w:color w:val="auto"/>
                <w:kern w:val="0"/>
                <w:sz w:val="20"/>
                <w:szCs w:val="15"/>
                <w:highlight w:val="none"/>
              </w:rPr>
            </w:pPr>
            <w:r>
              <w:rPr>
                <w:rFonts w:hint="eastAsia" w:ascii="Times New Roman" w:hAnsi="Times New Roman" w:eastAsia="宋体" w:cs="Times New Roman"/>
                <w:color w:val="auto"/>
                <w:kern w:val="0"/>
                <w:sz w:val="20"/>
                <w:szCs w:val="15"/>
                <w:highlight w:val="none"/>
                <w:lang w:val="en-US" w:eastAsia="zh-CN"/>
              </w:rPr>
              <w:t>未覆盖</w:t>
            </w:r>
            <w:r>
              <w:rPr>
                <w:rFonts w:hint="default" w:ascii="Times New Roman" w:hAnsi="Times New Roman" w:eastAsia="宋体" w:cs="Times New Roman"/>
                <w:color w:val="auto"/>
                <w:kern w:val="0"/>
                <w:sz w:val="20"/>
                <w:szCs w:val="15"/>
                <w:highlight w:val="none"/>
              </w:rPr>
              <w:t>地表发育有洼地、漏斗、落水洞</w:t>
            </w:r>
            <w:r>
              <w:rPr>
                <w:rFonts w:hint="eastAsia" w:ascii="Times New Roman" w:hAnsi="Times New Roman" w:eastAsia="宋体" w:cs="Times New Roman"/>
                <w:color w:val="auto"/>
                <w:kern w:val="0"/>
                <w:sz w:val="20"/>
                <w:szCs w:val="15"/>
                <w:highlight w:val="none"/>
                <w:lang w:eastAsia="zh-CN"/>
              </w:rPr>
              <w:t>，</w:t>
            </w:r>
            <w:r>
              <w:rPr>
                <w:rFonts w:hint="default" w:ascii="Times New Roman" w:hAnsi="Times New Roman" w:eastAsia="宋体" w:cs="Times New Roman"/>
                <w:color w:val="auto"/>
                <w:kern w:val="0"/>
                <w:sz w:val="20"/>
                <w:szCs w:val="15"/>
                <w:highlight w:val="none"/>
              </w:rPr>
              <w:t>泉眼</w:t>
            </w:r>
            <w:r>
              <w:rPr>
                <w:rFonts w:hint="eastAsia" w:ascii="Times New Roman" w:hAnsi="Times New Roman" w:eastAsia="宋体" w:cs="Times New Roman"/>
                <w:color w:val="auto"/>
                <w:kern w:val="0"/>
                <w:sz w:val="20"/>
                <w:szCs w:val="15"/>
                <w:highlight w:val="none"/>
                <w:lang w:eastAsia="zh-CN"/>
              </w:rPr>
              <w:t>、</w:t>
            </w:r>
            <w:r>
              <w:rPr>
                <w:rFonts w:hint="default" w:ascii="Times New Roman" w:hAnsi="Times New Roman" w:eastAsia="宋体" w:cs="Times New Roman"/>
                <w:color w:val="auto"/>
                <w:kern w:val="0"/>
                <w:sz w:val="20"/>
                <w:szCs w:val="15"/>
                <w:highlight w:val="none"/>
              </w:rPr>
              <w:t>暗河稀疏</w:t>
            </w:r>
            <w:r>
              <w:rPr>
                <w:rFonts w:hint="eastAsia" w:ascii="Times New Roman" w:hAnsi="Times New Roman" w:eastAsia="宋体" w:cs="Times New Roman"/>
                <w:color w:val="auto"/>
                <w:kern w:val="0"/>
                <w:sz w:val="20"/>
                <w:szCs w:val="15"/>
                <w:highlight w:val="none"/>
                <w:lang w:eastAsia="zh-CN"/>
              </w:rPr>
              <w:t>，</w:t>
            </w:r>
            <w:r>
              <w:rPr>
                <w:rFonts w:hint="default" w:ascii="Times New Roman" w:hAnsi="Times New Roman" w:eastAsia="宋体" w:cs="Times New Roman"/>
                <w:color w:val="auto"/>
                <w:kern w:val="0"/>
                <w:sz w:val="20"/>
                <w:szCs w:val="15"/>
                <w:highlight w:val="none"/>
              </w:rPr>
              <w:t>溶洞少见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17" w:type="dxa"/>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0"/>
                <w:sz w:val="20"/>
                <w:szCs w:val="15"/>
                <w:highlight w:val="none"/>
              </w:rPr>
            </w:pPr>
            <w:r>
              <w:rPr>
                <w:rFonts w:hint="default" w:ascii="Times New Roman" w:hAnsi="Times New Roman" w:eastAsia="宋体" w:cs="Times New Roman"/>
                <w:color w:val="auto"/>
                <w:kern w:val="0"/>
                <w:sz w:val="20"/>
                <w:szCs w:val="15"/>
                <w:highlight w:val="none"/>
              </w:rPr>
              <w:t>岩溶弱发育</w:t>
            </w:r>
          </w:p>
        </w:tc>
        <w:tc>
          <w:tcPr>
            <w:tcW w:w="1196" w:type="dxa"/>
            <w:tcBorders>
              <w:tl2br w:val="nil"/>
              <w:tr2bl w:val="nil"/>
            </w:tcBorders>
            <w:noWrap w:val="0"/>
            <w:vAlign w:val="center"/>
          </w:tcPr>
          <w:p>
            <w:pPr>
              <w:adjustRightInd w:val="0"/>
              <w:snapToGrid w:val="0"/>
              <w:spacing w:line="300" w:lineRule="auto"/>
              <w:jc w:val="center"/>
              <w:rPr>
                <w:rFonts w:hint="default" w:ascii="Times New Roman" w:hAnsi="Times New Roman" w:eastAsia="宋体" w:cs="Times New Roman"/>
                <w:color w:val="auto"/>
                <w:kern w:val="0"/>
                <w:sz w:val="20"/>
                <w:szCs w:val="15"/>
                <w:highlight w:val="none"/>
              </w:rPr>
            </w:pPr>
            <w:r>
              <w:rPr>
                <w:rFonts w:hint="default" w:ascii="Times New Roman" w:hAnsi="Times New Roman" w:eastAsia="宋体" w:cs="Times New Roman"/>
                <w:color w:val="auto"/>
                <w:kern w:val="0"/>
                <w:sz w:val="20"/>
                <w:szCs w:val="15"/>
                <w:highlight w:val="none"/>
              </w:rPr>
              <w:t>&lt;1</w:t>
            </w:r>
          </w:p>
        </w:tc>
        <w:tc>
          <w:tcPr>
            <w:tcW w:w="947" w:type="dxa"/>
            <w:tcBorders>
              <w:tl2br w:val="nil"/>
              <w:tr2bl w:val="nil"/>
            </w:tcBorders>
            <w:noWrap w:val="0"/>
            <w:vAlign w:val="center"/>
          </w:tcPr>
          <w:p>
            <w:pPr>
              <w:adjustRightInd w:val="0"/>
              <w:snapToGrid w:val="0"/>
              <w:spacing w:line="300" w:lineRule="auto"/>
              <w:jc w:val="center"/>
              <w:rPr>
                <w:rFonts w:hint="eastAsia" w:ascii="Times New Roman" w:hAnsi="Times New Roman" w:eastAsia="宋体" w:cs="Times New Roman"/>
                <w:color w:val="auto"/>
                <w:kern w:val="0"/>
                <w:sz w:val="20"/>
                <w:szCs w:val="15"/>
                <w:highlight w:val="none"/>
                <w:lang w:eastAsia="zh-CN"/>
              </w:rPr>
            </w:pPr>
            <w:r>
              <w:rPr>
                <w:rFonts w:hint="default" w:ascii="Times New Roman" w:hAnsi="Times New Roman" w:eastAsia="宋体" w:cs="Times New Roman"/>
                <w:color w:val="auto"/>
                <w:kern w:val="0"/>
                <w:sz w:val="20"/>
                <w:szCs w:val="15"/>
                <w:highlight w:val="none"/>
              </w:rPr>
              <w:t>&lt;</w:t>
            </w:r>
            <w:r>
              <w:rPr>
                <w:rFonts w:hint="eastAsia" w:ascii="Times New Roman" w:hAnsi="Times New Roman" w:eastAsia="宋体" w:cs="Times New Roman"/>
                <w:color w:val="auto"/>
                <w:kern w:val="0"/>
                <w:sz w:val="20"/>
                <w:szCs w:val="15"/>
                <w:highlight w:val="none"/>
                <w:lang w:val="en-US" w:eastAsia="zh-CN"/>
              </w:rPr>
              <w:t>5</w:t>
            </w:r>
          </w:p>
        </w:tc>
        <w:tc>
          <w:tcPr>
            <w:tcW w:w="1003" w:type="dxa"/>
            <w:tcBorders>
              <w:tl2br w:val="nil"/>
              <w:tr2bl w:val="nil"/>
            </w:tcBorders>
            <w:noWrap w:val="0"/>
            <w:vAlign w:val="center"/>
          </w:tcPr>
          <w:p>
            <w:pPr>
              <w:adjustRightInd w:val="0"/>
              <w:snapToGrid w:val="0"/>
              <w:spacing w:line="300" w:lineRule="auto"/>
              <w:jc w:val="center"/>
              <w:rPr>
                <w:rFonts w:hint="eastAsia" w:ascii="Times New Roman" w:hAnsi="Times New Roman" w:eastAsia="宋体" w:cs="Times New Roman"/>
                <w:color w:val="auto"/>
                <w:kern w:val="0"/>
                <w:sz w:val="20"/>
                <w:szCs w:val="15"/>
                <w:highlight w:val="none"/>
                <w:lang w:eastAsia="zh-CN"/>
              </w:rPr>
            </w:pPr>
            <w:r>
              <w:rPr>
                <w:rFonts w:hint="default" w:ascii="Times New Roman" w:hAnsi="Times New Roman" w:eastAsia="宋体" w:cs="Times New Roman"/>
                <w:color w:val="auto"/>
                <w:kern w:val="0"/>
                <w:sz w:val="20"/>
                <w:szCs w:val="15"/>
                <w:highlight w:val="none"/>
              </w:rPr>
              <w:t>&lt;1</w:t>
            </w:r>
            <w:r>
              <w:rPr>
                <w:rFonts w:hint="eastAsia" w:ascii="Times New Roman" w:hAnsi="Times New Roman" w:eastAsia="宋体" w:cs="Times New Roman"/>
                <w:color w:val="auto"/>
                <w:kern w:val="0"/>
                <w:sz w:val="20"/>
                <w:szCs w:val="15"/>
                <w:highlight w:val="none"/>
                <w:lang w:val="en-US" w:eastAsia="zh-CN"/>
              </w:rPr>
              <w:t>0</w:t>
            </w:r>
          </w:p>
        </w:tc>
        <w:tc>
          <w:tcPr>
            <w:tcW w:w="4022" w:type="dxa"/>
            <w:tcBorders>
              <w:tl2br w:val="nil"/>
              <w:tr2bl w:val="nil"/>
            </w:tcBorders>
            <w:noWrap w:val="0"/>
            <w:vAlign w:val="center"/>
          </w:tcPr>
          <w:p>
            <w:pPr>
              <w:spacing w:line="240" w:lineRule="atLeast"/>
              <w:jc w:val="left"/>
              <w:rPr>
                <w:rFonts w:hint="default" w:ascii="Times New Roman" w:hAnsi="Times New Roman" w:eastAsia="宋体" w:cs="Times New Roman"/>
                <w:color w:val="auto"/>
                <w:kern w:val="0"/>
                <w:sz w:val="20"/>
                <w:szCs w:val="15"/>
                <w:highlight w:val="none"/>
              </w:rPr>
            </w:pPr>
            <w:r>
              <w:rPr>
                <w:rFonts w:hint="eastAsia" w:ascii="Times New Roman" w:hAnsi="Times New Roman" w:eastAsia="宋体" w:cs="Times New Roman"/>
                <w:color w:val="auto"/>
                <w:kern w:val="0"/>
                <w:sz w:val="20"/>
                <w:szCs w:val="15"/>
                <w:highlight w:val="none"/>
                <w:lang w:val="en-US" w:eastAsia="zh-CN"/>
              </w:rPr>
              <w:t>未覆盖</w:t>
            </w:r>
            <w:r>
              <w:rPr>
                <w:rFonts w:hint="default" w:ascii="Times New Roman" w:hAnsi="Times New Roman" w:eastAsia="宋体" w:cs="Times New Roman"/>
                <w:color w:val="auto"/>
                <w:kern w:val="0"/>
                <w:sz w:val="20"/>
                <w:szCs w:val="15"/>
                <w:highlight w:val="none"/>
              </w:rPr>
              <w:t>地表岩溶形态稀疏，泉眼、暗河及溶洞少见</w:t>
            </w:r>
          </w:p>
        </w:tc>
      </w:tr>
    </w:tbl>
    <w:p>
      <w:pPr>
        <w:adjustRightInd w:val="0"/>
        <w:snapToGrid w:val="0"/>
        <w:spacing w:line="300" w:lineRule="auto"/>
        <w:ind w:left="630" w:hanging="630" w:hangingChars="350"/>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注</w:t>
      </w:r>
      <w:r>
        <w:rPr>
          <w:rFonts w:hint="eastAsia" w:ascii="宋体" w:hAnsi="宋体" w:eastAsia="宋体" w:cs="宋体"/>
          <w:color w:val="auto"/>
          <w:kern w:val="0"/>
          <w:sz w:val="18"/>
          <w:szCs w:val="18"/>
          <w:highlight w:val="none"/>
          <w:lang w:eastAsia="zh-CN"/>
        </w:rPr>
        <w:t>：</w:t>
      </w:r>
      <w:r>
        <w:rPr>
          <w:rFonts w:hint="eastAsia" w:ascii="宋体" w:hAnsi="宋体" w:eastAsia="宋体" w:cs="宋体"/>
          <w:color w:val="auto"/>
          <w:kern w:val="0"/>
          <w:sz w:val="18"/>
          <w:szCs w:val="18"/>
          <w:highlight w:val="none"/>
        </w:rPr>
        <w:t>1</w:t>
      </w:r>
      <w:r>
        <w:rPr>
          <w:rFonts w:hint="eastAsia" w:ascii="宋体" w:hAnsi="宋体" w:cs="宋体"/>
          <w:color w:val="auto"/>
          <w:kern w:val="0"/>
          <w:sz w:val="18"/>
          <w:szCs w:val="18"/>
          <w:highlight w:val="none"/>
          <w:lang w:val="en-US" w:eastAsia="zh-CN"/>
        </w:rPr>
        <w:t xml:space="preserve"> </w:t>
      </w:r>
      <w:r>
        <w:rPr>
          <w:rFonts w:hint="eastAsia" w:ascii="宋体" w:hAnsi="宋体" w:eastAsia="宋体" w:cs="宋体"/>
          <w:color w:val="auto"/>
          <w:kern w:val="0"/>
          <w:sz w:val="18"/>
          <w:szCs w:val="18"/>
          <w:highlight w:val="none"/>
        </w:rPr>
        <w:t xml:space="preserve"> 同一档次的三个划分指标中，根据最不利组合的原则，从高到低，有1个指标达标即可定为该等级；</w:t>
      </w:r>
    </w:p>
    <w:p>
      <w:pPr>
        <w:keepNext w:val="0"/>
        <w:keepLines w:val="0"/>
        <w:pageBreakBefore w:val="0"/>
        <w:widowControl w:val="0"/>
        <w:kinsoku/>
        <w:wordWrap/>
        <w:overflowPunct/>
        <w:topLinePunct w:val="0"/>
        <w:autoSpaceDE/>
        <w:autoSpaceDN/>
        <w:bidi w:val="0"/>
        <w:adjustRightInd w:val="0"/>
        <w:snapToGrid w:val="0"/>
        <w:spacing w:line="300" w:lineRule="auto"/>
        <w:ind w:left="675" w:leftChars="150" w:hanging="360" w:hangingChars="200"/>
        <w:textAlignment w:val="auto"/>
        <w:rPr>
          <w:rFonts w:hint="eastAsia" w:ascii="宋体" w:hAnsi="宋体" w:eastAsia="宋体" w:cs="宋体"/>
          <w:color w:val="auto"/>
          <w:kern w:val="0"/>
          <w:sz w:val="18"/>
          <w:szCs w:val="18"/>
          <w:highlight w:val="none"/>
          <w:lang w:eastAsia="zh-CN"/>
        </w:rPr>
      </w:pPr>
      <w:r>
        <w:rPr>
          <w:rFonts w:hint="eastAsia" w:ascii="宋体" w:hAnsi="宋体" w:eastAsia="宋体" w:cs="宋体"/>
          <w:color w:val="auto"/>
          <w:kern w:val="0"/>
          <w:sz w:val="18"/>
          <w:szCs w:val="18"/>
          <w:highlight w:val="none"/>
        </w:rPr>
        <w:t xml:space="preserve">2 </w:t>
      </w:r>
      <w:r>
        <w:rPr>
          <w:rFonts w:hint="eastAsia" w:ascii="宋体" w:hAnsi="宋体" w:cs="宋体"/>
          <w:color w:val="auto"/>
          <w:kern w:val="0"/>
          <w:sz w:val="18"/>
          <w:szCs w:val="18"/>
          <w:highlight w:val="none"/>
          <w:lang w:val="en-US" w:eastAsia="zh-CN"/>
        </w:rPr>
        <w:t xml:space="preserve"> </w:t>
      </w:r>
      <w:r>
        <w:rPr>
          <w:rFonts w:hint="eastAsia" w:ascii="宋体" w:hAnsi="宋体" w:eastAsia="宋体" w:cs="宋体"/>
          <w:color w:val="auto"/>
          <w:kern w:val="0"/>
          <w:sz w:val="18"/>
          <w:szCs w:val="18"/>
          <w:highlight w:val="none"/>
        </w:rPr>
        <w:t>地表岩溶发育密度是指单位面积内岩溶空间形态（塌陷、落水洞等）的个数</w:t>
      </w:r>
      <w:r>
        <w:rPr>
          <w:rFonts w:hint="eastAsia" w:ascii="宋体" w:hAnsi="宋体" w:eastAsia="宋体" w:cs="宋体"/>
          <w:color w:val="auto"/>
          <w:kern w:val="0"/>
          <w:sz w:val="18"/>
          <w:szCs w:val="1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auto"/>
        <w:ind w:left="585" w:leftChars="150" w:hanging="270" w:hangingChars="150"/>
        <w:textAlignment w:val="auto"/>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 xml:space="preserve">3 </w:t>
      </w:r>
      <w:r>
        <w:rPr>
          <w:rFonts w:hint="eastAsia" w:ascii="宋体" w:hAnsi="宋体" w:cs="宋体"/>
          <w:color w:val="auto"/>
          <w:kern w:val="0"/>
          <w:sz w:val="18"/>
          <w:szCs w:val="18"/>
          <w:highlight w:val="none"/>
          <w:lang w:val="en-US" w:eastAsia="zh-CN"/>
        </w:rPr>
        <w:t xml:space="preserve"> </w:t>
      </w:r>
      <w:r>
        <w:rPr>
          <w:rFonts w:hint="eastAsia" w:ascii="宋体" w:hAnsi="宋体" w:eastAsia="宋体" w:cs="宋体"/>
          <w:color w:val="auto"/>
          <w:kern w:val="0"/>
          <w:sz w:val="18"/>
          <w:szCs w:val="18"/>
          <w:highlight w:val="none"/>
          <w:lang w:val="en-US" w:eastAsia="zh-CN"/>
        </w:rPr>
        <w:t>线岩溶率是指单位长度可溶岩上岩溶空间形态长度的百分比，即：线岩溶率=钻孔所遇岩溶洞隙长度之和/钻孔穿过可溶岩（包括岩溶洞隙）的总长度</w:t>
      </w:r>
      <w:r>
        <w:rPr>
          <w:rFonts w:hint="default" w:ascii="Arial" w:hAnsi="Arial" w:eastAsia="宋体" w:cs="Arial"/>
          <w:color w:val="auto"/>
          <w:kern w:val="0"/>
          <w:sz w:val="18"/>
          <w:szCs w:val="18"/>
          <w:highlight w:val="none"/>
          <w:lang w:val="en-US" w:eastAsia="zh-CN"/>
        </w:rPr>
        <w:t>×</w:t>
      </w:r>
      <w:r>
        <w:rPr>
          <w:rFonts w:hint="eastAsia" w:ascii="宋体" w:hAnsi="宋体" w:eastAsia="宋体" w:cs="宋体"/>
          <w:color w:val="auto"/>
          <w:kern w:val="0"/>
          <w:sz w:val="18"/>
          <w:szCs w:val="18"/>
          <w:highlight w:val="none"/>
          <w:lang w:val="en-US" w:eastAsia="zh-CN"/>
        </w:rPr>
        <w:t>100%；</w:t>
      </w:r>
    </w:p>
    <w:p>
      <w:pPr>
        <w:keepNext w:val="0"/>
        <w:keepLines w:val="0"/>
        <w:pageBreakBefore w:val="0"/>
        <w:widowControl w:val="0"/>
        <w:kinsoku/>
        <w:wordWrap/>
        <w:overflowPunct/>
        <w:topLinePunct w:val="0"/>
        <w:autoSpaceDE/>
        <w:autoSpaceDN/>
        <w:bidi w:val="0"/>
        <w:adjustRightInd w:val="0"/>
        <w:snapToGrid w:val="0"/>
        <w:spacing w:line="300" w:lineRule="auto"/>
        <w:ind w:left="675" w:leftChars="150" w:hanging="360" w:hangingChars="200"/>
        <w:textAlignment w:val="auto"/>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 xml:space="preserve">4 </w:t>
      </w:r>
      <w:r>
        <w:rPr>
          <w:rFonts w:hint="eastAsia" w:ascii="宋体" w:hAnsi="宋体" w:cs="宋体"/>
          <w:color w:val="auto"/>
          <w:kern w:val="0"/>
          <w:sz w:val="18"/>
          <w:szCs w:val="18"/>
          <w:highlight w:val="none"/>
          <w:lang w:val="en-US" w:eastAsia="zh-CN"/>
        </w:rPr>
        <w:t xml:space="preserve"> </w:t>
      </w:r>
      <w:r>
        <w:rPr>
          <w:rFonts w:hint="eastAsia" w:ascii="宋体" w:hAnsi="宋体" w:eastAsia="宋体" w:cs="宋体"/>
          <w:color w:val="auto"/>
          <w:kern w:val="0"/>
          <w:sz w:val="18"/>
          <w:szCs w:val="18"/>
          <w:highlight w:val="none"/>
          <w:lang w:val="en-US" w:eastAsia="zh-CN"/>
        </w:rPr>
        <w:t>钻孔见洞隙率是指钻探中遇岩溶洞隙的钻孔数占钻遇可溶岩钻孔总数的百分比。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rPr>
        <w:t>广东省标准《岩溶地区建筑地基基础技术规范》DBJ</w:t>
      </w:r>
      <w:r>
        <w:rPr>
          <w:rFonts w:hint="eastAsia"/>
          <w:color w:val="auto"/>
          <w:szCs w:val="21"/>
          <w:highlight w:val="none"/>
          <w:lang w:val="en-US" w:eastAsia="zh-CN"/>
        </w:rPr>
        <w:t>/</w:t>
      </w:r>
      <w:r>
        <w:rPr>
          <w:rFonts w:hint="eastAsia" w:ascii="Times New Roman" w:hAnsi="Times New Roman" w:eastAsia="宋体"/>
          <w:color w:val="auto"/>
          <w:szCs w:val="21"/>
          <w:highlight w:val="none"/>
        </w:rPr>
        <w:t>T 15-</w:t>
      </w:r>
      <w:r>
        <w:rPr>
          <w:rFonts w:hint="eastAsia" w:ascii="Times New Roman" w:hAnsi="Times New Roman" w:eastAsia="宋体"/>
          <w:color w:val="auto"/>
          <w:szCs w:val="21"/>
          <w:highlight w:val="none"/>
          <w:lang w:eastAsia="zh-CN"/>
        </w:rPr>
        <w:t>1</w:t>
      </w:r>
      <w:r>
        <w:rPr>
          <w:rFonts w:hint="eastAsia" w:ascii="Times New Roman" w:hAnsi="Times New Roman" w:eastAsia="宋体"/>
          <w:color w:val="auto"/>
          <w:szCs w:val="21"/>
          <w:highlight w:val="none"/>
          <w:lang w:val="en-US" w:eastAsia="zh-CN"/>
        </w:rPr>
        <w:t>3</w:t>
      </w:r>
      <w:r>
        <w:rPr>
          <w:rFonts w:hint="eastAsia" w:ascii="Times New Roman" w:hAnsi="Times New Roman" w:eastAsia="宋体"/>
          <w:color w:val="auto"/>
          <w:szCs w:val="21"/>
          <w:highlight w:val="none"/>
        </w:rPr>
        <w:t>6</w:t>
      </w:r>
      <w:r>
        <w:rPr>
          <w:rFonts w:hint="eastAsia"/>
          <w:color w:val="auto"/>
          <w:szCs w:val="21"/>
          <w:highlight w:val="none"/>
          <w:lang w:val="en-US" w:eastAsia="zh-CN"/>
        </w:rPr>
        <w:t>-2018</w:t>
      </w:r>
      <w:r>
        <w:rPr>
          <w:rFonts w:hint="eastAsia" w:ascii="Times New Roman" w:hAnsi="Times New Roman" w:eastAsia="宋体"/>
          <w:color w:val="auto"/>
          <w:szCs w:val="21"/>
          <w:highlight w:val="none"/>
          <w:lang w:eastAsia="zh-CN"/>
        </w:rPr>
        <w:t>、</w:t>
      </w:r>
      <w:r>
        <w:rPr>
          <w:rFonts w:ascii="cmsicon" w:hAnsi="cmsicon" w:eastAsia="cmsicon" w:cs="cmsicon"/>
          <w:i w:val="0"/>
          <w:iCs w:val="0"/>
          <w:caps w:val="0"/>
          <w:color w:val="000000"/>
          <w:spacing w:val="0"/>
          <w:sz w:val="21"/>
          <w:szCs w:val="21"/>
          <w:shd w:val="clear" w:fill="FFFFFF"/>
        </w:rPr>
        <w:t>广西壮族自治区</w:t>
      </w:r>
      <w:r>
        <w:rPr>
          <w:rFonts w:hint="eastAsia" w:ascii="Times New Roman" w:hAnsi="Times New Roman" w:eastAsia="宋体"/>
          <w:color w:val="auto"/>
          <w:szCs w:val="21"/>
          <w:highlight w:val="none"/>
          <w:lang w:val="en-US" w:eastAsia="zh-CN"/>
        </w:rPr>
        <w:t>地方标准《</w:t>
      </w:r>
      <w:r>
        <w:rPr>
          <w:rFonts w:hint="eastAsia" w:ascii="Times New Roman" w:hAnsi="Times New Roman" w:eastAsia="宋体"/>
          <w:color w:val="auto"/>
          <w:szCs w:val="21"/>
          <w:highlight w:val="none"/>
        </w:rPr>
        <w:t>岩溶地区建筑地基基础技术规范》DBJ</w:t>
      </w:r>
      <w:r>
        <w:rPr>
          <w:rFonts w:hint="eastAsia" w:ascii="Times New Roman" w:hAnsi="Times New Roman" w:eastAsia="宋体"/>
          <w:color w:val="auto"/>
          <w:szCs w:val="21"/>
          <w:highlight w:val="none"/>
          <w:lang w:val="en-US" w:eastAsia="zh-CN"/>
        </w:rPr>
        <w:t xml:space="preserve"> </w:t>
      </w:r>
      <w:r>
        <w:rPr>
          <w:rFonts w:hint="eastAsia" w:ascii="Times New Roman" w:hAnsi="Times New Roman" w:eastAsia="宋体"/>
          <w:color w:val="auto"/>
          <w:szCs w:val="21"/>
          <w:highlight w:val="none"/>
        </w:rPr>
        <w:t>45/024-2016</w:t>
      </w:r>
      <w:r>
        <w:rPr>
          <w:rFonts w:hint="eastAsia" w:ascii="Times New Roman" w:hAnsi="Times New Roman" w:eastAsia="宋体"/>
          <w:color w:val="auto"/>
          <w:szCs w:val="21"/>
          <w:highlight w:val="none"/>
          <w:lang w:val="en-US" w:eastAsia="zh-CN"/>
        </w:rPr>
        <w:t>均与上表有差异，主要差异如表14-2。</w:t>
      </w:r>
    </w:p>
    <w:p>
      <w:pPr>
        <w:autoSpaceDE w:val="0"/>
        <w:autoSpaceDN w:val="0"/>
        <w:adjustRightInd w:val="0"/>
        <w:spacing w:line="360" w:lineRule="auto"/>
        <w:jc w:val="center"/>
        <w:rPr>
          <w:rFonts w:hint="eastAsia" w:ascii="方正小标宋简体" w:hAnsi="方正小标宋简体" w:eastAsia="方正小标宋简体" w:cs="方正小标宋简体"/>
          <w:b/>
          <w:bCs/>
          <w:color w:val="auto"/>
          <w:kern w:val="0"/>
          <w:highlight w:val="none"/>
          <w:lang w:val="en-US" w:eastAsia="zh-CN"/>
        </w:rPr>
      </w:pPr>
      <w:r>
        <w:rPr>
          <w:rFonts w:hint="eastAsia" w:ascii="方正小标宋简体" w:hAnsi="方正小标宋简体" w:eastAsia="方正小标宋简体" w:cs="方正小标宋简体"/>
          <w:b/>
          <w:bCs/>
          <w:color w:val="auto"/>
          <w:kern w:val="0"/>
          <w:highlight w:val="none"/>
        </w:rPr>
        <w:t>表</w:t>
      </w:r>
      <w:r>
        <w:rPr>
          <w:rFonts w:hint="eastAsia" w:ascii="方正小标宋简体" w:hAnsi="方正小标宋简体" w:eastAsia="方正小标宋简体" w:cs="方正小标宋简体"/>
          <w:b/>
          <w:bCs/>
          <w:color w:val="auto"/>
          <w:kern w:val="0"/>
          <w:highlight w:val="none"/>
          <w:lang w:val="en-US" w:eastAsia="zh-CN"/>
        </w:rPr>
        <w:t>14-2</w:t>
      </w:r>
      <w:r>
        <w:rPr>
          <w:rFonts w:hint="eastAsia" w:ascii="方正小标宋简体" w:hAnsi="方正小标宋简体" w:eastAsia="方正小标宋简体" w:cs="方正小标宋简体"/>
          <w:b/>
          <w:bCs/>
          <w:color w:val="auto"/>
          <w:kern w:val="0"/>
          <w:highlight w:val="none"/>
        </w:rPr>
        <w:t xml:space="preserve"> </w:t>
      </w:r>
      <w:r>
        <w:rPr>
          <w:rFonts w:hint="eastAsia" w:ascii="方正小标宋简体" w:hAnsi="方正小标宋简体" w:eastAsia="方正小标宋简体" w:cs="方正小标宋简体"/>
          <w:b/>
          <w:bCs/>
          <w:color w:val="auto"/>
          <w:kern w:val="0"/>
          <w:highlight w:val="none"/>
          <w:lang w:val="en-US" w:eastAsia="zh-CN"/>
        </w:rPr>
        <w:t>三本规范</w:t>
      </w:r>
      <w:r>
        <w:rPr>
          <w:rFonts w:hint="eastAsia" w:ascii="方正小标宋简体" w:hAnsi="方正小标宋简体" w:eastAsia="方正小标宋简体" w:cs="方正小标宋简体"/>
          <w:b/>
          <w:bCs/>
          <w:color w:val="auto"/>
          <w:kern w:val="0"/>
          <w:highlight w:val="none"/>
        </w:rPr>
        <w:t>岩溶发育等级</w:t>
      </w:r>
      <w:r>
        <w:rPr>
          <w:rFonts w:hint="eastAsia" w:ascii="方正小标宋简体" w:hAnsi="方正小标宋简体" w:eastAsia="方正小标宋简体" w:cs="方正小标宋简体"/>
          <w:b/>
          <w:bCs/>
          <w:color w:val="auto"/>
          <w:kern w:val="0"/>
          <w:highlight w:val="none"/>
          <w:lang w:val="en-US" w:eastAsia="zh-CN"/>
        </w:rPr>
        <w:t>划分标准比较</w:t>
      </w:r>
    </w:p>
    <w:tbl>
      <w:tblPr>
        <w:tblStyle w:val="2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8"/>
        <w:gridCol w:w="1132"/>
        <w:gridCol w:w="1132"/>
        <w:gridCol w:w="1"/>
        <w:gridCol w:w="1131"/>
        <w:gridCol w:w="1132"/>
        <w:gridCol w:w="2"/>
        <w:gridCol w:w="1130"/>
        <w:gridCol w:w="113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488" w:type="dxa"/>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0"/>
                <w:sz w:val="20"/>
                <w:szCs w:val="15"/>
                <w:highlight w:val="none"/>
                <w:lang w:val="en-US" w:eastAsia="zh-CN"/>
              </w:rPr>
            </w:pPr>
            <w:r>
              <w:rPr>
                <w:rFonts w:hint="eastAsia" w:ascii="Times New Roman" w:hAnsi="Times New Roman" w:eastAsia="宋体" w:cs="Times New Roman"/>
                <w:color w:val="auto"/>
                <w:kern w:val="0"/>
                <w:sz w:val="20"/>
                <w:szCs w:val="15"/>
                <w:highlight w:val="none"/>
                <w:lang w:val="en-US" w:eastAsia="zh-CN"/>
              </w:rPr>
              <w:t>岩溶规范简称</w:t>
            </w:r>
          </w:p>
        </w:tc>
        <w:tc>
          <w:tcPr>
            <w:tcW w:w="2265" w:type="dxa"/>
            <w:gridSpan w:val="3"/>
            <w:tcBorders>
              <w:tl2br w:val="nil"/>
              <w:tr2bl w:val="nil"/>
            </w:tcBorders>
            <w:noWrap w:val="0"/>
            <w:vAlign w:val="center"/>
          </w:tcPr>
          <w:p>
            <w:pPr>
              <w:spacing w:line="240" w:lineRule="atLeast"/>
              <w:jc w:val="center"/>
              <w:rPr>
                <w:rFonts w:hint="eastAsia" w:ascii="Times New Roman" w:hAnsi="Times New Roman" w:eastAsia="宋体" w:cs="Times New Roman"/>
                <w:color w:val="auto"/>
                <w:kern w:val="0"/>
                <w:sz w:val="20"/>
                <w:szCs w:val="15"/>
                <w:highlight w:val="none"/>
                <w:lang w:val="en-US" w:eastAsia="zh-CN"/>
              </w:rPr>
            </w:pPr>
            <w:r>
              <w:rPr>
                <w:rFonts w:hint="eastAsia" w:ascii="Times New Roman" w:hAnsi="Times New Roman" w:eastAsia="宋体" w:cs="Times New Roman"/>
                <w:color w:val="auto"/>
                <w:kern w:val="0"/>
                <w:sz w:val="20"/>
                <w:szCs w:val="15"/>
                <w:highlight w:val="none"/>
                <w:lang w:val="en-US" w:eastAsia="zh-CN"/>
              </w:rPr>
              <w:t>国标</w:t>
            </w:r>
          </w:p>
        </w:tc>
        <w:tc>
          <w:tcPr>
            <w:tcW w:w="2265" w:type="dxa"/>
            <w:gridSpan w:val="3"/>
            <w:tcBorders>
              <w:right w:val="single" w:color="auto" w:sz="4" w:space="0"/>
              <w:tl2br w:val="nil"/>
              <w:tr2bl w:val="nil"/>
            </w:tcBorders>
            <w:noWrap w:val="0"/>
            <w:vAlign w:val="center"/>
          </w:tcPr>
          <w:p>
            <w:pPr>
              <w:spacing w:line="240" w:lineRule="atLeast"/>
              <w:jc w:val="center"/>
              <w:rPr>
                <w:rFonts w:hint="default" w:ascii="Times New Roman" w:hAnsi="Times New Roman" w:eastAsia="宋体" w:cs="Times New Roman"/>
                <w:color w:val="auto"/>
                <w:kern w:val="0"/>
                <w:sz w:val="20"/>
                <w:szCs w:val="15"/>
                <w:highlight w:val="none"/>
                <w:lang w:val="en-US" w:eastAsia="zh-CN"/>
              </w:rPr>
            </w:pPr>
            <w:r>
              <w:rPr>
                <w:rFonts w:hint="eastAsia" w:ascii="Times New Roman" w:hAnsi="Times New Roman" w:eastAsia="宋体" w:cs="Times New Roman"/>
                <w:color w:val="auto"/>
                <w:kern w:val="0"/>
                <w:sz w:val="20"/>
                <w:szCs w:val="15"/>
                <w:highlight w:val="none"/>
                <w:lang w:val="en-US" w:eastAsia="zh-CN"/>
              </w:rPr>
              <w:t>广东省标</w:t>
            </w:r>
          </w:p>
        </w:tc>
        <w:tc>
          <w:tcPr>
            <w:tcW w:w="2267" w:type="dxa"/>
            <w:gridSpan w:val="2"/>
            <w:tcBorders>
              <w:left w:val="single" w:color="auto" w:sz="4" w:space="0"/>
              <w:tl2br w:val="nil"/>
              <w:tr2bl w:val="nil"/>
            </w:tcBorders>
            <w:noWrap w:val="0"/>
            <w:vAlign w:val="center"/>
          </w:tcPr>
          <w:p>
            <w:pPr>
              <w:spacing w:line="240" w:lineRule="atLeast"/>
              <w:jc w:val="center"/>
              <w:rPr>
                <w:rFonts w:hint="default" w:ascii="Times New Roman" w:hAnsi="Times New Roman" w:eastAsia="宋体" w:cs="Times New Roman"/>
                <w:color w:val="auto"/>
                <w:kern w:val="0"/>
                <w:sz w:val="20"/>
                <w:szCs w:val="15"/>
                <w:highlight w:val="none"/>
                <w:lang w:val="en-US" w:eastAsia="zh-CN"/>
              </w:rPr>
            </w:pPr>
            <w:r>
              <w:rPr>
                <w:rFonts w:hint="eastAsia" w:ascii="宋体" w:hAnsi="宋体" w:eastAsia="宋体" w:cs="宋体"/>
                <w:i w:val="0"/>
                <w:iCs w:val="0"/>
                <w:caps w:val="0"/>
                <w:color w:val="000000"/>
                <w:spacing w:val="0"/>
                <w:sz w:val="20"/>
                <w:szCs w:val="20"/>
                <w:shd w:val="clear" w:fill="FFFFFF"/>
              </w:rPr>
              <w:t>广西壮族自治区</w:t>
            </w:r>
            <w:r>
              <w:rPr>
                <w:rFonts w:hint="eastAsia" w:ascii="Times New Roman" w:hAnsi="Times New Roman" w:eastAsia="宋体" w:cs="Times New Roman"/>
                <w:color w:val="auto"/>
                <w:kern w:val="0"/>
                <w:sz w:val="20"/>
                <w:szCs w:val="15"/>
                <w:highlight w:val="none"/>
                <w:lang w:val="en-US" w:eastAsia="zh-CN"/>
              </w:rPr>
              <w:t>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488" w:type="dxa"/>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0"/>
                <w:sz w:val="20"/>
                <w:szCs w:val="15"/>
                <w:highlight w:val="none"/>
                <w:lang w:val="en-US" w:eastAsia="zh-CN" w:bidi="ar-SA"/>
              </w:rPr>
            </w:pPr>
            <w:r>
              <w:rPr>
                <w:rFonts w:hint="default" w:ascii="Times New Roman" w:hAnsi="Times New Roman" w:eastAsia="宋体" w:cs="Times New Roman"/>
                <w:color w:val="auto"/>
                <w:sz w:val="20"/>
                <w:szCs w:val="20"/>
                <w:highlight w:val="none"/>
              </w:rPr>
              <w:t>岩溶发育等级</w:t>
            </w:r>
          </w:p>
        </w:tc>
        <w:tc>
          <w:tcPr>
            <w:tcW w:w="1132" w:type="dxa"/>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0"/>
                <w:sz w:val="20"/>
                <w:szCs w:val="15"/>
                <w:highlight w:val="none"/>
                <w:lang w:val="en-US" w:eastAsia="zh-CN" w:bidi="ar-SA"/>
              </w:rPr>
            </w:pPr>
            <w:r>
              <w:rPr>
                <w:rFonts w:hint="default" w:ascii="Times New Roman" w:hAnsi="Times New Roman" w:eastAsia="宋体" w:cs="Times New Roman"/>
                <w:color w:val="auto"/>
                <w:kern w:val="0"/>
                <w:sz w:val="20"/>
                <w:szCs w:val="15"/>
                <w:highlight w:val="none"/>
              </w:rPr>
              <w:t>线岩溶率（%）</w:t>
            </w:r>
          </w:p>
        </w:tc>
        <w:tc>
          <w:tcPr>
            <w:tcW w:w="1132" w:type="dxa"/>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0"/>
                <w:sz w:val="20"/>
                <w:szCs w:val="15"/>
                <w:highlight w:val="none"/>
                <w:lang w:val="en-US" w:eastAsia="zh-CN" w:bidi="ar-SA"/>
              </w:rPr>
            </w:pPr>
            <w:r>
              <w:rPr>
                <w:rFonts w:hint="eastAsia" w:ascii="Times New Roman" w:hAnsi="Times New Roman" w:eastAsia="宋体" w:cs="Times New Roman"/>
                <w:color w:val="auto"/>
                <w:kern w:val="0"/>
                <w:sz w:val="20"/>
                <w:szCs w:val="15"/>
                <w:highlight w:val="none"/>
                <w:lang w:val="en-US" w:eastAsia="zh-CN"/>
              </w:rPr>
              <w:t>钻孔见</w:t>
            </w:r>
            <w:r>
              <w:rPr>
                <w:rFonts w:hint="default" w:ascii="Times New Roman" w:hAnsi="Times New Roman" w:eastAsia="宋体" w:cs="Times New Roman"/>
                <w:color w:val="auto"/>
                <w:kern w:val="0"/>
                <w:sz w:val="20"/>
                <w:szCs w:val="15"/>
                <w:highlight w:val="none"/>
              </w:rPr>
              <w:t>洞隙率（%）</w:t>
            </w:r>
          </w:p>
        </w:tc>
        <w:tc>
          <w:tcPr>
            <w:tcW w:w="1132" w:type="dxa"/>
            <w:gridSpan w:val="2"/>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0"/>
                <w:sz w:val="20"/>
                <w:szCs w:val="15"/>
                <w:highlight w:val="none"/>
                <w:lang w:val="en-US" w:eastAsia="zh-CN" w:bidi="ar-SA"/>
              </w:rPr>
            </w:pPr>
            <w:r>
              <w:rPr>
                <w:rFonts w:hint="default" w:ascii="Times New Roman" w:hAnsi="Times New Roman" w:eastAsia="宋体" w:cs="Times New Roman"/>
                <w:color w:val="auto"/>
                <w:kern w:val="0"/>
                <w:sz w:val="20"/>
                <w:szCs w:val="15"/>
                <w:highlight w:val="none"/>
              </w:rPr>
              <w:t>线岩溶率（%）</w:t>
            </w:r>
          </w:p>
        </w:tc>
        <w:tc>
          <w:tcPr>
            <w:tcW w:w="1132" w:type="dxa"/>
            <w:tcBorders>
              <w:right w:val="single" w:color="auto" w:sz="4" w:space="0"/>
              <w:tl2br w:val="nil"/>
              <w:tr2bl w:val="nil"/>
            </w:tcBorders>
            <w:noWrap w:val="0"/>
            <w:vAlign w:val="center"/>
          </w:tcPr>
          <w:p>
            <w:pPr>
              <w:spacing w:line="240" w:lineRule="atLeast"/>
              <w:jc w:val="center"/>
              <w:rPr>
                <w:rFonts w:hint="eastAsia" w:ascii="Times New Roman" w:hAnsi="Times New Roman" w:eastAsia="宋体" w:cs="Times New Roman"/>
                <w:color w:val="auto"/>
                <w:kern w:val="0"/>
                <w:sz w:val="20"/>
                <w:szCs w:val="15"/>
                <w:highlight w:val="none"/>
                <w:lang w:val="en-US" w:eastAsia="zh-CN" w:bidi="ar-SA"/>
              </w:rPr>
            </w:pPr>
            <w:r>
              <w:rPr>
                <w:rFonts w:hint="eastAsia" w:ascii="Times New Roman" w:hAnsi="Times New Roman" w:eastAsia="宋体" w:cs="Times New Roman"/>
                <w:color w:val="auto"/>
                <w:kern w:val="0"/>
                <w:sz w:val="20"/>
                <w:szCs w:val="15"/>
                <w:highlight w:val="none"/>
                <w:lang w:val="en-US" w:eastAsia="zh-CN"/>
              </w:rPr>
              <w:t>钻孔见</w:t>
            </w:r>
            <w:r>
              <w:rPr>
                <w:rFonts w:hint="default" w:ascii="Times New Roman" w:hAnsi="Times New Roman" w:eastAsia="宋体" w:cs="Times New Roman"/>
                <w:color w:val="auto"/>
                <w:kern w:val="0"/>
                <w:sz w:val="20"/>
                <w:szCs w:val="15"/>
                <w:highlight w:val="none"/>
              </w:rPr>
              <w:t>洞隙率（%）</w:t>
            </w:r>
          </w:p>
        </w:tc>
        <w:tc>
          <w:tcPr>
            <w:tcW w:w="1132" w:type="dxa"/>
            <w:gridSpan w:val="2"/>
            <w:tcBorders>
              <w:left w:val="single" w:color="auto" w:sz="4" w:space="0"/>
              <w:right w:val="single" w:color="auto" w:sz="4" w:space="0"/>
              <w:tl2br w:val="nil"/>
              <w:tr2bl w:val="nil"/>
            </w:tcBorders>
            <w:noWrap w:val="0"/>
            <w:vAlign w:val="center"/>
          </w:tcPr>
          <w:p>
            <w:pPr>
              <w:spacing w:line="240" w:lineRule="atLeast"/>
              <w:jc w:val="center"/>
              <w:rPr>
                <w:rFonts w:hint="eastAsia" w:ascii="Times New Roman" w:hAnsi="Times New Roman" w:eastAsia="宋体" w:cs="Times New Roman"/>
                <w:color w:val="auto"/>
                <w:kern w:val="0"/>
                <w:sz w:val="20"/>
                <w:szCs w:val="15"/>
                <w:highlight w:val="none"/>
                <w:lang w:val="en-US" w:eastAsia="zh-CN" w:bidi="ar-SA"/>
              </w:rPr>
            </w:pPr>
            <w:r>
              <w:rPr>
                <w:rFonts w:hint="default" w:ascii="Times New Roman" w:hAnsi="Times New Roman" w:eastAsia="宋体" w:cs="Times New Roman"/>
                <w:color w:val="auto"/>
                <w:kern w:val="0"/>
                <w:sz w:val="20"/>
                <w:szCs w:val="15"/>
                <w:highlight w:val="none"/>
              </w:rPr>
              <w:t>线岩溶率（%）</w:t>
            </w:r>
          </w:p>
        </w:tc>
        <w:tc>
          <w:tcPr>
            <w:tcW w:w="1137" w:type="dxa"/>
            <w:tcBorders>
              <w:left w:val="single" w:color="auto" w:sz="4" w:space="0"/>
              <w:tl2br w:val="nil"/>
              <w:tr2bl w:val="nil"/>
            </w:tcBorders>
            <w:noWrap w:val="0"/>
            <w:vAlign w:val="center"/>
          </w:tcPr>
          <w:p>
            <w:pPr>
              <w:spacing w:line="240" w:lineRule="atLeast"/>
              <w:jc w:val="center"/>
              <w:rPr>
                <w:rFonts w:hint="eastAsia" w:ascii="Times New Roman" w:hAnsi="Times New Roman" w:eastAsia="宋体" w:cs="Times New Roman"/>
                <w:color w:val="auto"/>
                <w:kern w:val="0"/>
                <w:sz w:val="20"/>
                <w:szCs w:val="15"/>
                <w:highlight w:val="none"/>
                <w:lang w:val="en-US" w:eastAsia="zh-CN" w:bidi="ar-SA"/>
              </w:rPr>
            </w:pPr>
            <w:r>
              <w:rPr>
                <w:rFonts w:hint="eastAsia" w:ascii="Times New Roman" w:hAnsi="Times New Roman" w:eastAsia="宋体" w:cs="Times New Roman"/>
                <w:color w:val="auto"/>
                <w:kern w:val="0"/>
                <w:sz w:val="20"/>
                <w:szCs w:val="15"/>
                <w:highlight w:val="none"/>
                <w:lang w:val="en-US" w:eastAsia="zh-CN"/>
              </w:rPr>
              <w:t>钻孔见</w:t>
            </w:r>
            <w:r>
              <w:rPr>
                <w:rFonts w:hint="default" w:ascii="Times New Roman" w:hAnsi="Times New Roman" w:eastAsia="宋体" w:cs="Times New Roman"/>
                <w:color w:val="auto"/>
                <w:kern w:val="0"/>
                <w:sz w:val="20"/>
                <w:szCs w:val="15"/>
                <w:highlight w:val="none"/>
              </w:rPr>
              <w:t>洞隙率（%）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488" w:type="dxa"/>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0"/>
                <w:sz w:val="20"/>
                <w:szCs w:val="15"/>
                <w:highlight w:val="none"/>
              </w:rPr>
            </w:pPr>
            <w:r>
              <w:rPr>
                <w:rFonts w:hint="default" w:ascii="Times New Roman" w:hAnsi="Times New Roman" w:eastAsia="宋体" w:cs="Times New Roman"/>
                <w:color w:val="auto"/>
                <w:kern w:val="0"/>
                <w:sz w:val="20"/>
                <w:szCs w:val="15"/>
                <w:highlight w:val="none"/>
              </w:rPr>
              <w:t>岩溶</w:t>
            </w:r>
            <w:r>
              <w:rPr>
                <w:rFonts w:hint="default" w:ascii="Times New Roman" w:hAnsi="Times New Roman" w:eastAsia="宋体"/>
                <w:color w:val="auto"/>
                <w:sz w:val="20"/>
                <w:szCs w:val="20"/>
                <w:highlight w:val="none"/>
              </w:rPr>
              <w:t>强烈</w:t>
            </w:r>
            <w:r>
              <w:rPr>
                <w:rFonts w:hint="default" w:ascii="Times New Roman" w:hAnsi="Times New Roman" w:eastAsia="宋体" w:cs="Times New Roman"/>
                <w:color w:val="auto"/>
                <w:kern w:val="0"/>
                <w:sz w:val="20"/>
                <w:szCs w:val="15"/>
                <w:highlight w:val="none"/>
              </w:rPr>
              <w:t>发育</w:t>
            </w:r>
          </w:p>
        </w:tc>
        <w:tc>
          <w:tcPr>
            <w:tcW w:w="1132" w:type="dxa"/>
            <w:tcBorders>
              <w:tl2br w:val="nil"/>
              <w:tr2bl w:val="nil"/>
            </w:tcBorders>
            <w:noWrap w:val="0"/>
            <w:vAlign w:val="center"/>
          </w:tcPr>
          <w:p>
            <w:pPr>
              <w:adjustRightInd w:val="0"/>
              <w:snapToGrid w:val="0"/>
              <w:spacing w:line="300" w:lineRule="auto"/>
              <w:jc w:val="center"/>
              <w:rPr>
                <w:rFonts w:hint="default" w:ascii="Times New Roman" w:hAnsi="Times New Roman" w:eastAsia="宋体" w:cs="Times New Roman"/>
                <w:color w:val="auto"/>
                <w:kern w:val="0"/>
                <w:sz w:val="20"/>
                <w:szCs w:val="15"/>
                <w:highlight w:val="none"/>
                <w:lang w:val="en-US" w:eastAsia="zh-CN" w:bidi="ar-SA"/>
              </w:rPr>
            </w:pPr>
            <w:r>
              <w:rPr>
                <w:rFonts w:hint="default" w:ascii="Times New Roman" w:hAnsi="Times New Roman" w:eastAsia="宋体" w:cs="Times New Roman"/>
                <w:color w:val="auto"/>
                <w:kern w:val="0"/>
                <w:sz w:val="20"/>
                <w:szCs w:val="15"/>
                <w:highlight w:val="none"/>
              </w:rPr>
              <w:t>&gt;</w:t>
            </w:r>
            <w:r>
              <w:rPr>
                <w:rFonts w:hint="eastAsia" w:ascii="Times New Roman" w:hAnsi="Times New Roman" w:eastAsia="宋体" w:cs="Times New Roman"/>
                <w:color w:val="auto"/>
                <w:kern w:val="0"/>
                <w:sz w:val="20"/>
                <w:szCs w:val="15"/>
                <w:highlight w:val="none"/>
                <w:lang w:val="en-US" w:eastAsia="zh-CN"/>
              </w:rPr>
              <w:t>2</w:t>
            </w:r>
            <w:r>
              <w:rPr>
                <w:rFonts w:hint="default" w:ascii="Times New Roman" w:hAnsi="Times New Roman" w:eastAsia="宋体" w:cs="Times New Roman"/>
                <w:color w:val="auto"/>
                <w:kern w:val="0"/>
                <w:sz w:val="20"/>
                <w:szCs w:val="15"/>
                <w:highlight w:val="none"/>
              </w:rPr>
              <w:t>0</w:t>
            </w:r>
          </w:p>
        </w:tc>
        <w:tc>
          <w:tcPr>
            <w:tcW w:w="1132" w:type="dxa"/>
            <w:tcBorders>
              <w:tl2br w:val="nil"/>
              <w:tr2bl w:val="nil"/>
            </w:tcBorders>
            <w:noWrap w:val="0"/>
            <w:vAlign w:val="center"/>
          </w:tcPr>
          <w:p>
            <w:pPr>
              <w:adjustRightInd w:val="0"/>
              <w:snapToGrid w:val="0"/>
              <w:spacing w:line="300" w:lineRule="auto"/>
              <w:jc w:val="center"/>
              <w:rPr>
                <w:rFonts w:hint="default" w:ascii="Times New Roman" w:hAnsi="Times New Roman" w:eastAsia="宋体" w:cs="Times New Roman"/>
                <w:color w:val="auto"/>
                <w:kern w:val="0"/>
                <w:sz w:val="20"/>
                <w:szCs w:val="15"/>
                <w:highlight w:val="none"/>
                <w:lang w:val="en-US" w:eastAsia="zh-CN" w:bidi="ar-SA"/>
              </w:rPr>
            </w:pPr>
            <w:r>
              <w:rPr>
                <w:rFonts w:hint="default" w:ascii="Times New Roman" w:hAnsi="Times New Roman" w:eastAsia="宋体" w:cs="Times New Roman"/>
                <w:color w:val="auto"/>
                <w:kern w:val="0"/>
                <w:sz w:val="20"/>
                <w:szCs w:val="15"/>
                <w:highlight w:val="none"/>
              </w:rPr>
              <w:t>&gt;</w:t>
            </w:r>
            <w:r>
              <w:rPr>
                <w:rFonts w:hint="eastAsia" w:ascii="Times New Roman" w:hAnsi="Times New Roman" w:eastAsia="宋体" w:cs="Times New Roman"/>
                <w:color w:val="auto"/>
                <w:kern w:val="0"/>
                <w:sz w:val="20"/>
                <w:szCs w:val="15"/>
                <w:highlight w:val="none"/>
                <w:lang w:val="en-US" w:eastAsia="zh-CN"/>
              </w:rPr>
              <w:t>30</w:t>
            </w:r>
          </w:p>
        </w:tc>
        <w:tc>
          <w:tcPr>
            <w:tcW w:w="1132" w:type="dxa"/>
            <w:gridSpan w:val="2"/>
            <w:tcBorders>
              <w:tl2br w:val="nil"/>
              <w:tr2bl w:val="nil"/>
            </w:tcBorders>
            <w:noWrap w:val="0"/>
            <w:vAlign w:val="center"/>
          </w:tcPr>
          <w:p>
            <w:pPr>
              <w:adjustRightInd w:val="0"/>
              <w:snapToGrid w:val="0"/>
              <w:spacing w:line="300" w:lineRule="auto"/>
              <w:jc w:val="center"/>
              <w:rPr>
                <w:rFonts w:hint="default" w:ascii="Times New Roman" w:hAnsi="Times New Roman" w:eastAsia="宋体" w:cs="Times New Roman"/>
                <w:color w:val="auto"/>
                <w:kern w:val="0"/>
                <w:sz w:val="20"/>
                <w:szCs w:val="15"/>
                <w:highlight w:val="none"/>
                <w:lang w:val="en-US" w:eastAsia="zh-CN" w:bidi="ar-SA"/>
              </w:rPr>
            </w:pPr>
            <w:r>
              <w:rPr>
                <w:rFonts w:hint="default" w:ascii="Times New Roman" w:hAnsi="Times New Roman" w:eastAsia="宋体" w:cs="Times New Roman"/>
                <w:color w:val="auto"/>
                <w:kern w:val="0"/>
                <w:sz w:val="20"/>
                <w:szCs w:val="15"/>
                <w:highlight w:val="none"/>
              </w:rPr>
              <w:t>&gt;</w:t>
            </w:r>
            <w:r>
              <w:rPr>
                <w:rFonts w:hint="eastAsia" w:ascii="Times New Roman" w:hAnsi="Times New Roman" w:eastAsia="宋体" w:cs="Times New Roman"/>
                <w:color w:val="auto"/>
                <w:kern w:val="0"/>
                <w:sz w:val="20"/>
                <w:szCs w:val="15"/>
                <w:highlight w:val="none"/>
                <w:lang w:val="en-US" w:eastAsia="zh-CN"/>
              </w:rPr>
              <w:t>2</w:t>
            </w:r>
            <w:r>
              <w:rPr>
                <w:rFonts w:hint="default" w:ascii="Times New Roman" w:hAnsi="Times New Roman" w:eastAsia="宋体" w:cs="Times New Roman"/>
                <w:color w:val="auto"/>
                <w:kern w:val="0"/>
                <w:sz w:val="20"/>
                <w:szCs w:val="15"/>
                <w:highlight w:val="none"/>
              </w:rPr>
              <w:t>0</w:t>
            </w:r>
          </w:p>
        </w:tc>
        <w:tc>
          <w:tcPr>
            <w:tcW w:w="1132" w:type="dxa"/>
            <w:tcBorders>
              <w:right w:val="single" w:color="auto" w:sz="4" w:space="0"/>
              <w:tl2br w:val="nil"/>
              <w:tr2bl w:val="nil"/>
            </w:tcBorders>
            <w:noWrap w:val="0"/>
            <w:vAlign w:val="center"/>
          </w:tcPr>
          <w:p>
            <w:pPr>
              <w:adjustRightInd w:val="0"/>
              <w:snapToGrid w:val="0"/>
              <w:spacing w:line="300" w:lineRule="auto"/>
              <w:jc w:val="center"/>
              <w:rPr>
                <w:rFonts w:hint="default" w:ascii="Times New Roman" w:hAnsi="Times New Roman" w:eastAsia="宋体" w:cs="Times New Roman"/>
                <w:color w:val="auto"/>
                <w:kern w:val="0"/>
                <w:sz w:val="20"/>
                <w:szCs w:val="15"/>
                <w:highlight w:val="none"/>
                <w:lang w:val="en-US" w:eastAsia="zh-CN" w:bidi="ar-SA"/>
              </w:rPr>
            </w:pPr>
            <w:r>
              <w:rPr>
                <w:rFonts w:hint="default" w:ascii="Times New Roman" w:hAnsi="Times New Roman" w:eastAsia="宋体" w:cs="Times New Roman"/>
                <w:color w:val="auto"/>
                <w:kern w:val="0"/>
                <w:sz w:val="20"/>
                <w:szCs w:val="15"/>
                <w:highlight w:val="none"/>
              </w:rPr>
              <w:t>&gt;</w:t>
            </w:r>
            <w:r>
              <w:rPr>
                <w:rFonts w:hint="eastAsia" w:ascii="Times New Roman" w:hAnsi="Times New Roman" w:eastAsia="宋体" w:cs="Times New Roman"/>
                <w:color w:val="auto"/>
                <w:kern w:val="0"/>
                <w:sz w:val="20"/>
                <w:szCs w:val="15"/>
                <w:highlight w:val="none"/>
                <w:lang w:val="en-US" w:eastAsia="zh-CN"/>
              </w:rPr>
              <w:t>45</w:t>
            </w:r>
          </w:p>
        </w:tc>
        <w:tc>
          <w:tcPr>
            <w:tcW w:w="1132" w:type="dxa"/>
            <w:gridSpan w:val="2"/>
            <w:tcBorders>
              <w:left w:val="single" w:color="auto" w:sz="4" w:space="0"/>
              <w:right w:val="single" w:color="auto" w:sz="4" w:space="0"/>
              <w:tl2br w:val="nil"/>
              <w:tr2bl w:val="nil"/>
            </w:tcBorders>
            <w:noWrap w:val="0"/>
            <w:vAlign w:val="center"/>
          </w:tcPr>
          <w:p>
            <w:pPr>
              <w:adjustRightInd w:val="0"/>
              <w:snapToGrid w:val="0"/>
              <w:spacing w:line="300" w:lineRule="auto"/>
              <w:jc w:val="center"/>
              <w:rPr>
                <w:rFonts w:hint="default" w:ascii="Times New Roman" w:hAnsi="Times New Roman" w:eastAsia="宋体" w:cs="Times New Roman"/>
                <w:color w:val="auto"/>
                <w:kern w:val="0"/>
                <w:sz w:val="20"/>
                <w:szCs w:val="15"/>
                <w:highlight w:val="none"/>
                <w:lang w:val="en-US" w:eastAsia="zh-CN" w:bidi="ar-SA"/>
              </w:rPr>
            </w:pPr>
            <w:r>
              <w:rPr>
                <w:rFonts w:hint="default" w:ascii="Times New Roman" w:hAnsi="Times New Roman" w:eastAsia="宋体" w:cs="Times New Roman"/>
                <w:color w:val="auto"/>
                <w:kern w:val="0"/>
                <w:sz w:val="20"/>
                <w:szCs w:val="15"/>
                <w:highlight w:val="none"/>
              </w:rPr>
              <w:t>&gt;</w:t>
            </w:r>
            <w:r>
              <w:rPr>
                <w:rFonts w:hint="eastAsia" w:ascii="Times New Roman" w:hAnsi="Times New Roman" w:eastAsia="宋体" w:cs="Times New Roman"/>
                <w:color w:val="auto"/>
                <w:kern w:val="0"/>
                <w:sz w:val="20"/>
                <w:szCs w:val="15"/>
                <w:highlight w:val="none"/>
                <w:lang w:val="en-US" w:eastAsia="zh-CN"/>
              </w:rPr>
              <w:t>1</w:t>
            </w:r>
            <w:r>
              <w:rPr>
                <w:rFonts w:hint="default" w:ascii="Times New Roman" w:hAnsi="Times New Roman" w:eastAsia="宋体" w:cs="Times New Roman"/>
                <w:color w:val="auto"/>
                <w:kern w:val="0"/>
                <w:sz w:val="20"/>
                <w:szCs w:val="15"/>
                <w:highlight w:val="none"/>
              </w:rPr>
              <w:t>0</w:t>
            </w:r>
          </w:p>
        </w:tc>
        <w:tc>
          <w:tcPr>
            <w:tcW w:w="1137" w:type="dxa"/>
            <w:tcBorders>
              <w:left w:val="single" w:color="auto" w:sz="4" w:space="0"/>
              <w:tl2br w:val="nil"/>
              <w:tr2bl w:val="nil"/>
            </w:tcBorders>
            <w:noWrap w:val="0"/>
            <w:vAlign w:val="center"/>
          </w:tcPr>
          <w:p>
            <w:pPr>
              <w:adjustRightInd w:val="0"/>
              <w:snapToGrid w:val="0"/>
              <w:spacing w:line="300" w:lineRule="auto"/>
              <w:jc w:val="center"/>
              <w:rPr>
                <w:rFonts w:hint="default" w:ascii="Times New Roman" w:hAnsi="Times New Roman" w:eastAsia="宋体" w:cs="Times New Roman"/>
                <w:color w:val="auto"/>
                <w:kern w:val="0"/>
                <w:sz w:val="20"/>
                <w:szCs w:val="15"/>
                <w:highlight w:val="none"/>
                <w:lang w:val="en-US" w:eastAsia="zh-CN" w:bidi="ar-SA"/>
              </w:rPr>
            </w:pPr>
            <w:r>
              <w:rPr>
                <w:rFonts w:hint="default" w:ascii="Times New Roman" w:hAnsi="Times New Roman" w:eastAsia="宋体" w:cs="Times New Roman"/>
                <w:color w:val="auto"/>
                <w:kern w:val="0"/>
                <w:sz w:val="20"/>
                <w:szCs w:val="15"/>
                <w:highlight w:val="none"/>
              </w:rPr>
              <w:t>&gt;</w:t>
            </w:r>
            <w:r>
              <w:rPr>
                <w:rFonts w:hint="eastAsia" w:ascii="Times New Roman" w:hAnsi="Times New Roman" w:eastAsia="宋体" w:cs="Times New Roman"/>
                <w:color w:val="auto"/>
                <w:kern w:val="0"/>
                <w:sz w:val="20"/>
                <w:szCs w:val="15"/>
                <w:highlight w:val="none"/>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488" w:type="dxa"/>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0"/>
                <w:sz w:val="20"/>
                <w:szCs w:val="15"/>
                <w:highlight w:val="none"/>
              </w:rPr>
            </w:pPr>
            <w:r>
              <w:rPr>
                <w:rFonts w:hint="default" w:ascii="Times New Roman" w:hAnsi="Times New Roman" w:eastAsia="宋体" w:cs="Times New Roman"/>
                <w:color w:val="auto"/>
                <w:kern w:val="0"/>
                <w:sz w:val="20"/>
                <w:szCs w:val="15"/>
                <w:highlight w:val="none"/>
              </w:rPr>
              <w:t>岩溶中等</w:t>
            </w:r>
            <w:r>
              <w:rPr>
                <w:rFonts w:hint="default" w:ascii="Times New Roman" w:hAnsi="Times New Roman" w:eastAsia="宋体"/>
                <w:color w:val="auto"/>
                <w:sz w:val="20"/>
                <w:szCs w:val="20"/>
                <w:highlight w:val="none"/>
              </w:rPr>
              <w:t>发育</w:t>
            </w:r>
          </w:p>
        </w:tc>
        <w:tc>
          <w:tcPr>
            <w:tcW w:w="1132" w:type="dxa"/>
            <w:tcBorders>
              <w:tl2br w:val="nil"/>
              <w:tr2bl w:val="nil"/>
            </w:tcBorders>
            <w:noWrap w:val="0"/>
            <w:vAlign w:val="center"/>
          </w:tcPr>
          <w:p>
            <w:pPr>
              <w:adjustRightInd w:val="0"/>
              <w:snapToGrid w:val="0"/>
              <w:spacing w:line="300" w:lineRule="auto"/>
              <w:jc w:val="center"/>
              <w:rPr>
                <w:rFonts w:hint="default" w:ascii="Times New Roman" w:hAnsi="Times New Roman" w:eastAsia="宋体" w:cs="Times New Roman"/>
                <w:color w:val="auto"/>
                <w:kern w:val="0"/>
                <w:sz w:val="20"/>
                <w:szCs w:val="15"/>
                <w:highlight w:val="none"/>
                <w:lang w:val="en-US" w:eastAsia="zh-CN" w:bidi="ar-SA"/>
              </w:rPr>
            </w:pPr>
            <w:r>
              <w:rPr>
                <w:rFonts w:hint="eastAsia" w:ascii="Times New Roman" w:hAnsi="Times New Roman" w:eastAsia="宋体" w:cs="Times New Roman"/>
                <w:color w:val="auto"/>
                <w:kern w:val="0"/>
                <w:sz w:val="20"/>
                <w:szCs w:val="15"/>
                <w:highlight w:val="none"/>
                <w:lang w:val="en-US" w:eastAsia="zh-CN"/>
              </w:rPr>
              <w:t>2</w:t>
            </w:r>
            <w:r>
              <w:rPr>
                <w:rFonts w:hint="default" w:ascii="Times New Roman" w:hAnsi="Times New Roman" w:eastAsia="宋体" w:cs="Times New Roman"/>
                <w:color w:val="auto"/>
                <w:kern w:val="0"/>
                <w:sz w:val="20"/>
                <w:szCs w:val="15"/>
                <w:highlight w:val="none"/>
              </w:rPr>
              <w:t>0~</w:t>
            </w:r>
            <w:r>
              <w:rPr>
                <w:rFonts w:hint="eastAsia" w:ascii="Times New Roman" w:hAnsi="Times New Roman" w:eastAsia="宋体" w:cs="Times New Roman"/>
                <w:color w:val="auto"/>
                <w:kern w:val="0"/>
                <w:sz w:val="20"/>
                <w:szCs w:val="15"/>
                <w:highlight w:val="none"/>
                <w:lang w:val="en-US" w:eastAsia="zh-CN"/>
              </w:rPr>
              <w:t>5</w:t>
            </w:r>
          </w:p>
        </w:tc>
        <w:tc>
          <w:tcPr>
            <w:tcW w:w="1132" w:type="dxa"/>
            <w:tcBorders>
              <w:tl2br w:val="nil"/>
              <w:tr2bl w:val="nil"/>
            </w:tcBorders>
            <w:noWrap w:val="0"/>
            <w:vAlign w:val="center"/>
          </w:tcPr>
          <w:p>
            <w:pPr>
              <w:adjustRightInd w:val="0"/>
              <w:snapToGrid w:val="0"/>
              <w:spacing w:line="300" w:lineRule="auto"/>
              <w:jc w:val="center"/>
              <w:rPr>
                <w:rFonts w:hint="eastAsia" w:ascii="Times New Roman" w:hAnsi="Times New Roman" w:eastAsia="宋体" w:cs="Times New Roman"/>
                <w:color w:val="auto"/>
                <w:kern w:val="0"/>
                <w:sz w:val="20"/>
                <w:szCs w:val="15"/>
                <w:highlight w:val="none"/>
                <w:lang w:val="en-US" w:eastAsia="zh-CN" w:bidi="ar-SA"/>
              </w:rPr>
            </w:pPr>
            <w:r>
              <w:rPr>
                <w:rFonts w:hint="eastAsia" w:ascii="Times New Roman" w:hAnsi="Times New Roman" w:eastAsia="宋体" w:cs="Times New Roman"/>
                <w:color w:val="auto"/>
                <w:kern w:val="0"/>
                <w:sz w:val="20"/>
                <w:szCs w:val="15"/>
                <w:highlight w:val="none"/>
                <w:lang w:val="en-US" w:eastAsia="zh-CN"/>
              </w:rPr>
              <w:t>30</w:t>
            </w:r>
            <w:r>
              <w:rPr>
                <w:rFonts w:hint="default" w:ascii="Times New Roman" w:hAnsi="Times New Roman" w:eastAsia="宋体" w:cs="Times New Roman"/>
                <w:color w:val="auto"/>
                <w:kern w:val="0"/>
                <w:sz w:val="20"/>
                <w:szCs w:val="15"/>
                <w:highlight w:val="none"/>
              </w:rPr>
              <w:t>~</w:t>
            </w:r>
            <w:r>
              <w:rPr>
                <w:rFonts w:hint="eastAsia" w:ascii="Times New Roman" w:hAnsi="Times New Roman" w:eastAsia="宋体" w:cs="Times New Roman"/>
                <w:color w:val="auto"/>
                <w:kern w:val="0"/>
                <w:sz w:val="20"/>
                <w:szCs w:val="15"/>
                <w:highlight w:val="none"/>
                <w:lang w:val="en-US" w:eastAsia="zh-CN"/>
              </w:rPr>
              <w:t>10</w:t>
            </w:r>
          </w:p>
        </w:tc>
        <w:tc>
          <w:tcPr>
            <w:tcW w:w="1132" w:type="dxa"/>
            <w:gridSpan w:val="2"/>
            <w:tcBorders>
              <w:tl2br w:val="nil"/>
              <w:tr2bl w:val="nil"/>
            </w:tcBorders>
            <w:noWrap w:val="0"/>
            <w:vAlign w:val="center"/>
          </w:tcPr>
          <w:p>
            <w:pPr>
              <w:adjustRightInd w:val="0"/>
              <w:snapToGrid w:val="0"/>
              <w:spacing w:line="300" w:lineRule="auto"/>
              <w:jc w:val="center"/>
              <w:rPr>
                <w:rFonts w:hint="default" w:ascii="Times New Roman" w:hAnsi="Times New Roman" w:eastAsia="宋体" w:cs="Times New Roman"/>
                <w:color w:val="auto"/>
                <w:kern w:val="0"/>
                <w:sz w:val="20"/>
                <w:szCs w:val="15"/>
                <w:highlight w:val="none"/>
                <w:lang w:val="en-US" w:eastAsia="zh-CN" w:bidi="ar-SA"/>
              </w:rPr>
            </w:pPr>
            <w:r>
              <w:rPr>
                <w:rFonts w:hint="eastAsia" w:ascii="Times New Roman" w:hAnsi="Times New Roman" w:eastAsia="宋体" w:cs="Times New Roman"/>
                <w:color w:val="auto"/>
                <w:kern w:val="0"/>
                <w:sz w:val="20"/>
                <w:szCs w:val="15"/>
                <w:highlight w:val="none"/>
                <w:lang w:val="en-US" w:eastAsia="zh-CN"/>
              </w:rPr>
              <w:t>2</w:t>
            </w:r>
            <w:r>
              <w:rPr>
                <w:rFonts w:hint="default" w:ascii="Times New Roman" w:hAnsi="Times New Roman" w:eastAsia="宋体" w:cs="Times New Roman"/>
                <w:color w:val="auto"/>
                <w:kern w:val="0"/>
                <w:sz w:val="20"/>
                <w:szCs w:val="15"/>
                <w:highlight w:val="none"/>
              </w:rPr>
              <w:t>0~</w:t>
            </w:r>
            <w:r>
              <w:rPr>
                <w:rFonts w:hint="eastAsia" w:ascii="Times New Roman" w:hAnsi="Times New Roman" w:eastAsia="宋体" w:cs="Times New Roman"/>
                <w:color w:val="auto"/>
                <w:kern w:val="0"/>
                <w:sz w:val="20"/>
                <w:szCs w:val="15"/>
                <w:highlight w:val="none"/>
                <w:lang w:val="en-US" w:eastAsia="zh-CN"/>
              </w:rPr>
              <w:t>5</w:t>
            </w:r>
          </w:p>
        </w:tc>
        <w:tc>
          <w:tcPr>
            <w:tcW w:w="1132" w:type="dxa"/>
            <w:tcBorders>
              <w:right w:val="single" w:color="auto" w:sz="4" w:space="0"/>
              <w:tl2br w:val="nil"/>
              <w:tr2bl w:val="nil"/>
            </w:tcBorders>
            <w:noWrap w:val="0"/>
            <w:vAlign w:val="center"/>
          </w:tcPr>
          <w:p>
            <w:pPr>
              <w:adjustRightInd w:val="0"/>
              <w:snapToGrid w:val="0"/>
              <w:spacing w:line="300" w:lineRule="auto"/>
              <w:jc w:val="center"/>
              <w:rPr>
                <w:rFonts w:hint="default" w:ascii="Times New Roman" w:hAnsi="Times New Roman" w:eastAsia="宋体" w:cs="Times New Roman"/>
                <w:color w:val="auto"/>
                <w:kern w:val="0"/>
                <w:sz w:val="20"/>
                <w:szCs w:val="15"/>
                <w:highlight w:val="none"/>
                <w:lang w:val="en-US" w:eastAsia="zh-CN" w:bidi="ar-SA"/>
              </w:rPr>
            </w:pPr>
            <w:r>
              <w:rPr>
                <w:rFonts w:hint="eastAsia" w:ascii="Times New Roman" w:hAnsi="Times New Roman" w:eastAsia="宋体" w:cs="Times New Roman"/>
                <w:color w:val="auto"/>
                <w:kern w:val="0"/>
                <w:sz w:val="20"/>
                <w:szCs w:val="15"/>
                <w:highlight w:val="none"/>
                <w:lang w:val="en-US" w:eastAsia="zh-CN"/>
              </w:rPr>
              <w:t>45</w:t>
            </w:r>
            <w:r>
              <w:rPr>
                <w:rFonts w:hint="default" w:ascii="Times New Roman" w:hAnsi="Times New Roman" w:eastAsia="宋体" w:cs="Times New Roman"/>
                <w:color w:val="auto"/>
                <w:kern w:val="0"/>
                <w:sz w:val="20"/>
                <w:szCs w:val="15"/>
                <w:highlight w:val="none"/>
              </w:rPr>
              <w:t>~</w:t>
            </w:r>
            <w:r>
              <w:rPr>
                <w:rFonts w:hint="eastAsia" w:ascii="Times New Roman" w:hAnsi="Times New Roman" w:eastAsia="宋体" w:cs="Times New Roman"/>
                <w:color w:val="auto"/>
                <w:kern w:val="0"/>
                <w:sz w:val="20"/>
                <w:szCs w:val="15"/>
                <w:highlight w:val="none"/>
                <w:lang w:val="en-US" w:eastAsia="zh-CN"/>
              </w:rPr>
              <w:t>15</w:t>
            </w:r>
          </w:p>
        </w:tc>
        <w:tc>
          <w:tcPr>
            <w:tcW w:w="1132" w:type="dxa"/>
            <w:gridSpan w:val="2"/>
            <w:tcBorders>
              <w:left w:val="single" w:color="auto" w:sz="4" w:space="0"/>
              <w:right w:val="single" w:color="auto" w:sz="4" w:space="0"/>
              <w:tl2br w:val="nil"/>
              <w:tr2bl w:val="nil"/>
            </w:tcBorders>
            <w:noWrap w:val="0"/>
            <w:vAlign w:val="center"/>
          </w:tcPr>
          <w:p>
            <w:pPr>
              <w:adjustRightInd w:val="0"/>
              <w:snapToGrid w:val="0"/>
              <w:spacing w:line="300" w:lineRule="auto"/>
              <w:jc w:val="center"/>
              <w:rPr>
                <w:rFonts w:hint="default" w:ascii="Times New Roman" w:hAnsi="Times New Roman" w:eastAsia="宋体" w:cs="Times New Roman"/>
                <w:color w:val="auto"/>
                <w:kern w:val="0"/>
                <w:sz w:val="20"/>
                <w:szCs w:val="15"/>
                <w:highlight w:val="none"/>
                <w:lang w:val="en-US" w:eastAsia="zh-CN" w:bidi="ar-SA"/>
              </w:rPr>
            </w:pPr>
            <w:r>
              <w:rPr>
                <w:rFonts w:hint="eastAsia" w:ascii="Times New Roman" w:hAnsi="Times New Roman" w:eastAsia="宋体" w:cs="Times New Roman"/>
                <w:color w:val="auto"/>
                <w:kern w:val="0"/>
                <w:sz w:val="20"/>
                <w:szCs w:val="15"/>
                <w:highlight w:val="none"/>
                <w:lang w:val="en-US" w:eastAsia="zh-CN"/>
              </w:rPr>
              <w:t>1</w:t>
            </w:r>
            <w:r>
              <w:rPr>
                <w:rFonts w:hint="default" w:ascii="Times New Roman" w:hAnsi="Times New Roman" w:eastAsia="宋体" w:cs="Times New Roman"/>
                <w:color w:val="auto"/>
                <w:kern w:val="0"/>
                <w:sz w:val="20"/>
                <w:szCs w:val="15"/>
                <w:highlight w:val="none"/>
              </w:rPr>
              <w:t>0~</w:t>
            </w:r>
            <w:r>
              <w:rPr>
                <w:rFonts w:hint="eastAsia" w:ascii="Times New Roman" w:hAnsi="Times New Roman" w:eastAsia="宋体" w:cs="Times New Roman"/>
                <w:color w:val="auto"/>
                <w:kern w:val="0"/>
                <w:sz w:val="20"/>
                <w:szCs w:val="15"/>
                <w:highlight w:val="none"/>
                <w:lang w:val="en-US" w:eastAsia="zh-CN"/>
              </w:rPr>
              <w:t>3</w:t>
            </w:r>
          </w:p>
        </w:tc>
        <w:tc>
          <w:tcPr>
            <w:tcW w:w="1137" w:type="dxa"/>
            <w:tcBorders>
              <w:left w:val="single" w:color="auto" w:sz="4" w:space="0"/>
              <w:tl2br w:val="nil"/>
              <w:tr2bl w:val="nil"/>
            </w:tcBorders>
            <w:noWrap w:val="0"/>
            <w:vAlign w:val="center"/>
          </w:tcPr>
          <w:p>
            <w:pPr>
              <w:adjustRightInd w:val="0"/>
              <w:snapToGrid w:val="0"/>
              <w:spacing w:line="300" w:lineRule="auto"/>
              <w:jc w:val="center"/>
              <w:rPr>
                <w:rFonts w:hint="default" w:ascii="Times New Roman" w:hAnsi="Times New Roman" w:eastAsia="宋体" w:cs="Times New Roman"/>
                <w:color w:val="auto"/>
                <w:kern w:val="0"/>
                <w:sz w:val="20"/>
                <w:szCs w:val="15"/>
                <w:highlight w:val="none"/>
                <w:lang w:val="en-US" w:eastAsia="zh-CN" w:bidi="ar-SA"/>
              </w:rPr>
            </w:pPr>
            <w:r>
              <w:rPr>
                <w:rFonts w:hint="eastAsia" w:ascii="Times New Roman" w:hAnsi="Times New Roman" w:eastAsia="宋体" w:cs="Times New Roman"/>
                <w:color w:val="auto"/>
                <w:kern w:val="0"/>
                <w:sz w:val="20"/>
                <w:szCs w:val="15"/>
                <w:highlight w:val="none"/>
                <w:lang w:val="en-US" w:eastAsia="zh-CN"/>
              </w:rPr>
              <w:t>60</w:t>
            </w:r>
            <w:r>
              <w:rPr>
                <w:rFonts w:hint="default" w:ascii="Times New Roman" w:hAnsi="Times New Roman" w:eastAsia="宋体" w:cs="Times New Roman"/>
                <w:color w:val="auto"/>
                <w:kern w:val="0"/>
                <w:sz w:val="20"/>
                <w:szCs w:val="15"/>
                <w:highlight w:val="none"/>
              </w:rPr>
              <w:t>~</w:t>
            </w:r>
            <w:r>
              <w:rPr>
                <w:rFonts w:hint="eastAsia" w:ascii="Times New Roman" w:hAnsi="Times New Roman" w:eastAsia="宋体" w:cs="Times New Roman"/>
                <w:color w:val="auto"/>
                <w:kern w:val="0"/>
                <w:sz w:val="20"/>
                <w:szCs w:val="15"/>
                <w:highlight w:val="none"/>
                <w:lang w:val="en-US" w:eastAsia="zh-CN"/>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488" w:type="dxa"/>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0"/>
                <w:sz w:val="20"/>
                <w:szCs w:val="15"/>
                <w:highlight w:val="none"/>
              </w:rPr>
            </w:pPr>
            <w:r>
              <w:rPr>
                <w:rFonts w:hint="default" w:ascii="Times New Roman" w:hAnsi="Times New Roman" w:eastAsia="宋体" w:cs="Times New Roman"/>
                <w:color w:val="auto"/>
                <w:kern w:val="0"/>
                <w:sz w:val="20"/>
                <w:szCs w:val="15"/>
                <w:highlight w:val="none"/>
              </w:rPr>
              <w:t>岩溶弱发育</w:t>
            </w:r>
          </w:p>
        </w:tc>
        <w:tc>
          <w:tcPr>
            <w:tcW w:w="1132" w:type="dxa"/>
            <w:tcBorders>
              <w:tl2br w:val="nil"/>
              <w:tr2bl w:val="nil"/>
            </w:tcBorders>
            <w:noWrap w:val="0"/>
            <w:vAlign w:val="center"/>
          </w:tcPr>
          <w:p>
            <w:pPr>
              <w:adjustRightInd w:val="0"/>
              <w:snapToGrid w:val="0"/>
              <w:spacing w:line="300" w:lineRule="auto"/>
              <w:jc w:val="center"/>
              <w:rPr>
                <w:rFonts w:hint="default" w:ascii="Times New Roman" w:hAnsi="Times New Roman" w:eastAsia="宋体" w:cs="Times New Roman"/>
                <w:color w:val="auto"/>
                <w:kern w:val="0"/>
                <w:sz w:val="20"/>
                <w:szCs w:val="15"/>
                <w:highlight w:val="none"/>
                <w:lang w:val="en-US" w:eastAsia="zh-CN" w:bidi="ar-SA"/>
              </w:rPr>
            </w:pPr>
            <w:r>
              <w:rPr>
                <w:rFonts w:hint="default" w:ascii="Times New Roman" w:hAnsi="Times New Roman" w:eastAsia="宋体" w:cs="Times New Roman"/>
                <w:color w:val="auto"/>
                <w:kern w:val="0"/>
                <w:sz w:val="20"/>
                <w:szCs w:val="15"/>
                <w:highlight w:val="none"/>
              </w:rPr>
              <w:t>&lt;</w:t>
            </w:r>
            <w:r>
              <w:rPr>
                <w:rFonts w:hint="eastAsia" w:ascii="Times New Roman" w:hAnsi="Times New Roman" w:eastAsia="宋体" w:cs="Times New Roman"/>
                <w:color w:val="auto"/>
                <w:kern w:val="0"/>
                <w:sz w:val="20"/>
                <w:szCs w:val="15"/>
                <w:highlight w:val="none"/>
                <w:lang w:val="en-US" w:eastAsia="zh-CN"/>
              </w:rPr>
              <w:t>5</w:t>
            </w:r>
          </w:p>
        </w:tc>
        <w:tc>
          <w:tcPr>
            <w:tcW w:w="1132" w:type="dxa"/>
            <w:tcBorders>
              <w:tl2br w:val="nil"/>
              <w:tr2bl w:val="nil"/>
            </w:tcBorders>
            <w:noWrap w:val="0"/>
            <w:vAlign w:val="center"/>
          </w:tcPr>
          <w:p>
            <w:pPr>
              <w:adjustRightInd w:val="0"/>
              <w:snapToGrid w:val="0"/>
              <w:spacing w:line="300" w:lineRule="auto"/>
              <w:jc w:val="center"/>
              <w:rPr>
                <w:rFonts w:hint="eastAsia" w:ascii="Times New Roman" w:hAnsi="Times New Roman" w:eastAsia="宋体" w:cs="Times New Roman"/>
                <w:color w:val="auto"/>
                <w:kern w:val="0"/>
                <w:sz w:val="20"/>
                <w:szCs w:val="15"/>
                <w:highlight w:val="none"/>
                <w:lang w:val="en-US" w:eastAsia="zh-CN" w:bidi="ar-SA"/>
              </w:rPr>
            </w:pPr>
            <w:r>
              <w:rPr>
                <w:rFonts w:hint="default" w:ascii="Times New Roman" w:hAnsi="Times New Roman" w:eastAsia="宋体" w:cs="Times New Roman"/>
                <w:color w:val="auto"/>
                <w:kern w:val="0"/>
                <w:sz w:val="20"/>
                <w:szCs w:val="15"/>
                <w:highlight w:val="none"/>
              </w:rPr>
              <w:t>&lt;1</w:t>
            </w:r>
            <w:r>
              <w:rPr>
                <w:rFonts w:hint="eastAsia" w:ascii="Times New Roman" w:hAnsi="Times New Roman" w:eastAsia="宋体" w:cs="Times New Roman"/>
                <w:color w:val="auto"/>
                <w:kern w:val="0"/>
                <w:sz w:val="20"/>
                <w:szCs w:val="15"/>
                <w:highlight w:val="none"/>
                <w:lang w:val="en-US" w:eastAsia="zh-CN"/>
              </w:rPr>
              <w:t>0</w:t>
            </w:r>
          </w:p>
        </w:tc>
        <w:tc>
          <w:tcPr>
            <w:tcW w:w="1132" w:type="dxa"/>
            <w:gridSpan w:val="2"/>
            <w:tcBorders>
              <w:tl2br w:val="nil"/>
              <w:tr2bl w:val="nil"/>
            </w:tcBorders>
            <w:noWrap w:val="0"/>
            <w:vAlign w:val="center"/>
          </w:tcPr>
          <w:p>
            <w:pPr>
              <w:adjustRightInd w:val="0"/>
              <w:snapToGrid w:val="0"/>
              <w:spacing w:line="300" w:lineRule="auto"/>
              <w:jc w:val="center"/>
              <w:rPr>
                <w:rFonts w:hint="eastAsia" w:ascii="Times New Roman" w:hAnsi="Times New Roman" w:eastAsia="宋体" w:cs="Times New Roman"/>
                <w:color w:val="auto"/>
                <w:kern w:val="0"/>
                <w:sz w:val="20"/>
                <w:szCs w:val="15"/>
                <w:highlight w:val="none"/>
                <w:lang w:val="en-US" w:eastAsia="zh-CN" w:bidi="ar-SA"/>
              </w:rPr>
            </w:pPr>
            <w:r>
              <w:rPr>
                <w:rFonts w:hint="default" w:ascii="Times New Roman" w:hAnsi="Times New Roman" w:eastAsia="宋体" w:cs="Times New Roman"/>
                <w:color w:val="auto"/>
                <w:kern w:val="0"/>
                <w:sz w:val="20"/>
                <w:szCs w:val="15"/>
                <w:highlight w:val="none"/>
              </w:rPr>
              <w:t>&lt;</w:t>
            </w:r>
            <w:r>
              <w:rPr>
                <w:rFonts w:hint="eastAsia" w:ascii="Times New Roman" w:hAnsi="Times New Roman" w:eastAsia="宋体" w:cs="Times New Roman"/>
                <w:color w:val="auto"/>
                <w:kern w:val="0"/>
                <w:sz w:val="20"/>
                <w:szCs w:val="15"/>
                <w:highlight w:val="none"/>
                <w:lang w:val="en-US" w:eastAsia="zh-CN"/>
              </w:rPr>
              <w:t>5</w:t>
            </w:r>
          </w:p>
        </w:tc>
        <w:tc>
          <w:tcPr>
            <w:tcW w:w="1132" w:type="dxa"/>
            <w:tcBorders>
              <w:right w:val="single" w:color="auto" w:sz="4" w:space="0"/>
              <w:tl2br w:val="nil"/>
              <w:tr2bl w:val="nil"/>
            </w:tcBorders>
            <w:noWrap w:val="0"/>
            <w:vAlign w:val="center"/>
          </w:tcPr>
          <w:p>
            <w:pPr>
              <w:adjustRightInd w:val="0"/>
              <w:snapToGrid w:val="0"/>
              <w:spacing w:line="300" w:lineRule="auto"/>
              <w:jc w:val="center"/>
              <w:rPr>
                <w:rFonts w:hint="default" w:ascii="Times New Roman" w:hAnsi="Times New Roman" w:eastAsia="宋体" w:cs="Times New Roman"/>
                <w:color w:val="auto"/>
                <w:kern w:val="0"/>
                <w:sz w:val="20"/>
                <w:szCs w:val="15"/>
                <w:highlight w:val="none"/>
                <w:lang w:val="en-US" w:eastAsia="zh-CN" w:bidi="ar-SA"/>
              </w:rPr>
            </w:pPr>
            <w:r>
              <w:rPr>
                <w:rFonts w:hint="default" w:ascii="Times New Roman" w:hAnsi="Times New Roman" w:eastAsia="宋体" w:cs="Times New Roman"/>
                <w:color w:val="auto"/>
                <w:kern w:val="0"/>
                <w:sz w:val="20"/>
                <w:szCs w:val="15"/>
                <w:highlight w:val="none"/>
              </w:rPr>
              <w:t>&lt;1</w:t>
            </w:r>
            <w:r>
              <w:rPr>
                <w:rFonts w:hint="eastAsia" w:ascii="Times New Roman" w:hAnsi="Times New Roman" w:eastAsia="宋体" w:cs="Times New Roman"/>
                <w:color w:val="auto"/>
                <w:kern w:val="0"/>
                <w:sz w:val="20"/>
                <w:szCs w:val="15"/>
                <w:highlight w:val="none"/>
                <w:lang w:val="en-US" w:eastAsia="zh-CN"/>
              </w:rPr>
              <w:t>5</w:t>
            </w:r>
          </w:p>
        </w:tc>
        <w:tc>
          <w:tcPr>
            <w:tcW w:w="1132" w:type="dxa"/>
            <w:gridSpan w:val="2"/>
            <w:tcBorders>
              <w:left w:val="single" w:color="auto" w:sz="4" w:space="0"/>
              <w:right w:val="single" w:color="auto" w:sz="4" w:space="0"/>
              <w:tl2br w:val="nil"/>
              <w:tr2bl w:val="nil"/>
            </w:tcBorders>
            <w:noWrap w:val="0"/>
            <w:vAlign w:val="center"/>
          </w:tcPr>
          <w:p>
            <w:pPr>
              <w:adjustRightInd w:val="0"/>
              <w:snapToGrid w:val="0"/>
              <w:spacing w:line="300" w:lineRule="auto"/>
              <w:jc w:val="center"/>
              <w:rPr>
                <w:rFonts w:hint="default" w:ascii="Times New Roman" w:hAnsi="Times New Roman" w:eastAsia="宋体" w:cs="Times New Roman"/>
                <w:color w:val="auto"/>
                <w:kern w:val="0"/>
                <w:sz w:val="20"/>
                <w:szCs w:val="15"/>
                <w:highlight w:val="none"/>
                <w:lang w:val="en-US" w:eastAsia="zh-CN" w:bidi="ar-SA"/>
              </w:rPr>
            </w:pPr>
            <w:r>
              <w:rPr>
                <w:rFonts w:hint="default" w:ascii="Times New Roman" w:hAnsi="Times New Roman" w:eastAsia="宋体" w:cs="Times New Roman"/>
                <w:color w:val="auto"/>
                <w:kern w:val="0"/>
                <w:sz w:val="20"/>
                <w:szCs w:val="15"/>
                <w:highlight w:val="none"/>
              </w:rPr>
              <w:t>&lt;</w:t>
            </w:r>
            <w:r>
              <w:rPr>
                <w:rFonts w:hint="eastAsia" w:ascii="Times New Roman" w:hAnsi="Times New Roman" w:eastAsia="宋体" w:cs="Times New Roman"/>
                <w:color w:val="auto"/>
                <w:kern w:val="0"/>
                <w:sz w:val="20"/>
                <w:szCs w:val="15"/>
                <w:highlight w:val="none"/>
                <w:lang w:val="en-US" w:eastAsia="zh-CN"/>
              </w:rPr>
              <w:t>3</w:t>
            </w:r>
          </w:p>
        </w:tc>
        <w:tc>
          <w:tcPr>
            <w:tcW w:w="1137" w:type="dxa"/>
            <w:tcBorders>
              <w:left w:val="single" w:color="auto" w:sz="4" w:space="0"/>
              <w:tl2br w:val="nil"/>
              <w:tr2bl w:val="nil"/>
            </w:tcBorders>
            <w:noWrap w:val="0"/>
            <w:vAlign w:val="center"/>
          </w:tcPr>
          <w:p>
            <w:pPr>
              <w:adjustRightInd w:val="0"/>
              <w:snapToGrid w:val="0"/>
              <w:spacing w:line="300" w:lineRule="auto"/>
              <w:jc w:val="center"/>
              <w:rPr>
                <w:rFonts w:hint="default" w:ascii="Times New Roman" w:hAnsi="Times New Roman" w:eastAsia="宋体" w:cs="Times New Roman"/>
                <w:color w:val="auto"/>
                <w:kern w:val="0"/>
                <w:sz w:val="20"/>
                <w:szCs w:val="15"/>
                <w:highlight w:val="none"/>
                <w:lang w:val="en-US" w:eastAsia="zh-CN" w:bidi="ar-SA"/>
              </w:rPr>
            </w:pPr>
            <w:r>
              <w:rPr>
                <w:rFonts w:hint="default" w:ascii="Times New Roman" w:hAnsi="Times New Roman" w:eastAsia="宋体" w:cs="Times New Roman"/>
                <w:color w:val="auto"/>
                <w:kern w:val="0"/>
                <w:sz w:val="20"/>
                <w:szCs w:val="15"/>
                <w:highlight w:val="none"/>
              </w:rPr>
              <w:t>&lt;</w:t>
            </w:r>
            <w:r>
              <w:rPr>
                <w:rFonts w:hint="eastAsia" w:ascii="Times New Roman" w:hAnsi="Times New Roman" w:eastAsia="宋体" w:cs="Times New Roman"/>
                <w:color w:val="auto"/>
                <w:kern w:val="0"/>
                <w:sz w:val="20"/>
                <w:szCs w:val="15"/>
                <w:highlight w:val="none"/>
                <w:lang w:val="en-US" w:eastAsia="zh-CN"/>
              </w:rPr>
              <w:t>30</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关于线岩溶率和钻孔见洞隙率的定义，国标和广东、广西的地方标准都不够严谨，容易产生歧义。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比如线岩溶率，国标和广西地方标准的定义是单位长度上岩溶空间形态长度的百分比，即：线岩溶率=钻孔所遇岩溶洞隙长度/钻孔穿过可溶岩的长度</w:t>
      </w:r>
      <w:r>
        <w:rPr>
          <w:rFonts w:hint="default" w:ascii="Times New Roman" w:hAnsi="Times New Roman" w:eastAsia="宋体"/>
          <w:color w:val="auto"/>
          <w:szCs w:val="21"/>
          <w:highlight w:val="none"/>
          <w:lang w:val="en-US" w:eastAsia="zh-CN"/>
        </w:rPr>
        <w:t>×</w:t>
      </w:r>
      <w:r>
        <w:rPr>
          <w:rFonts w:hint="eastAsia" w:ascii="Times New Roman" w:hAnsi="Times New Roman" w:eastAsia="宋体"/>
          <w:color w:val="auto"/>
          <w:szCs w:val="21"/>
          <w:highlight w:val="none"/>
          <w:lang w:val="en-US" w:eastAsia="zh-CN"/>
        </w:rPr>
        <w:t>100%；广东省地方标准的定义一样，表达式是：线岩溶率=（钻孔所遇溶洞、溶隙的长度）/（钻孔穿过碳酸盐岩的长度）</w:t>
      </w:r>
      <w:r>
        <w:rPr>
          <w:rFonts w:hint="default" w:ascii="Times New Roman" w:hAnsi="Times New Roman" w:eastAsia="宋体"/>
          <w:color w:val="auto"/>
          <w:szCs w:val="21"/>
          <w:highlight w:val="none"/>
          <w:lang w:val="en-US" w:eastAsia="zh-CN"/>
        </w:rPr>
        <w:t>×</w:t>
      </w:r>
      <w:r>
        <w:rPr>
          <w:rFonts w:hint="eastAsia" w:ascii="Times New Roman" w:hAnsi="Times New Roman" w:eastAsia="宋体"/>
          <w:color w:val="auto"/>
          <w:szCs w:val="21"/>
          <w:highlight w:val="none"/>
          <w:lang w:val="en-US" w:eastAsia="zh-CN"/>
        </w:rPr>
        <w:t>100%。这里可能存在歧义的是分母，即是否包含岩溶洞隙的长度。从表述上看，其表述是“穿过的长度”，而非“钻遇的长度”，因此应该是包含岩溶洞隙长度；但由于没有注明包括岩溶洞隙，在实际使用中可能还是会出现误用。故表14-1注3中加了（包括岩溶洞隙）的注释，以消除歧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而对于钻孔见洞隙率，也是分母不明确。一个场地，可能同时有可溶岩和非可溶岩，还有些钻孔深度较浅，并未入中微风化岩。因此，若以总的钻孔数为基数，那么算出来的见洞隙率就低，场地的岩溶发育强烈程度判定就可能出现偏差。故表14-1注4中写为“占钻遇可溶岩钻孔总数的百分比”，以消除歧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实际大型工程中，也可以分片、分区、分段、分工点判定岩岩溶率和钻孔见洞隙率。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对广州地区若干工程项目钻遇的岩溶情况统计分析表明，按以上三个标准判别岩溶发育强度，采用线岩溶率和钻孔见洞隙率得到的结果一致性较差，总体上广东省标准优于国标，国标优于</w:t>
      </w:r>
      <w:r>
        <w:rPr>
          <w:rFonts w:ascii="cmsicon" w:hAnsi="cmsicon" w:eastAsia="cmsicon" w:cs="cmsicon"/>
          <w:i w:val="0"/>
          <w:iCs w:val="0"/>
          <w:caps w:val="0"/>
          <w:color w:val="000000"/>
          <w:spacing w:val="0"/>
          <w:sz w:val="21"/>
          <w:szCs w:val="21"/>
          <w:shd w:val="clear" w:fill="FFFFFF"/>
        </w:rPr>
        <w:t>广西壮族自治区</w:t>
      </w:r>
      <w:r>
        <w:rPr>
          <w:rFonts w:hint="eastAsia"/>
          <w:color w:val="auto"/>
          <w:szCs w:val="21"/>
          <w:highlight w:val="none"/>
          <w:lang w:val="en-US" w:eastAsia="zh-CN"/>
        </w:rPr>
        <w:t>标准；而采用广东省标准的钻孔见洞隙率和</w:t>
      </w:r>
      <w:r>
        <w:rPr>
          <w:rFonts w:ascii="cmsicon" w:hAnsi="cmsicon" w:eastAsia="cmsicon" w:cs="cmsicon"/>
          <w:i w:val="0"/>
          <w:iCs w:val="0"/>
          <w:caps w:val="0"/>
          <w:color w:val="000000"/>
          <w:spacing w:val="0"/>
          <w:sz w:val="21"/>
          <w:szCs w:val="21"/>
          <w:shd w:val="clear" w:fill="FFFFFF"/>
        </w:rPr>
        <w:t>广西壮族自治区</w:t>
      </w:r>
      <w:r>
        <w:rPr>
          <w:rFonts w:hint="eastAsia"/>
          <w:color w:val="auto"/>
          <w:szCs w:val="21"/>
          <w:highlight w:val="none"/>
          <w:lang w:val="en-US" w:eastAsia="zh-CN"/>
        </w:rPr>
        <w:t>标准的线岩溶率判别，则结果的一致性是最好的，且跟工程所反映的复杂性也比较吻合。因此，推荐采用广东省标准的钻孔见洞隙率和</w:t>
      </w:r>
      <w:r>
        <w:rPr>
          <w:rFonts w:ascii="cmsicon" w:hAnsi="cmsicon" w:eastAsia="cmsicon" w:cs="cmsicon"/>
          <w:i w:val="0"/>
          <w:iCs w:val="0"/>
          <w:caps w:val="0"/>
          <w:color w:val="000000"/>
          <w:spacing w:val="0"/>
          <w:sz w:val="21"/>
          <w:szCs w:val="21"/>
          <w:shd w:val="clear" w:fill="FFFFFF"/>
        </w:rPr>
        <w:t>广西壮族自治区</w:t>
      </w:r>
      <w:r>
        <w:rPr>
          <w:rFonts w:hint="eastAsia"/>
          <w:color w:val="auto"/>
          <w:szCs w:val="21"/>
          <w:highlight w:val="none"/>
          <w:lang w:val="en-US" w:eastAsia="zh-CN"/>
        </w:rPr>
        <w:t>标准的线岩溶率判别广州地区岩溶的发育强度，其他地区若无经验可参考使用。</w:t>
      </w:r>
    </w:p>
    <w:p>
      <w:pPr>
        <w:spacing w:line="360" w:lineRule="auto"/>
        <w:rPr>
          <w:rFonts w:ascii="Times New Roman" w:hAnsi="Times New Roman" w:eastAsia="宋体"/>
          <w:color w:val="auto"/>
          <w:szCs w:val="21"/>
          <w:highlight w:val="none"/>
        </w:rPr>
      </w:pPr>
      <w:r>
        <w:rPr>
          <w:rFonts w:hint="eastAsia" w:ascii="Times New Roman" w:hAnsi="Times New Roman" w:eastAsia="宋体"/>
          <w:b/>
          <w:color w:val="auto"/>
          <w:szCs w:val="21"/>
          <w:highlight w:val="none"/>
          <w:shd w:val="clear" w:color="auto" w:fill="FFFFFF"/>
          <w:lang w:eastAsia="zh-CN"/>
        </w:rPr>
        <w:t>14</w:t>
      </w:r>
      <w:r>
        <w:rPr>
          <w:rFonts w:hint="eastAsia" w:ascii="Times New Roman" w:hAnsi="Times New Roman" w:eastAsia="宋体"/>
          <w:b/>
          <w:color w:val="auto"/>
          <w:szCs w:val="21"/>
          <w:highlight w:val="none"/>
          <w:shd w:val="clear" w:color="auto" w:fill="FFFFFF"/>
        </w:rPr>
        <w:t>.</w:t>
      </w:r>
      <w:r>
        <w:rPr>
          <w:rFonts w:ascii="Times New Roman" w:hAnsi="Times New Roman" w:eastAsia="宋体"/>
          <w:b/>
          <w:color w:val="auto"/>
          <w:szCs w:val="21"/>
          <w:highlight w:val="none"/>
          <w:shd w:val="clear" w:color="auto" w:fill="FFFFFF"/>
        </w:rPr>
        <w:t xml:space="preserve">2.2 </w:t>
      </w:r>
      <w:r>
        <w:rPr>
          <w:rFonts w:hint="eastAsia" w:ascii="Times New Roman" w:hAnsi="Times New Roman" w:eastAsia="宋体"/>
          <w:b/>
          <w:color w:val="auto"/>
          <w:szCs w:val="21"/>
          <w:highlight w:val="none"/>
          <w:shd w:val="clear" w:color="auto" w:fill="FFFFFF"/>
        </w:rPr>
        <w:t xml:space="preserve"> </w:t>
      </w:r>
      <w:r>
        <w:rPr>
          <w:rFonts w:hint="eastAsia" w:ascii="Times New Roman" w:hAnsi="Times New Roman" w:eastAsia="宋体"/>
          <w:color w:val="auto"/>
          <w:szCs w:val="21"/>
          <w:highlight w:val="none"/>
        </w:rPr>
        <w:t>浅基础施工勘察</w:t>
      </w:r>
      <w:r>
        <w:rPr>
          <w:rFonts w:hint="eastAsia" w:ascii="Times New Roman" w:hAnsi="Times New Roman" w:eastAsia="宋体"/>
          <w:color w:val="auto"/>
          <w:szCs w:val="21"/>
          <w:highlight w:val="none"/>
          <w:lang w:val="en-US" w:eastAsia="zh-CN"/>
        </w:rPr>
        <w:t>钻孔</w:t>
      </w:r>
      <w:r>
        <w:rPr>
          <w:rFonts w:ascii="Times New Roman" w:hAnsi="Times New Roman" w:eastAsia="宋体"/>
          <w:color w:val="auto"/>
          <w:szCs w:val="21"/>
          <w:highlight w:val="none"/>
        </w:rPr>
        <w:t>布置，</w:t>
      </w:r>
      <w:r>
        <w:rPr>
          <w:rFonts w:hint="eastAsia" w:ascii="Times New Roman" w:hAnsi="Times New Roman" w:eastAsia="宋体"/>
          <w:color w:val="auto"/>
          <w:szCs w:val="21"/>
          <w:highlight w:val="none"/>
          <w:lang w:val="en-US" w:eastAsia="zh-CN"/>
        </w:rPr>
        <w:t>需要</w:t>
      </w:r>
      <w:r>
        <w:rPr>
          <w:rFonts w:ascii="Times New Roman" w:hAnsi="Times New Roman" w:eastAsia="宋体"/>
          <w:color w:val="auto"/>
          <w:szCs w:val="21"/>
          <w:highlight w:val="none"/>
        </w:rPr>
        <w:t>满足</w:t>
      </w:r>
      <w:r>
        <w:rPr>
          <w:rFonts w:hint="eastAsia" w:ascii="Times New Roman" w:hAnsi="Times New Roman" w:eastAsia="宋体"/>
          <w:color w:val="auto"/>
          <w:szCs w:val="21"/>
          <w:highlight w:val="none"/>
          <w:lang w:val="en-US" w:eastAsia="zh-CN"/>
        </w:rPr>
        <w:t>施工阶段查明</w:t>
      </w:r>
      <w:r>
        <w:rPr>
          <w:rFonts w:ascii="Times New Roman" w:hAnsi="Times New Roman" w:eastAsia="宋体"/>
          <w:color w:val="auto"/>
          <w:szCs w:val="21"/>
          <w:highlight w:val="none"/>
        </w:rPr>
        <w:t>填土、软土</w:t>
      </w:r>
      <w:r>
        <w:rPr>
          <w:rFonts w:hint="eastAsia" w:ascii="Times New Roman" w:hAnsi="Times New Roman" w:eastAsia="宋体"/>
          <w:color w:val="auto"/>
          <w:szCs w:val="21"/>
          <w:highlight w:val="none"/>
          <w:lang w:val="en-US" w:eastAsia="zh-CN"/>
        </w:rPr>
        <w:t>和污染土的</w:t>
      </w:r>
      <w:r>
        <w:rPr>
          <w:rFonts w:ascii="Times New Roman" w:hAnsi="Times New Roman" w:eastAsia="宋体"/>
          <w:color w:val="auto"/>
          <w:szCs w:val="21"/>
          <w:highlight w:val="none"/>
        </w:rPr>
        <w:t>平面</w:t>
      </w:r>
      <w:r>
        <w:rPr>
          <w:rFonts w:hint="eastAsia" w:ascii="Times New Roman" w:hAnsi="Times New Roman" w:eastAsia="宋体"/>
          <w:color w:val="auto"/>
          <w:szCs w:val="21"/>
          <w:highlight w:val="none"/>
          <w:lang w:val="en-US" w:eastAsia="zh-CN"/>
        </w:rPr>
        <w:t>分布</w:t>
      </w:r>
      <w:r>
        <w:rPr>
          <w:rFonts w:ascii="Times New Roman" w:hAnsi="Times New Roman" w:eastAsia="宋体"/>
          <w:color w:val="auto"/>
          <w:szCs w:val="21"/>
          <w:highlight w:val="none"/>
        </w:rPr>
        <w:t>范围要求。由于填土、软土</w:t>
      </w:r>
      <w:r>
        <w:rPr>
          <w:rFonts w:hint="eastAsia" w:ascii="Times New Roman" w:hAnsi="Times New Roman" w:eastAsia="宋体"/>
          <w:color w:val="auto"/>
          <w:szCs w:val="21"/>
          <w:highlight w:val="none"/>
          <w:lang w:val="en-US" w:eastAsia="zh-CN"/>
        </w:rPr>
        <w:t>和污染土分布的界线</w:t>
      </w:r>
      <w:r>
        <w:rPr>
          <w:rFonts w:ascii="Times New Roman" w:hAnsi="Times New Roman" w:eastAsia="宋体"/>
          <w:color w:val="auto"/>
          <w:szCs w:val="21"/>
          <w:highlight w:val="none"/>
        </w:rPr>
        <w:t>无明显规律，为了较准确地</w:t>
      </w:r>
      <w:r>
        <w:rPr>
          <w:rFonts w:hint="eastAsia" w:ascii="Times New Roman" w:hAnsi="Times New Roman" w:eastAsia="宋体"/>
          <w:color w:val="auto"/>
          <w:szCs w:val="21"/>
          <w:highlight w:val="none"/>
          <w:lang w:val="en-US" w:eastAsia="zh-CN"/>
        </w:rPr>
        <w:t>查明分布界线，</w:t>
      </w:r>
      <w:r>
        <w:rPr>
          <w:rFonts w:ascii="Times New Roman" w:hAnsi="Times New Roman" w:eastAsia="宋体"/>
          <w:color w:val="auto"/>
          <w:szCs w:val="21"/>
          <w:highlight w:val="none"/>
        </w:rPr>
        <w:t>本</w:t>
      </w:r>
      <w:r>
        <w:rPr>
          <w:rFonts w:hint="eastAsia" w:ascii="Times New Roman" w:hAnsi="Times New Roman" w:eastAsia="宋体"/>
          <w:color w:val="auto"/>
          <w:szCs w:val="21"/>
          <w:highlight w:val="none"/>
          <w:lang w:val="en-US" w:eastAsia="zh-CN"/>
        </w:rPr>
        <w:t>规范</w:t>
      </w:r>
      <w:r>
        <w:rPr>
          <w:rFonts w:ascii="Times New Roman" w:hAnsi="Times New Roman" w:eastAsia="宋体"/>
          <w:color w:val="auto"/>
          <w:szCs w:val="21"/>
          <w:highlight w:val="none"/>
        </w:rPr>
        <w:t>规定控制边界的</w:t>
      </w:r>
      <w:r>
        <w:rPr>
          <w:rFonts w:hint="eastAsia" w:ascii="Times New Roman" w:hAnsi="Times New Roman" w:eastAsia="宋体"/>
          <w:color w:val="auto"/>
          <w:szCs w:val="21"/>
          <w:highlight w:val="none"/>
          <w:lang w:val="en-US" w:eastAsia="zh-CN"/>
        </w:rPr>
        <w:t>钻孔</w:t>
      </w:r>
      <w:r>
        <w:rPr>
          <w:rFonts w:ascii="Times New Roman" w:hAnsi="Times New Roman" w:eastAsia="宋体"/>
          <w:color w:val="auto"/>
          <w:szCs w:val="21"/>
          <w:highlight w:val="none"/>
        </w:rPr>
        <w:t>间距宜</w:t>
      </w:r>
      <w:r>
        <w:rPr>
          <w:rFonts w:hint="eastAsia" w:ascii="Times New Roman" w:hAnsi="Times New Roman" w:eastAsia="宋体"/>
          <w:color w:val="auto"/>
          <w:szCs w:val="21"/>
          <w:highlight w:val="none"/>
          <w:lang w:val="en-US" w:eastAsia="zh-CN"/>
        </w:rPr>
        <w:t>为</w:t>
      </w:r>
      <w:r>
        <w:rPr>
          <w:rFonts w:ascii="Times New Roman" w:hAnsi="Times New Roman" w:eastAsia="宋体"/>
          <w:color w:val="auto"/>
          <w:szCs w:val="21"/>
          <w:highlight w:val="none"/>
        </w:rPr>
        <w:t>2m～3m</w:t>
      </w:r>
      <w:r>
        <w:rPr>
          <w:rFonts w:hint="eastAsia" w:ascii="Times New Roman" w:hAnsi="Times New Roman" w:eastAsia="宋体"/>
          <w:color w:val="auto"/>
          <w:szCs w:val="21"/>
          <w:highlight w:val="none"/>
          <w:lang w:eastAsia="zh-CN"/>
        </w:rPr>
        <w:t>，</w:t>
      </w:r>
      <w:r>
        <w:rPr>
          <w:rFonts w:ascii="Times New Roman" w:hAnsi="Times New Roman" w:eastAsia="宋体"/>
          <w:color w:val="auto"/>
          <w:szCs w:val="21"/>
          <w:highlight w:val="none"/>
        </w:rPr>
        <w:t>对于边界以内的勘探点间距宜为8m～15m，具体间距根据地基复杂程度等级确定，</w:t>
      </w:r>
      <w:r>
        <w:rPr>
          <w:rFonts w:hint="eastAsia" w:ascii="Times New Roman" w:hAnsi="Times New Roman" w:eastAsia="宋体"/>
          <w:color w:val="auto"/>
          <w:szCs w:val="21"/>
          <w:highlight w:val="none"/>
          <w:lang w:val="en-US" w:eastAsia="zh-CN"/>
        </w:rPr>
        <w:t>地基</w:t>
      </w:r>
      <w:r>
        <w:rPr>
          <w:rFonts w:ascii="Times New Roman" w:hAnsi="Times New Roman" w:eastAsia="宋体"/>
          <w:color w:val="auto"/>
          <w:szCs w:val="21"/>
          <w:highlight w:val="none"/>
        </w:rPr>
        <w:t>复杂</w:t>
      </w:r>
      <w:r>
        <w:rPr>
          <w:rFonts w:hint="eastAsia" w:ascii="Times New Roman" w:hAnsi="Times New Roman" w:eastAsia="宋体"/>
          <w:color w:val="auto"/>
          <w:szCs w:val="21"/>
          <w:highlight w:val="none"/>
          <w:lang w:val="en-US" w:eastAsia="zh-CN"/>
        </w:rPr>
        <w:t>时</w:t>
      </w:r>
      <w:r>
        <w:rPr>
          <w:rFonts w:ascii="Times New Roman" w:hAnsi="Times New Roman" w:eastAsia="宋体"/>
          <w:color w:val="auto"/>
          <w:szCs w:val="21"/>
          <w:highlight w:val="none"/>
        </w:rPr>
        <w:t>取小值。</w:t>
      </w:r>
    </w:p>
    <w:p>
      <w:pPr>
        <w:spacing w:line="360" w:lineRule="auto"/>
        <w:rPr>
          <w:rFonts w:hint="default" w:ascii="Times New Roman" w:hAnsi="Times New Roman" w:eastAsia="宋体"/>
          <w:color w:val="auto"/>
          <w:kern w:val="0"/>
          <w:szCs w:val="21"/>
          <w:highlight w:val="none"/>
          <w:lang w:val="en-US" w:eastAsia="zh-CN"/>
        </w:rPr>
      </w:pPr>
      <w:r>
        <w:rPr>
          <w:rFonts w:hint="eastAsia" w:ascii="Times New Roman" w:hAnsi="Times New Roman" w:eastAsia="宋体"/>
          <w:b/>
          <w:bCs/>
          <w:color w:val="auto"/>
          <w:kern w:val="0"/>
          <w:szCs w:val="24"/>
          <w:highlight w:val="none"/>
          <w:lang w:eastAsia="zh-CN"/>
        </w:rPr>
        <w:t>14</w:t>
      </w:r>
      <w:r>
        <w:rPr>
          <w:rFonts w:hint="eastAsia" w:ascii="Times New Roman" w:hAnsi="Times New Roman" w:eastAsia="宋体"/>
          <w:b/>
          <w:bCs/>
          <w:color w:val="auto"/>
          <w:kern w:val="0"/>
          <w:szCs w:val="24"/>
          <w:highlight w:val="none"/>
        </w:rPr>
        <w:t>.</w:t>
      </w:r>
      <w:r>
        <w:rPr>
          <w:rFonts w:hint="eastAsia" w:ascii="Times New Roman" w:hAnsi="Times New Roman" w:eastAsia="宋体"/>
          <w:b/>
          <w:bCs/>
          <w:color w:val="auto"/>
          <w:kern w:val="0"/>
          <w:szCs w:val="24"/>
          <w:highlight w:val="none"/>
          <w:lang w:val="en-US" w:eastAsia="zh-CN"/>
        </w:rPr>
        <w:t>2</w:t>
      </w:r>
      <w:r>
        <w:rPr>
          <w:rFonts w:ascii="Times New Roman" w:hAnsi="Times New Roman" w:eastAsia="宋体"/>
          <w:b/>
          <w:bCs/>
          <w:color w:val="auto"/>
          <w:kern w:val="0"/>
          <w:szCs w:val="21"/>
          <w:highlight w:val="none"/>
        </w:rPr>
        <w:t>.</w:t>
      </w:r>
      <w:r>
        <w:rPr>
          <w:rFonts w:hint="eastAsia" w:ascii="Times New Roman" w:hAnsi="Times New Roman" w:eastAsia="宋体"/>
          <w:b/>
          <w:bCs/>
          <w:color w:val="auto"/>
          <w:kern w:val="0"/>
          <w:szCs w:val="21"/>
          <w:highlight w:val="none"/>
          <w:lang w:val="en-US" w:eastAsia="zh-CN"/>
        </w:rPr>
        <w:t>3</w:t>
      </w:r>
      <w:r>
        <w:rPr>
          <w:rFonts w:ascii="Times New Roman" w:hAnsi="Times New Roman" w:eastAsia="宋体"/>
          <w:b/>
          <w:bCs/>
          <w:color w:val="auto"/>
          <w:kern w:val="0"/>
          <w:szCs w:val="21"/>
          <w:highlight w:val="none"/>
        </w:rPr>
        <w:t xml:space="preserve">  </w:t>
      </w:r>
      <w:r>
        <w:rPr>
          <w:rFonts w:hint="eastAsia" w:ascii="Times New Roman" w:hAnsi="Times New Roman" w:eastAsia="宋体"/>
          <w:color w:val="auto"/>
          <w:kern w:val="0"/>
          <w:szCs w:val="21"/>
          <w:highlight w:val="none"/>
        </w:rPr>
        <w:t>本条规定与广东省标准《岩溶地区建筑地基基础技术规范》（DBJ/T 15-</w:t>
      </w:r>
      <w:r>
        <w:rPr>
          <w:rFonts w:hint="eastAsia" w:ascii="Times New Roman" w:hAnsi="Times New Roman" w:eastAsia="宋体"/>
          <w:color w:val="auto"/>
          <w:kern w:val="0"/>
          <w:szCs w:val="21"/>
          <w:highlight w:val="none"/>
          <w:lang w:eastAsia="zh-CN"/>
        </w:rPr>
        <w:t>1</w:t>
      </w:r>
      <w:r>
        <w:rPr>
          <w:rFonts w:hint="eastAsia" w:ascii="Times New Roman" w:hAnsi="Times New Roman" w:eastAsia="宋体"/>
          <w:color w:val="auto"/>
          <w:kern w:val="0"/>
          <w:szCs w:val="21"/>
          <w:highlight w:val="none"/>
          <w:lang w:val="en-US" w:eastAsia="zh-CN"/>
        </w:rPr>
        <w:t>3</w:t>
      </w:r>
      <w:r>
        <w:rPr>
          <w:rFonts w:hint="eastAsia" w:ascii="Times New Roman" w:hAnsi="Times New Roman" w:eastAsia="宋体"/>
          <w:color w:val="auto"/>
          <w:kern w:val="0"/>
          <w:szCs w:val="21"/>
          <w:highlight w:val="none"/>
        </w:rPr>
        <w:t>6）</w:t>
      </w:r>
      <w:r>
        <w:rPr>
          <w:rFonts w:hint="eastAsia" w:ascii="Times New Roman" w:hAnsi="Times New Roman" w:eastAsia="宋体"/>
          <w:color w:val="auto"/>
          <w:kern w:val="0"/>
          <w:szCs w:val="21"/>
          <w:highlight w:val="none"/>
          <w:lang w:val="en-US" w:eastAsia="zh-CN"/>
        </w:rPr>
        <w:t>基本</w:t>
      </w:r>
      <w:r>
        <w:rPr>
          <w:rFonts w:hint="eastAsia" w:ascii="Times New Roman" w:hAnsi="Times New Roman" w:eastAsia="宋体"/>
          <w:color w:val="auto"/>
          <w:kern w:val="0"/>
          <w:szCs w:val="21"/>
          <w:highlight w:val="none"/>
        </w:rPr>
        <w:t>一致。</w:t>
      </w:r>
      <w:r>
        <w:rPr>
          <w:rFonts w:hint="eastAsia" w:ascii="Times New Roman" w:hAnsi="Times New Roman" w:eastAsia="宋体"/>
          <w:color w:val="auto"/>
          <w:kern w:val="0"/>
          <w:szCs w:val="21"/>
          <w:highlight w:val="none"/>
          <w:lang w:val="en-US" w:eastAsia="zh-CN"/>
        </w:rPr>
        <w:t>其中，大直径桩指的是直径</w:t>
      </w:r>
      <w:r>
        <w:rPr>
          <w:rFonts w:hint="eastAsia" w:ascii="Times New Roman" w:hAnsi="Times New Roman" w:eastAsia="宋体"/>
          <w:i/>
          <w:iCs/>
          <w:color w:val="auto"/>
          <w:kern w:val="0"/>
          <w:szCs w:val="21"/>
          <w:highlight w:val="none"/>
          <w:lang w:val="en-US" w:eastAsia="zh-CN"/>
        </w:rPr>
        <w:t>d</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lang w:val="en-US" w:eastAsia="zh-CN"/>
        </w:rPr>
        <w:t>800mm</w:t>
      </w:r>
      <w:r>
        <w:rPr>
          <w:rFonts w:hint="eastAsia" w:ascii="Times New Roman" w:hAnsi="Times New Roman" w:eastAsia="宋体" w:cs="Times New Roman"/>
          <w:color w:val="auto"/>
          <w:szCs w:val="24"/>
          <w:highlight w:val="none"/>
          <w:lang w:val="en-US" w:eastAsia="zh-CN"/>
        </w:rPr>
        <w:t>的工程桩。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olor w:val="auto"/>
          <w:szCs w:val="21"/>
          <w:highlight w:val="none"/>
          <w:shd w:val="clear" w:color="auto" w:fill="FFFFFF"/>
          <w:lang w:val="en-US" w:eastAsia="zh-CN"/>
        </w:rPr>
      </w:pPr>
      <w:r>
        <w:rPr>
          <w:rFonts w:hint="eastAsia" w:ascii="Times New Roman" w:hAnsi="Times New Roman" w:eastAsia="宋体"/>
          <w:color w:val="auto"/>
          <w:szCs w:val="21"/>
          <w:highlight w:val="none"/>
          <w:shd w:val="clear" w:color="auto" w:fill="FFFFFF"/>
          <w:lang w:val="en-US" w:eastAsia="zh-CN"/>
        </w:rPr>
        <w:t>近年工程实践经验表明，岩溶中等及强烈发育的场地大直径嵌岩桩工程，采用“一桩一孔”勘察成果进行设计和施工时，仍然存在安全风险。广东省标准《岩溶地区地基基础技术规范》（</w:t>
      </w:r>
      <w:r>
        <w:rPr>
          <w:rFonts w:hint="eastAsia" w:ascii="Times New Roman" w:hAnsi="Times New Roman" w:eastAsia="宋体"/>
          <w:color w:val="auto"/>
          <w:kern w:val="0"/>
          <w:szCs w:val="21"/>
          <w:highlight w:val="none"/>
        </w:rPr>
        <w:t>DBJ/T 15-</w:t>
      </w:r>
      <w:r>
        <w:rPr>
          <w:rFonts w:hint="eastAsia" w:ascii="Times New Roman" w:hAnsi="Times New Roman" w:eastAsia="宋体"/>
          <w:color w:val="auto"/>
          <w:kern w:val="0"/>
          <w:szCs w:val="21"/>
          <w:highlight w:val="none"/>
          <w:lang w:eastAsia="zh-CN"/>
        </w:rPr>
        <w:t>1</w:t>
      </w:r>
      <w:r>
        <w:rPr>
          <w:rFonts w:hint="eastAsia" w:ascii="Times New Roman" w:hAnsi="Times New Roman" w:eastAsia="宋体"/>
          <w:color w:val="auto"/>
          <w:kern w:val="0"/>
          <w:szCs w:val="21"/>
          <w:highlight w:val="none"/>
          <w:lang w:val="en-US" w:eastAsia="zh-CN"/>
        </w:rPr>
        <w:t>3</w:t>
      </w:r>
      <w:r>
        <w:rPr>
          <w:rFonts w:hint="eastAsia" w:ascii="Times New Roman" w:hAnsi="Times New Roman" w:eastAsia="宋体"/>
          <w:color w:val="auto"/>
          <w:kern w:val="0"/>
          <w:szCs w:val="21"/>
          <w:highlight w:val="none"/>
        </w:rPr>
        <w:t>6</w:t>
      </w:r>
      <w:r>
        <w:rPr>
          <w:rFonts w:hint="eastAsia" w:ascii="Times New Roman" w:hAnsi="Times New Roman" w:eastAsia="宋体"/>
          <w:color w:val="auto"/>
          <w:kern w:val="0"/>
          <w:szCs w:val="21"/>
          <w:highlight w:val="none"/>
          <w:lang w:val="en-US" w:eastAsia="zh-CN"/>
        </w:rPr>
        <w:t>-2018</w:t>
      </w:r>
      <w:r>
        <w:rPr>
          <w:rFonts w:hint="eastAsia" w:ascii="Times New Roman" w:hAnsi="Times New Roman" w:eastAsia="宋体"/>
          <w:color w:val="auto"/>
          <w:szCs w:val="21"/>
          <w:highlight w:val="none"/>
          <w:shd w:val="clear" w:color="auto" w:fill="FFFFFF"/>
          <w:lang w:val="en-US" w:eastAsia="zh-CN"/>
        </w:rPr>
        <w:t>）规定了岩溶</w:t>
      </w:r>
      <w:r>
        <w:rPr>
          <w:rFonts w:ascii="Times New Roman" w:hAnsi="Times New Roman" w:eastAsia="宋体"/>
          <w:color w:val="auto"/>
          <w:kern w:val="0"/>
          <w:szCs w:val="24"/>
          <w:highlight w:val="none"/>
        </w:rPr>
        <w:t>中等</w:t>
      </w:r>
      <w:r>
        <w:rPr>
          <w:rFonts w:hint="eastAsia" w:ascii="Times New Roman" w:hAnsi="Times New Roman" w:eastAsia="宋体"/>
          <w:color w:val="auto"/>
          <w:kern w:val="0"/>
          <w:szCs w:val="24"/>
          <w:highlight w:val="none"/>
          <w:lang w:val="en-US" w:eastAsia="zh-CN"/>
        </w:rPr>
        <w:t>发育和</w:t>
      </w:r>
      <w:r>
        <w:rPr>
          <w:rFonts w:hint="eastAsia" w:ascii="Times New Roman" w:hAnsi="Times New Roman" w:eastAsia="宋体"/>
          <w:color w:val="auto"/>
          <w:szCs w:val="24"/>
          <w:highlight w:val="none"/>
          <w:lang w:val="en-US" w:eastAsia="zh-CN"/>
        </w:rPr>
        <w:t>强烈发育场地的</w:t>
      </w:r>
      <w:r>
        <w:rPr>
          <w:rFonts w:hint="eastAsia" w:ascii="Times New Roman" w:hAnsi="Times New Roman" w:eastAsia="宋体"/>
          <w:color w:val="auto"/>
          <w:szCs w:val="21"/>
          <w:highlight w:val="none"/>
          <w:shd w:val="clear" w:color="auto" w:fill="FFFFFF"/>
          <w:lang w:val="en-US" w:eastAsia="zh-CN"/>
        </w:rPr>
        <w:t>大直径嵌岩桩，应采用一桩多孔或单孔辅以孔中物探进行勘察。本条对于一桩多孔法的钻孔数量规定与其一致。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olor w:val="auto"/>
          <w:szCs w:val="21"/>
          <w:highlight w:val="none"/>
          <w:shd w:val="clear" w:color="auto" w:fill="FFFFFF"/>
          <w:lang w:val="en-US" w:eastAsia="zh-CN"/>
        </w:rPr>
      </w:pPr>
      <w:r>
        <w:rPr>
          <w:rFonts w:hint="eastAsia" w:ascii="Times New Roman" w:hAnsi="Times New Roman" w:eastAsia="宋体"/>
          <w:color w:val="auto"/>
          <w:szCs w:val="21"/>
          <w:highlight w:val="none"/>
          <w:shd w:val="clear" w:color="auto" w:fill="FFFFFF"/>
          <w:lang w:val="en-US" w:eastAsia="zh-CN"/>
        </w:rPr>
        <w:t>根据广东省地质物探工程勘察院提供的统计数据，截至2021年，管波法已经在全国超百家勘察设计单位，近十多年来在高层建筑、高速公路、高速铁路、水运工程、城市轨道交通等领域已应用超千项工程，超过30万根基桩岩溶勘察的实施验证，广东省也有10余家勘察设计单位，近十多年来在高层建筑、高速公路、城市轨道交通等领域应用超过6万根基桩。现在，管波法已是一种同行业专家、学者公认的理论成熟、依据充分、勘探效果显著的孔中物探方法，替代“一桩多孔”钻探，显著节约投资与工期，取得良好的经济效益和社会效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olor w:val="auto"/>
          <w:szCs w:val="21"/>
          <w:highlight w:val="none"/>
          <w:shd w:val="clear" w:color="auto" w:fill="FFFFFF"/>
          <w:lang w:val="en-US" w:eastAsia="zh-CN"/>
        </w:rPr>
      </w:pPr>
      <w:r>
        <w:rPr>
          <w:rFonts w:hint="eastAsia" w:ascii="Times New Roman" w:hAnsi="Times New Roman" w:eastAsia="宋体"/>
          <w:color w:val="auto"/>
          <w:szCs w:val="21"/>
          <w:highlight w:val="none"/>
          <w:shd w:val="clear" w:color="auto" w:fill="FFFFFF"/>
          <w:lang w:val="en-US" w:eastAsia="zh-CN"/>
        </w:rPr>
        <w:t>管波法应用于岩溶区嵌岩桩桩位岩溶探测，一般与桩位超前钻探同步进行。其利用桩位中心的一个超前钻孔，即可快速、准确、全面查明整个桩位的岩溶发育情况，评价基桩持力层岩土性状，指导基桩设计和施工。其有效探测直径约2m，可分辨大于0.3m的孔旁岩溶、软弱岩层及裂隙发育带，定位误差小于0.3m。实施验证表明，管波法具有可靠性高、分辨能力强、精度高、快速、准确等优点，对桩径2m以内的桩，“一孔一管波”可覆盖整个桩位。考虑到钻孔位置可能略有偏差，“桩中心”按距离桩理论几何中心15cm之内的范围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olor w:val="auto"/>
          <w:szCs w:val="21"/>
          <w:highlight w:val="none"/>
          <w:shd w:val="clear" w:color="auto" w:fill="FFFFFF"/>
          <w:lang w:val="en-US" w:eastAsia="zh-CN"/>
        </w:rPr>
      </w:pPr>
      <w:r>
        <w:rPr>
          <w:rFonts w:hint="eastAsia" w:ascii="Times New Roman" w:hAnsi="Times New Roman" w:eastAsia="宋体"/>
          <w:color w:val="auto"/>
          <w:szCs w:val="21"/>
          <w:highlight w:val="none"/>
          <w:shd w:val="clear" w:color="auto" w:fill="FFFFFF"/>
          <w:lang w:val="en-US" w:eastAsia="zh-CN"/>
        </w:rPr>
        <w:t>则如图14（a）所示，对桩径1.8m的桩，管波法可有效覆盖95%以上桩位，故表</w:t>
      </w:r>
      <w:r>
        <w:rPr>
          <w:rFonts w:hint="eastAsia" w:ascii="Times New Roman" w:hAnsi="Times New Roman" w:eastAsia="宋体"/>
          <w:color w:val="auto"/>
          <w:kern w:val="0"/>
          <w:szCs w:val="24"/>
          <w:highlight w:val="none"/>
          <w:lang w:eastAsia="zh-CN"/>
        </w:rPr>
        <w:t>14</w:t>
      </w:r>
      <w:r>
        <w:rPr>
          <w:rFonts w:hint="eastAsia" w:ascii="Times New Roman" w:hAnsi="Times New Roman" w:eastAsia="宋体"/>
          <w:color w:val="auto"/>
          <w:kern w:val="0"/>
          <w:szCs w:val="24"/>
          <w:highlight w:val="none"/>
        </w:rPr>
        <w:t>.</w:t>
      </w:r>
      <w:r>
        <w:rPr>
          <w:rFonts w:hint="eastAsia" w:ascii="Times New Roman" w:hAnsi="Times New Roman" w:eastAsia="宋体"/>
          <w:color w:val="auto"/>
          <w:kern w:val="0"/>
          <w:szCs w:val="24"/>
          <w:highlight w:val="none"/>
          <w:lang w:val="en-US" w:eastAsia="zh-CN"/>
        </w:rPr>
        <w:t>2.</w:t>
      </w:r>
      <w:r>
        <w:rPr>
          <w:rFonts w:ascii="Times New Roman" w:hAnsi="Times New Roman" w:eastAsia="宋体"/>
          <w:color w:val="auto"/>
          <w:kern w:val="0"/>
          <w:szCs w:val="24"/>
          <w:highlight w:val="none"/>
        </w:rPr>
        <w:t>3</w:t>
      </w:r>
      <w:r>
        <w:rPr>
          <w:rFonts w:hint="eastAsia" w:ascii="Times New Roman" w:hAnsi="Times New Roman" w:eastAsia="宋体"/>
          <w:color w:val="auto"/>
          <w:kern w:val="0"/>
          <w:szCs w:val="24"/>
          <w:highlight w:val="none"/>
          <w:lang w:val="en-US" w:eastAsia="zh-CN"/>
        </w:rPr>
        <w:t>-2</w:t>
      </w:r>
      <w:r>
        <w:rPr>
          <w:rFonts w:hint="eastAsia" w:ascii="Times New Roman" w:hAnsi="Times New Roman" w:eastAsia="宋体"/>
          <w:color w:val="auto"/>
          <w:szCs w:val="21"/>
          <w:highlight w:val="none"/>
          <w:shd w:val="clear" w:color="auto" w:fill="FFFFFF"/>
          <w:lang w:val="en-US" w:eastAsia="zh-CN"/>
        </w:rPr>
        <w:t>取1.8m桩径为一孔一管波的上限桩径。而类似地，按照本条规定的多孔布置方式“</w:t>
      </w:r>
      <w:r>
        <w:rPr>
          <w:rFonts w:ascii="Times New Roman" w:hAnsi="Times New Roman" w:eastAsia="宋体"/>
          <w:color w:val="auto"/>
          <w:kern w:val="0"/>
          <w:szCs w:val="24"/>
          <w:highlight w:val="none"/>
        </w:rPr>
        <w:t>在距桩中心1/4~1/3桩径范围内均匀对称布置</w:t>
      </w:r>
      <w:r>
        <w:rPr>
          <w:rFonts w:hint="eastAsia" w:ascii="Times New Roman" w:hAnsi="Times New Roman" w:eastAsia="宋体"/>
          <w:color w:val="auto"/>
          <w:kern w:val="0"/>
          <w:szCs w:val="24"/>
          <w:highlight w:val="none"/>
          <w:lang w:eastAsia="zh-CN"/>
        </w:rPr>
        <w:t>”</w:t>
      </w:r>
      <w:r>
        <w:rPr>
          <w:rFonts w:hint="eastAsia" w:ascii="Times New Roman" w:hAnsi="Times New Roman" w:eastAsia="宋体"/>
          <w:color w:val="auto"/>
          <w:szCs w:val="21"/>
          <w:highlight w:val="none"/>
          <w:shd w:val="clear" w:color="auto" w:fill="FFFFFF"/>
          <w:lang w:val="en-US" w:eastAsia="zh-CN"/>
        </w:rPr>
        <w:t>，如图14（b）所示，对桩径2.1m的桩，管波法可有效覆盖约90%以上桩位，故表</w:t>
      </w:r>
      <w:r>
        <w:rPr>
          <w:rFonts w:hint="eastAsia" w:ascii="Times New Roman" w:hAnsi="Times New Roman" w:eastAsia="宋体"/>
          <w:color w:val="auto"/>
          <w:kern w:val="0"/>
          <w:szCs w:val="24"/>
          <w:highlight w:val="none"/>
          <w:lang w:eastAsia="zh-CN"/>
        </w:rPr>
        <w:t>14</w:t>
      </w:r>
      <w:r>
        <w:rPr>
          <w:rFonts w:hint="eastAsia" w:ascii="Times New Roman" w:hAnsi="Times New Roman" w:eastAsia="宋体"/>
          <w:color w:val="auto"/>
          <w:kern w:val="0"/>
          <w:szCs w:val="24"/>
          <w:highlight w:val="none"/>
        </w:rPr>
        <w:t>.</w:t>
      </w:r>
      <w:r>
        <w:rPr>
          <w:rFonts w:hint="eastAsia" w:ascii="Times New Roman" w:hAnsi="Times New Roman" w:eastAsia="宋体"/>
          <w:color w:val="auto"/>
          <w:kern w:val="0"/>
          <w:szCs w:val="24"/>
          <w:highlight w:val="none"/>
          <w:lang w:val="en-US" w:eastAsia="zh-CN"/>
        </w:rPr>
        <w:t>2.</w:t>
      </w:r>
      <w:r>
        <w:rPr>
          <w:rFonts w:ascii="Times New Roman" w:hAnsi="Times New Roman" w:eastAsia="宋体"/>
          <w:color w:val="auto"/>
          <w:kern w:val="0"/>
          <w:szCs w:val="24"/>
          <w:highlight w:val="none"/>
        </w:rPr>
        <w:t>3</w:t>
      </w:r>
      <w:r>
        <w:rPr>
          <w:rFonts w:hint="eastAsia" w:ascii="Times New Roman" w:hAnsi="Times New Roman" w:eastAsia="宋体"/>
          <w:color w:val="auto"/>
          <w:kern w:val="0"/>
          <w:szCs w:val="24"/>
          <w:highlight w:val="none"/>
          <w:lang w:val="en-US" w:eastAsia="zh-CN"/>
        </w:rPr>
        <w:t>-2</w:t>
      </w:r>
      <w:r>
        <w:rPr>
          <w:rFonts w:hint="eastAsia" w:ascii="Times New Roman" w:hAnsi="Times New Roman" w:eastAsia="宋体"/>
          <w:color w:val="auto"/>
          <w:szCs w:val="21"/>
          <w:highlight w:val="none"/>
          <w:shd w:val="clear" w:color="auto" w:fill="FFFFFF"/>
          <w:lang w:val="en-US" w:eastAsia="zh-CN"/>
        </w:rPr>
        <w:t>取2.1m桩径为两孔两管波的上限桩径。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olor w:val="auto"/>
          <w:szCs w:val="21"/>
          <w:highlight w:val="none"/>
          <w:shd w:val="clear" w:color="auto" w:fill="FFFFFF"/>
          <w:lang w:val="en-US" w:eastAsia="zh-CN"/>
        </w:rPr>
      </w:pPr>
      <w:r>
        <w:rPr>
          <w:color w:val="auto"/>
          <w:sz w:val="21"/>
          <w:highlight w:val="none"/>
        </w:rPr>
        <mc:AlternateContent>
          <mc:Choice Requires="wpg">
            <w:drawing>
              <wp:anchor distT="0" distB="0" distL="114300" distR="114300" simplePos="0" relativeHeight="251700224" behindDoc="0" locked="0" layoutInCell="1" allowOverlap="1">
                <wp:simplePos x="0" y="0"/>
                <wp:positionH relativeFrom="column">
                  <wp:posOffset>-99611180</wp:posOffset>
                </wp:positionH>
                <wp:positionV relativeFrom="paragraph">
                  <wp:posOffset>-254278130</wp:posOffset>
                </wp:positionV>
                <wp:extent cx="204018515" cy="215995885"/>
                <wp:effectExtent l="0" t="0" r="0" b="0"/>
                <wp:wrapNone/>
                <wp:docPr id="118" name="组合 118"/>
                <wp:cNvGraphicFramePr/>
                <a:graphic xmlns:a="http://schemas.openxmlformats.org/drawingml/2006/main">
                  <a:graphicData uri="http://schemas.microsoft.com/office/word/2010/wordprocessingGroup">
                    <wpg:wgp>
                      <wpg:cNvGrpSpPr/>
                      <wpg:grpSpPr>
                        <a:xfrm rot="18960000">
                          <a:off x="0" y="0"/>
                          <a:ext cx="204018515" cy="215995885"/>
                          <a:chOff x="3840" y="923821"/>
                          <a:chExt cx="321289" cy="340151"/>
                        </a:xfrm>
                      </wpg:grpSpPr>
                      <wps:wsp>
                        <wps:cNvPr id="120" name="文本框 94"/>
                        <wps:cNvSpPr txBox="1"/>
                        <wps:spPr>
                          <a:xfrm>
                            <a:off x="3840" y="1262302"/>
                            <a:ext cx="983" cy="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lang w:val="en-US" w:eastAsia="zh-CN"/>
                                </w:rPr>
                              </w:pPr>
                              <w:r>
                                <w:rPr>
                                  <w:rFonts w:hint="eastAsia"/>
                                  <w:lang w:val="en-US" w:eastAsia="zh-CN"/>
                                </w:rPr>
                                <w:t>1.05m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 name="文本框 104"/>
                        <wps:cNvSpPr txBox="1"/>
                        <wps:spPr>
                          <a:xfrm rot="2640000">
                            <a:off x="5192" y="1263124"/>
                            <a:ext cx="645" cy="34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eastAsia="等线"/>
                                  <w:lang w:val="en-US" w:eastAsia="zh-CN"/>
                                </w:rPr>
                              </w:pPr>
                              <w:r>
                                <w:rPr>
                                  <w:rFonts w:hint="eastAsia"/>
                                  <w:lang w:val="en-US" w:eastAsia="zh-CN"/>
                                </w:rPr>
                                <w:t>钻孔2</w:t>
                              </w:r>
                            </w:p>
                          </w:txbxContent>
                        </wps:txbx>
                        <wps:bodyPr rot="0" spcFirstLastPara="0" vertOverflow="overflow" horzOverflow="overflow" vert="horz" wrap="square" lIns="0" tIns="0" rIns="0" bIns="0" numCol="1" spcCol="0" rtlCol="0" fromWordArt="0" anchor="t" anchorCtr="0" forceAA="0" compatLnSpc="1">
                          <a:noAutofit/>
                        </wps:bodyPr>
                      </wps:wsp>
                      <wps:wsp>
                        <wps:cNvPr id="124" name="椭圆 52"/>
                        <wps:cNvSpPr/>
                        <wps:spPr>
                          <a:xfrm>
                            <a:off x="3893" y="1261185"/>
                            <a:ext cx="2369" cy="236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5" name="直接连接符 81"/>
                        <wps:cNvCnPr/>
                        <wps:spPr>
                          <a:xfrm>
                            <a:off x="3882" y="1262373"/>
                            <a:ext cx="1245" cy="24"/>
                          </a:xfrm>
                          <a:prstGeom prst="line">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27" name="椭圆 51"/>
                        <wps:cNvSpPr/>
                        <wps:spPr>
                          <a:xfrm rot="2640000">
                            <a:off x="4502" y="1261798"/>
                            <a:ext cx="2174" cy="2174"/>
                          </a:xfrm>
                          <a:prstGeom prst="ellipse">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8" name="直接连接符 96"/>
                        <wps:cNvCnPr/>
                        <wps:spPr>
                          <a:xfrm flipH="1">
                            <a:off x="5565" y="1262880"/>
                            <a:ext cx="45" cy="2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9" name="直接连接符 112"/>
                        <wps:cNvCnPr>
                          <a:stCxn id="122" idx="1"/>
                        </wps:cNvCnPr>
                        <wps:spPr>
                          <a:xfrm flipH="1" flipV="1">
                            <a:off x="324848" y="923821"/>
                            <a:ext cx="281" cy="118"/>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7843.4pt;margin-top:-20021.9pt;height:17007.55pt;width:16064.45pt;rotation:-2883584f;z-index:251700224;mso-width-relative:page;mso-height-relative:page;" coordorigin="3840,923821" coordsize="321289,340151" o:gfxdata="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">
                <o:lock v:ext="edit" aspectratio="f"/>
                <v:shape id="文本框 94" o:spid="_x0000_s1026" o:spt="202" type="#_x0000_t202" style="position:absolute;left:3840;top:1262302;height:420;width:983;" fillcolor="#FFFFFF [3201]" filled="t" stroked="f" coordsize="21600,21600" o:gfxdata="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LwYl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rPr>
                            <w:rFonts w:hint="default" w:eastAsia="等线"/>
                            <w:lang w:val="en-US" w:eastAsia="zh-CN"/>
                          </w:rPr>
                        </w:pPr>
                        <w:r>
                          <w:rPr>
                            <w:rFonts w:hint="eastAsia"/>
                            <w:lang w:val="en-US" w:eastAsia="zh-CN"/>
                          </w:rPr>
                          <w:t>1.05m</w:t>
                        </w:r>
                      </w:p>
                    </w:txbxContent>
                  </v:textbox>
                </v:shape>
                <v:shape id="文本框 104" o:spid="_x0000_s1026" o:spt="202" type="#_x0000_t202" style="position:absolute;left:5192;top:1263124;height:344;width:645;rotation:2883584f;" fillcolor="#FFFFFF [3201]" filled="t" stroked="f" coordsize="21600,21600" o:gfxdata="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QqGOvQAA&#10;ANwAAAAPAAAAAAAAAAEAIAAAACIAAABkcnMvZG93bnJldi54bWxQSwECFAAUAAAACACHTuJAMy8F&#10;njsAAAA5AAAAEAAAAAAAAAABACAAAAAMAQAAZHJzL3NoYXBleG1sLnhtbFBLBQYAAAAABgAGAFsB&#10;AAC2AwAAAAA=&#10;">
                  <v:fill on="t" focussize="0,0"/>
                  <v:stroke on="f" weight="0.5pt"/>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eastAsia="等线"/>
                            <w:lang w:val="en-US" w:eastAsia="zh-CN"/>
                          </w:rPr>
                        </w:pPr>
                        <w:r>
                          <w:rPr>
                            <w:rFonts w:hint="eastAsia"/>
                            <w:lang w:val="en-US" w:eastAsia="zh-CN"/>
                          </w:rPr>
                          <w:t>钻孔2</w:t>
                        </w:r>
                      </w:p>
                    </w:txbxContent>
                  </v:textbox>
                </v:shape>
                <v:shape id="椭圆 52" o:spid="_x0000_s1026" o:spt="3" type="#_x0000_t3" style="position:absolute;left:3893;top:1261185;height:2369;width:2369;v-text-anchor:middle;" filled="f" stroked="t" coordsize="21600,21600" o:gfxdata="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y0zZugAAANwA&#10;AAAPAAAAAAAAAAEAIAAAACIAAABkcnMvZG93bnJldi54bWxQSwECFAAUAAAACACHTuJAMy8FnjsA&#10;AAA5AAAAEAAAAAAAAAABACAAAAAJAQAAZHJzL3NoYXBleG1sLnhtbFBLBQYAAAAABgAGAFsBAACz&#10;AwAAAAA=&#10;">
                  <v:fill on="f" focussize="0,0"/>
                  <v:stroke weight="1pt" color="#2F528F [3204]" miterlimit="8" joinstyle="miter"/>
                  <v:imagedata o:title=""/>
                  <o:lock v:ext="edit" aspectratio="f"/>
                </v:shape>
                <v:line id="直接连接符 81" o:spid="_x0000_s1026" o:spt="20" style="position:absolute;left:3882;top:1262373;height:24;width:1245;" filled="f" stroked="t" coordsize="21600,21600" o:gfxdata="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jGh65AAAA3AAA&#10;AA8AAAAAAAAAAQAgAAAAIgAAAGRycy9kb3ducmV2LnhtbFBLAQIUABQAAAAIAIdO4kAzLwWeOwAA&#10;ADkAAAAQAAAAAAAAAAEAIAAAAAgBAABkcnMvc2hhcGV4bWwueG1sUEsFBgAAAAAGAAYAWwEAALID&#10;AAAAAA==&#10;">
                  <v:fill on="f" focussize="0,0"/>
                  <v:stroke weight="0.5pt" color="#4472C4 [3204]" miterlimit="8" joinstyle="miter" startarrow="open" endarrow="open"/>
                  <v:imagedata o:title=""/>
                  <o:lock v:ext="edit" aspectratio="f"/>
                </v:line>
                <v:shape id="椭圆 51" o:spid="_x0000_s1026" o:spt="3" type="#_x0000_t3" style="position:absolute;left:4502;top:1261798;height:2174;width:2174;rotation:2883584f;v-text-anchor:middle;" filled="f" stroked="t" coordsize="21600,21600" o:gfxdata="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rLHy8AAAA&#10;3AAAAA8AAAAAAAAAAQAgAAAAIgAAAGRycy9kb3ducmV2LnhtbFBLAQIUABQAAAAIAIdO4kAzLwWe&#10;OwAAADkAAAAQAAAAAAAAAAEAIAAAAAsBAABkcnMvc2hhcGV4bWwueG1sUEsFBgAAAAAGAAYAWwEA&#10;ALUDAAAAAA==&#10;">
                  <v:fill on="f" focussize="0,0"/>
                  <v:stroke weight="1pt" color="#2F528F [3204]" miterlimit="8" joinstyle="miter" dashstyle="dash"/>
                  <v:imagedata o:title=""/>
                  <o:lock v:ext="edit" aspectratio="f"/>
                </v:shape>
                <v:line id="直接连接符 96" o:spid="_x0000_s1026" o:spt="20" style="position:absolute;left:5565;top:1262880;flip:x;height:250;width:45;" filled="f" stroked="t" coordsize="21600,21600" o:gfxdata="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Q8r4A&#10;AADcAAAADwAAAAAAAAABACAAAAAiAAAAZHJzL2Rvd25yZXYueG1sUEsBAhQAFAAAAAgAh07iQDMv&#10;BZ47AAAAOQAAABAAAAAAAAAAAQAgAAAADQEAAGRycy9zaGFwZXhtbC54bWxQSwUGAAAAAAYABgBb&#10;AQAAtwMAAAAA&#10;">
                  <v:fill on="f" focussize="0,0"/>
                  <v:stroke weight="0.5pt" color="#4472C4 [3204]" miterlimit="8" joinstyle="miter"/>
                  <v:imagedata o:title=""/>
                  <o:lock v:ext="edit" aspectratio="f"/>
                </v:line>
                <v:line id="直接连接符 112" o:spid="_x0000_s1026" o:spt="20" style="position:absolute;left:324848;top:923821;flip:x y;height:118;width:281;" filled="f" stroked="t" coordsize="21600,21600" o:gfxdata="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FPPXa5AAAA3AAA&#10;AA8AAAAAAAAAAQAgAAAAIgAAAGRycy9kb3ducmV2LnhtbFBLAQIUABQAAAAIAIdO4kAzLwWeOwAA&#10;ADkAAAAQAAAAAAAAAAEAIAAAAAgBAABkcnMvc2hhcGV4bWwueG1sUEsFBgAAAAAGAAYAWwEAALID&#10;AAAAAA==&#10;">
                  <v:fill on="f" focussize="0,0"/>
                  <v:stroke weight="0.5pt" color="#4472C4 [3204]" miterlimit="8" joinstyle="miter"/>
                  <v:imagedata o:title=""/>
                  <o:lock v:ext="edit" aspectratio="f"/>
                </v:line>
              </v:group>
            </w:pict>
          </mc:Fallback>
        </mc:AlternateContent>
      </w:r>
      <w:r>
        <w:rPr>
          <w:color w:val="auto"/>
          <w:highlight w:val="none"/>
        </w:rPr>
        <mc:AlternateContent>
          <mc:Choice Requires="wps">
            <w:drawing>
              <wp:anchor distT="0" distB="0" distL="114300" distR="114300" simplePos="0" relativeHeight="251708416" behindDoc="0" locked="0" layoutInCell="1" allowOverlap="1">
                <wp:simplePos x="0" y="0"/>
                <wp:positionH relativeFrom="column">
                  <wp:posOffset>4857750</wp:posOffset>
                </wp:positionH>
                <wp:positionV relativeFrom="paragraph">
                  <wp:posOffset>99060</wp:posOffset>
                </wp:positionV>
                <wp:extent cx="411480" cy="427990"/>
                <wp:effectExtent l="0" t="0" r="7620" b="10160"/>
                <wp:wrapNone/>
                <wp:docPr id="157" name="文本框 157"/>
                <wp:cNvGraphicFramePr/>
                <a:graphic xmlns:a="http://schemas.openxmlformats.org/drawingml/2006/main">
                  <a:graphicData uri="http://schemas.microsoft.com/office/word/2010/wordprocessingShape">
                    <wps:wsp>
                      <wps:cNvSpPr txBox="1"/>
                      <wps:spPr>
                        <a:xfrm>
                          <a:off x="0" y="0"/>
                          <a:ext cx="411480" cy="427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eastAsia="等线"/>
                                <w:lang w:val="en-US" w:eastAsia="zh-CN"/>
                              </w:rPr>
                            </w:pPr>
                            <w:r>
                              <w:rPr>
                                <w:rFonts w:hint="eastAsia"/>
                                <w:lang w:val="en-US" w:eastAsia="zh-CN"/>
                              </w:rPr>
                              <w:t>管波覆盖范围</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82.5pt;margin-top:7.8pt;height:33.7pt;width:32.4pt;z-index:251708416;mso-width-relative:page;mso-height-relative:page;" fillcolor="#FFFFFF [3201]" filled="t" stroked="f" coordsize="21600,21600" o:gfxdata="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1xO5PWAAAACQEAAA8AAAAAAAAAAQAg&#10;AAAAIgAAAGRycy9kb3ducmV2LnhtbFBLAQIUABQAAAAIAIdO4kBUJYmGSQIAAIIEAAAOAAAAAAAA&#10;AAEAIAAAACUBAABkcnMvZTJvRG9jLnhtbFBLBQYAAAAABgAGAFkBAADgBQAAAAA=&#10;">
                <v:fill on="t" focussize="0,0"/>
                <v:stroke on="f" weight="0.5pt"/>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eastAsia="等线"/>
                          <w:lang w:val="en-US" w:eastAsia="zh-CN"/>
                        </w:rPr>
                      </w:pPr>
                      <w:r>
                        <w:rPr>
                          <w:rFonts w:hint="eastAsia"/>
                          <w:lang w:val="en-US" w:eastAsia="zh-CN"/>
                        </w:rPr>
                        <w:t>管波覆盖范围</w:t>
                      </w:r>
                    </w:p>
                  </w:txbxContent>
                </v:textbox>
              </v:shape>
            </w:pict>
          </mc:Fallback>
        </mc:AlternateContent>
      </w:r>
      <w:r>
        <w:rPr>
          <w:color w:val="auto"/>
          <w:sz w:val="21"/>
          <w:highlight w:val="none"/>
        </w:rPr>
        <mc:AlternateContent>
          <mc:Choice Requires="wpg">
            <w:drawing>
              <wp:anchor distT="0" distB="0" distL="114300" distR="114300" simplePos="0" relativeHeight="251698176" behindDoc="0" locked="0" layoutInCell="1" allowOverlap="1">
                <wp:simplePos x="0" y="0"/>
                <wp:positionH relativeFrom="column">
                  <wp:posOffset>233680</wp:posOffset>
                </wp:positionH>
                <wp:positionV relativeFrom="paragraph">
                  <wp:posOffset>170815</wp:posOffset>
                </wp:positionV>
                <wp:extent cx="1901825" cy="1532890"/>
                <wp:effectExtent l="6350" t="6350" r="15875" b="22860"/>
                <wp:wrapNone/>
                <wp:docPr id="117" name="组合 117"/>
                <wp:cNvGraphicFramePr/>
                <a:graphic xmlns:a="http://schemas.openxmlformats.org/drawingml/2006/main">
                  <a:graphicData uri="http://schemas.microsoft.com/office/word/2010/wordprocessingGroup">
                    <wpg:wgp>
                      <wpg:cNvGrpSpPr/>
                      <wpg:grpSpPr>
                        <a:xfrm>
                          <a:off x="0" y="0"/>
                          <a:ext cx="1901825" cy="1532890"/>
                          <a:chOff x="3893" y="1261185"/>
                          <a:chExt cx="2995" cy="2414"/>
                        </a:xfrm>
                      </wpg:grpSpPr>
                      <wps:wsp>
                        <wps:cNvPr id="93" name="文本框 93"/>
                        <wps:cNvSpPr txBox="1"/>
                        <wps:spPr>
                          <a:xfrm rot="18840000">
                            <a:off x="5048" y="1261665"/>
                            <a:ext cx="824" cy="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lang w:val="en-US" w:eastAsia="zh-CN"/>
                                </w:rPr>
                              </w:pPr>
                              <w:r>
                                <w:rPr>
                                  <w:rFonts w:hint="eastAsia"/>
                                  <w:lang w:val="en-US" w:eastAsia="zh-CN"/>
                                </w:rPr>
                                <w:t>0.9m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文本框 94"/>
                        <wps:cNvSpPr txBox="1"/>
                        <wps:spPr>
                          <a:xfrm rot="2760000">
                            <a:off x="3974" y="1261722"/>
                            <a:ext cx="982" cy="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lang w:val="en-US" w:eastAsia="zh-CN"/>
                                </w:rPr>
                              </w:pPr>
                              <w:r>
                                <w:rPr>
                                  <w:rFonts w:hint="eastAsia"/>
                                  <w:lang w:val="en-US" w:eastAsia="zh-CN"/>
                                </w:rPr>
                                <w:t>1.05m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 name="文本框 104"/>
                        <wps:cNvSpPr txBox="1"/>
                        <wps:spPr>
                          <a:xfrm>
                            <a:off x="4890" y="1262646"/>
                            <a:ext cx="480" cy="33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lang w:val="en-US" w:eastAsia="zh-CN"/>
                                </w:rPr>
                              </w:pPr>
                              <w:r>
                                <w:rPr>
                                  <w:rFonts w:hint="eastAsia"/>
                                  <w:lang w:val="en-US" w:eastAsia="zh-CN"/>
                                </w:rPr>
                                <w:t>钻孔</w:t>
                              </w:r>
                            </w:p>
                          </w:txbxContent>
                        </wps:txbx>
                        <wps:bodyPr rot="0" spcFirstLastPara="0" vertOverflow="overflow" horzOverflow="overflow" vert="horz" wrap="square" lIns="0" tIns="0" rIns="0" bIns="0" numCol="1" spcCol="0" rtlCol="0" fromWordArt="0" anchor="t" anchorCtr="0" forceAA="0" compatLnSpc="1">
                          <a:noAutofit/>
                        </wps:bodyPr>
                      </wps:wsp>
                      <wps:wsp>
                        <wps:cNvPr id="111" name="文本框 111"/>
                        <wps:cNvSpPr txBox="1"/>
                        <wps:spPr>
                          <a:xfrm>
                            <a:off x="6240" y="1261492"/>
                            <a:ext cx="648" cy="67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eastAsia="等线"/>
                                  <w:lang w:val="en-US" w:eastAsia="zh-CN"/>
                                </w:rPr>
                              </w:pPr>
                              <w:r>
                                <w:rPr>
                                  <w:rFonts w:hint="eastAsia"/>
                                  <w:lang w:val="en-US" w:eastAsia="zh-CN"/>
                                </w:rPr>
                                <w:t>管波覆盖范围</w:t>
                              </w:r>
                            </w:p>
                          </w:txbxContent>
                        </wps:txbx>
                        <wps:bodyPr rot="0" spcFirstLastPara="0" vertOverflow="overflow" horzOverflow="overflow" vert="horz" wrap="square" lIns="0" tIns="0" rIns="0" bIns="0" numCol="1" spcCol="0" rtlCol="0" fromWordArt="0" anchor="t" anchorCtr="0" forceAA="0" compatLnSpc="1">
                          <a:noAutofit/>
                        </wps:bodyPr>
                      </wps:wsp>
                      <wps:wsp>
                        <wps:cNvPr id="113" name="文本框 113"/>
                        <wps:cNvSpPr txBox="1"/>
                        <wps:spPr>
                          <a:xfrm rot="18840000">
                            <a:off x="5243" y="1261905"/>
                            <a:ext cx="824" cy="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lang w:val="en-US" w:eastAsia="zh-CN"/>
                                </w:rPr>
                              </w:pPr>
                              <w:r>
                                <w:rPr>
                                  <w:rFonts w:hint="eastAsia"/>
                                  <w:lang w:val="en-US" w:eastAsia="zh-CN"/>
                                </w:rPr>
                                <w:t>1.0m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椭圆 52"/>
                        <wps:cNvSpPr/>
                        <wps:spPr>
                          <a:xfrm>
                            <a:off x="3893" y="1261185"/>
                            <a:ext cx="2070" cy="20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直接连接符 81"/>
                        <wps:cNvCnPr/>
                        <wps:spPr>
                          <a:xfrm>
                            <a:off x="4193" y="1261485"/>
                            <a:ext cx="945" cy="945"/>
                          </a:xfrm>
                          <a:prstGeom prst="line">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90" name="直接连接符 90"/>
                        <wps:cNvCnPr>
                          <a:endCxn id="52" idx="7"/>
                        </wps:cNvCnPr>
                        <wps:spPr>
                          <a:xfrm flipV="1">
                            <a:off x="4943" y="1261488"/>
                            <a:ext cx="717" cy="747"/>
                          </a:xfrm>
                          <a:prstGeom prst="line">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1" name="椭圆 51"/>
                        <wps:cNvSpPr/>
                        <wps:spPr>
                          <a:xfrm>
                            <a:off x="4133" y="1261425"/>
                            <a:ext cx="2174" cy="2174"/>
                          </a:xfrm>
                          <a:prstGeom prst="ellipse">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直接连接符 96"/>
                        <wps:cNvCnPr>
                          <a:stCxn id="80" idx="5"/>
                        </wps:cNvCnPr>
                        <wps:spPr>
                          <a:xfrm flipH="1">
                            <a:off x="5100" y="1262411"/>
                            <a:ext cx="45" cy="2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2" name="直接连接符 112"/>
                        <wps:cNvCnPr/>
                        <wps:spPr>
                          <a:xfrm flipH="1">
                            <a:off x="6285" y="1262024"/>
                            <a:ext cx="225" cy="17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6" name="直接连接符 116"/>
                        <wps:cNvCnPr/>
                        <wps:spPr>
                          <a:xfrm flipV="1">
                            <a:off x="5123" y="1261683"/>
                            <a:ext cx="806" cy="732"/>
                          </a:xfrm>
                          <a:prstGeom prst="line">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8.4pt;margin-top:13.45pt;height:120.7pt;width:149.75pt;z-index:251698176;mso-width-relative:page;mso-height-relative:page;" coordorigin="3893,1261185" coordsize="2995,2414" o:gfxdata="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">
                <o:lock v:ext="edit" aspectratio="f"/>
                <v:shape id="_x0000_s1026" o:spid="_x0000_s1026" o:spt="202" type="#_x0000_t202" style="position:absolute;left:5048;top:1261665;height:420;width:824;rotation:-3014656f;" fillcolor="#FFFFFF [3201]" filled="t" stroked="f" coordsize="21600,21600" o:gfxdata="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66Fhb4A&#10;AADbAAAADwAAAAAAAAABACAAAAAiAAAAZHJzL2Rvd25yZXYueG1sUEsBAhQAFAAAAAgAh07iQDMv&#10;BZ47AAAAOQAAABAAAAAAAAAAAQAgAAAADQEAAGRycy9zaGFwZXhtbC54bWxQSwUGAAAAAAYABgBb&#10;AQAAtwMAAAAA&#10;">
                  <v:fill on="t" focussize="0,0"/>
                  <v:stroke on="f" weight="0.5pt"/>
                  <v:imagedata o:title=""/>
                  <o:lock v:ext="edit" aspectratio="f"/>
                  <v:textbox>
                    <w:txbxContent>
                      <w:p>
                        <w:pPr>
                          <w:rPr>
                            <w:rFonts w:hint="default" w:eastAsia="等线"/>
                            <w:lang w:val="en-US" w:eastAsia="zh-CN"/>
                          </w:rPr>
                        </w:pPr>
                        <w:r>
                          <w:rPr>
                            <w:rFonts w:hint="eastAsia"/>
                            <w:lang w:val="en-US" w:eastAsia="zh-CN"/>
                          </w:rPr>
                          <w:t>0.9m</w:t>
                        </w:r>
                      </w:p>
                    </w:txbxContent>
                  </v:textbox>
                </v:shape>
                <v:shape id="_x0000_s1026" o:spid="_x0000_s1026" o:spt="202" type="#_x0000_t202" style="position:absolute;left:3974;top:1261722;height:420;width:982;rotation:3014656f;" fillcolor="#FFFFFF [3201]" filled="t" stroked="f" coordsize="21600,21600" o:gfxdata="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gw6G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rPr>
                            <w:rFonts w:hint="default" w:eastAsia="等线"/>
                            <w:lang w:val="en-US" w:eastAsia="zh-CN"/>
                          </w:rPr>
                        </w:pPr>
                        <w:r>
                          <w:rPr>
                            <w:rFonts w:hint="eastAsia"/>
                            <w:lang w:val="en-US" w:eastAsia="zh-CN"/>
                          </w:rPr>
                          <w:t>1.05m</w:t>
                        </w:r>
                      </w:p>
                    </w:txbxContent>
                  </v:textbox>
                </v:shape>
                <v:shape id="_x0000_s1026" o:spid="_x0000_s1026" o:spt="202" type="#_x0000_t202" style="position:absolute;left:4890;top:1262646;height:332;width:480;" fillcolor="#FFFFFF [3201]" filled="t" stroked="f" coordsize="21600,21600" o:gfxdata="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OSwRugAAANwA&#10;AAAPAAAAAAAAAAEAIAAAACIAAABkcnMvZG93bnJldi54bWxQSwECFAAUAAAACACHTuJAMy8FnjsA&#10;AAA5AAAAEAAAAAAAAAABACAAAAAJAQAAZHJzL3NoYXBleG1sLnhtbFBLBQYAAAAABgAGAFsBAACz&#10;AwAAAAA=&#10;">
                  <v:fill on="t" focussize="0,0"/>
                  <v:stroke on="f" weight="0.5pt"/>
                  <v:imagedata o:title=""/>
                  <o:lock v:ext="edit" aspectratio="f"/>
                  <v:textbox inset="0mm,0mm,0mm,0mm">
                    <w:txbxContent>
                      <w:p>
                        <w:pPr>
                          <w:rPr>
                            <w:rFonts w:hint="default" w:eastAsia="等线"/>
                            <w:lang w:val="en-US" w:eastAsia="zh-CN"/>
                          </w:rPr>
                        </w:pPr>
                        <w:r>
                          <w:rPr>
                            <w:rFonts w:hint="eastAsia"/>
                            <w:lang w:val="en-US" w:eastAsia="zh-CN"/>
                          </w:rPr>
                          <w:t>钻孔</w:t>
                        </w:r>
                      </w:p>
                    </w:txbxContent>
                  </v:textbox>
                </v:shape>
                <v:shape id="_x0000_s1026" o:spid="_x0000_s1026" o:spt="202" type="#_x0000_t202" style="position:absolute;left:6240;top:1261492;height:674;width:648;" fillcolor="#FFFFFF [3201]" filled="t" stroked="f" coordsize="21600,21600" o:gfxdata="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FlxlUtwAAANwAAAAP&#10;AAAAAAAAAAEAIAAAACIAAABkcnMvZG93bnJldi54bWxQSwECFAAUAAAACACHTuJAMy8FnjsAAAA5&#10;AAAAEAAAAAAAAAABACAAAAAGAQAAZHJzL3NoYXBleG1sLnhtbFBLBQYAAAAABgAGAFsBAACwAwAA&#10;AAA=&#10;">
                  <v:fill on="t" focussize="0,0"/>
                  <v:stroke on="f" weight="0.5pt"/>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eastAsia="等线"/>
                            <w:lang w:val="en-US" w:eastAsia="zh-CN"/>
                          </w:rPr>
                        </w:pPr>
                        <w:r>
                          <w:rPr>
                            <w:rFonts w:hint="eastAsia"/>
                            <w:lang w:val="en-US" w:eastAsia="zh-CN"/>
                          </w:rPr>
                          <w:t>管波覆盖范围</w:t>
                        </w:r>
                      </w:p>
                    </w:txbxContent>
                  </v:textbox>
                </v:shape>
                <v:shape id="_x0000_s1026" o:spid="_x0000_s1026" o:spt="202" type="#_x0000_t202" style="position:absolute;left:5243;top:1261905;height:420;width:824;rotation:-3014656f;" fillcolor="#FFFFFF [3201]" filled="t" stroked="f" coordsize="21600,21600" o:gfxdata="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Z9A2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rPr>
                            <w:rFonts w:hint="default" w:eastAsia="等线"/>
                            <w:lang w:val="en-US" w:eastAsia="zh-CN"/>
                          </w:rPr>
                        </w:pPr>
                        <w:r>
                          <w:rPr>
                            <w:rFonts w:hint="eastAsia"/>
                            <w:lang w:val="en-US" w:eastAsia="zh-CN"/>
                          </w:rPr>
                          <w:t>1.0m</w:t>
                        </w:r>
                      </w:p>
                    </w:txbxContent>
                  </v:textbox>
                </v:shape>
                <v:shape id="_x0000_s1026" o:spid="_x0000_s1026" o:spt="3" type="#_x0000_t3" style="position:absolute;left:3893;top:1261185;height:2070;width:2070;v-text-anchor:middle;" filled="f" stroked="t" coordsize="21600,21600" o:gfxdata="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2ndm8AAAA&#10;2wAAAA8AAAAAAAAAAQAgAAAAIgAAAGRycy9kb3ducmV2LnhtbFBLAQIUABQAAAAIAIdO4kAzLwWe&#10;OwAAADkAAAAQAAAAAAAAAAEAIAAAAAsBAABkcnMvc2hhcGV4bWwueG1sUEsFBgAAAAAGAAYAWwEA&#10;ALUDAAAAAA==&#10;">
                  <v:fill on="f" focussize="0,0"/>
                  <v:stroke weight="1pt" color="#2F528F [3204]" miterlimit="8" joinstyle="miter"/>
                  <v:imagedata o:title=""/>
                  <o:lock v:ext="edit" aspectratio="f"/>
                </v:shape>
                <v:line id="_x0000_s1026" o:spid="_x0000_s1026" o:spt="20" style="position:absolute;left:4193;top:1261485;height:945;width:945;" filled="f" stroked="t" coordsize="21600,21600" o:gfxdata="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ESGpugAAANsA&#10;AAAPAAAAAAAAAAEAIAAAACIAAABkcnMvZG93bnJldi54bWxQSwECFAAUAAAACACHTuJAMy8FnjsA&#10;AAA5AAAAEAAAAAAAAAABACAAAAAJAQAAZHJzL3NoYXBleG1sLnhtbFBLBQYAAAAABgAGAFsBAACz&#10;AwAAAAA=&#10;">
                  <v:fill on="f" focussize="0,0"/>
                  <v:stroke weight="0.5pt" color="#4472C4 [3204]" miterlimit="8" joinstyle="miter" startarrow="open" endarrow="open"/>
                  <v:imagedata o:title=""/>
                  <o:lock v:ext="edit" aspectratio="f"/>
                </v:line>
                <v:line id="_x0000_s1026" o:spid="_x0000_s1026" o:spt="20" style="position:absolute;left:4943;top:1261488;flip:y;height:747;width:717;" filled="f" stroked="t" coordsize="21600,21600" o:gfxdata="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EAQTugAAANsA&#10;AAAPAAAAAAAAAAEAIAAAACIAAABkcnMvZG93bnJldi54bWxQSwECFAAUAAAACACHTuJAMy8FnjsA&#10;AAA5AAAAEAAAAAAAAAABACAAAAAJAQAAZHJzL3NoYXBleG1sLnhtbFBLBQYAAAAABgAGAFsBAACz&#10;AwAAAAA=&#10;">
                  <v:fill on="f" focussize="0,0"/>
                  <v:stroke weight="0.5pt" color="#4472C4 [3204]" miterlimit="8" joinstyle="miter" startarrow="open" endarrow="open"/>
                  <v:imagedata o:title=""/>
                  <o:lock v:ext="edit" aspectratio="f"/>
                </v:line>
                <v:shape id="_x0000_s1026" o:spid="_x0000_s1026" o:spt="3" type="#_x0000_t3" style="position:absolute;left:4133;top:1261425;height:2174;width:2174;v-text-anchor:middle;" filled="f" stroked="t" coordsize="21600,21600" o:gfxdata="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nYqEvQAA&#10;ANsAAAAPAAAAAAAAAAEAIAAAACIAAABkcnMvZG93bnJldi54bWxQSwECFAAUAAAACACHTuJAMy8F&#10;njsAAAA5AAAAEAAAAAAAAAABACAAAAAMAQAAZHJzL3NoYXBleG1sLnhtbFBLBQYAAAAABgAGAFsB&#10;AAC2AwAAAAA=&#10;">
                  <v:fill on="f" focussize="0,0"/>
                  <v:stroke weight="1pt" color="#2F528F [3204]" miterlimit="8" joinstyle="miter" dashstyle="dash"/>
                  <v:imagedata o:title=""/>
                  <o:lock v:ext="edit" aspectratio="f"/>
                </v:shape>
                <v:line id="_x0000_s1026" o:spid="_x0000_s1026" o:spt="20" style="position:absolute;left:5100;top:1262411;flip:x;height:250;width:45;" filled="f" stroked="t" coordsize="21600,21600" o:gfxdata="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KHVivQAA&#10;ANsAAAAPAAAAAAAAAAEAIAAAACIAAABkcnMvZG93bnJldi54bWxQSwECFAAUAAAACACHTuJAMy8F&#10;njsAAAA5AAAAEAAAAAAAAAABACAAAAAMAQAAZHJzL3NoYXBleG1sLnhtbFBLBQYAAAAABgAGAFsB&#10;AAC2AwAAAAA=&#10;">
                  <v:fill on="f" focussize="0,0"/>
                  <v:stroke weight="0.5pt" color="#4472C4 [3204]" miterlimit="8" joinstyle="miter"/>
                  <v:imagedata o:title=""/>
                  <o:lock v:ext="edit" aspectratio="f"/>
                </v:line>
                <v:line id="_x0000_s1026" o:spid="_x0000_s1026" o:spt="20" style="position:absolute;left:6285;top:1262024;flip:x;height:172;width:225;" filled="f" stroked="t" coordsize="21600,21600" o:gfxdata="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bLaW8AAAA&#10;3AAAAA8AAAAAAAAAAQAgAAAAIgAAAGRycy9kb3ducmV2LnhtbFBLAQIUABQAAAAIAIdO4kAzLwWe&#10;OwAAADkAAAAQAAAAAAAAAAEAIAAAAAsBAABkcnMvc2hhcGV4bWwueG1sUEsFBgAAAAAGAAYAWwEA&#10;ALUDAAAAAA==&#10;">
                  <v:fill on="f" focussize="0,0"/>
                  <v:stroke weight="0.5pt" color="#4472C4 [3204]" miterlimit="8" joinstyle="miter"/>
                  <v:imagedata o:title=""/>
                  <o:lock v:ext="edit" aspectratio="f"/>
                </v:line>
                <v:line id="_x0000_s1026" o:spid="_x0000_s1026" o:spt="20" style="position:absolute;left:5123;top:1261683;flip:y;height:732;width:806;" filled="f" stroked="t" coordsize="21600,21600" o:gfxdata="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6Lbl7sAAADc&#10;AAAADwAAAAAAAAABACAAAAAiAAAAZHJzL2Rvd25yZXYueG1sUEsBAhQAFAAAAAgAh07iQDMvBZ47&#10;AAAAOQAAABAAAAAAAAAAAQAgAAAACgEAAGRycy9zaGFwZXhtbC54bWxQSwUGAAAAAAYABgBbAQAA&#10;tAMAAAAA&#10;">
                  <v:fill on="f" focussize="0,0"/>
                  <v:stroke weight="0.5pt" color="#4472C4 [3204]" miterlimit="8" joinstyle="miter" startarrow="open" endarrow="open"/>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olor w:val="auto"/>
          <w:szCs w:val="21"/>
          <w:highlight w:val="none"/>
          <w:shd w:val="clear" w:color="auto" w:fill="FFFFFF"/>
          <w:lang w:val="en-US" w:eastAsia="zh-CN"/>
        </w:rPr>
      </w:pPr>
      <w:r>
        <w:rPr>
          <w:color w:val="auto"/>
          <w:highlight w:val="none"/>
        </w:rPr>
        <mc:AlternateContent>
          <mc:Choice Requires="wps">
            <w:drawing>
              <wp:anchor distT="0" distB="0" distL="114300" distR="114300" simplePos="0" relativeHeight="251703296" behindDoc="0" locked="0" layoutInCell="1" allowOverlap="1">
                <wp:simplePos x="0" y="0"/>
                <wp:positionH relativeFrom="column">
                  <wp:posOffset>2771140</wp:posOffset>
                </wp:positionH>
                <wp:positionV relativeFrom="paragraph">
                  <wp:posOffset>13335</wp:posOffset>
                </wp:positionV>
                <wp:extent cx="1380490" cy="1380490"/>
                <wp:effectExtent l="6350" t="6350" r="22860" b="22860"/>
                <wp:wrapNone/>
                <wp:docPr id="151" name="椭圆 51"/>
                <wp:cNvGraphicFramePr/>
                <a:graphic xmlns:a="http://schemas.openxmlformats.org/drawingml/2006/main">
                  <a:graphicData uri="http://schemas.microsoft.com/office/word/2010/wordprocessingShape">
                    <wps:wsp>
                      <wps:cNvSpPr/>
                      <wps:spPr>
                        <a:xfrm rot="21600000">
                          <a:off x="0" y="0"/>
                          <a:ext cx="1380490" cy="1380490"/>
                        </a:xfrm>
                        <a:prstGeom prst="ellipse">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51" o:spid="_x0000_s1026" o:spt="3" type="#_x0000_t3" style="position:absolute;left:0pt;margin-left:218.2pt;margin-top:1.05pt;height:108.7pt;width:108.7pt;z-index:251703296;v-text-anchor:middle;mso-width-relative:page;mso-height-relative:page;" filled="f" stroked="t" coordsize="21600,21600" o:gfxdata="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Vqqs1gAAAAkBAAAPAAAAAAAAAAEAIAAA&#10;ACIAAABkcnMvZG93bnJldi54bWxQSwECFAAUAAAACACHTuJAnSYG74ACAAABBQAADgAAAAAAAAAB&#10;ACAAAAAlAQAAZHJzL2Uyb0RvYy54bWxQSwUGAAAAAAYABgBZAQAAFwYAAAAA&#10;">
                <v:fill on="f" focussize="0,0"/>
                <v:stroke weight="1pt" color="#2F528F [3204]" miterlimit="8" joinstyle="miter" dashstyle="dash"/>
                <v:imagedata o:title=""/>
                <o:lock v:ext="edit" aspectratio="f"/>
              </v:shape>
            </w:pict>
          </mc:Fallback>
        </mc:AlternateContent>
      </w:r>
      <w:r>
        <w:rPr>
          <w:color w:val="auto"/>
          <w:sz w:val="21"/>
          <w:highlight w:val="none"/>
        </w:rPr>
        <mc:AlternateContent>
          <mc:Choice Requires="wps">
            <w:drawing>
              <wp:anchor distT="0" distB="0" distL="114300" distR="114300" simplePos="0" relativeHeight="251702272" behindDoc="0" locked="0" layoutInCell="1" allowOverlap="1">
                <wp:simplePos x="0" y="0"/>
                <wp:positionH relativeFrom="column">
                  <wp:posOffset>3415030</wp:posOffset>
                </wp:positionH>
                <wp:positionV relativeFrom="paragraph">
                  <wp:posOffset>235585</wp:posOffset>
                </wp:positionV>
                <wp:extent cx="1002665" cy="951230"/>
                <wp:effectExtent l="6350" t="6350" r="19685" b="13970"/>
                <wp:wrapNone/>
                <wp:docPr id="150" name="椭圆 150"/>
                <wp:cNvGraphicFramePr/>
                <a:graphic xmlns:a="http://schemas.openxmlformats.org/drawingml/2006/main">
                  <a:graphicData uri="http://schemas.microsoft.com/office/word/2010/wordprocessingShape">
                    <wps:wsp>
                      <wps:cNvSpPr/>
                      <wps:spPr>
                        <a:xfrm>
                          <a:off x="0" y="0"/>
                          <a:ext cx="1002665" cy="951230"/>
                        </a:xfrm>
                        <a:prstGeom prst="ellipse">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8.9pt;margin-top:18.55pt;height:74.9pt;width:78.95pt;z-index:251702272;v-text-anchor:middle;mso-width-relative:page;mso-height-relative:page;" filled="f" stroked="t" coordsize="21600,21600" o:gfxdata="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I782n2QAAAAoBAAAPAAAAAAAAAAEA&#10;IAAAACIAAABkcnMvZG93bnJldi54bWxQSwECFAAUAAAACACHTuJASgLjmoACAAD0BAAADgAAAAAA&#10;AAABACAAAAAoAQAAZHJzL2Uyb0RvYy54bWxQSwUGAAAAAAYABgBZAQAAGgYAAAAA&#10;">
                <v:fill on="f" focussize="0,0"/>
                <v:stroke weight="1pt" color="#2F528F [3204]" miterlimit="8" joinstyle="miter" dashstyle="1 1"/>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olor w:val="auto"/>
          <w:szCs w:val="21"/>
          <w:highlight w:val="none"/>
          <w:shd w:val="clear" w:color="auto" w:fill="FFFFFF"/>
          <w:lang w:val="en-US" w:eastAsia="zh-CN"/>
        </w:rPr>
      </w:pPr>
      <w:r>
        <w:rPr>
          <w:color w:val="auto"/>
          <w:sz w:val="21"/>
          <w:highlight w:val="none"/>
        </w:rPr>
        <mc:AlternateContent>
          <mc:Choice Requires="wps">
            <w:drawing>
              <wp:anchor distT="0" distB="0" distL="114300" distR="114300" simplePos="0" relativeHeight="251701248" behindDoc="0" locked="0" layoutInCell="1" allowOverlap="1">
                <wp:simplePos x="0" y="0"/>
                <wp:positionH relativeFrom="column">
                  <wp:posOffset>3557905</wp:posOffset>
                </wp:positionH>
                <wp:positionV relativeFrom="paragraph">
                  <wp:posOffset>81280</wp:posOffset>
                </wp:positionV>
                <wp:extent cx="723265" cy="685800"/>
                <wp:effectExtent l="6350" t="6350" r="13335" b="12700"/>
                <wp:wrapNone/>
                <wp:docPr id="149" name="椭圆 149"/>
                <wp:cNvGraphicFramePr/>
                <a:graphic xmlns:a="http://schemas.openxmlformats.org/drawingml/2006/main">
                  <a:graphicData uri="http://schemas.microsoft.com/office/word/2010/wordprocessingShape">
                    <wps:wsp>
                      <wps:cNvSpPr/>
                      <wps:spPr>
                        <a:xfrm>
                          <a:off x="0" y="0"/>
                          <a:ext cx="723265" cy="685800"/>
                        </a:xfrm>
                        <a:prstGeom prst="ellipse">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80.15pt;margin-top:6.4pt;height:54pt;width:56.95pt;z-index:251701248;v-text-anchor:middle;mso-width-relative:page;mso-height-relative:page;" filled="f" stroked="t" coordsize="21600,21600" o:gfxdata="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hjbZ9gAAAAKAQAADwAAAAAAAAABACAA&#10;AAAiAAAAZHJzL2Rvd25yZXYueG1sUEsBAhQAFAAAAAgAh07iQOB17HN/AgAA8wQAAA4AAAAAAAAA&#10;AQAgAAAAJwEAAGRycy9lMm9Eb2MueG1sUEsFBgAAAAAGAAYAWQEAABgGAAAAAA==&#10;">
                <v:fill on="f" focussize="0,0"/>
                <v:stroke weight="1pt" color="#2F528F [3204]" miterlimit="8" joinstyle="miter" dashstyle="1 1"/>
                <v:imagedata o:title=""/>
                <o:lock v:ext="edit" aspectratio="f"/>
              </v:shape>
            </w:pict>
          </mc:Fallback>
        </mc:AlternateContent>
      </w:r>
      <w:r>
        <w:rPr>
          <w:color w:val="auto"/>
          <w:sz w:val="21"/>
          <w:highlight w:val="none"/>
        </w:rPr>
        <mc:AlternateContent>
          <mc:Choice Requires="wps">
            <w:drawing>
              <wp:anchor distT="0" distB="0" distL="114300" distR="114300" simplePos="0" relativeHeight="251699200" behindDoc="0" locked="0" layoutInCell="1" allowOverlap="1">
                <wp:simplePos x="0" y="0"/>
                <wp:positionH relativeFrom="column">
                  <wp:posOffset>719455</wp:posOffset>
                </wp:positionH>
                <wp:positionV relativeFrom="paragraph">
                  <wp:posOffset>62230</wp:posOffset>
                </wp:positionV>
                <wp:extent cx="361950" cy="342900"/>
                <wp:effectExtent l="6350" t="6350" r="12700" b="12700"/>
                <wp:wrapNone/>
                <wp:docPr id="80" name="椭圆 80"/>
                <wp:cNvGraphicFramePr/>
                <a:graphic xmlns:a="http://schemas.openxmlformats.org/drawingml/2006/main">
                  <a:graphicData uri="http://schemas.microsoft.com/office/word/2010/wordprocessingShape">
                    <wps:wsp>
                      <wps:cNvSpPr/>
                      <wps:spPr>
                        <a:xfrm>
                          <a:off x="0" y="0"/>
                          <a:ext cx="361950" cy="342900"/>
                        </a:xfrm>
                        <a:prstGeom prst="ellipse">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6.65pt;margin-top:4.9pt;height:27pt;width:28.5pt;z-index:251699200;v-text-anchor:middle;mso-width-relative:page;mso-height-relative:page;" filled="f" stroked="t" coordsize="21600,21600" o:gfxdata="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tE1E49UAAAAIAQAADwAAAAAAAAABACAAAAAiAAAA&#10;ZHJzL2Rvd25yZXYueG1sUEsBAhQAFAAAAAgAh07iQE5zKnp8AgAA8QQAAA4AAAAAAAAAAQAgAAAA&#10;JAEAAGRycy9lMm9Eb2MueG1sUEsFBgAAAAAGAAYAWQEAABIGAAAAAA==&#10;">
                <v:fill on="f" focussize="0,0"/>
                <v:stroke weight="1pt" color="#2F528F [3204]" miterlimit="8" joinstyle="miter" dashstyle="1 1"/>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olor w:val="auto"/>
          <w:szCs w:val="21"/>
          <w:highlight w:val="none"/>
          <w:shd w:val="clear" w:color="auto" w:fill="FFFFFF"/>
          <w:lang w:val="en-US" w:eastAsia="zh-CN"/>
        </w:rPr>
      </w:pP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3097530</wp:posOffset>
                </wp:positionH>
                <wp:positionV relativeFrom="paragraph">
                  <wp:posOffset>202565</wp:posOffset>
                </wp:positionV>
                <wp:extent cx="409575" cy="218440"/>
                <wp:effectExtent l="0" t="0" r="9525" b="10160"/>
                <wp:wrapNone/>
                <wp:docPr id="154" name="文本框 104"/>
                <wp:cNvGraphicFramePr/>
                <a:graphic xmlns:a="http://schemas.openxmlformats.org/drawingml/2006/main">
                  <a:graphicData uri="http://schemas.microsoft.com/office/word/2010/wordprocessingShape">
                    <wps:wsp>
                      <wps:cNvSpPr txBox="1"/>
                      <wps:spPr>
                        <a:xfrm rot="21600000">
                          <a:off x="0" y="0"/>
                          <a:ext cx="409575" cy="2184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eastAsia="等线"/>
                                <w:lang w:val="en-US" w:eastAsia="zh-CN"/>
                              </w:rPr>
                            </w:pPr>
                            <w:r>
                              <w:rPr>
                                <w:rFonts w:hint="eastAsia"/>
                                <w:lang w:val="en-US" w:eastAsia="zh-CN"/>
                              </w:rPr>
                              <w:t>钻孔1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104" o:spid="_x0000_s1026" o:spt="202" type="#_x0000_t202" style="position:absolute;left:0pt;margin-left:243.9pt;margin-top:15.95pt;height:17.2pt;width:32.25pt;z-index:251662336;mso-width-relative:page;mso-height-relative:page;" fillcolor="#FFFFFF [3201]" filled="t" stroked="f" coordsize="21600,21600" o:gfxdata="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0n8TDdgAAAAJAQAA&#10;DwAAAAAAAAABACAAAAAiAAAAZHJzL2Rvd25yZXYueG1sUEsBAhQAFAAAAAgAh07iQMtZzTVSAgAA&#10;kQQAAA4AAAAAAAAAAQAgAAAAJwEAAGRycy9lMm9Eb2MueG1sUEsFBgAAAAAGAAYAWQEAAOsFAAAA&#10;AA==&#10;">
                <v:fill on="t" focussize="0,0"/>
                <v:stroke on="f" weight="0.5pt"/>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eastAsia="等线"/>
                          <w:lang w:val="en-US" w:eastAsia="zh-CN"/>
                        </w:rPr>
                      </w:pPr>
                      <w:r>
                        <w:rPr>
                          <w:rFonts w:hint="eastAsia"/>
                          <w:lang w:val="en-US" w:eastAsia="zh-CN"/>
                        </w:rPr>
                        <w:t>钻孔1</w:t>
                      </w:r>
                    </w:p>
                  </w:txbxContent>
                </v:textbox>
              </v:shape>
            </w:pict>
          </mc:Fallback>
        </mc:AlternateContent>
      </w:r>
      <w:r>
        <w:rPr>
          <w:color w:val="auto"/>
          <w:sz w:val="21"/>
          <w:highlight w:val="none"/>
        </w:rPr>
        <mc:AlternateContent>
          <mc:Choice Requires="wps">
            <w:drawing>
              <wp:anchor distT="0" distB="0" distL="114300" distR="114300" simplePos="0" relativeHeight="251706368" behindDoc="0" locked="0" layoutInCell="1" allowOverlap="1">
                <wp:simplePos x="0" y="0"/>
                <wp:positionH relativeFrom="column">
                  <wp:posOffset>3343275</wp:posOffset>
                </wp:positionH>
                <wp:positionV relativeFrom="paragraph">
                  <wp:posOffset>128905</wp:posOffset>
                </wp:positionV>
                <wp:extent cx="86995" cy="87630"/>
                <wp:effectExtent l="3175" t="3175" r="5080" b="4445"/>
                <wp:wrapNone/>
                <wp:docPr id="155" name="直接连接符 155"/>
                <wp:cNvGraphicFramePr/>
                <a:graphic xmlns:a="http://schemas.openxmlformats.org/drawingml/2006/main">
                  <a:graphicData uri="http://schemas.microsoft.com/office/word/2010/wordprocessingShape">
                    <wps:wsp>
                      <wps:cNvCnPr>
                        <a:stCxn id="153" idx="3"/>
                      </wps:cNvCnPr>
                      <wps:spPr>
                        <a:xfrm flipH="1">
                          <a:off x="4359910" y="7908925"/>
                          <a:ext cx="86995" cy="876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63.25pt;margin-top:10.15pt;height:6.9pt;width:6.85pt;z-index:251706368;mso-width-relative:page;mso-height-relative:page;" filled="f" stroked="t" coordsize="21600,21600" o:gfxdata="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qxoQdgAAAAJAQAADwAAAAAA&#10;AAABACAAAAAiAAAAZHJzL2Rvd25yZXYueG1sUEsBAhQAFAAAAAgAh07iQOrQQ0ETAgAA9QMAAA4A&#10;AAAAAAAAAQAgAAAAJwEAAGRycy9lMm9Eb2MueG1sUEsFBgAAAAAGAAYAWQEAAKwFAAAAAA==&#10;">
                <v:fill on="f" focussize="0,0"/>
                <v:stroke weight="0.5pt" color="#4472C4 [3204]" miterlimit="8" joinstyle="miter"/>
                <v:imagedata o:title=""/>
                <o:lock v:ext="edit" aspectratio="f"/>
              </v:line>
            </w:pict>
          </mc:Fallback>
        </mc:AlternateContent>
      </w:r>
      <w:r>
        <w:rPr>
          <w:color w:val="auto"/>
          <w:sz w:val="21"/>
          <w:highlight w:val="none"/>
        </w:rPr>
        <mc:AlternateContent>
          <mc:Choice Requires="wps">
            <w:drawing>
              <wp:anchor distT="0" distB="0" distL="114300" distR="114300" simplePos="0" relativeHeight="251705344" behindDoc="0" locked="0" layoutInCell="1" allowOverlap="1">
                <wp:simplePos x="0" y="0"/>
                <wp:positionH relativeFrom="column">
                  <wp:posOffset>3419475</wp:posOffset>
                </wp:positionH>
                <wp:positionV relativeFrom="paragraph">
                  <wp:posOffset>64135</wp:posOffset>
                </wp:positionV>
                <wp:extent cx="75565" cy="75565"/>
                <wp:effectExtent l="6350" t="6350" r="13335" b="13335"/>
                <wp:wrapNone/>
                <wp:docPr id="153" name="椭圆 153"/>
                <wp:cNvGraphicFramePr/>
                <a:graphic xmlns:a="http://schemas.openxmlformats.org/drawingml/2006/main">
                  <a:graphicData uri="http://schemas.microsoft.com/office/word/2010/wordprocessingShape">
                    <wps:wsp>
                      <wps:cNvSpPr/>
                      <wps:spPr>
                        <a:xfrm>
                          <a:off x="0" y="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9.25pt;margin-top:5.05pt;height:5.95pt;width:5.95pt;z-index:251705344;v-text-anchor:middle;mso-width-relative:page;mso-height-relative:page;" fillcolor="#4472C4 [3204]" filled="t" stroked="t" coordsize="21600,21600" o:gfxdata="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5K3njVAAAACQEAAA8AAAAAAAAAAQAg&#10;AAAAIgAAAGRycy9kb3ducmV2LnhtbFBLAQIUABQAAAAIAIdO4kCxgQicgwIAABkFAAAOAAAAAAAA&#10;AAEAIAAAACQBAABkcnMvZTJvRG9jLnhtbFBLBQYAAAAABgAGAFkBAAAZBgAAAAA=&#10;">
                <v:fill on="t" focussize="0,0"/>
                <v:stroke weight="1pt" color="#2F528F [3204]" miterlimit="8" joinstyle="miter"/>
                <v:imagedata o:title=""/>
                <o:lock v:ext="edit" aspectratio="f"/>
              </v:shape>
            </w:pict>
          </mc:Fallback>
        </mc:AlternateContent>
      </w:r>
      <w:r>
        <w:rPr>
          <w:color w:val="auto"/>
          <w:sz w:val="21"/>
          <w:highlight w:val="none"/>
        </w:rPr>
        <mc:AlternateContent>
          <mc:Choice Requires="wps">
            <w:drawing>
              <wp:anchor distT="0" distB="0" distL="114300" distR="114300" simplePos="0" relativeHeight="251704320" behindDoc="0" locked="0" layoutInCell="1" allowOverlap="1">
                <wp:simplePos x="0" y="0"/>
                <wp:positionH relativeFrom="column">
                  <wp:posOffset>4333875</wp:posOffset>
                </wp:positionH>
                <wp:positionV relativeFrom="paragraph">
                  <wp:posOffset>54610</wp:posOffset>
                </wp:positionV>
                <wp:extent cx="75565" cy="75565"/>
                <wp:effectExtent l="6350" t="6350" r="13335" b="13335"/>
                <wp:wrapNone/>
                <wp:docPr id="152" name="椭圆 152"/>
                <wp:cNvGraphicFramePr/>
                <a:graphic xmlns:a="http://schemas.openxmlformats.org/drawingml/2006/main">
                  <a:graphicData uri="http://schemas.microsoft.com/office/word/2010/wordprocessingShape">
                    <wps:wsp>
                      <wps:cNvSpPr/>
                      <wps:spPr>
                        <a:xfrm>
                          <a:off x="5476875" y="786130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1.25pt;margin-top:4.3pt;height:5.95pt;width:5.95pt;z-index:251704320;v-text-anchor:middle;mso-width-relative:page;mso-height-relative:page;" fillcolor="#4472C4 [3204]" filled="t" stroked="t" coordsize="21600,21600" o:gfxdata="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D2I2A1QAAAAgB&#10;AAAPAAAAAAAAAAEAIAAAACIAAABkcnMvZG93bnJldi54bWxQSwECFAAUAAAACACHTuJAxeXU+pAC&#10;AAAlBQAADgAAAAAAAAABACAAAAAkAQAAZHJzL2Uyb0RvYy54bWxQSwUGAAAAAAYABgBZAQAAJgYA&#10;AAAA&#10;">
                <v:fill on="t" focussize="0,0"/>
                <v:stroke weight="1pt" color="#2F528F [3204]" miterlimit="8" joinstyle="miter"/>
                <v:imagedata o:title=""/>
                <o:lock v:ext="edit" aspectratio="f"/>
              </v:shape>
            </w:pict>
          </mc:Fallback>
        </mc:AlternateContent>
      </w:r>
      <w:r>
        <w:rPr>
          <w:color w:val="auto"/>
          <w:sz w:val="21"/>
          <w:highlight w:val="none"/>
        </w:rPr>
        <mc:AlternateContent>
          <mc:Choice Requires="wps">
            <w:drawing>
              <wp:anchor distT="0" distB="0" distL="114300" distR="114300" simplePos="0" relativeHeight="251707392" behindDoc="0" locked="0" layoutInCell="1" allowOverlap="1">
                <wp:simplePos x="0" y="0"/>
                <wp:positionH relativeFrom="column">
                  <wp:posOffset>981075</wp:posOffset>
                </wp:positionH>
                <wp:positionV relativeFrom="paragraph">
                  <wp:posOffset>35560</wp:posOffset>
                </wp:positionV>
                <wp:extent cx="75565" cy="75565"/>
                <wp:effectExtent l="6350" t="6350" r="13335" b="13335"/>
                <wp:wrapNone/>
                <wp:docPr id="156" name="椭圆 156"/>
                <wp:cNvGraphicFramePr/>
                <a:graphic xmlns:a="http://schemas.openxmlformats.org/drawingml/2006/main">
                  <a:graphicData uri="http://schemas.microsoft.com/office/word/2010/wordprocessingShape">
                    <wps:wsp>
                      <wps:cNvSpPr/>
                      <wps:spPr>
                        <a:xfrm>
                          <a:off x="0" y="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7.25pt;margin-top:2.8pt;height:5.95pt;width:5.95pt;z-index:251707392;v-text-anchor:middle;mso-width-relative:page;mso-height-relative:page;" fillcolor="#4472C4 [3204]" filled="t" stroked="t" coordsize="21600,21600" o:gfxdata="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wIZ8bVAAAACAEAAA8AAAAAAAAAAQAg&#10;AAAAIgAAAGRycy9kb3ducmV2LnhtbFBLAQIUABQAAAAIAIdO4kAiFAongwIAABkFAAAOAAAAAAAA&#10;AAEAIAAAACQBAABkcnMvZTJvRG9jLnhtbFBLBQYAAAAABgAGAFkBAAAZBgAAAAA=&#10;">
                <v:fill on="t" focussize="0,0"/>
                <v:stroke weight="1pt" color="#2F528F [3204]" miterlimit="8" joinstyle="miter"/>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olor w:val="auto"/>
          <w:szCs w:val="21"/>
          <w:highlight w:val="none"/>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olor w:val="auto"/>
          <w:szCs w:val="21"/>
          <w:highlight w:val="none"/>
          <w:shd w:val="clear" w:color="auto" w:fill="FFFFFF"/>
          <w:lang w:val="en-US" w:eastAsia="zh-CN"/>
        </w:rPr>
      </w:pPr>
    </w:p>
    <w:p>
      <w:pPr>
        <w:keepNext w:val="0"/>
        <w:keepLines w:val="0"/>
        <w:pageBreakBefore w:val="0"/>
        <w:widowControl w:val="0"/>
        <w:numPr>
          <w:ilvl w:val="0"/>
          <w:numId w:val="9"/>
        </w:numPr>
        <w:tabs>
          <w:tab w:val="center" w:pos="2100"/>
          <w:tab w:val="center" w:pos="6100"/>
        </w:tabs>
        <w:kinsoku/>
        <w:wordWrap/>
        <w:overflowPunct/>
        <w:topLinePunct w:val="0"/>
        <w:autoSpaceDE/>
        <w:autoSpaceDN/>
        <w:bidi w:val="0"/>
        <w:adjustRightInd/>
        <w:snapToGrid/>
        <w:spacing w:line="360" w:lineRule="auto"/>
        <w:ind w:left="12" w:leftChars="0" w:firstLine="0" w:firstLineChars="0"/>
        <w:jc w:val="center"/>
        <w:textAlignment w:val="auto"/>
        <w:rPr>
          <w:rFonts w:hint="default" w:ascii="Times New Roman" w:hAnsi="Times New Roman" w:eastAsia="宋体" w:cs="Times New Roman"/>
          <w:color w:val="auto"/>
          <w:szCs w:val="21"/>
          <w:highlight w:val="none"/>
          <w:shd w:val="clear" w:color="auto" w:fill="FFFFFF"/>
          <w:lang w:val="en-US" w:eastAsia="zh-CN"/>
        </w:rPr>
      </w:pPr>
      <w:r>
        <w:rPr>
          <w:rFonts w:hint="eastAsia" w:ascii="宋体" w:hAnsi="宋体" w:eastAsia="宋体" w:cs="宋体"/>
          <w:color w:val="auto"/>
          <w:szCs w:val="21"/>
          <w:highlight w:val="none"/>
          <w:shd w:val="clear" w:color="auto" w:fill="FFFFFF"/>
          <w:lang w:val="en-US" w:eastAsia="zh-CN"/>
        </w:rPr>
        <w:t>Φ</w:t>
      </w:r>
      <w:r>
        <w:rPr>
          <w:rFonts w:hint="eastAsia" w:ascii="Times New Roman" w:hAnsi="Times New Roman" w:eastAsia="宋体" w:cs="Times New Roman"/>
          <w:color w:val="auto"/>
          <w:szCs w:val="21"/>
          <w:highlight w:val="none"/>
          <w:shd w:val="clear" w:color="auto" w:fill="FFFFFF"/>
          <w:lang w:val="en-US" w:eastAsia="zh-CN"/>
        </w:rPr>
        <w:t>1.8m桩</w:t>
      </w:r>
      <w:r>
        <w:rPr>
          <w:rFonts w:hint="eastAsia" w:ascii="Times New Roman" w:hAnsi="Times New Roman" w:eastAsia="宋体"/>
          <w:color w:val="auto"/>
          <w:szCs w:val="21"/>
          <w:highlight w:val="none"/>
          <w:shd w:val="clear" w:color="auto" w:fill="FFFFFF"/>
          <w:lang w:val="en-US" w:eastAsia="zh-CN"/>
        </w:rPr>
        <w:t>“一孔一管波”</w:t>
      </w:r>
      <w:r>
        <w:rPr>
          <w:rFonts w:hint="eastAsia" w:ascii="Times New Roman" w:hAnsi="Times New Roman" w:eastAsia="宋体"/>
          <w:color w:val="auto"/>
          <w:szCs w:val="21"/>
          <w:highlight w:val="none"/>
          <w:shd w:val="clear" w:color="auto" w:fill="FFFFFF"/>
          <w:lang w:val="en-US" w:eastAsia="zh-CN"/>
        </w:rPr>
        <w:tab/>
      </w:r>
      <w:r>
        <w:rPr>
          <w:rFonts w:hint="eastAsia" w:ascii="Times New Roman" w:hAnsi="Times New Roman" w:eastAsia="宋体"/>
          <w:color w:val="auto"/>
          <w:szCs w:val="21"/>
          <w:highlight w:val="none"/>
          <w:shd w:val="clear" w:color="auto" w:fill="FFFFFF"/>
          <w:lang w:val="en-US" w:eastAsia="zh-CN"/>
        </w:rPr>
        <w:t xml:space="preserve">(b) </w:t>
      </w:r>
      <w:r>
        <w:rPr>
          <w:rFonts w:hint="eastAsia" w:ascii="宋体" w:hAnsi="宋体" w:eastAsia="宋体" w:cs="宋体"/>
          <w:color w:val="auto"/>
          <w:szCs w:val="21"/>
          <w:highlight w:val="none"/>
          <w:shd w:val="clear" w:color="auto" w:fill="FFFFFF"/>
          <w:lang w:val="en-US" w:eastAsia="zh-CN"/>
        </w:rPr>
        <w:t>Φ</w:t>
      </w:r>
      <w:r>
        <w:rPr>
          <w:rFonts w:hint="eastAsia" w:ascii="Times New Roman" w:hAnsi="Times New Roman" w:eastAsia="宋体" w:cs="Times New Roman"/>
          <w:color w:val="auto"/>
          <w:szCs w:val="21"/>
          <w:highlight w:val="none"/>
          <w:shd w:val="clear" w:color="auto" w:fill="FFFFFF"/>
          <w:lang w:val="en-US" w:eastAsia="zh-CN"/>
        </w:rPr>
        <w:t>2.1m桩</w:t>
      </w:r>
      <w:r>
        <w:rPr>
          <w:rFonts w:hint="eastAsia" w:ascii="Times New Roman" w:hAnsi="Times New Roman" w:eastAsia="宋体"/>
          <w:color w:val="auto"/>
          <w:szCs w:val="21"/>
          <w:highlight w:val="none"/>
          <w:shd w:val="clear" w:color="auto" w:fill="FFFFFF"/>
          <w:lang w:val="en-US" w:eastAsia="zh-CN"/>
        </w:rPr>
        <w:t>“两孔两管波”</w:t>
      </w:r>
    </w:p>
    <w:p>
      <w:pPr>
        <w:spacing w:line="360" w:lineRule="auto"/>
        <w:jc w:val="center"/>
        <w:rPr>
          <w:rFonts w:hint="default" w:ascii="Times New Roman" w:hAnsi="Times New Roman" w:eastAsia="宋体"/>
          <w:b/>
          <w:color w:val="auto"/>
          <w:kern w:val="0"/>
          <w:szCs w:val="24"/>
          <w:highlight w:val="none"/>
          <w:lang w:val="en-US" w:eastAsia="zh-CN"/>
        </w:rPr>
      </w:pPr>
      <w:r>
        <w:rPr>
          <w:rFonts w:hint="eastAsia" w:ascii="Times New Roman" w:hAnsi="Times New Roman" w:eastAsia="宋体"/>
          <w:b/>
          <w:color w:val="auto"/>
          <w:kern w:val="0"/>
          <w:szCs w:val="24"/>
          <w:highlight w:val="none"/>
          <w:lang w:val="en-US" w:eastAsia="zh-CN"/>
        </w:rPr>
        <w:t>图14 Φ1.8m桩单孔和Φ2.1m桩双孔的管波法覆盖率示意图</w:t>
      </w:r>
    </w:p>
    <w:p>
      <w:pPr>
        <w:spacing w:line="360" w:lineRule="auto"/>
        <w:rPr>
          <w:rFonts w:hint="default" w:ascii="Times New Roman" w:hAnsi="Times New Roman" w:eastAsia="宋体"/>
          <w:color w:val="auto"/>
          <w:kern w:val="0"/>
          <w:szCs w:val="21"/>
          <w:highlight w:val="none"/>
          <w:lang w:val="en-US" w:eastAsia="zh-CN"/>
        </w:rPr>
      </w:pPr>
      <w:r>
        <w:rPr>
          <w:rFonts w:hint="eastAsia" w:ascii="Times New Roman" w:hAnsi="Times New Roman" w:eastAsia="宋体"/>
          <w:b/>
          <w:color w:val="auto"/>
          <w:kern w:val="0"/>
          <w:szCs w:val="24"/>
          <w:highlight w:val="none"/>
          <w:lang w:val="en-US" w:eastAsia="zh-CN"/>
        </w:rPr>
        <w:t>14.2.4</w:t>
      </w:r>
      <w:r>
        <w:rPr>
          <w:rFonts w:hint="eastAsia" w:ascii="Times New Roman" w:hAnsi="Times New Roman" w:eastAsia="宋体"/>
          <w:color w:val="auto"/>
          <w:kern w:val="0"/>
          <w:szCs w:val="21"/>
          <w:highlight w:val="none"/>
          <w:lang w:val="en-US" w:eastAsia="zh-CN"/>
        </w:rPr>
        <w:t xml:space="preserve">  碎屑岩</w:t>
      </w:r>
      <w:r>
        <w:rPr>
          <w:rFonts w:ascii="Times New Roman" w:hAnsi="Times New Roman" w:eastAsia="宋体"/>
          <w:color w:val="auto"/>
          <w:kern w:val="0"/>
          <w:szCs w:val="24"/>
          <w:highlight w:val="none"/>
        </w:rPr>
        <w:t>软硬互层</w:t>
      </w:r>
      <w:r>
        <w:rPr>
          <w:rFonts w:hint="eastAsia" w:ascii="Times New Roman" w:hAnsi="Times New Roman" w:eastAsia="宋体"/>
          <w:color w:val="auto"/>
          <w:kern w:val="0"/>
          <w:szCs w:val="24"/>
          <w:highlight w:val="none"/>
          <w:lang w:eastAsia="zh-CN"/>
        </w:rPr>
        <w:t>、</w:t>
      </w:r>
      <w:r>
        <w:rPr>
          <w:rFonts w:hint="eastAsia" w:ascii="Times New Roman" w:hAnsi="Times New Roman" w:eastAsia="宋体"/>
          <w:color w:val="auto"/>
          <w:kern w:val="0"/>
          <w:szCs w:val="24"/>
          <w:highlight w:val="none"/>
          <w:lang w:val="en-US" w:eastAsia="zh-CN"/>
        </w:rPr>
        <w:t>球状风化体、</w:t>
      </w:r>
      <w:r>
        <w:rPr>
          <w:rFonts w:hint="eastAsia" w:ascii="Times New Roman" w:hAnsi="Times New Roman" w:eastAsia="宋体"/>
          <w:color w:val="auto"/>
          <w:kern w:val="0"/>
          <w:szCs w:val="24"/>
          <w:highlight w:val="none"/>
        </w:rPr>
        <w:t>岩面凸起、风化深槽</w:t>
      </w:r>
      <w:r>
        <w:rPr>
          <w:rFonts w:hint="eastAsia" w:ascii="Times New Roman" w:hAnsi="Times New Roman" w:eastAsia="宋体"/>
          <w:color w:val="auto"/>
          <w:kern w:val="0"/>
          <w:szCs w:val="24"/>
          <w:highlight w:val="none"/>
          <w:lang w:val="en-US" w:eastAsia="zh-CN"/>
        </w:rPr>
        <w:t>发育部位</w:t>
      </w:r>
      <w:r>
        <w:rPr>
          <w:rFonts w:hint="eastAsia" w:ascii="Times New Roman" w:hAnsi="Times New Roman" w:eastAsia="宋体"/>
          <w:color w:val="auto"/>
          <w:kern w:val="0"/>
          <w:szCs w:val="21"/>
          <w:highlight w:val="none"/>
          <w:lang w:val="en-US" w:eastAsia="zh-CN"/>
        </w:rPr>
        <w:t>嵌岩桩持力层</w:t>
      </w:r>
      <w:r>
        <w:rPr>
          <w:rFonts w:hint="eastAsia" w:ascii="Times New Roman" w:hAnsi="Times New Roman" w:eastAsia="宋体"/>
          <w:color w:val="auto"/>
          <w:kern w:val="0"/>
          <w:szCs w:val="24"/>
          <w:highlight w:val="none"/>
          <w:lang w:val="en-US" w:eastAsia="zh-CN"/>
        </w:rPr>
        <w:t>检测不满足设计要求的情况在广东省较为多见，本规范结合近年广东省各地经验对碎屑岩</w:t>
      </w:r>
      <w:r>
        <w:rPr>
          <w:rFonts w:hint="eastAsia" w:ascii="Times New Roman" w:hAnsi="Times New Roman" w:eastAsia="宋体"/>
          <w:color w:val="auto"/>
          <w:kern w:val="0"/>
          <w:szCs w:val="24"/>
          <w:highlight w:val="none"/>
        </w:rPr>
        <w:t>软硬互层</w:t>
      </w:r>
      <w:r>
        <w:rPr>
          <w:rFonts w:hint="eastAsia" w:ascii="Times New Roman" w:hAnsi="Times New Roman" w:eastAsia="宋体"/>
          <w:color w:val="auto"/>
          <w:kern w:val="0"/>
          <w:szCs w:val="24"/>
          <w:highlight w:val="none"/>
          <w:lang w:eastAsia="zh-CN"/>
        </w:rPr>
        <w:t>、</w:t>
      </w:r>
      <w:r>
        <w:rPr>
          <w:rFonts w:hint="eastAsia" w:ascii="Times New Roman" w:hAnsi="Times New Roman" w:eastAsia="宋体"/>
          <w:color w:val="auto"/>
          <w:kern w:val="0"/>
          <w:szCs w:val="24"/>
          <w:highlight w:val="none"/>
          <w:lang w:val="en-US" w:eastAsia="zh-CN"/>
        </w:rPr>
        <w:t>球状风化体、</w:t>
      </w:r>
      <w:r>
        <w:rPr>
          <w:rFonts w:hint="eastAsia" w:ascii="Times New Roman" w:hAnsi="Times New Roman" w:eastAsia="宋体"/>
          <w:color w:val="auto"/>
          <w:kern w:val="0"/>
          <w:szCs w:val="24"/>
          <w:highlight w:val="none"/>
        </w:rPr>
        <w:t>岩面凸起、风化深槽</w:t>
      </w:r>
      <w:r>
        <w:rPr>
          <w:rFonts w:hint="eastAsia" w:ascii="Times New Roman" w:hAnsi="Times New Roman" w:eastAsia="宋体"/>
          <w:color w:val="auto"/>
          <w:kern w:val="0"/>
          <w:szCs w:val="24"/>
          <w:highlight w:val="none"/>
          <w:lang w:val="en-US" w:eastAsia="zh-CN"/>
        </w:rPr>
        <w:t>等发育部位不同桩径下钻孔数量布置作出规定。由于孔中物探方法对于探查</w:t>
      </w:r>
      <w:r>
        <w:rPr>
          <w:rFonts w:ascii="Times New Roman" w:hAnsi="Times New Roman" w:eastAsia="宋体"/>
          <w:color w:val="auto"/>
          <w:kern w:val="0"/>
          <w:szCs w:val="24"/>
          <w:highlight w:val="none"/>
        </w:rPr>
        <w:t>软硬互层</w:t>
      </w:r>
      <w:r>
        <w:rPr>
          <w:rFonts w:hint="eastAsia" w:ascii="Times New Roman" w:hAnsi="Times New Roman" w:eastAsia="宋体"/>
          <w:color w:val="auto"/>
          <w:kern w:val="0"/>
          <w:szCs w:val="24"/>
          <w:highlight w:val="none"/>
          <w:lang w:eastAsia="zh-CN"/>
        </w:rPr>
        <w:t>、</w:t>
      </w:r>
      <w:r>
        <w:rPr>
          <w:rFonts w:hint="eastAsia" w:ascii="Times New Roman" w:hAnsi="Times New Roman" w:eastAsia="宋体"/>
          <w:color w:val="auto"/>
          <w:szCs w:val="21"/>
          <w:highlight w:val="none"/>
          <w:shd w:val="clear" w:color="auto" w:fill="FFFFFF"/>
          <w:lang w:val="en-US" w:eastAsia="zh-CN"/>
        </w:rPr>
        <w:t>球状风化体、</w:t>
      </w:r>
      <w:r>
        <w:rPr>
          <w:rFonts w:hint="eastAsia" w:ascii="Times New Roman" w:hAnsi="Times New Roman" w:eastAsia="宋体"/>
          <w:color w:val="auto"/>
          <w:szCs w:val="21"/>
          <w:highlight w:val="none"/>
          <w:shd w:val="clear" w:color="auto" w:fill="FFFFFF"/>
        </w:rPr>
        <w:t>岩面凸起、风化深槽</w:t>
      </w:r>
      <w:r>
        <w:rPr>
          <w:rFonts w:hint="eastAsia" w:ascii="Times New Roman" w:hAnsi="Times New Roman" w:eastAsia="宋体"/>
          <w:color w:val="auto"/>
          <w:szCs w:val="21"/>
          <w:highlight w:val="none"/>
          <w:shd w:val="clear" w:color="auto" w:fill="FFFFFF"/>
          <w:lang w:val="en-US" w:eastAsia="zh-CN"/>
        </w:rPr>
        <w:t>目前成功应用的工程案例不多，故本条未对辅以孔中物探时每根桩应布置的最少钻孔数量作出明确规定。</w:t>
      </w:r>
    </w:p>
    <w:p>
      <w:pPr>
        <w:spacing w:line="360" w:lineRule="auto"/>
        <w:rPr>
          <w:rFonts w:ascii="Times New Roman" w:hAnsi="Times New Roman" w:eastAsia="宋体"/>
          <w:color w:val="auto"/>
          <w:kern w:val="0"/>
          <w:szCs w:val="21"/>
          <w:highlight w:val="none"/>
        </w:rPr>
      </w:pPr>
      <w:r>
        <w:rPr>
          <w:rFonts w:hint="eastAsia" w:ascii="Times New Roman" w:hAnsi="Times New Roman" w:eastAsia="宋体"/>
          <w:b/>
          <w:color w:val="auto"/>
          <w:kern w:val="0"/>
          <w:szCs w:val="21"/>
          <w:highlight w:val="none"/>
          <w:lang w:eastAsia="zh-CN"/>
        </w:rPr>
        <w:t>14</w:t>
      </w:r>
      <w:r>
        <w:rPr>
          <w:rFonts w:hint="eastAsia" w:ascii="Times New Roman" w:hAnsi="Times New Roman" w:eastAsia="宋体"/>
          <w:b/>
          <w:color w:val="auto"/>
          <w:kern w:val="0"/>
          <w:szCs w:val="21"/>
          <w:highlight w:val="none"/>
        </w:rPr>
        <w:t>.</w:t>
      </w:r>
      <w:r>
        <w:rPr>
          <w:rFonts w:hint="eastAsia" w:ascii="Times New Roman" w:hAnsi="Times New Roman" w:eastAsia="宋体"/>
          <w:b/>
          <w:color w:val="auto"/>
          <w:kern w:val="0"/>
          <w:szCs w:val="21"/>
          <w:highlight w:val="none"/>
          <w:lang w:val="en-US" w:eastAsia="zh-CN"/>
        </w:rPr>
        <w:t>2</w:t>
      </w:r>
      <w:r>
        <w:rPr>
          <w:rFonts w:ascii="Times New Roman" w:hAnsi="Times New Roman" w:eastAsia="宋体"/>
          <w:b/>
          <w:color w:val="auto"/>
          <w:kern w:val="0"/>
          <w:szCs w:val="21"/>
          <w:highlight w:val="none"/>
        </w:rPr>
        <w:t>.</w:t>
      </w:r>
      <w:r>
        <w:rPr>
          <w:rFonts w:hint="eastAsia" w:ascii="Times New Roman" w:hAnsi="Times New Roman" w:eastAsia="宋体"/>
          <w:b/>
          <w:color w:val="auto"/>
          <w:kern w:val="0"/>
          <w:szCs w:val="21"/>
          <w:highlight w:val="none"/>
          <w:lang w:val="en-US" w:eastAsia="zh-CN"/>
        </w:rPr>
        <w:t>5</w:t>
      </w:r>
      <w:r>
        <w:rPr>
          <w:rFonts w:hint="eastAsia" w:ascii="Times New Roman" w:hAnsi="Times New Roman" w:eastAsia="宋体"/>
          <w:b/>
          <w:color w:val="auto"/>
          <w:kern w:val="0"/>
          <w:szCs w:val="21"/>
          <w:highlight w:val="none"/>
        </w:rPr>
        <w:t xml:space="preserve"> </w:t>
      </w:r>
      <w:r>
        <w:rPr>
          <w:rFonts w:ascii="Times New Roman" w:hAnsi="Times New Roman" w:eastAsia="宋体"/>
          <w:b/>
          <w:color w:val="auto"/>
          <w:kern w:val="0"/>
          <w:szCs w:val="21"/>
          <w:highlight w:val="none"/>
        </w:rPr>
        <w:t xml:space="preserve"> </w:t>
      </w:r>
      <w:r>
        <w:rPr>
          <w:rFonts w:ascii="Times New Roman" w:hAnsi="Times New Roman" w:eastAsia="宋体"/>
          <w:color w:val="auto"/>
          <w:kern w:val="0"/>
          <w:szCs w:val="21"/>
          <w:highlight w:val="none"/>
        </w:rPr>
        <w:t>岩溶中等及强烈发育区岩面起伏往往较剧烈，同一幅</w:t>
      </w:r>
      <w:r>
        <w:rPr>
          <w:rFonts w:hint="eastAsia" w:ascii="Times New Roman" w:hAnsi="Times New Roman" w:eastAsia="宋体"/>
          <w:color w:val="auto"/>
          <w:kern w:val="0"/>
          <w:szCs w:val="21"/>
          <w:highlight w:val="none"/>
          <w:lang w:val="en-US" w:eastAsia="zh-CN"/>
        </w:rPr>
        <w:t>地下</w:t>
      </w:r>
      <w:r>
        <w:rPr>
          <w:rFonts w:ascii="Times New Roman" w:hAnsi="Times New Roman" w:eastAsia="宋体"/>
          <w:color w:val="auto"/>
          <w:kern w:val="0"/>
          <w:szCs w:val="21"/>
          <w:highlight w:val="none"/>
        </w:rPr>
        <w:t>连续墙范围岩面</w:t>
      </w:r>
      <w:r>
        <w:rPr>
          <w:rFonts w:hint="eastAsia" w:ascii="Times New Roman" w:hAnsi="Times New Roman" w:eastAsia="宋体"/>
          <w:color w:val="auto"/>
          <w:kern w:val="0"/>
          <w:szCs w:val="21"/>
          <w:highlight w:val="none"/>
          <w:lang w:val="en-US" w:eastAsia="zh-CN"/>
        </w:rPr>
        <w:t>起伏</w:t>
      </w:r>
      <w:r>
        <w:rPr>
          <w:rFonts w:ascii="Times New Roman" w:hAnsi="Times New Roman" w:eastAsia="宋体"/>
          <w:color w:val="auto"/>
          <w:kern w:val="0"/>
          <w:szCs w:val="21"/>
          <w:highlight w:val="none"/>
        </w:rPr>
        <w:t>可能较大。为了指导</w:t>
      </w:r>
      <w:r>
        <w:rPr>
          <w:rFonts w:hint="eastAsia" w:ascii="Times New Roman" w:hAnsi="Times New Roman" w:eastAsia="宋体"/>
          <w:color w:val="auto"/>
          <w:kern w:val="0"/>
          <w:szCs w:val="21"/>
          <w:highlight w:val="none"/>
          <w:lang w:val="en-US" w:eastAsia="zh-CN"/>
        </w:rPr>
        <w:t>基坑</w:t>
      </w:r>
      <w:r>
        <w:rPr>
          <w:rFonts w:ascii="Times New Roman" w:hAnsi="Times New Roman" w:eastAsia="宋体"/>
          <w:color w:val="auto"/>
          <w:kern w:val="0"/>
          <w:szCs w:val="21"/>
          <w:highlight w:val="none"/>
        </w:rPr>
        <w:t>围护结构施工</w:t>
      </w:r>
      <w:r>
        <w:rPr>
          <w:rFonts w:hint="eastAsia" w:ascii="Times New Roman" w:hAnsi="Times New Roman" w:eastAsia="宋体"/>
          <w:color w:val="auto"/>
          <w:kern w:val="0"/>
          <w:szCs w:val="21"/>
          <w:highlight w:val="none"/>
        </w:rPr>
        <w:t>，</w:t>
      </w:r>
      <w:r>
        <w:rPr>
          <w:rFonts w:ascii="Times New Roman" w:hAnsi="Times New Roman" w:eastAsia="宋体"/>
          <w:color w:val="auto"/>
          <w:kern w:val="0"/>
          <w:szCs w:val="21"/>
          <w:highlight w:val="none"/>
        </w:rPr>
        <w:t>确保</w:t>
      </w:r>
      <w:r>
        <w:rPr>
          <w:rFonts w:hint="eastAsia" w:ascii="Times New Roman" w:hAnsi="Times New Roman" w:eastAsia="宋体"/>
          <w:color w:val="auto"/>
          <w:kern w:val="0"/>
          <w:szCs w:val="21"/>
          <w:highlight w:val="none"/>
          <w:lang w:val="en-US" w:eastAsia="zh-CN"/>
        </w:rPr>
        <w:t>地下连续墙和支护</w:t>
      </w:r>
      <w:r>
        <w:rPr>
          <w:rFonts w:ascii="Times New Roman" w:hAnsi="Times New Roman" w:eastAsia="宋体"/>
          <w:color w:val="auto"/>
          <w:kern w:val="0"/>
          <w:szCs w:val="21"/>
          <w:highlight w:val="none"/>
        </w:rPr>
        <w:t>桩</w:t>
      </w:r>
      <w:r>
        <w:rPr>
          <w:rFonts w:hint="eastAsia" w:ascii="Times New Roman" w:hAnsi="Times New Roman" w:eastAsia="宋体"/>
          <w:color w:val="auto"/>
          <w:kern w:val="0"/>
          <w:szCs w:val="21"/>
          <w:highlight w:val="none"/>
        </w:rPr>
        <w:t>嵌入</w:t>
      </w:r>
      <w:r>
        <w:rPr>
          <w:rFonts w:ascii="Times New Roman" w:hAnsi="Times New Roman" w:eastAsia="宋体"/>
          <w:color w:val="auto"/>
          <w:kern w:val="0"/>
          <w:szCs w:val="21"/>
          <w:highlight w:val="none"/>
        </w:rPr>
        <w:t>稳定</w:t>
      </w:r>
      <w:r>
        <w:rPr>
          <w:rFonts w:hint="eastAsia" w:ascii="Times New Roman" w:hAnsi="Times New Roman" w:eastAsia="宋体"/>
          <w:color w:val="auto"/>
          <w:kern w:val="0"/>
          <w:szCs w:val="21"/>
          <w:highlight w:val="none"/>
        </w:rPr>
        <w:t>地层</w:t>
      </w:r>
      <w:r>
        <w:rPr>
          <w:rFonts w:ascii="Times New Roman" w:hAnsi="Times New Roman" w:eastAsia="宋体"/>
          <w:color w:val="auto"/>
          <w:kern w:val="0"/>
          <w:szCs w:val="21"/>
          <w:highlight w:val="none"/>
        </w:rPr>
        <w:t>，宜开展施工勘察。广东省标准《岩溶地区建筑地基基础技术规范》</w:t>
      </w:r>
      <w:r>
        <w:rPr>
          <w:rFonts w:hint="eastAsia" w:ascii="Times New Roman" w:hAnsi="Times New Roman" w:eastAsia="宋体"/>
          <w:color w:val="auto"/>
          <w:kern w:val="0"/>
          <w:szCs w:val="21"/>
          <w:highlight w:val="none"/>
        </w:rPr>
        <w:t>（</w:t>
      </w:r>
      <w:r>
        <w:rPr>
          <w:rFonts w:ascii="Times New Roman" w:hAnsi="Times New Roman" w:eastAsia="宋体"/>
          <w:color w:val="auto"/>
          <w:kern w:val="0"/>
          <w:szCs w:val="21"/>
          <w:highlight w:val="none"/>
        </w:rPr>
        <w:t>DBJ/T 15-</w:t>
      </w:r>
      <w:r>
        <w:rPr>
          <w:rFonts w:hint="eastAsia" w:ascii="Times New Roman" w:hAnsi="Times New Roman" w:eastAsia="宋体"/>
          <w:color w:val="auto"/>
          <w:kern w:val="0"/>
          <w:szCs w:val="21"/>
          <w:highlight w:val="none"/>
          <w:lang w:eastAsia="zh-CN"/>
        </w:rPr>
        <w:t>1</w:t>
      </w:r>
      <w:r>
        <w:rPr>
          <w:rFonts w:hint="eastAsia" w:ascii="Times New Roman" w:hAnsi="Times New Roman" w:eastAsia="宋体"/>
          <w:color w:val="auto"/>
          <w:kern w:val="0"/>
          <w:szCs w:val="21"/>
          <w:highlight w:val="none"/>
          <w:lang w:val="en-US" w:eastAsia="zh-CN"/>
        </w:rPr>
        <w:t>3</w:t>
      </w:r>
      <w:r>
        <w:rPr>
          <w:rFonts w:ascii="Times New Roman" w:hAnsi="Times New Roman" w:eastAsia="宋体"/>
          <w:color w:val="auto"/>
          <w:kern w:val="0"/>
          <w:szCs w:val="21"/>
          <w:highlight w:val="none"/>
        </w:rPr>
        <w:t>6</w:t>
      </w:r>
      <w:r>
        <w:rPr>
          <w:rFonts w:hint="eastAsia" w:ascii="Times New Roman" w:hAnsi="Times New Roman" w:eastAsia="宋体"/>
          <w:color w:val="auto"/>
          <w:kern w:val="0"/>
          <w:szCs w:val="21"/>
          <w:highlight w:val="none"/>
        </w:rPr>
        <w:t>）</w:t>
      </w:r>
      <w:r>
        <w:rPr>
          <w:rFonts w:ascii="Times New Roman" w:hAnsi="Times New Roman" w:eastAsia="宋体"/>
          <w:color w:val="auto"/>
          <w:kern w:val="0"/>
          <w:szCs w:val="21"/>
          <w:highlight w:val="none"/>
        </w:rPr>
        <w:t>第4.3.9款</w:t>
      </w:r>
      <w:r>
        <w:rPr>
          <w:rFonts w:hint="eastAsia" w:ascii="Times New Roman" w:hAnsi="Times New Roman" w:eastAsia="宋体"/>
          <w:color w:val="auto"/>
          <w:kern w:val="0"/>
          <w:szCs w:val="21"/>
          <w:highlight w:val="none"/>
          <w:lang w:val="en-US" w:eastAsia="zh-CN"/>
        </w:rPr>
        <w:t>规定</w:t>
      </w:r>
      <w:r>
        <w:rPr>
          <w:rFonts w:ascii="Times New Roman" w:hAnsi="Times New Roman" w:eastAsia="宋体"/>
          <w:color w:val="auto"/>
          <w:kern w:val="0"/>
          <w:szCs w:val="21"/>
          <w:highlight w:val="none"/>
        </w:rPr>
        <w:t>，地</w:t>
      </w:r>
      <w:r>
        <w:rPr>
          <w:rFonts w:hint="eastAsia" w:ascii="Times New Roman" w:hAnsi="Times New Roman" w:eastAsia="宋体"/>
          <w:color w:val="auto"/>
          <w:kern w:val="0"/>
          <w:szCs w:val="21"/>
          <w:highlight w:val="none"/>
        </w:rPr>
        <w:t>下</w:t>
      </w:r>
      <w:r>
        <w:rPr>
          <w:rFonts w:ascii="Times New Roman" w:hAnsi="Times New Roman" w:eastAsia="宋体"/>
          <w:color w:val="auto"/>
          <w:kern w:val="0"/>
          <w:szCs w:val="21"/>
          <w:highlight w:val="none"/>
        </w:rPr>
        <w:t>连</w:t>
      </w:r>
      <w:r>
        <w:rPr>
          <w:rFonts w:hint="eastAsia" w:ascii="Times New Roman" w:hAnsi="Times New Roman" w:eastAsia="宋体"/>
          <w:color w:val="auto"/>
          <w:kern w:val="0"/>
          <w:szCs w:val="21"/>
          <w:highlight w:val="none"/>
        </w:rPr>
        <w:t>续</w:t>
      </w:r>
      <w:r>
        <w:rPr>
          <w:rFonts w:ascii="Times New Roman" w:hAnsi="Times New Roman" w:eastAsia="宋体"/>
          <w:color w:val="auto"/>
          <w:kern w:val="0"/>
          <w:szCs w:val="21"/>
          <w:highlight w:val="none"/>
        </w:rPr>
        <w:t>墙施工勘察</w:t>
      </w:r>
      <w:r>
        <w:rPr>
          <w:rFonts w:hint="eastAsia" w:ascii="Times New Roman" w:hAnsi="Times New Roman" w:eastAsia="宋体"/>
          <w:color w:val="auto"/>
          <w:kern w:val="0"/>
          <w:szCs w:val="21"/>
          <w:highlight w:val="none"/>
        </w:rPr>
        <w:t>宜</w:t>
      </w:r>
      <w:r>
        <w:rPr>
          <w:rFonts w:ascii="Times New Roman" w:hAnsi="Times New Roman" w:eastAsia="宋体"/>
          <w:color w:val="auto"/>
          <w:kern w:val="0"/>
          <w:szCs w:val="21"/>
          <w:highlight w:val="none"/>
        </w:rPr>
        <w:t>采用一槽两孔</w:t>
      </w:r>
      <w:r>
        <w:rPr>
          <w:rFonts w:hint="eastAsia" w:ascii="Times New Roman" w:hAnsi="Times New Roman" w:eastAsia="宋体"/>
          <w:color w:val="auto"/>
          <w:kern w:val="0"/>
          <w:szCs w:val="21"/>
          <w:highlight w:val="none"/>
        </w:rPr>
        <w:t>，</w:t>
      </w:r>
      <w:r>
        <w:rPr>
          <w:rFonts w:ascii="Times New Roman" w:hAnsi="Times New Roman" w:eastAsia="宋体"/>
          <w:color w:val="auto"/>
          <w:kern w:val="0"/>
          <w:szCs w:val="21"/>
          <w:highlight w:val="none"/>
        </w:rPr>
        <w:t>在实际施工勘察中也一般照此</w:t>
      </w:r>
      <w:r>
        <w:rPr>
          <w:rFonts w:hint="eastAsia" w:ascii="Times New Roman" w:hAnsi="Times New Roman" w:eastAsia="宋体"/>
          <w:color w:val="auto"/>
          <w:kern w:val="0"/>
          <w:szCs w:val="21"/>
          <w:highlight w:val="none"/>
        </w:rPr>
        <w:t>布置勘探孔</w:t>
      </w:r>
      <w:r>
        <w:rPr>
          <w:rFonts w:ascii="Times New Roman" w:hAnsi="Times New Roman" w:eastAsia="宋体"/>
          <w:color w:val="auto"/>
          <w:kern w:val="0"/>
          <w:szCs w:val="21"/>
          <w:highlight w:val="none"/>
        </w:rPr>
        <w:t>，</w:t>
      </w:r>
      <w:r>
        <w:rPr>
          <w:rFonts w:hint="eastAsia" w:ascii="Times New Roman" w:hAnsi="Times New Roman" w:eastAsia="宋体"/>
          <w:color w:val="auto"/>
          <w:kern w:val="0"/>
          <w:szCs w:val="21"/>
          <w:highlight w:val="none"/>
          <w:lang w:val="en-US" w:eastAsia="zh-CN"/>
        </w:rPr>
        <w:t>但</w:t>
      </w:r>
      <w:r>
        <w:rPr>
          <w:rFonts w:hint="eastAsia" w:ascii="Times New Roman" w:hAnsi="Times New Roman" w:eastAsia="宋体"/>
          <w:color w:val="auto"/>
          <w:kern w:val="0"/>
          <w:szCs w:val="21"/>
          <w:highlight w:val="none"/>
        </w:rPr>
        <w:t>当岩溶地质条件</w:t>
      </w:r>
      <w:r>
        <w:rPr>
          <w:rFonts w:ascii="Times New Roman" w:hAnsi="Times New Roman" w:eastAsia="宋体"/>
          <w:color w:val="auto"/>
          <w:kern w:val="0"/>
          <w:szCs w:val="21"/>
          <w:highlight w:val="none"/>
        </w:rPr>
        <w:t>特别复杂时</w:t>
      </w:r>
      <w:r>
        <w:rPr>
          <w:rFonts w:hint="eastAsia" w:ascii="Times New Roman" w:hAnsi="Times New Roman" w:eastAsia="宋体"/>
          <w:color w:val="auto"/>
          <w:kern w:val="0"/>
          <w:szCs w:val="21"/>
          <w:highlight w:val="none"/>
        </w:rPr>
        <w:t>可</w:t>
      </w:r>
      <w:r>
        <w:rPr>
          <w:rFonts w:ascii="Times New Roman" w:hAnsi="Times New Roman" w:eastAsia="宋体"/>
          <w:color w:val="auto"/>
          <w:kern w:val="0"/>
          <w:szCs w:val="21"/>
          <w:highlight w:val="none"/>
        </w:rPr>
        <w:t>根据需要进一步增加</w:t>
      </w:r>
      <w:r>
        <w:rPr>
          <w:rFonts w:hint="eastAsia" w:ascii="Times New Roman" w:hAnsi="Times New Roman" w:eastAsia="宋体"/>
          <w:color w:val="auto"/>
          <w:kern w:val="0"/>
          <w:szCs w:val="21"/>
          <w:highlight w:val="none"/>
        </w:rPr>
        <w:t>勘探</w:t>
      </w:r>
      <w:r>
        <w:rPr>
          <w:rFonts w:ascii="Times New Roman" w:hAnsi="Times New Roman" w:eastAsia="宋体"/>
          <w:color w:val="auto"/>
          <w:kern w:val="0"/>
          <w:szCs w:val="21"/>
          <w:highlight w:val="none"/>
        </w:rPr>
        <w:t>孔</w:t>
      </w:r>
      <w:r>
        <w:rPr>
          <w:rFonts w:hint="eastAsia" w:ascii="Times New Roman" w:hAnsi="Times New Roman" w:eastAsia="宋体"/>
          <w:color w:val="auto"/>
          <w:kern w:val="0"/>
          <w:szCs w:val="21"/>
          <w:highlight w:val="none"/>
          <w:lang w:eastAsia="zh-CN"/>
        </w:rPr>
        <w:t>，</w:t>
      </w:r>
      <w:r>
        <w:rPr>
          <w:rFonts w:ascii="Times New Roman" w:hAnsi="Times New Roman" w:eastAsia="宋体"/>
          <w:color w:val="auto"/>
          <w:kern w:val="0"/>
          <w:szCs w:val="21"/>
          <w:highlight w:val="none"/>
        </w:rPr>
        <w:t>因此本</w:t>
      </w:r>
      <w:r>
        <w:rPr>
          <w:rFonts w:hint="eastAsia" w:ascii="Times New Roman" w:hAnsi="Times New Roman" w:eastAsia="宋体"/>
          <w:color w:val="auto"/>
          <w:kern w:val="0"/>
          <w:szCs w:val="21"/>
          <w:highlight w:val="none"/>
        </w:rPr>
        <w:t>规范</w:t>
      </w:r>
      <w:r>
        <w:rPr>
          <w:rFonts w:ascii="Times New Roman" w:hAnsi="Times New Roman" w:eastAsia="宋体"/>
          <w:color w:val="auto"/>
          <w:kern w:val="0"/>
          <w:szCs w:val="21"/>
          <w:highlight w:val="none"/>
        </w:rPr>
        <w:t>规定为每幅地</w:t>
      </w:r>
      <w:r>
        <w:rPr>
          <w:rFonts w:hint="eastAsia" w:ascii="Times New Roman" w:hAnsi="Times New Roman" w:eastAsia="宋体"/>
          <w:color w:val="auto"/>
          <w:kern w:val="0"/>
          <w:szCs w:val="21"/>
          <w:highlight w:val="none"/>
        </w:rPr>
        <w:t>下</w:t>
      </w:r>
      <w:r>
        <w:rPr>
          <w:rFonts w:ascii="Times New Roman" w:hAnsi="Times New Roman" w:eastAsia="宋体"/>
          <w:color w:val="auto"/>
          <w:kern w:val="0"/>
          <w:szCs w:val="21"/>
          <w:highlight w:val="none"/>
        </w:rPr>
        <w:t>连</w:t>
      </w:r>
      <w:r>
        <w:rPr>
          <w:rFonts w:hint="eastAsia" w:ascii="Times New Roman" w:hAnsi="Times New Roman" w:eastAsia="宋体"/>
          <w:color w:val="auto"/>
          <w:kern w:val="0"/>
          <w:szCs w:val="21"/>
          <w:highlight w:val="none"/>
        </w:rPr>
        <w:t>续</w:t>
      </w:r>
      <w:r>
        <w:rPr>
          <w:rFonts w:ascii="Times New Roman" w:hAnsi="Times New Roman" w:eastAsia="宋体"/>
          <w:color w:val="auto"/>
          <w:kern w:val="0"/>
          <w:szCs w:val="21"/>
          <w:highlight w:val="none"/>
        </w:rPr>
        <w:t>墙布置不少于2个勘探</w:t>
      </w:r>
      <w:r>
        <w:rPr>
          <w:rFonts w:hint="eastAsia" w:ascii="Times New Roman" w:hAnsi="Times New Roman" w:eastAsia="宋体"/>
          <w:color w:val="auto"/>
          <w:kern w:val="0"/>
          <w:szCs w:val="21"/>
          <w:highlight w:val="none"/>
        </w:rPr>
        <w:t>孔</w:t>
      </w:r>
      <w:r>
        <w:rPr>
          <w:rFonts w:hint="eastAsia" w:ascii="Times New Roman" w:hAnsi="Times New Roman" w:eastAsia="宋体"/>
          <w:color w:val="auto"/>
          <w:kern w:val="0"/>
          <w:szCs w:val="21"/>
          <w:highlight w:val="none"/>
          <w:lang w:eastAsia="zh-CN"/>
        </w:rPr>
        <w:t>。</w:t>
      </w:r>
      <w:r>
        <w:rPr>
          <w:rFonts w:ascii="Times New Roman" w:hAnsi="Times New Roman" w:eastAsia="宋体"/>
          <w:color w:val="auto"/>
          <w:kern w:val="0"/>
          <w:szCs w:val="21"/>
          <w:highlight w:val="none"/>
        </w:rPr>
        <w:t>对于</w:t>
      </w:r>
      <w:r>
        <w:rPr>
          <w:rFonts w:hint="eastAsia" w:ascii="Times New Roman" w:hAnsi="Times New Roman" w:eastAsia="宋体"/>
          <w:color w:val="auto"/>
          <w:kern w:val="0"/>
          <w:szCs w:val="21"/>
          <w:highlight w:val="none"/>
          <w:lang w:val="en-US" w:eastAsia="zh-CN"/>
        </w:rPr>
        <w:t>支护</w:t>
      </w:r>
      <w:r>
        <w:rPr>
          <w:rFonts w:ascii="Times New Roman" w:hAnsi="Times New Roman" w:eastAsia="宋体"/>
          <w:color w:val="auto"/>
          <w:kern w:val="0"/>
          <w:szCs w:val="21"/>
          <w:highlight w:val="none"/>
        </w:rPr>
        <w:t>桩，</w:t>
      </w:r>
      <w:r>
        <w:rPr>
          <w:rFonts w:hint="eastAsia" w:ascii="Times New Roman" w:hAnsi="Times New Roman" w:eastAsia="宋体"/>
          <w:color w:val="auto"/>
          <w:kern w:val="0"/>
          <w:szCs w:val="21"/>
          <w:highlight w:val="none"/>
        </w:rPr>
        <w:t>本规范</w:t>
      </w:r>
      <w:r>
        <w:rPr>
          <w:rFonts w:ascii="Times New Roman" w:hAnsi="Times New Roman" w:eastAsia="宋体"/>
          <w:color w:val="auto"/>
          <w:kern w:val="0"/>
          <w:szCs w:val="21"/>
          <w:highlight w:val="none"/>
        </w:rPr>
        <w:t>参考广州轨道交通施工阶段做法，隔桩布置</w:t>
      </w:r>
      <w:r>
        <w:rPr>
          <w:rFonts w:hint="eastAsia" w:ascii="Times New Roman" w:hAnsi="Times New Roman" w:eastAsia="宋体"/>
          <w:color w:val="auto"/>
          <w:kern w:val="0"/>
          <w:szCs w:val="21"/>
          <w:highlight w:val="none"/>
        </w:rPr>
        <w:t>1个</w:t>
      </w:r>
      <w:r>
        <w:rPr>
          <w:rFonts w:hint="eastAsia" w:ascii="Times New Roman" w:hAnsi="Times New Roman" w:eastAsia="宋体"/>
          <w:color w:val="auto"/>
          <w:kern w:val="0"/>
          <w:szCs w:val="21"/>
          <w:highlight w:val="none"/>
          <w:lang w:val="en-US" w:eastAsia="zh-CN"/>
        </w:rPr>
        <w:t>钻孔</w:t>
      </w:r>
      <w:r>
        <w:rPr>
          <w:rFonts w:ascii="Times New Roman" w:hAnsi="Times New Roman" w:eastAsia="宋体"/>
          <w:color w:val="auto"/>
          <w:kern w:val="0"/>
          <w:szCs w:val="21"/>
          <w:highlight w:val="none"/>
        </w:rPr>
        <w:t>。</w:t>
      </w:r>
    </w:p>
    <w:p>
      <w:pPr>
        <w:spacing w:line="360" w:lineRule="auto"/>
        <w:ind w:firstLine="420" w:firstLineChars="200"/>
        <w:rPr>
          <w:rFonts w:hint="default" w:ascii="Times New Roman" w:hAnsi="Times New Roman" w:eastAsia="宋体"/>
          <w:color w:val="auto"/>
          <w:kern w:val="0"/>
          <w:szCs w:val="21"/>
          <w:highlight w:val="none"/>
          <w:lang w:val="en-US" w:eastAsia="zh-CN"/>
        </w:rPr>
      </w:pPr>
      <w:r>
        <w:rPr>
          <w:rFonts w:hint="eastAsia" w:ascii="Times New Roman" w:hAnsi="Times New Roman" w:eastAsia="宋体" w:cs="Times New Roman"/>
          <w:color w:val="auto"/>
          <w:szCs w:val="21"/>
          <w:highlight w:val="none"/>
          <w:lang w:val="en-US" w:eastAsia="zh-CN"/>
        </w:rPr>
        <w:t>采用</w:t>
      </w:r>
      <w:r>
        <w:rPr>
          <w:rFonts w:hint="default" w:ascii="Times New Roman" w:hAnsi="Times New Roman" w:eastAsia="宋体" w:cs="Times New Roman"/>
          <w:color w:val="auto"/>
          <w:szCs w:val="21"/>
          <w:highlight w:val="none"/>
        </w:rPr>
        <w:t>井间层析成像法</w:t>
      </w:r>
      <w:r>
        <w:rPr>
          <w:rFonts w:hint="eastAsia" w:ascii="Times New Roman" w:hAnsi="Times New Roman" w:eastAsia="宋体" w:cs="Times New Roman"/>
          <w:color w:val="auto"/>
          <w:szCs w:val="21"/>
          <w:highlight w:val="none"/>
          <w:lang w:val="en-US" w:eastAsia="zh-CN"/>
        </w:rPr>
        <w:t>辅助勘察时，两个测试孔的深度若相差较大，浅孔可适当加深，以利于</w:t>
      </w:r>
      <w:r>
        <w:rPr>
          <w:rFonts w:hint="default" w:ascii="Times New Roman" w:hAnsi="Times New Roman" w:eastAsia="宋体" w:cs="Times New Roman"/>
          <w:color w:val="auto"/>
          <w:szCs w:val="21"/>
          <w:highlight w:val="none"/>
        </w:rPr>
        <w:t>井间层析成像</w:t>
      </w:r>
      <w:r>
        <w:rPr>
          <w:rFonts w:hint="eastAsia" w:ascii="Times New Roman" w:hAnsi="Times New Roman" w:eastAsia="宋体" w:cs="Times New Roman"/>
          <w:color w:val="auto"/>
          <w:szCs w:val="21"/>
          <w:highlight w:val="none"/>
          <w:lang w:val="en-US" w:eastAsia="zh-CN"/>
        </w:rPr>
        <w:t>的完整。</w:t>
      </w:r>
    </w:p>
    <w:p>
      <w:pPr>
        <w:spacing w:line="360" w:lineRule="auto"/>
        <w:rPr>
          <w:rFonts w:ascii="Times New Roman" w:hAnsi="Times New Roman" w:eastAsia="宋体"/>
          <w:color w:val="auto"/>
          <w:kern w:val="0"/>
          <w:szCs w:val="21"/>
          <w:highlight w:val="none"/>
        </w:rPr>
      </w:pPr>
      <w:r>
        <w:rPr>
          <w:rFonts w:hint="eastAsia" w:ascii="Times New Roman" w:hAnsi="Times New Roman" w:eastAsia="宋体"/>
          <w:b/>
          <w:bCs/>
          <w:color w:val="auto"/>
          <w:kern w:val="0"/>
          <w:szCs w:val="21"/>
          <w:highlight w:val="none"/>
          <w:lang w:eastAsia="zh-CN"/>
        </w:rPr>
        <w:t>14</w:t>
      </w:r>
      <w:r>
        <w:rPr>
          <w:rFonts w:hint="eastAsia" w:ascii="Times New Roman" w:hAnsi="Times New Roman" w:eastAsia="宋体"/>
          <w:b/>
          <w:bCs/>
          <w:color w:val="auto"/>
          <w:kern w:val="0"/>
          <w:szCs w:val="21"/>
          <w:highlight w:val="none"/>
        </w:rPr>
        <w:t>.</w:t>
      </w:r>
      <w:r>
        <w:rPr>
          <w:rFonts w:hint="eastAsia" w:ascii="Times New Roman" w:hAnsi="Times New Roman" w:eastAsia="宋体"/>
          <w:b/>
          <w:bCs/>
          <w:color w:val="auto"/>
          <w:kern w:val="0"/>
          <w:szCs w:val="21"/>
          <w:highlight w:val="none"/>
          <w:lang w:val="en-US" w:eastAsia="zh-CN"/>
        </w:rPr>
        <w:t>2</w:t>
      </w:r>
      <w:r>
        <w:rPr>
          <w:rFonts w:ascii="Times New Roman" w:hAnsi="Times New Roman" w:eastAsia="宋体"/>
          <w:b/>
          <w:bCs/>
          <w:color w:val="auto"/>
          <w:kern w:val="0"/>
          <w:szCs w:val="21"/>
          <w:highlight w:val="none"/>
        </w:rPr>
        <w:t>.</w:t>
      </w:r>
      <w:r>
        <w:rPr>
          <w:rFonts w:hint="eastAsia" w:ascii="Times New Roman" w:hAnsi="Times New Roman" w:eastAsia="宋体"/>
          <w:b/>
          <w:color w:val="auto"/>
          <w:kern w:val="0"/>
          <w:szCs w:val="21"/>
          <w:highlight w:val="none"/>
          <w:lang w:val="en-US" w:eastAsia="zh-CN"/>
        </w:rPr>
        <w:t>6</w:t>
      </w:r>
      <w:r>
        <w:rPr>
          <w:rFonts w:ascii="Times New Roman" w:hAnsi="Times New Roman" w:eastAsia="宋体"/>
          <w:b/>
          <w:color w:val="auto"/>
          <w:kern w:val="0"/>
          <w:szCs w:val="21"/>
          <w:highlight w:val="none"/>
        </w:rPr>
        <w:t xml:space="preserve">  </w:t>
      </w:r>
      <w:r>
        <w:rPr>
          <w:rFonts w:hint="eastAsia" w:ascii="Times New Roman" w:hAnsi="Times New Roman" w:eastAsia="宋体"/>
          <w:color w:val="auto"/>
          <w:kern w:val="0"/>
          <w:szCs w:val="21"/>
          <w:highlight w:val="none"/>
        </w:rPr>
        <w:t>TBM法即掘进机法（Tunnel Boring Machine），是指使用集掘进（机械切削岩石）、出碴、支护等多功能为一体的大型高效隧道施工机械进行隧道开挖的方法。“</w:t>
      </w:r>
      <w:r>
        <w:rPr>
          <w:rFonts w:ascii="Times New Roman" w:hAnsi="Times New Roman" w:eastAsia="宋体"/>
          <w:color w:val="auto"/>
          <w:kern w:val="0"/>
          <w:szCs w:val="21"/>
          <w:highlight w:val="none"/>
        </w:rPr>
        <w:t>复合地层</w:t>
      </w:r>
      <w:r>
        <w:rPr>
          <w:rFonts w:hint="eastAsia" w:ascii="Times New Roman" w:hAnsi="Times New Roman" w:eastAsia="宋体"/>
          <w:color w:val="auto"/>
          <w:kern w:val="0"/>
          <w:szCs w:val="21"/>
          <w:highlight w:val="none"/>
        </w:rPr>
        <w:t>”</w:t>
      </w:r>
      <w:r>
        <w:rPr>
          <w:rFonts w:ascii="Times New Roman" w:hAnsi="Times New Roman" w:eastAsia="宋体"/>
          <w:color w:val="auto"/>
          <w:kern w:val="0"/>
          <w:szCs w:val="21"/>
          <w:highlight w:val="none"/>
        </w:rPr>
        <w:t>这一</w:t>
      </w:r>
      <w:r>
        <w:rPr>
          <w:rFonts w:hint="eastAsia" w:ascii="Times New Roman" w:hAnsi="Times New Roman" w:eastAsia="宋体"/>
          <w:color w:val="auto"/>
          <w:kern w:val="0"/>
          <w:szCs w:val="21"/>
          <w:highlight w:val="none"/>
        </w:rPr>
        <w:t>名词</w:t>
      </w:r>
      <w:r>
        <w:rPr>
          <w:rFonts w:ascii="Times New Roman" w:hAnsi="Times New Roman" w:eastAsia="宋体"/>
          <w:color w:val="auto"/>
          <w:kern w:val="0"/>
          <w:szCs w:val="21"/>
          <w:highlight w:val="none"/>
        </w:rPr>
        <w:t>概念是2006年竺维彬、鞠世健在盾构施工技术管理中提出的，指在地下工程开挖断面范围内和开挖延伸方向上，由两种或两种以上不同地层组成，且这些地层的岩土力学、工程地质和水文地质等特征相差悬殊的组合地层。上软下硬地层</w:t>
      </w:r>
      <w:r>
        <w:rPr>
          <w:rFonts w:hint="eastAsia" w:ascii="宋体" w:hAnsi="宋体" w:eastAsia="宋体" w:cs="宋体"/>
          <w:color w:val="auto"/>
          <w:kern w:val="0"/>
          <w:szCs w:val="21"/>
          <w:highlight w:val="none"/>
        </w:rPr>
        <w:t>“复合地层”</w:t>
      </w:r>
      <w:r>
        <w:rPr>
          <w:rFonts w:ascii="Times New Roman" w:hAnsi="Times New Roman" w:eastAsia="宋体"/>
          <w:color w:val="auto"/>
          <w:kern w:val="0"/>
          <w:szCs w:val="21"/>
          <w:highlight w:val="none"/>
        </w:rPr>
        <w:t>的特殊情况之一，通常隧洞上方为淤泥质土、砂层以及坡残积层等软弱地层，隧道下部为较坚硬的岩石风化带，盾构法在上软下硬地层中掘进时，盾构机姿态难以控制、容易引起上方软弱地层超挖继而造成地面沉降或塌方、盾构刀具损坏及盾构机被卡住等工程事故。</w:t>
      </w:r>
    </w:p>
    <w:p>
      <w:pPr>
        <w:spacing w:line="360" w:lineRule="auto"/>
        <w:ind w:firstLine="420" w:firstLineChars="200"/>
        <w:rPr>
          <w:rFonts w:hint="eastAsia" w:ascii="Times New Roman" w:hAnsi="Times New Roman" w:eastAsia="宋体"/>
          <w:color w:val="auto"/>
          <w:kern w:val="0"/>
          <w:szCs w:val="24"/>
          <w:highlight w:val="none"/>
        </w:rPr>
      </w:pPr>
      <w:r>
        <w:rPr>
          <w:rFonts w:hint="eastAsia" w:ascii="Times New Roman" w:hAnsi="Times New Roman" w:eastAsia="宋体"/>
          <w:color w:val="auto"/>
          <w:kern w:val="0"/>
          <w:szCs w:val="24"/>
          <w:highlight w:val="none"/>
        </w:rPr>
        <w:t>隧道纵向</w:t>
      </w:r>
      <w:r>
        <w:rPr>
          <w:rFonts w:ascii="Times New Roman" w:hAnsi="Times New Roman" w:eastAsia="宋体"/>
          <w:color w:val="auto"/>
          <w:kern w:val="0"/>
          <w:szCs w:val="24"/>
          <w:highlight w:val="none"/>
        </w:rPr>
        <w:t>连续开展超前地质预报</w:t>
      </w:r>
      <w:r>
        <w:rPr>
          <w:rFonts w:hint="eastAsia" w:ascii="Times New Roman" w:hAnsi="Times New Roman" w:eastAsia="宋体"/>
          <w:color w:val="auto"/>
          <w:kern w:val="0"/>
          <w:szCs w:val="24"/>
          <w:highlight w:val="none"/>
          <w:lang w:val="en-US" w:eastAsia="zh-CN"/>
        </w:rPr>
        <w:t>物</w:t>
      </w:r>
      <w:r>
        <w:rPr>
          <w:rFonts w:hint="eastAsia" w:ascii="Times New Roman" w:hAnsi="Times New Roman" w:eastAsia="宋体"/>
          <w:color w:val="auto"/>
          <w:kern w:val="0"/>
          <w:szCs w:val="24"/>
          <w:highlight w:val="none"/>
        </w:rPr>
        <w:t>探方法</w:t>
      </w:r>
      <w:r>
        <w:rPr>
          <w:rFonts w:hint="eastAsia" w:ascii="Times New Roman" w:hAnsi="Times New Roman" w:eastAsia="宋体"/>
          <w:color w:val="auto"/>
          <w:kern w:val="0"/>
          <w:szCs w:val="24"/>
          <w:highlight w:val="none"/>
          <w:lang w:val="en-US" w:eastAsia="zh-CN"/>
        </w:rPr>
        <w:t>可</w:t>
      </w:r>
      <w:r>
        <w:rPr>
          <w:rFonts w:hint="eastAsia" w:ascii="Times New Roman" w:hAnsi="Times New Roman" w:eastAsia="宋体"/>
          <w:color w:val="auto"/>
          <w:kern w:val="0"/>
          <w:szCs w:val="24"/>
          <w:highlight w:val="none"/>
        </w:rPr>
        <w:t>选用隧道地震预报（</w:t>
      </w:r>
      <w:r>
        <w:rPr>
          <w:rFonts w:ascii="Times New Roman" w:hAnsi="Times New Roman" w:eastAsia="宋体"/>
          <w:color w:val="auto"/>
          <w:kern w:val="0"/>
          <w:szCs w:val="24"/>
          <w:highlight w:val="none"/>
        </w:rPr>
        <w:t>TSP</w:t>
      </w:r>
      <w:r>
        <w:rPr>
          <w:rFonts w:hint="eastAsia" w:ascii="Times New Roman" w:hAnsi="Times New Roman" w:eastAsia="宋体"/>
          <w:color w:val="auto"/>
          <w:kern w:val="0"/>
          <w:szCs w:val="24"/>
          <w:highlight w:val="none"/>
        </w:rPr>
        <w:t>）</w:t>
      </w:r>
      <w:r>
        <w:rPr>
          <w:rFonts w:ascii="Times New Roman" w:hAnsi="Times New Roman" w:eastAsia="宋体"/>
          <w:color w:val="auto"/>
          <w:kern w:val="0"/>
          <w:szCs w:val="24"/>
          <w:highlight w:val="none"/>
        </w:rPr>
        <w:t>、</w:t>
      </w:r>
      <w:r>
        <w:rPr>
          <w:rFonts w:hint="eastAsia" w:ascii="Times New Roman" w:hAnsi="Times New Roman" w:eastAsia="宋体"/>
          <w:color w:val="auto"/>
          <w:kern w:val="0"/>
          <w:szCs w:val="24"/>
          <w:highlight w:val="none"/>
        </w:rPr>
        <w:t>隧道地质预报（</w:t>
      </w:r>
      <w:r>
        <w:rPr>
          <w:rFonts w:ascii="Times New Roman" w:hAnsi="Times New Roman" w:eastAsia="宋体"/>
          <w:color w:val="auto"/>
          <w:kern w:val="0"/>
          <w:szCs w:val="24"/>
          <w:highlight w:val="none"/>
        </w:rPr>
        <w:t>TGP</w:t>
      </w:r>
      <w:r>
        <w:rPr>
          <w:rFonts w:hint="eastAsia" w:ascii="Times New Roman" w:hAnsi="Times New Roman" w:eastAsia="宋体"/>
          <w:color w:val="auto"/>
          <w:kern w:val="0"/>
          <w:szCs w:val="24"/>
          <w:highlight w:val="none"/>
        </w:rPr>
        <w:t>）</w:t>
      </w:r>
      <w:r>
        <w:rPr>
          <w:rFonts w:ascii="Times New Roman" w:hAnsi="Times New Roman" w:eastAsia="宋体"/>
          <w:color w:val="auto"/>
          <w:kern w:val="0"/>
          <w:szCs w:val="24"/>
          <w:highlight w:val="none"/>
        </w:rPr>
        <w:t>、基于等值反磁通的瞬变电磁法</w:t>
      </w:r>
      <w:r>
        <w:rPr>
          <w:rFonts w:hint="eastAsia" w:ascii="Times New Roman" w:hAnsi="Times New Roman" w:eastAsia="宋体"/>
          <w:color w:val="auto"/>
          <w:kern w:val="0"/>
          <w:szCs w:val="24"/>
          <w:highlight w:val="none"/>
        </w:rPr>
        <w:t>（</w:t>
      </w:r>
      <w:r>
        <w:rPr>
          <w:rFonts w:ascii="Times New Roman" w:hAnsi="Times New Roman" w:eastAsia="宋体"/>
          <w:color w:val="auto"/>
          <w:kern w:val="0"/>
          <w:szCs w:val="24"/>
          <w:highlight w:val="none"/>
        </w:rPr>
        <w:t>ADTEM</w:t>
      </w:r>
      <w:r>
        <w:rPr>
          <w:rFonts w:hint="eastAsia" w:ascii="Times New Roman" w:hAnsi="Times New Roman" w:eastAsia="宋体"/>
          <w:color w:val="auto"/>
          <w:kern w:val="0"/>
          <w:szCs w:val="24"/>
          <w:highlight w:val="none"/>
        </w:rPr>
        <w:t>）</w:t>
      </w:r>
      <w:r>
        <w:rPr>
          <w:rFonts w:ascii="Times New Roman" w:hAnsi="Times New Roman" w:eastAsia="宋体"/>
          <w:color w:val="auto"/>
          <w:kern w:val="0"/>
          <w:szCs w:val="24"/>
          <w:highlight w:val="none"/>
        </w:rPr>
        <w:t>、微动探测、地质雷达、</w:t>
      </w:r>
      <w:r>
        <w:rPr>
          <w:rFonts w:hint="eastAsia" w:ascii="Times New Roman" w:hAnsi="Times New Roman" w:eastAsia="宋体"/>
          <w:color w:val="auto"/>
          <w:kern w:val="0"/>
          <w:szCs w:val="24"/>
          <w:highlight w:val="none"/>
        </w:rPr>
        <w:t>井间层析成像（</w:t>
      </w:r>
      <w:r>
        <w:rPr>
          <w:rFonts w:ascii="Times New Roman" w:hAnsi="Times New Roman" w:eastAsia="宋体"/>
          <w:color w:val="auto"/>
          <w:kern w:val="0"/>
          <w:szCs w:val="24"/>
          <w:highlight w:val="none"/>
        </w:rPr>
        <w:t>CT</w:t>
      </w:r>
      <w:r>
        <w:rPr>
          <w:rFonts w:hint="eastAsia" w:ascii="Times New Roman" w:hAnsi="Times New Roman" w:eastAsia="宋体"/>
          <w:color w:val="auto"/>
          <w:kern w:val="0"/>
          <w:szCs w:val="24"/>
          <w:highlight w:val="none"/>
        </w:rPr>
        <w:t>）等方法。</w:t>
      </w:r>
    </w:p>
    <w:p>
      <w:pPr>
        <w:spacing w:line="360" w:lineRule="auto"/>
        <w:ind w:firstLine="420" w:firstLineChars="200"/>
        <w:rPr>
          <w:rFonts w:hint="eastAsia" w:ascii="Times New Roman" w:hAnsi="Times New Roman" w:eastAsia="宋体" w:cs="Times New Roman"/>
          <w:color w:val="auto"/>
          <w:kern w:val="0"/>
          <w:szCs w:val="24"/>
          <w:highlight w:val="none"/>
        </w:rPr>
      </w:pPr>
      <w:r>
        <w:rPr>
          <w:rFonts w:hint="eastAsia" w:ascii="Times New Roman" w:hAnsi="Times New Roman" w:eastAsia="宋体" w:cs="Times New Roman"/>
          <w:color w:val="auto"/>
          <w:kern w:val="0"/>
          <w:szCs w:val="24"/>
          <w:highlight w:val="none"/>
        </w:rPr>
        <w:t>隧道</w:t>
      </w:r>
      <w:r>
        <w:rPr>
          <w:rFonts w:hint="eastAsia" w:ascii="Times New Roman" w:hAnsi="Times New Roman" w:eastAsia="宋体" w:cs="Times New Roman"/>
          <w:color w:val="auto"/>
          <w:kern w:val="0"/>
          <w:szCs w:val="24"/>
          <w:highlight w:val="none"/>
          <w:lang w:val="en-US" w:eastAsia="zh-CN"/>
        </w:rPr>
        <w:t>结构轮廓线以内</w:t>
      </w:r>
      <w:r>
        <w:rPr>
          <w:rFonts w:hint="eastAsia" w:ascii="Times New Roman" w:hAnsi="Times New Roman" w:eastAsia="宋体" w:cs="Times New Roman"/>
          <w:color w:val="auto"/>
          <w:kern w:val="0"/>
          <w:szCs w:val="24"/>
          <w:highlight w:val="none"/>
        </w:rPr>
        <w:t>布置勘探孔时，如果封孔</w:t>
      </w:r>
      <w:r>
        <w:rPr>
          <w:rFonts w:hint="eastAsia" w:ascii="Times New Roman" w:hAnsi="Times New Roman" w:eastAsia="宋体" w:cs="Times New Roman"/>
          <w:color w:val="auto"/>
          <w:kern w:val="0"/>
          <w:szCs w:val="24"/>
          <w:highlight w:val="none"/>
          <w:lang w:val="en-US" w:eastAsia="zh-CN"/>
        </w:rPr>
        <w:t>失效</w:t>
      </w:r>
      <w:r>
        <w:rPr>
          <w:rFonts w:hint="eastAsia" w:ascii="Times New Roman" w:hAnsi="Times New Roman" w:eastAsia="宋体" w:cs="Times New Roman"/>
          <w:color w:val="auto"/>
          <w:kern w:val="0"/>
          <w:szCs w:val="24"/>
          <w:highlight w:val="none"/>
        </w:rPr>
        <w:t>，钻孔</w:t>
      </w:r>
      <w:r>
        <w:rPr>
          <w:rFonts w:hint="eastAsia" w:ascii="Times New Roman" w:hAnsi="Times New Roman" w:eastAsia="宋体" w:cs="Times New Roman"/>
          <w:color w:val="auto"/>
          <w:kern w:val="0"/>
          <w:szCs w:val="24"/>
          <w:highlight w:val="none"/>
          <w:lang w:val="en-US" w:eastAsia="zh-CN"/>
        </w:rPr>
        <w:t>可能</w:t>
      </w:r>
      <w:r>
        <w:rPr>
          <w:rFonts w:hint="eastAsia" w:ascii="Times New Roman" w:hAnsi="Times New Roman" w:eastAsia="宋体" w:cs="Times New Roman"/>
          <w:color w:val="auto"/>
          <w:kern w:val="0"/>
          <w:szCs w:val="24"/>
          <w:highlight w:val="none"/>
        </w:rPr>
        <w:t>成为</w:t>
      </w:r>
      <w:r>
        <w:rPr>
          <w:rFonts w:hint="eastAsia" w:ascii="Times New Roman" w:hAnsi="Times New Roman" w:eastAsia="宋体" w:cs="Times New Roman"/>
          <w:color w:val="auto"/>
          <w:kern w:val="0"/>
          <w:szCs w:val="24"/>
          <w:highlight w:val="none"/>
          <w:lang w:val="en-US" w:eastAsia="zh-CN"/>
        </w:rPr>
        <w:t>隧道施工时的</w:t>
      </w:r>
      <w:r>
        <w:rPr>
          <w:rFonts w:hint="eastAsia" w:ascii="Times New Roman" w:hAnsi="Times New Roman" w:eastAsia="宋体" w:cs="Times New Roman"/>
          <w:color w:val="auto"/>
          <w:kern w:val="0"/>
          <w:szCs w:val="24"/>
          <w:highlight w:val="none"/>
        </w:rPr>
        <w:t>地下水活动通道，</w:t>
      </w:r>
      <w:r>
        <w:rPr>
          <w:rFonts w:hint="eastAsia" w:ascii="Times New Roman" w:hAnsi="Times New Roman" w:eastAsia="宋体" w:cs="Times New Roman"/>
          <w:color w:val="auto"/>
          <w:kern w:val="0"/>
          <w:szCs w:val="24"/>
          <w:highlight w:val="none"/>
          <w:lang w:val="en-US" w:eastAsia="zh-CN"/>
        </w:rPr>
        <w:t>因此</w:t>
      </w:r>
      <w:r>
        <w:rPr>
          <w:rFonts w:hint="eastAsia" w:ascii="Times New Roman" w:hAnsi="Times New Roman" w:eastAsia="宋体" w:cs="Times New Roman"/>
          <w:color w:val="auto"/>
          <w:kern w:val="0"/>
          <w:szCs w:val="24"/>
          <w:highlight w:val="none"/>
        </w:rPr>
        <w:t>规定</w:t>
      </w:r>
      <w:r>
        <w:rPr>
          <w:rFonts w:hint="eastAsia" w:ascii="Times New Roman" w:hAnsi="Times New Roman" w:eastAsia="宋体" w:cs="Times New Roman"/>
          <w:color w:val="auto"/>
          <w:kern w:val="0"/>
          <w:szCs w:val="24"/>
          <w:highlight w:val="none"/>
          <w:lang w:val="en-US" w:eastAsia="zh-CN"/>
        </w:rPr>
        <w:t>钻孔</w:t>
      </w:r>
      <w:r>
        <w:rPr>
          <w:rFonts w:hint="eastAsia" w:ascii="Times New Roman" w:hAnsi="Times New Roman" w:eastAsia="宋体" w:cs="Times New Roman"/>
          <w:color w:val="auto"/>
          <w:kern w:val="0"/>
          <w:szCs w:val="24"/>
          <w:highlight w:val="none"/>
        </w:rPr>
        <w:t>宜布置在隧道结构轮廓线外侧3m～5m（水域为6m～8m）。</w:t>
      </w:r>
    </w:p>
    <w:p>
      <w:pPr>
        <w:spacing w:line="360" w:lineRule="auto"/>
        <w:rPr>
          <w:rFonts w:ascii="Times New Roman" w:hAnsi="Times New Roman" w:eastAsia="宋体"/>
          <w:color w:val="auto"/>
          <w:kern w:val="0"/>
          <w:szCs w:val="21"/>
          <w:highlight w:val="none"/>
        </w:rPr>
      </w:pPr>
      <w:r>
        <w:rPr>
          <w:rFonts w:hint="eastAsia" w:ascii="Times New Roman" w:hAnsi="Times New Roman" w:eastAsia="宋体"/>
          <w:b/>
          <w:bCs/>
          <w:color w:val="auto"/>
          <w:kern w:val="0"/>
          <w:szCs w:val="21"/>
          <w:highlight w:val="none"/>
          <w:lang w:eastAsia="zh-CN"/>
        </w:rPr>
        <w:t>14</w:t>
      </w:r>
      <w:r>
        <w:rPr>
          <w:rFonts w:hint="eastAsia" w:ascii="Times New Roman" w:hAnsi="Times New Roman" w:eastAsia="宋体"/>
          <w:b/>
          <w:bCs/>
          <w:color w:val="auto"/>
          <w:kern w:val="0"/>
          <w:szCs w:val="21"/>
          <w:highlight w:val="none"/>
        </w:rPr>
        <w:t>.</w:t>
      </w:r>
      <w:r>
        <w:rPr>
          <w:rFonts w:hint="eastAsia" w:ascii="Times New Roman" w:hAnsi="Times New Roman" w:eastAsia="宋体"/>
          <w:b/>
          <w:bCs/>
          <w:color w:val="auto"/>
          <w:kern w:val="0"/>
          <w:szCs w:val="21"/>
          <w:highlight w:val="none"/>
          <w:lang w:val="en-US" w:eastAsia="zh-CN"/>
        </w:rPr>
        <w:t>2</w:t>
      </w:r>
      <w:r>
        <w:rPr>
          <w:rFonts w:ascii="Times New Roman" w:hAnsi="Times New Roman" w:eastAsia="宋体"/>
          <w:b/>
          <w:bCs/>
          <w:color w:val="auto"/>
          <w:kern w:val="0"/>
          <w:szCs w:val="21"/>
          <w:highlight w:val="none"/>
        </w:rPr>
        <w:t>.</w:t>
      </w:r>
      <w:r>
        <w:rPr>
          <w:rFonts w:hint="eastAsia" w:ascii="Times New Roman" w:hAnsi="Times New Roman" w:eastAsia="宋体"/>
          <w:b/>
          <w:bCs/>
          <w:color w:val="auto"/>
          <w:kern w:val="0"/>
          <w:szCs w:val="21"/>
          <w:highlight w:val="none"/>
          <w:lang w:val="en-US" w:eastAsia="zh-CN"/>
        </w:rPr>
        <w:t>7</w:t>
      </w:r>
      <w:r>
        <w:rPr>
          <w:rFonts w:ascii="Times New Roman" w:hAnsi="Times New Roman" w:eastAsia="宋体"/>
          <w:b/>
          <w:bCs/>
          <w:color w:val="auto"/>
          <w:kern w:val="0"/>
          <w:szCs w:val="21"/>
          <w:highlight w:val="none"/>
        </w:rPr>
        <w:t xml:space="preserve"> </w:t>
      </w:r>
      <w:r>
        <w:rPr>
          <w:rFonts w:ascii="Times New Roman" w:hAnsi="Times New Roman" w:eastAsia="宋体"/>
          <w:color w:val="auto"/>
          <w:kern w:val="0"/>
          <w:szCs w:val="21"/>
          <w:highlight w:val="none"/>
        </w:rPr>
        <w:t xml:space="preserve"> 根据《</w:t>
      </w:r>
      <w:r>
        <w:rPr>
          <w:rFonts w:hint="eastAsia" w:ascii="Times New Roman" w:hAnsi="Times New Roman" w:eastAsia="宋体"/>
          <w:color w:val="auto"/>
          <w:kern w:val="0"/>
          <w:szCs w:val="21"/>
          <w:highlight w:val="none"/>
          <w:lang w:eastAsia="zh-CN"/>
        </w:rPr>
        <w:t>城市</w:t>
      </w:r>
      <w:r>
        <w:rPr>
          <w:rFonts w:ascii="Times New Roman" w:hAnsi="Times New Roman" w:eastAsia="宋体"/>
          <w:color w:val="auto"/>
          <w:kern w:val="0"/>
          <w:szCs w:val="21"/>
          <w:highlight w:val="none"/>
        </w:rPr>
        <w:t>燃气工程基本术语标准》（GB/T 50680），水平定向钻法、顶管法和夯管法适均属于非开挖施工铺设技术</w:t>
      </w:r>
      <w:r>
        <w:rPr>
          <w:rFonts w:hint="eastAsia" w:ascii="Times New Roman" w:hAnsi="Times New Roman" w:eastAsia="宋体"/>
          <w:color w:val="auto"/>
          <w:kern w:val="0"/>
          <w:szCs w:val="21"/>
          <w:highlight w:val="none"/>
          <w:lang w:eastAsia="zh-CN"/>
        </w:rPr>
        <w:t>；</w:t>
      </w:r>
      <w:r>
        <w:rPr>
          <w:rFonts w:hint="eastAsia" w:ascii="Times New Roman" w:hAnsi="Times New Roman" w:eastAsia="宋体"/>
          <w:color w:val="auto"/>
          <w:kern w:val="0"/>
          <w:szCs w:val="21"/>
          <w:highlight w:val="none"/>
          <w:lang w:val="en-US" w:eastAsia="zh-CN"/>
        </w:rPr>
        <w:t>综合管廊和人行地下通道当不采用明挖法时，一般可采用顶管法；局部大型管道和综合管廊还采用盾构法</w:t>
      </w:r>
      <w:r>
        <w:rPr>
          <w:rFonts w:ascii="Times New Roman" w:hAnsi="Times New Roman" w:eastAsia="宋体"/>
          <w:color w:val="auto"/>
          <w:kern w:val="0"/>
          <w:szCs w:val="21"/>
          <w:highlight w:val="none"/>
        </w:rPr>
        <w:t>。填石、漂石、球状风化体</w:t>
      </w:r>
      <w:r>
        <w:rPr>
          <w:rFonts w:hint="eastAsia" w:ascii="Times New Roman" w:hAnsi="Times New Roman" w:eastAsia="宋体"/>
          <w:color w:val="auto"/>
          <w:kern w:val="0"/>
          <w:szCs w:val="21"/>
          <w:highlight w:val="none"/>
          <w:lang w:eastAsia="zh-CN"/>
        </w:rPr>
        <w:t>、</w:t>
      </w:r>
      <w:r>
        <w:rPr>
          <w:rFonts w:hint="eastAsia" w:ascii="Times New Roman" w:hAnsi="Times New Roman" w:eastAsia="宋体"/>
          <w:color w:val="auto"/>
          <w:kern w:val="0"/>
          <w:szCs w:val="21"/>
          <w:highlight w:val="none"/>
          <w:lang w:val="en-US" w:eastAsia="zh-CN"/>
        </w:rPr>
        <w:t>岩面剧烈起伏部位的</w:t>
      </w:r>
      <w:r>
        <w:rPr>
          <w:rFonts w:ascii="Times New Roman" w:hAnsi="Times New Roman" w:eastAsia="宋体"/>
          <w:color w:val="auto"/>
          <w:kern w:val="0"/>
          <w:szCs w:val="21"/>
          <w:highlight w:val="none"/>
        </w:rPr>
        <w:t>硬</w:t>
      </w:r>
      <w:r>
        <w:rPr>
          <w:rFonts w:hint="eastAsia" w:ascii="Times New Roman" w:hAnsi="Times New Roman" w:eastAsia="宋体"/>
          <w:color w:val="auto"/>
          <w:kern w:val="0"/>
          <w:szCs w:val="21"/>
          <w:highlight w:val="none"/>
          <w:lang w:val="en-US" w:eastAsia="zh-CN"/>
        </w:rPr>
        <w:t>岩</w:t>
      </w:r>
      <w:r>
        <w:rPr>
          <w:rFonts w:ascii="Times New Roman" w:hAnsi="Times New Roman" w:eastAsia="宋体"/>
          <w:color w:val="auto"/>
          <w:kern w:val="0"/>
          <w:szCs w:val="21"/>
          <w:highlight w:val="none"/>
        </w:rPr>
        <w:t>可能影响</w:t>
      </w:r>
      <w:r>
        <w:rPr>
          <w:rFonts w:hint="eastAsia" w:ascii="Times New Roman" w:hAnsi="Times New Roman" w:eastAsia="宋体"/>
          <w:color w:val="auto"/>
          <w:kern w:val="0"/>
          <w:szCs w:val="21"/>
          <w:highlight w:val="none"/>
          <w:lang w:val="en-US" w:eastAsia="zh-CN"/>
        </w:rPr>
        <w:t>上述</w:t>
      </w:r>
      <w:r>
        <w:rPr>
          <w:rFonts w:ascii="Times New Roman" w:hAnsi="Times New Roman" w:eastAsia="宋体"/>
          <w:color w:val="auto"/>
          <w:kern w:val="0"/>
          <w:szCs w:val="21"/>
          <w:highlight w:val="none"/>
        </w:rPr>
        <w:t>工法</w:t>
      </w:r>
      <w:r>
        <w:rPr>
          <w:rFonts w:hint="eastAsia" w:ascii="Times New Roman" w:hAnsi="Times New Roman" w:eastAsia="宋体"/>
          <w:color w:val="auto"/>
          <w:kern w:val="0"/>
          <w:szCs w:val="21"/>
          <w:highlight w:val="none"/>
          <w:lang w:val="en-US" w:eastAsia="zh-CN"/>
        </w:rPr>
        <w:t>的</w:t>
      </w:r>
      <w:r>
        <w:rPr>
          <w:rFonts w:ascii="Times New Roman" w:hAnsi="Times New Roman" w:eastAsia="宋体"/>
          <w:color w:val="auto"/>
          <w:kern w:val="0"/>
          <w:szCs w:val="21"/>
          <w:highlight w:val="none"/>
        </w:rPr>
        <w:t>适用性，</w:t>
      </w:r>
      <w:r>
        <w:rPr>
          <w:rFonts w:hint="eastAsia" w:ascii="Times New Roman" w:hAnsi="Times New Roman" w:eastAsia="宋体"/>
          <w:color w:val="auto"/>
          <w:kern w:val="0"/>
          <w:szCs w:val="21"/>
          <w:highlight w:val="none"/>
          <w:lang w:val="en-US" w:eastAsia="zh-CN"/>
        </w:rPr>
        <w:t>因此宜开展</w:t>
      </w:r>
      <w:r>
        <w:rPr>
          <w:rFonts w:ascii="Times New Roman" w:hAnsi="Times New Roman" w:eastAsia="宋体"/>
          <w:color w:val="auto"/>
          <w:kern w:val="0"/>
          <w:szCs w:val="21"/>
          <w:highlight w:val="none"/>
        </w:rPr>
        <w:t>施工勘察进一步查明</w:t>
      </w:r>
      <w:r>
        <w:rPr>
          <w:rFonts w:hint="eastAsia" w:ascii="Times New Roman" w:hAnsi="Times New Roman" w:eastAsia="宋体"/>
          <w:color w:val="auto"/>
          <w:kern w:val="0"/>
          <w:szCs w:val="21"/>
          <w:highlight w:val="none"/>
          <w:lang w:val="en-US" w:eastAsia="zh-CN"/>
        </w:rPr>
        <w:t>地质条件</w:t>
      </w:r>
      <w:r>
        <w:rPr>
          <w:rFonts w:ascii="Times New Roman" w:hAnsi="Times New Roman" w:eastAsia="宋体"/>
          <w:color w:val="auto"/>
          <w:kern w:val="0"/>
          <w:szCs w:val="21"/>
          <w:highlight w:val="none"/>
        </w:rPr>
        <w:t>，以指导</w:t>
      </w:r>
      <w:r>
        <w:rPr>
          <w:rFonts w:hint="eastAsia" w:ascii="Times New Roman" w:hAnsi="Times New Roman" w:eastAsia="宋体"/>
          <w:color w:val="auto"/>
          <w:kern w:val="0"/>
          <w:szCs w:val="21"/>
          <w:highlight w:val="none"/>
          <w:lang w:val="en-US" w:eastAsia="zh-CN"/>
        </w:rPr>
        <w:t>施工对上述硬层进行提前处理或指导</w:t>
      </w:r>
      <w:r>
        <w:rPr>
          <w:rFonts w:ascii="Times New Roman" w:hAnsi="Times New Roman" w:eastAsia="宋体"/>
          <w:color w:val="auto"/>
          <w:kern w:val="0"/>
          <w:szCs w:val="21"/>
          <w:highlight w:val="none"/>
        </w:rPr>
        <w:t>定向钻、顶管</w:t>
      </w:r>
      <w:r>
        <w:rPr>
          <w:rFonts w:hint="eastAsia" w:ascii="Times New Roman" w:hAnsi="Times New Roman" w:eastAsia="宋体"/>
          <w:color w:val="auto"/>
          <w:kern w:val="0"/>
          <w:szCs w:val="21"/>
          <w:highlight w:val="none"/>
        </w:rPr>
        <w:t>法和</w:t>
      </w:r>
      <w:r>
        <w:rPr>
          <w:rFonts w:ascii="Times New Roman" w:hAnsi="Times New Roman" w:eastAsia="宋体"/>
          <w:color w:val="auto"/>
          <w:kern w:val="0"/>
          <w:szCs w:val="21"/>
          <w:highlight w:val="none"/>
        </w:rPr>
        <w:t>夯管</w:t>
      </w:r>
      <w:r>
        <w:rPr>
          <w:rFonts w:hint="eastAsia" w:ascii="Times New Roman" w:hAnsi="Times New Roman" w:eastAsia="宋体"/>
          <w:color w:val="auto"/>
          <w:kern w:val="0"/>
          <w:szCs w:val="21"/>
          <w:highlight w:val="none"/>
          <w:lang w:val="en-US" w:eastAsia="zh-CN"/>
        </w:rPr>
        <w:t>进行</w:t>
      </w:r>
      <w:r>
        <w:rPr>
          <w:rFonts w:ascii="Times New Roman" w:hAnsi="Times New Roman" w:eastAsia="宋体"/>
          <w:color w:val="auto"/>
          <w:kern w:val="0"/>
          <w:szCs w:val="21"/>
          <w:highlight w:val="none"/>
        </w:rPr>
        <w:t>避让。</w:t>
      </w:r>
    </w:p>
    <w:p>
      <w:pPr>
        <w:spacing w:line="360" w:lineRule="auto"/>
        <w:ind w:firstLine="420" w:firstLineChars="200"/>
        <w:rPr>
          <w:rFonts w:ascii="Times New Roman" w:hAnsi="Times New Roman" w:eastAsia="宋体"/>
          <w:bCs/>
          <w:color w:val="auto"/>
          <w:kern w:val="0"/>
          <w:szCs w:val="21"/>
          <w:highlight w:val="none"/>
          <w:lang w:val="zh-CN"/>
        </w:rPr>
      </w:pPr>
      <w:r>
        <w:rPr>
          <w:rFonts w:hint="eastAsia" w:ascii="Times New Roman" w:hAnsi="Times New Roman" w:eastAsia="宋体"/>
          <w:color w:val="auto"/>
          <w:kern w:val="0"/>
          <w:szCs w:val="21"/>
          <w:highlight w:val="none"/>
          <w:lang w:val="en-US" w:eastAsia="zh-CN"/>
        </w:rPr>
        <w:t>由于广东省地质条件复杂，</w:t>
      </w:r>
      <w:r>
        <w:rPr>
          <w:rFonts w:ascii="Times New Roman" w:hAnsi="Times New Roman" w:eastAsia="宋体"/>
          <w:color w:val="auto"/>
          <w:kern w:val="0"/>
          <w:szCs w:val="21"/>
          <w:highlight w:val="none"/>
        </w:rPr>
        <w:t>本条规定</w:t>
      </w:r>
      <w:r>
        <w:rPr>
          <w:rFonts w:ascii="Times New Roman" w:hAnsi="Times New Roman" w:eastAsia="宋体"/>
          <w:bCs/>
          <w:color w:val="auto"/>
          <w:kern w:val="0"/>
          <w:szCs w:val="21"/>
          <w:highlight w:val="none"/>
        </w:rPr>
        <w:t>水平定向钻法、顶管法或夯管法</w:t>
      </w:r>
      <w:r>
        <w:rPr>
          <w:rFonts w:ascii="Times New Roman" w:hAnsi="Times New Roman" w:eastAsia="宋体"/>
          <w:color w:val="auto"/>
          <w:kern w:val="0"/>
          <w:szCs w:val="21"/>
          <w:highlight w:val="none"/>
        </w:rPr>
        <w:t>施工勘察</w:t>
      </w:r>
      <w:r>
        <w:rPr>
          <w:rFonts w:hint="eastAsia" w:ascii="Times New Roman" w:hAnsi="Times New Roman" w:eastAsia="宋体"/>
          <w:color w:val="auto"/>
          <w:kern w:val="0"/>
          <w:szCs w:val="21"/>
          <w:highlight w:val="none"/>
          <w:lang w:val="en-US" w:eastAsia="zh-CN"/>
        </w:rPr>
        <w:t>钻孔间</w:t>
      </w:r>
      <w:r>
        <w:rPr>
          <w:rFonts w:ascii="Times New Roman" w:hAnsi="Times New Roman" w:eastAsia="宋体"/>
          <w:color w:val="auto"/>
          <w:kern w:val="0"/>
          <w:szCs w:val="21"/>
          <w:highlight w:val="none"/>
        </w:rPr>
        <w:t>距宜为</w:t>
      </w:r>
      <w:r>
        <w:rPr>
          <w:rFonts w:hint="eastAsia" w:ascii="Times New Roman" w:hAnsi="Times New Roman" w:eastAsia="宋体"/>
          <w:color w:val="auto"/>
          <w:kern w:val="0"/>
          <w:szCs w:val="21"/>
          <w:highlight w:val="none"/>
          <w:lang w:val="en-US" w:eastAsia="zh-CN"/>
        </w:rPr>
        <w:t>5</w:t>
      </w:r>
      <w:r>
        <w:rPr>
          <w:rFonts w:ascii="Times New Roman" w:hAnsi="Times New Roman" w:eastAsia="宋体"/>
          <w:color w:val="auto"/>
          <w:kern w:val="0"/>
          <w:szCs w:val="21"/>
          <w:highlight w:val="none"/>
        </w:rPr>
        <w:t>m～1</w:t>
      </w:r>
      <w:r>
        <w:rPr>
          <w:rFonts w:hint="eastAsia" w:ascii="Times New Roman" w:hAnsi="Times New Roman" w:eastAsia="宋体"/>
          <w:color w:val="auto"/>
          <w:kern w:val="0"/>
          <w:szCs w:val="21"/>
          <w:highlight w:val="none"/>
          <w:lang w:val="en-US" w:eastAsia="zh-CN"/>
        </w:rPr>
        <w:t>0</w:t>
      </w:r>
      <w:r>
        <w:rPr>
          <w:rFonts w:ascii="Times New Roman" w:hAnsi="Times New Roman" w:eastAsia="宋体"/>
          <w:color w:val="auto"/>
          <w:kern w:val="0"/>
          <w:szCs w:val="21"/>
          <w:highlight w:val="none"/>
        </w:rPr>
        <w:t>m，该</w:t>
      </w:r>
      <w:r>
        <w:rPr>
          <w:rFonts w:hint="eastAsia" w:ascii="Times New Roman" w:hAnsi="Times New Roman" w:eastAsia="宋体"/>
          <w:color w:val="auto"/>
          <w:kern w:val="0"/>
          <w:szCs w:val="21"/>
          <w:highlight w:val="none"/>
        </w:rPr>
        <w:t>勘探点</w:t>
      </w:r>
      <w:r>
        <w:rPr>
          <w:rFonts w:ascii="Times New Roman" w:hAnsi="Times New Roman" w:eastAsia="宋体"/>
          <w:color w:val="auto"/>
          <w:kern w:val="0"/>
          <w:szCs w:val="21"/>
          <w:highlight w:val="none"/>
        </w:rPr>
        <w:t>间距</w:t>
      </w:r>
      <w:r>
        <w:rPr>
          <w:rFonts w:hint="eastAsia" w:ascii="Times New Roman" w:hAnsi="Times New Roman" w:eastAsia="宋体"/>
          <w:color w:val="auto"/>
          <w:kern w:val="0"/>
          <w:szCs w:val="21"/>
          <w:highlight w:val="none"/>
          <w:lang w:val="en-US" w:eastAsia="zh-CN"/>
        </w:rPr>
        <w:t>为本规范</w:t>
      </w:r>
      <w:r>
        <w:rPr>
          <w:rFonts w:ascii="Times New Roman" w:hAnsi="Times New Roman" w:eastAsia="宋体"/>
          <w:color w:val="auto"/>
          <w:kern w:val="0"/>
          <w:szCs w:val="21"/>
          <w:highlight w:val="none"/>
        </w:rPr>
        <w:t>一级场地</w:t>
      </w:r>
      <w:r>
        <w:rPr>
          <w:rFonts w:hint="eastAsia" w:ascii="Times New Roman" w:hAnsi="Times New Roman" w:eastAsia="宋体"/>
          <w:color w:val="auto"/>
          <w:kern w:val="0"/>
          <w:szCs w:val="21"/>
          <w:highlight w:val="none"/>
          <w:lang w:val="en-US" w:eastAsia="zh-CN"/>
        </w:rPr>
        <w:t>非开挖法</w:t>
      </w:r>
      <w:r>
        <w:rPr>
          <w:rFonts w:ascii="Times New Roman" w:hAnsi="Times New Roman" w:eastAsia="宋体"/>
          <w:color w:val="auto"/>
          <w:kern w:val="0"/>
          <w:szCs w:val="21"/>
          <w:highlight w:val="none"/>
        </w:rPr>
        <w:t>详勘</w:t>
      </w:r>
      <w:r>
        <w:rPr>
          <w:rFonts w:hint="eastAsia" w:ascii="Times New Roman" w:hAnsi="Times New Roman" w:eastAsia="宋体"/>
          <w:color w:val="auto"/>
          <w:kern w:val="0"/>
          <w:szCs w:val="21"/>
          <w:highlight w:val="none"/>
          <w:lang w:val="en-US" w:eastAsia="zh-CN"/>
        </w:rPr>
        <w:t>孔</w:t>
      </w:r>
      <w:r>
        <w:rPr>
          <w:rFonts w:ascii="Times New Roman" w:hAnsi="Times New Roman" w:eastAsia="宋体"/>
          <w:color w:val="auto"/>
          <w:kern w:val="0"/>
          <w:szCs w:val="21"/>
          <w:highlight w:val="none"/>
        </w:rPr>
        <w:t>间距</w:t>
      </w:r>
      <w:r>
        <w:rPr>
          <w:rFonts w:hint="eastAsia" w:ascii="Times New Roman" w:hAnsi="Times New Roman" w:eastAsia="宋体"/>
          <w:color w:val="auto"/>
          <w:kern w:val="0"/>
          <w:szCs w:val="21"/>
          <w:highlight w:val="none"/>
          <w:lang w:val="en-US" w:eastAsia="zh-CN"/>
        </w:rPr>
        <w:t>的1/3~1/4</w:t>
      </w:r>
      <w:r>
        <w:rPr>
          <w:rFonts w:ascii="Times New Roman" w:hAnsi="Times New Roman" w:eastAsia="宋体"/>
          <w:color w:val="auto"/>
          <w:kern w:val="0"/>
          <w:szCs w:val="21"/>
          <w:highlight w:val="none"/>
        </w:rPr>
        <w:t>。实际工作中，</w:t>
      </w:r>
      <w:r>
        <w:rPr>
          <w:rFonts w:hint="eastAsia" w:ascii="Times New Roman" w:hAnsi="Times New Roman" w:eastAsia="宋体"/>
          <w:color w:val="auto"/>
          <w:kern w:val="0"/>
          <w:szCs w:val="21"/>
          <w:highlight w:val="none"/>
        </w:rPr>
        <w:t>影响管道顶进的</w:t>
      </w:r>
      <w:r>
        <w:rPr>
          <w:rFonts w:ascii="Times New Roman" w:hAnsi="Times New Roman" w:eastAsia="宋体"/>
          <w:color w:val="auto"/>
          <w:kern w:val="0"/>
          <w:szCs w:val="21"/>
          <w:highlight w:val="none"/>
        </w:rPr>
        <w:t>填石、漂石</w:t>
      </w:r>
      <w:r>
        <w:rPr>
          <w:rFonts w:hint="eastAsia" w:ascii="Times New Roman" w:hAnsi="Times New Roman" w:eastAsia="宋体"/>
          <w:color w:val="auto"/>
          <w:kern w:val="0"/>
          <w:szCs w:val="21"/>
          <w:highlight w:val="none"/>
        </w:rPr>
        <w:t>、</w:t>
      </w:r>
      <w:r>
        <w:rPr>
          <w:rFonts w:hint="eastAsia" w:ascii="Times New Roman" w:hAnsi="Times New Roman" w:eastAsia="宋体"/>
          <w:color w:val="auto"/>
          <w:kern w:val="0"/>
          <w:szCs w:val="21"/>
          <w:highlight w:val="none"/>
          <w:lang w:val="en-US" w:eastAsia="zh-CN"/>
        </w:rPr>
        <w:t>球状风化体、</w:t>
      </w:r>
      <w:r>
        <w:rPr>
          <w:rFonts w:hint="eastAsia" w:ascii="Times New Roman" w:hAnsi="Times New Roman" w:eastAsia="宋体"/>
          <w:color w:val="auto"/>
          <w:kern w:val="0"/>
          <w:szCs w:val="21"/>
          <w:highlight w:val="none"/>
        </w:rPr>
        <w:t>岩面起伏</w:t>
      </w:r>
      <w:r>
        <w:rPr>
          <w:rFonts w:ascii="Times New Roman" w:hAnsi="Times New Roman" w:eastAsia="宋体"/>
          <w:color w:val="auto"/>
          <w:kern w:val="0"/>
          <w:szCs w:val="21"/>
          <w:highlight w:val="none"/>
        </w:rPr>
        <w:t>发育无规律，</w:t>
      </w:r>
      <w:r>
        <w:rPr>
          <w:rFonts w:hint="eastAsia" w:ascii="Times New Roman" w:hAnsi="Times New Roman" w:eastAsia="宋体"/>
          <w:color w:val="auto"/>
          <w:kern w:val="0"/>
          <w:szCs w:val="21"/>
          <w:highlight w:val="none"/>
        </w:rPr>
        <w:t>还</w:t>
      </w:r>
      <w:r>
        <w:rPr>
          <w:rFonts w:hint="eastAsia"/>
          <w:color w:val="auto"/>
          <w:kern w:val="0"/>
          <w:szCs w:val="21"/>
          <w:highlight w:val="none"/>
          <w:lang w:val="en-US" w:eastAsia="zh-CN"/>
        </w:rPr>
        <w:t>要</w:t>
      </w:r>
      <w:r>
        <w:rPr>
          <w:rFonts w:ascii="Times New Roman" w:hAnsi="Times New Roman" w:eastAsia="宋体"/>
          <w:color w:val="auto"/>
          <w:kern w:val="0"/>
          <w:szCs w:val="21"/>
          <w:highlight w:val="none"/>
        </w:rPr>
        <w:t>根据先完成的施工勘探孔</w:t>
      </w:r>
      <w:r>
        <w:rPr>
          <w:rFonts w:hint="eastAsia" w:ascii="Times New Roman" w:hAnsi="Times New Roman" w:eastAsia="宋体"/>
          <w:color w:val="auto"/>
          <w:kern w:val="0"/>
          <w:szCs w:val="21"/>
          <w:highlight w:val="none"/>
        </w:rPr>
        <w:t>揭露情况</w:t>
      </w:r>
      <w:r>
        <w:rPr>
          <w:rFonts w:ascii="Times New Roman" w:hAnsi="Times New Roman" w:eastAsia="宋体"/>
          <w:color w:val="auto"/>
          <w:kern w:val="0"/>
          <w:szCs w:val="21"/>
          <w:highlight w:val="none"/>
        </w:rPr>
        <w:t>，灵活</w:t>
      </w:r>
      <w:r>
        <w:rPr>
          <w:rFonts w:hint="eastAsia" w:ascii="Times New Roman" w:hAnsi="Times New Roman" w:eastAsia="宋体"/>
          <w:color w:val="auto"/>
          <w:kern w:val="0"/>
          <w:szCs w:val="21"/>
          <w:highlight w:val="none"/>
        </w:rPr>
        <w:t>调整后续的施工勘探孔实施部位</w:t>
      </w:r>
      <w:r>
        <w:rPr>
          <w:rFonts w:hint="eastAsia" w:ascii="Times New Roman" w:hAnsi="Times New Roman" w:eastAsia="宋体"/>
          <w:color w:val="auto"/>
          <w:kern w:val="0"/>
          <w:szCs w:val="21"/>
          <w:highlight w:val="none"/>
          <w:lang w:eastAsia="zh-CN"/>
        </w:rPr>
        <w:t>，</w:t>
      </w:r>
      <w:r>
        <w:rPr>
          <w:rFonts w:hint="eastAsia" w:ascii="Times New Roman" w:hAnsi="Times New Roman" w:eastAsia="宋体"/>
          <w:color w:val="auto"/>
          <w:kern w:val="0"/>
          <w:szCs w:val="21"/>
          <w:highlight w:val="none"/>
          <w:lang w:val="en-US" w:eastAsia="zh-CN"/>
        </w:rPr>
        <w:t>发现两孔间差异很大时，根据需要局部加密</w:t>
      </w:r>
      <w:r>
        <w:rPr>
          <w:rFonts w:hint="eastAsia" w:ascii="Times New Roman" w:hAnsi="Times New Roman" w:eastAsia="宋体"/>
          <w:color w:val="auto"/>
          <w:kern w:val="0"/>
          <w:szCs w:val="21"/>
          <w:highlight w:val="none"/>
        </w:rPr>
        <w:t>。</w:t>
      </w:r>
    </w:p>
    <w:p>
      <w:pPr>
        <w:spacing w:line="360" w:lineRule="auto"/>
        <w:rPr>
          <w:rFonts w:ascii="Times New Roman" w:hAnsi="Times New Roman" w:eastAsia="宋体"/>
          <w:bCs/>
          <w:strike w:val="0"/>
          <w:dstrike w:val="0"/>
          <w:color w:val="auto"/>
          <w:kern w:val="0"/>
          <w:szCs w:val="21"/>
          <w:highlight w:val="none"/>
        </w:rPr>
      </w:pPr>
      <w:r>
        <w:rPr>
          <w:rFonts w:hint="eastAsia" w:ascii="Times New Roman" w:hAnsi="Times New Roman" w:eastAsia="宋体"/>
          <w:b/>
          <w:bCs/>
          <w:strike w:val="0"/>
          <w:dstrike w:val="0"/>
          <w:color w:val="auto"/>
          <w:kern w:val="0"/>
          <w:szCs w:val="21"/>
          <w:highlight w:val="none"/>
          <w:lang w:eastAsia="zh-CN"/>
        </w:rPr>
        <w:t>14</w:t>
      </w:r>
      <w:r>
        <w:rPr>
          <w:rFonts w:ascii="Times New Roman" w:hAnsi="Times New Roman" w:eastAsia="宋体"/>
          <w:b/>
          <w:bCs/>
          <w:strike w:val="0"/>
          <w:dstrike w:val="0"/>
          <w:color w:val="auto"/>
          <w:kern w:val="0"/>
          <w:szCs w:val="21"/>
          <w:highlight w:val="none"/>
        </w:rPr>
        <w:t>.</w:t>
      </w:r>
      <w:r>
        <w:rPr>
          <w:rFonts w:hint="eastAsia" w:ascii="Times New Roman" w:hAnsi="Times New Roman" w:eastAsia="宋体"/>
          <w:b/>
          <w:bCs/>
          <w:strike w:val="0"/>
          <w:dstrike w:val="0"/>
          <w:color w:val="auto"/>
          <w:kern w:val="0"/>
          <w:szCs w:val="21"/>
          <w:highlight w:val="none"/>
          <w:lang w:val="en-US" w:eastAsia="zh-CN"/>
        </w:rPr>
        <w:t>2</w:t>
      </w:r>
      <w:r>
        <w:rPr>
          <w:rFonts w:ascii="Times New Roman" w:hAnsi="Times New Roman" w:eastAsia="宋体"/>
          <w:b/>
          <w:bCs/>
          <w:strike w:val="0"/>
          <w:dstrike w:val="0"/>
          <w:color w:val="auto"/>
          <w:kern w:val="0"/>
          <w:szCs w:val="21"/>
          <w:highlight w:val="none"/>
        </w:rPr>
        <w:t>.</w:t>
      </w:r>
      <w:r>
        <w:rPr>
          <w:rFonts w:hint="eastAsia" w:ascii="Times New Roman" w:hAnsi="Times New Roman" w:eastAsia="宋体"/>
          <w:b/>
          <w:bCs/>
          <w:strike w:val="0"/>
          <w:dstrike w:val="0"/>
          <w:color w:val="auto"/>
          <w:kern w:val="0"/>
          <w:szCs w:val="21"/>
          <w:highlight w:val="none"/>
          <w:lang w:val="en-US" w:eastAsia="zh-CN"/>
        </w:rPr>
        <w:t>8</w:t>
      </w:r>
      <w:r>
        <w:rPr>
          <w:rFonts w:ascii="Times New Roman" w:hAnsi="Times New Roman" w:eastAsia="宋体"/>
          <w:b/>
          <w:bCs/>
          <w:strike w:val="0"/>
          <w:dstrike w:val="0"/>
          <w:color w:val="auto"/>
          <w:kern w:val="0"/>
          <w:szCs w:val="21"/>
          <w:highlight w:val="none"/>
        </w:rPr>
        <w:t xml:space="preserve">  </w:t>
      </w:r>
      <w:r>
        <w:rPr>
          <w:rFonts w:hint="eastAsia" w:ascii="Times New Roman" w:hAnsi="Times New Roman" w:eastAsia="宋体"/>
          <w:b w:val="0"/>
          <w:bCs w:val="0"/>
          <w:strike w:val="0"/>
          <w:dstrike w:val="0"/>
          <w:color w:val="auto"/>
          <w:kern w:val="0"/>
          <w:szCs w:val="21"/>
          <w:highlight w:val="none"/>
          <w:lang w:val="en-US" w:eastAsia="zh-CN"/>
        </w:rPr>
        <w:t>暗塘、土洞、采空区、新近填土、抛石、孤石等不良地质体埋藏较浅时，其边界范围探查采用螺纹钻、钎探等简易钻具，具备灵活、高效、成本低的优势，可在较短时间内钻大量的点，以判定边界范围</w:t>
      </w:r>
      <w:r>
        <w:rPr>
          <w:rFonts w:ascii="Times New Roman" w:hAnsi="Times New Roman" w:eastAsia="宋体"/>
          <w:bCs/>
          <w:strike w:val="0"/>
          <w:dstrike w:val="0"/>
          <w:color w:val="auto"/>
          <w:kern w:val="0"/>
          <w:szCs w:val="21"/>
          <w:highlight w:val="none"/>
        </w:rPr>
        <w:t>。</w:t>
      </w:r>
    </w:p>
    <w:p>
      <w:pPr>
        <w:autoSpaceDE w:val="0"/>
        <w:spacing w:line="360" w:lineRule="auto"/>
        <w:ind w:firstLine="420" w:firstLineChars="200"/>
        <w:rPr>
          <w:rFonts w:ascii="Times New Roman" w:hAnsi="Times New Roman" w:eastAsia="宋体"/>
          <w:iCs/>
          <w:color w:val="auto"/>
          <w:szCs w:val="21"/>
          <w:highlight w:val="none"/>
        </w:rPr>
      </w:pPr>
    </w:p>
    <w:p>
      <w:pPr>
        <w:widowControl/>
        <w:jc w:val="left"/>
        <w:rPr>
          <w:rFonts w:ascii="Times New Roman" w:hAnsi="Times New Roman" w:eastAsia="宋体"/>
          <w:color w:val="auto"/>
          <w:highlight w:val="none"/>
        </w:rPr>
      </w:pPr>
      <w:r>
        <w:rPr>
          <w:rFonts w:ascii="Times New Roman" w:hAnsi="Times New Roman" w:eastAsia="宋体"/>
          <w:color w:val="auto"/>
          <w:highlight w:val="none"/>
        </w:rPr>
        <w:br w:type="page"/>
      </w:r>
    </w:p>
    <w:p>
      <w:pPr>
        <w:spacing w:line="360" w:lineRule="auto"/>
        <w:ind w:left="420" w:hanging="260" w:hangingChars="200"/>
        <w:jc w:val="left"/>
        <w:rPr>
          <w:rFonts w:ascii="Times New Roman" w:hAnsi="Times New Roman" w:eastAsia="宋体"/>
          <w:color w:val="auto"/>
          <w:sz w:val="13"/>
          <w:szCs w:val="15"/>
          <w:highlight w:val="none"/>
        </w:rPr>
      </w:pPr>
    </w:p>
    <w:p>
      <w:pPr>
        <w:pStyle w:val="2"/>
        <w:rPr>
          <w:rFonts w:hint="default" w:ascii="Times New Roman" w:hAnsi="Times New Roman" w:eastAsia="宋体"/>
          <w:color w:val="auto"/>
          <w:highlight w:val="none"/>
          <w:lang w:val="en-US" w:eastAsia="zh-CN"/>
        </w:rPr>
      </w:pPr>
      <w:bookmarkStart w:id="466" w:name="_Toc76998330"/>
      <w:bookmarkStart w:id="467" w:name="_Toc14951"/>
      <w:bookmarkStart w:id="468" w:name="_Toc17321"/>
      <w:r>
        <w:rPr>
          <w:rFonts w:ascii="Times New Roman" w:hAnsi="Times New Roman" w:eastAsia="宋体"/>
          <w:color w:val="auto"/>
          <w:highlight w:val="none"/>
        </w:rPr>
        <w:t>1</w:t>
      </w:r>
      <w:r>
        <w:rPr>
          <w:rFonts w:hint="eastAsia" w:ascii="Times New Roman" w:hAnsi="Times New Roman" w:eastAsia="宋体"/>
          <w:color w:val="auto"/>
          <w:highlight w:val="none"/>
          <w:lang w:val="en-US" w:eastAsia="zh-CN"/>
        </w:rPr>
        <w:t>5</w:t>
      </w:r>
      <w:r>
        <w:rPr>
          <w:rFonts w:hint="eastAsia" w:ascii="Times New Roman" w:hAnsi="Times New Roman" w:eastAsia="宋体"/>
          <w:color w:val="auto"/>
          <w:highlight w:val="none"/>
        </w:rPr>
        <w:t xml:space="preserve">  </w:t>
      </w:r>
      <w:r>
        <w:rPr>
          <w:rFonts w:ascii="Times New Roman" w:hAnsi="Times New Roman" w:eastAsia="宋体"/>
          <w:color w:val="auto"/>
          <w:highlight w:val="none"/>
        </w:rPr>
        <w:t>勘察成果</w:t>
      </w:r>
      <w:bookmarkEnd w:id="466"/>
      <w:r>
        <w:rPr>
          <w:rFonts w:hint="eastAsia" w:ascii="Times New Roman" w:hAnsi="Times New Roman" w:eastAsia="宋体"/>
          <w:color w:val="auto"/>
          <w:highlight w:val="none"/>
          <w:lang w:val="en-US" w:eastAsia="zh-CN"/>
        </w:rPr>
        <w:t>与勘察信息化</w:t>
      </w:r>
      <w:bookmarkEnd w:id="467"/>
      <w:bookmarkEnd w:id="468"/>
    </w:p>
    <w:p>
      <w:pPr>
        <w:pStyle w:val="3"/>
        <w:jc w:val="center"/>
        <w:rPr>
          <w:rFonts w:ascii="Times New Roman" w:hAnsi="Times New Roman" w:eastAsia="宋体" w:cs="Times New Roman"/>
          <w:color w:val="auto"/>
          <w:sz w:val="24"/>
          <w:highlight w:val="none"/>
        </w:rPr>
      </w:pPr>
      <w:bookmarkStart w:id="469" w:name="_Toc10914"/>
      <w:bookmarkStart w:id="470" w:name="_Toc9675"/>
      <w:bookmarkStart w:id="471" w:name="_Toc76998333"/>
      <w:r>
        <w:rPr>
          <w:rFonts w:hint="eastAsia" w:ascii="Times New Roman" w:hAnsi="Times New Roman" w:eastAsia="宋体" w:cs="Times New Roman"/>
          <w:color w:val="auto"/>
          <w:sz w:val="24"/>
          <w:highlight w:val="none"/>
          <w:lang w:eastAsia="zh-CN"/>
        </w:rPr>
        <w:t>15.</w:t>
      </w:r>
      <w:r>
        <w:rPr>
          <w:rFonts w:hint="eastAsia" w:ascii="Times New Roman" w:hAnsi="Times New Roman" w:eastAsia="宋体" w:cs="Times New Roman"/>
          <w:color w:val="auto"/>
          <w:sz w:val="24"/>
          <w:highlight w:val="none"/>
          <w:lang w:val="en-US" w:eastAsia="zh-CN"/>
        </w:rPr>
        <w:t>1</w:t>
      </w:r>
      <w:r>
        <w:rPr>
          <w:rFonts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lang w:val="en-US" w:eastAsia="zh-CN"/>
        </w:rPr>
        <w:t xml:space="preserve"> </w:t>
      </w:r>
      <w:r>
        <w:rPr>
          <w:rFonts w:ascii="Times New Roman" w:hAnsi="Times New Roman" w:eastAsia="宋体" w:cs="Times New Roman"/>
          <w:color w:val="auto"/>
          <w:sz w:val="24"/>
          <w:highlight w:val="none"/>
        </w:rPr>
        <w:t>一般规定</w:t>
      </w:r>
      <w:bookmarkEnd w:id="469"/>
      <w:bookmarkEnd w:id="470"/>
    </w:p>
    <w:p>
      <w:pPr>
        <w:spacing w:line="360" w:lineRule="auto"/>
        <w:rPr>
          <w:rFonts w:ascii="Times New Roman" w:hAnsi="Times New Roman" w:eastAsia="宋体"/>
          <w:color w:val="auto"/>
          <w:highlight w:val="none"/>
        </w:rPr>
      </w:pPr>
      <w:r>
        <w:rPr>
          <w:rFonts w:hint="eastAsia" w:ascii="Times New Roman" w:hAnsi="Times New Roman" w:eastAsia="宋体"/>
          <w:b/>
          <w:bCs/>
          <w:color w:val="auto"/>
          <w:highlight w:val="none"/>
          <w:lang w:eastAsia="zh-CN"/>
        </w:rPr>
        <w:t>15.</w:t>
      </w:r>
      <w:r>
        <w:rPr>
          <w:rFonts w:ascii="Times New Roman" w:hAnsi="Times New Roman" w:eastAsia="宋体"/>
          <w:b/>
          <w:bCs/>
          <w:color w:val="auto"/>
          <w:highlight w:val="none"/>
        </w:rPr>
        <w:t>1</w:t>
      </w:r>
      <w:r>
        <w:rPr>
          <w:rFonts w:hint="eastAsia" w:ascii="Times New Roman" w:hAnsi="Times New Roman" w:eastAsia="宋体"/>
          <w:b/>
          <w:bCs/>
          <w:color w:val="auto"/>
          <w:highlight w:val="none"/>
          <w:lang w:val="en-US" w:eastAsia="zh-CN"/>
        </w:rPr>
        <w:t>.6</w:t>
      </w:r>
      <w:r>
        <w:rPr>
          <w:rFonts w:ascii="Times New Roman" w:hAnsi="Times New Roman" w:eastAsia="宋体"/>
          <w:color w:val="auto"/>
          <w:highlight w:val="none"/>
        </w:rPr>
        <w:t xml:space="preserve"> </w:t>
      </w:r>
      <w:r>
        <w:rPr>
          <w:rFonts w:hint="eastAsia"/>
          <w:color w:val="auto"/>
          <w:highlight w:val="none"/>
          <w:lang w:val="en-US" w:eastAsia="zh-CN"/>
        </w:rPr>
        <w:t xml:space="preserve"> </w:t>
      </w:r>
      <w:r>
        <w:rPr>
          <w:rFonts w:hint="eastAsia" w:ascii="Times New Roman" w:hAnsi="Times New Roman" w:eastAsia="宋体"/>
          <w:bCs/>
          <w:color w:val="auto"/>
          <w:szCs w:val="21"/>
          <w:highlight w:val="none"/>
        </w:rPr>
        <w:t>勘察</w:t>
      </w:r>
      <w:r>
        <w:rPr>
          <w:rFonts w:ascii="Times New Roman" w:hAnsi="Times New Roman" w:eastAsia="宋体"/>
          <w:bCs/>
          <w:color w:val="auto"/>
          <w:szCs w:val="21"/>
          <w:highlight w:val="none"/>
        </w:rPr>
        <w:t>信息化平台维护与运营</w:t>
      </w:r>
      <w:r>
        <w:rPr>
          <w:rFonts w:hint="eastAsia"/>
          <w:bCs/>
          <w:color w:val="auto"/>
          <w:szCs w:val="21"/>
          <w:highlight w:val="none"/>
          <w:lang w:val="en-US" w:eastAsia="zh-CN"/>
        </w:rPr>
        <w:t>需</w:t>
      </w:r>
      <w:r>
        <w:rPr>
          <w:rFonts w:ascii="Times New Roman" w:hAnsi="Times New Roman" w:eastAsia="宋体"/>
          <w:bCs/>
          <w:color w:val="auto"/>
          <w:szCs w:val="21"/>
          <w:highlight w:val="none"/>
        </w:rPr>
        <w:t>符合《中华人民共和国保守国家秘密法》、《中华人民共和国网络安</w:t>
      </w:r>
      <w:r>
        <w:rPr>
          <w:rFonts w:ascii="Times New Roman" w:hAnsi="Times New Roman" w:eastAsia="宋体"/>
          <w:color w:val="auto"/>
          <w:szCs w:val="21"/>
          <w:highlight w:val="none"/>
        </w:rPr>
        <w:t>全法》、《互联网信息服务管理办法》等相关法律法规的规定。</w:t>
      </w:r>
    </w:p>
    <w:p>
      <w:pPr>
        <w:pStyle w:val="3"/>
        <w:jc w:val="center"/>
        <w:rPr>
          <w:rFonts w:ascii="Times New Roman" w:hAnsi="Times New Roman" w:eastAsia="宋体" w:cs="Times New Roman"/>
          <w:color w:val="auto"/>
          <w:sz w:val="24"/>
          <w:highlight w:val="none"/>
        </w:rPr>
      </w:pPr>
      <w:bookmarkStart w:id="472" w:name="_Toc11352"/>
      <w:bookmarkStart w:id="473" w:name="_Toc29630"/>
      <w:r>
        <w:rPr>
          <w:rFonts w:hint="eastAsia" w:ascii="Times New Roman" w:hAnsi="Times New Roman" w:eastAsia="宋体" w:cs="Times New Roman"/>
          <w:color w:val="auto"/>
          <w:sz w:val="24"/>
          <w:highlight w:val="none"/>
          <w:lang w:eastAsia="zh-CN"/>
        </w:rPr>
        <w:t>15.</w:t>
      </w:r>
      <w:r>
        <w:rPr>
          <w:rFonts w:hint="eastAsia" w:ascii="Times New Roman" w:hAnsi="Times New Roman" w:eastAsia="宋体" w:cs="Times New Roman"/>
          <w:color w:val="auto"/>
          <w:sz w:val="24"/>
          <w:highlight w:val="none"/>
          <w:lang w:val="en-US" w:eastAsia="zh-CN"/>
        </w:rPr>
        <w:t>2</w:t>
      </w:r>
      <w:r>
        <w:rPr>
          <w:rFonts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lang w:val="en-US" w:eastAsia="zh-CN"/>
        </w:rPr>
        <w:t xml:space="preserve"> </w:t>
      </w:r>
      <w:r>
        <w:rPr>
          <w:rFonts w:ascii="Times New Roman" w:hAnsi="Times New Roman" w:eastAsia="宋体" w:cs="Times New Roman"/>
          <w:color w:val="auto"/>
          <w:sz w:val="24"/>
          <w:highlight w:val="none"/>
        </w:rPr>
        <w:t>勘察报告</w:t>
      </w:r>
      <w:bookmarkEnd w:id="471"/>
      <w:bookmarkEnd w:id="472"/>
      <w:bookmarkEnd w:id="473"/>
    </w:p>
    <w:p>
      <w:pPr>
        <w:spacing w:line="360" w:lineRule="auto"/>
        <w:rPr>
          <w:rFonts w:ascii="Times New Roman" w:hAnsi="Times New Roman" w:eastAsia="宋体"/>
          <w:color w:val="auto"/>
          <w:highlight w:val="none"/>
        </w:rPr>
      </w:pPr>
      <w:r>
        <w:rPr>
          <w:rFonts w:hint="eastAsia" w:ascii="Times New Roman" w:hAnsi="Times New Roman" w:eastAsia="宋体"/>
          <w:b/>
          <w:bCs/>
          <w:color w:val="auto"/>
          <w:highlight w:val="none"/>
          <w:lang w:eastAsia="zh-CN"/>
        </w:rPr>
        <w:t>15.</w:t>
      </w:r>
      <w:r>
        <w:rPr>
          <w:rFonts w:hint="eastAsia" w:ascii="Times New Roman" w:hAnsi="Times New Roman" w:eastAsia="宋体"/>
          <w:b/>
          <w:bCs/>
          <w:color w:val="auto"/>
          <w:highlight w:val="none"/>
          <w:lang w:val="en-US" w:eastAsia="zh-CN"/>
        </w:rPr>
        <w:t>2</w:t>
      </w:r>
      <w:r>
        <w:rPr>
          <w:rFonts w:ascii="Times New Roman" w:hAnsi="Times New Roman" w:eastAsia="宋体"/>
          <w:b/>
          <w:bCs/>
          <w:color w:val="auto"/>
          <w:highlight w:val="none"/>
        </w:rPr>
        <w:t>.1</w:t>
      </w:r>
      <w:r>
        <w:rPr>
          <w:rFonts w:ascii="Times New Roman" w:hAnsi="Times New Roman" w:eastAsia="宋体"/>
          <w:color w:val="auto"/>
          <w:highlight w:val="none"/>
        </w:rPr>
        <w:t xml:space="preserve"> </w:t>
      </w:r>
      <w:r>
        <w:rPr>
          <w:rFonts w:hint="eastAsia"/>
          <w:color w:val="auto"/>
          <w:highlight w:val="none"/>
          <w:lang w:val="en-US" w:eastAsia="zh-CN"/>
        </w:rPr>
        <w:t xml:space="preserve"> </w:t>
      </w:r>
      <w:r>
        <w:rPr>
          <w:rFonts w:hint="eastAsia" w:ascii="Times New Roman" w:hAnsi="Times New Roman" w:eastAsia="宋体"/>
          <w:color w:val="auto"/>
          <w:highlight w:val="none"/>
          <w:lang w:eastAsia="zh-CN"/>
        </w:rPr>
        <w:t>城市</w:t>
      </w:r>
      <w:r>
        <w:rPr>
          <w:rFonts w:ascii="Times New Roman" w:hAnsi="Times New Roman" w:eastAsia="宋体"/>
          <w:color w:val="auto"/>
          <w:highlight w:val="none"/>
        </w:rPr>
        <w:t>场地平整工程勘察报告由于没有上部结构，除</w:t>
      </w:r>
      <w:r>
        <w:rPr>
          <w:rFonts w:hint="eastAsia" w:ascii="Times New Roman" w:hAnsi="Times New Roman" w:eastAsia="宋体"/>
          <w:color w:val="auto"/>
          <w:highlight w:val="none"/>
          <w:lang w:val="en-US" w:eastAsia="zh-CN"/>
        </w:rPr>
        <w:t>需要</w:t>
      </w:r>
      <w:r>
        <w:rPr>
          <w:rFonts w:ascii="Times New Roman" w:hAnsi="Times New Roman" w:eastAsia="宋体"/>
          <w:color w:val="auto"/>
          <w:highlight w:val="none"/>
        </w:rPr>
        <w:t>包含1、2、3、4点的内容外，</w:t>
      </w:r>
      <w:r>
        <w:rPr>
          <w:rFonts w:hint="eastAsia" w:ascii="Times New Roman" w:hAnsi="Times New Roman" w:eastAsia="宋体"/>
          <w:color w:val="auto"/>
          <w:highlight w:val="none"/>
          <w:lang w:val="en-US" w:eastAsia="zh-CN"/>
        </w:rPr>
        <w:t>还要</w:t>
      </w:r>
      <w:r>
        <w:rPr>
          <w:rFonts w:ascii="Times New Roman" w:hAnsi="Times New Roman" w:eastAsia="宋体"/>
          <w:color w:val="auto"/>
          <w:highlight w:val="none"/>
        </w:rPr>
        <w:t>根据具体工程勘察任务要求编写。</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方案设计或可行性研究设计阶段，一般项目可搜集相关地质资料及水文资料，向设计人员提供包含地形地貌特征、基本水文特征、地层基本组成情况、主要存在的不良地质作用和特殊性岩土在内的地质说明，作为阶段性成果。</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市政工程建设主要在人口相对密集区域，各类风险尤为突出和敏感，</w:t>
      </w:r>
      <w:r>
        <w:rPr>
          <w:rFonts w:hint="eastAsia" w:ascii="Times New Roman" w:hAnsi="Times New Roman" w:eastAsia="宋体"/>
          <w:b w:val="0"/>
          <w:bCs w:val="0"/>
          <w:color w:val="auto"/>
          <w:highlight w:val="none"/>
          <w:lang w:val="en-US" w:eastAsia="zh-CN"/>
        </w:rPr>
        <w:t>安全问题和</w:t>
      </w:r>
      <w:r>
        <w:rPr>
          <w:rFonts w:ascii="Times New Roman" w:hAnsi="Times New Roman" w:eastAsia="宋体"/>
          <w:color w:val="auto"/>
          <w:highlight w:val="none"/>
        </w:rPr>
        <w:t>风险控制</w:t>
      </w:r>
      <w:r>
        <w:rPr>
          <w:rFonts w:hint="eastAsia" w:ascii="Times New Roman" w:hAnsi="Times New Roman" w:eastAsia="宋体"/>
          <w:b w:val="0"/>
          <w:bCs w:val="0"/>
          <w:color w:val="auto"/>
          <w:highlight w:val="none"/>
          <w:lang w:val="en-US" w:eastAsia="zh-CN"/>
        </w:rPr>
        <w:t>已成为市政工程建设的首要问题</w:t>
      </w:r>
      <w:r>
        <w:rPr>
          <w:rFonts w:ascii="Times New Roman" w:hAnsi="Times New Roman" w:eastAsia="宋体"/>
          <w:color w:val="auto"/>
          <w:highlight w:val="none"/>
        </w:rPr>
        <w:t>，因而，</w:t>
      </w:r>
      <w:r>
        <w:rPr>
          <w:rFonts w:hint="eastAsia" w:ascii="Times New Roman" w:hAnsi="Times New Roman" w:eastAsia="宋体"/>
          <w:color w:val="auto"/>
          <w:highlight w:val="none"/>
          <w:lang w:val="en-US" w:eastAsia="zh-CN"/>
        </w:rPr>
        <w:t>市政</w:t>
      </w:r>
      <w:r>
        <w:rPr>
          <w:rFonts w:ascii="Times New Roman" w:hAnsi="Times New Roman" w:eastAsia="宋体"/>
          <w:color w:val="auto"/>
          <w:highlight w:val="none"/>
        </w:rPr>
        <w:t>勘察</w:t>
      </w:r>
      <w:r>
        <w:rPr>
          <w:rFonts w:hint="eastAsia"/>
          <w:color w:val="auto"/>
          <w:highlight w:val="none"/>
          <w:lang w:val="en-US" w:eastAsia="zh-CN"/>
        </w:rPr>
        <w:t>要</w:t>
      </w:r>
      <w:r>
        <w:rPr>
          <w:rFonts w:hint="eastAsia" w:ascii="Times New Roman" w:hAnsi="Times New Roman" w:eastAsia="宋体"/>
          <w:color w:val="auto"/>
          <w:highlight w:val="none"/>
          <w:lang w:val="en-US" w:eastAsia="zh-CN"/>
        </w:rPr>
        <w:t>重视</w:t>
      </w:r>
      <w:r>
        <w:rPr>
          <w:rFonts w:ascii="Times New Roman" w:hAnsi="Times New Roman" w:eastAsia="宋体"/>
          <w:color w:val="auto"/>
          <w:highlight w:val="none"/>
        </w:rPr>
        <w:t>地质条件</w:t>
      </w:r>
      <w:r>
        <w:rPr>
          <w:rFonts w:hint="eastAsia" w:ascii="Times New Roman" w:hAnsi="Times New Roman" w:eastAsia="宋体"/>
          <w:color w:val="auto"/>
          <w:highlight w:val="none"/>
          <w:lang w:val="en-US" w:eastAsia="zh-CN"/>
        </w:rPr>
        <w:t>可能造成的工程风险</w:t>
      </w:r>
      <w:r>
        <w:rPr>
          <w:rFonts w:ascii="Times New Roman" w:hAnsi="Times New Roman" w:eastAsia="宋体"/>
          <w:color w:val="auto"/>
          <w:highlight w:val="none"/>
        </w:rPr>
        <w:t>。</w:t>
      </w:r>
      <w:r>
        <w:rPr>
          <w:rFonts w:hint="eastAsia" w:ascii="Times New Roman" w:hAnsi="Times New Roman" w:eastAsia="宋体"/>
          <w:b w:val="0"/>
          <w:bCs w:val="0"/>
          <w:color w:val="auto"/>
          <w:highlight w:val="none"/>
          <w:lang w:val="en-US" w:eastAsia="zh-CN"/>
        </w:rPr>
        <w:t>勘察报告务必从地质人员的专业角度对工程建设过程可能遭遇的工程风险进行分析评价，并提出相应的处理措施建议。</w:t>
      </w:r>
    </w:p>
    <w:p>
      <w:pPr>
        <w:spacing w:line="360" w:lineRule="auto"/>
        <w:ind w:firstLine="420" w:firstLineChars="200"/>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在部分场地，存在部分</w:t>
      </w:r>
      <w:r>
        <w:rPr>
          <w:rFonts w:ascii="Times New Roman" w:hAnsi="Times New Roman" w:eastAsia="宋体"/>
          <w:color w:val="auto"/>
          <w:highlight w:val="none"/>
        </w:rPr>
        <w:t>厚度较大或埋深变化较大，且其参数取值对工程建设影响较大的地层。</w:t>
      </w:r>
      <w:r>
        <w:rPr>
          <w:rFonts w:hint="eastAsia" w:ascii="Times New Roman" w:hAnsi="Times New Roman" w:eastAsia="宋体"/>
          <w:color w:val="auto"/>
          <w:highlight w:val="none"/>
          <w:lang w:val="en-US" w:eastAsia="zh-CN"/>
        </w:rPr>
        <w:t>此时，需要对</w:t>
      </w:r>
      <w:r>
        <w:rPr>
          <w:rFonts w:ascii="Times New Roman" w:hAnsi="Times New Roman" w:eastAsia="宋体"/>
          <w:color w:val="auto"/>
          <w:highlight w:val="none"/>
        </w:rPr>
        <w:t>岩土参数与深度的</w:t>
      </w:r>
      <w:r>
        <w:rPr>
          <w:rFonts w:hint="eastAsia" w:ascii="Times New Roman" w:hAnsi="Times New Roman" w:eastAsia="宋体"/>
          <w:b w:val="0"/>
          <w:bCs w:val="0"/>
          <w:color w:val="auto"/>
          <w:highlight w:val="none"/>
          <w:lang w:val="en-US" w:eastAsia="zh-CN"/>
        </w:rPr>
        <w:t>相关性进行</w:t>
      </w:r>
      <w:r>
        <w:rPr>
          <w:rFonts w:ascii="Times New Roman" w:hAnsi="Times New Roman" w:eastAsia="宋体"/>
          <w:color w:val="auto"/>
          <w:highlight w:val="none"/>
        </w:rPr>
        <w:t>分析</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此处</w:t>
      </w:r>
      <w:r>
        <w:rPr>
          <w:rFonts w:ascii="Times New Roman" w:hAnsi="Times New Roman" w:eastAsia="宋体"/>
          <w:color w:val="auto"/>
          <w:highlight w:val="none"/>
        </w:rPr>
        <w:t>的深度是泛指的深度，不一定是从现地面起算的深度，也可以是从某设计线标高起算的深度、从该地层顶面起算的深度或距离该地层底界的深度。</w:t>
      </w:r>
    </w:p>
    <w:p>
      <w:pPr>
        <w:tabs>
          <w:tab w:val="center" w:pos="4395"/>
          <w:tab w:val="center" w:pos="8647"/>
        </w:tabs>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相关性分析的过程如下：</w:t>
      </w:r>
    </w:p>
    <w:p>
      <w:pPr>
        <w:tabs>
          <w:tab w:val="center" w:pos="4395"/>
          <w:tab w:val="center" w:pos="8647"/>
        </w:tabs>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 xml:space="preserve">1 </w:t>
      </w:r>
      <w:r>
        <w:rPr>
          <w:rFonts w:hint="eastAsia"/>
          <w:color w:val="auto"/>
          <w:highlight w:val="none"/>
          <w:lang w:val="en-US" w:eastAsia="zh-CN"/>
        </w:rPr>
        <w:t xml:space="preserve"> </w:t>
      </w:r>
      <w:r>
        <w:rPr>
          <w:rFonts w:ascii="Times New Roman" w:hAnsi="Times New Roman" w:eastAsia="宋体"/>
          <w:color w:val="auto"/>
          <w:highlight w:val="none"/>
        </w:rPr>
        <w:t>确定岩土参数与深度间的经验关系，如线性关系、倒数关系等；</w:t>
      </w:r>
    </w:p>
    <w:p>
      <w:pPr>
        <w:tabs>
          <w:tab w:val="center" w:pos="4395"/>
          <w:tab w:val="center" w:pos="8647"/>
        </w:tabs>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 xml:space="preserve">2 </w:t>
      </w:r>
      <w:r>
        <w:rPr>
          <w:rFonts w:hint="eastAsia"/>
          <w:color w:val="auto"/>
          <w:highlight w:val="none"/>
          <w:lang w:val="en-US" w:eastAsia="zh-CN"/>
        </w:rPr>
        <w:t xml:space="preserve"> </w:t>
      </w:r>
      <w:r>
        <w:rPr>
          <w:rFonts w:ascii="Times New Roman" w:hAnsi="Times New Roman" w:eastAsia="宋体"/>
          <w:color w:val="auto"/>
          <w:highlight w:val="none"/>
        </w:rPr>
        <w:t>将勘察所得的统计数据制图，用经验关系函数拟合，可得到相关系数的平方</w:t>
      </w:r>
      <w:r>
        <w:rPr>
          <w:rFonts w:ascii="Times New Roman" w:hAnsi="Times New Roman" w:eastAsia="宋体"/>
          <w:i/>
          <w:iCs/>
          <w:color w:val="auto"/>
          <w:highlight w:val="none"/>
        </w:rPr>
        <w:t>r</w:t>
      </w:r>
      <w:r>
        <w:rPr>
          <w:rFonts w:ascii="Times New Roman" w:hAnsi="Times New Roman" w:eastAsia="宋体"/>
          <w:color w:val="auto"/>
          <w:highlight w:val="none"/>
          <w:vertAlign w:val="superscript"/>
        </w:rPr>
        <w:t>2</w:t>
      </w:r>
      <w:r>
        <w:rPr>
          <w:rFonts w:ascii="Times New Roman" w:hAnsi="Times New Roman" w:eastAsia="宋体"/>
          <w:color w:val="auto"/>
          <w:highlight w:val="none"/>
        </w:rPr>
        <w:t>；</w:t>
      </w:r>
    </w:p>
    <w:p>
      <w:pPr>
        <w:tabs>
          <w:tab w:val="center" w:pos="4395"/>
          <w:tab w:val="center" w:pos="8647"/>
        </w:tabs>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3</w:t>
      </w:r>
      <w:r>
        <w:rPr>
          <w:rFonts w:hint="eastAsia"/>
          <w:color w:val="auto"/>
          <w:highlight w:val="none"/>
          <w:lang w:val="en-US" w:eastAsia="zh-CN"/>
        </w:rPr>
        <w:t xml:space="preserve"> </w:t>
      </w:r>
      <w:r>
        <w:rPr>
          <w:rFonts w:ascii="Times New Roman" w:hAnsi="Times New Roman" w:eastAsia="宋体"/>
          <w:color w:val="auto"/>
          <w:highlight w:val="none"/>
        </w:rPr>
        <w:t xml:space="preserve"> 根据所需要的显著性水平</w:t>
      </w:r>
      <w:r>
        <w:rPr>
          <w:rFonts w:ascii="Times New Roman" w:hAnsi="Times New Roman" w:eastAsia="宋体"/>
          <w:i/>
          <w:iCs/>
          <w:color w:val="auto"/>
          <w:highlight w:val="none"/>
        </w:rPr>
        <w:t>α</w:t>
      </w:r>
      <w:r>
        <w:rPr>
          <w:rFonts w:ascii="Times New Roman" w:hAnsi="Times New Roman" w:eastAsia="宋体"/>
          <w:color w:val="auto"/>
          <w:highlight w:val="none"/>
        </w:rPr>
        <w:t>（一般取0.05，即可信度95%）查相关系数界值表，得到相应的相关系数界值</w:t>
      </w:r>
      <w:r>
        <w:rPr>
          <w:rFonts w:ascii="Times New Roman" w:hAnsi="Times New Roman" w:eastAsia="宋体"/>
          <w:i/>
          <w:iCs/>
          <w:color w:val="auto"/>
          <w:highlight w:val="none"/>
        </w:rPr>
        <w:t>r</w:t>
      </w:r>
      <w:r>
        <w:rPr>
          <w:rFonts w:ascii="Times New Roman" w:hAnsi="Times New Roman" w:eastAsia="宋体"/>
          <w:color w:val="auto"/>
          <w:highlight w:val="none"/>
          <w:vertAlign w:val="subscript"/>
        </w:rPr>
        <w:t>α</w:t>
      </w:r>
      <w:r>
        <w:rPr>
          <w:rFonts w:ascii="Times New Roman" w:hAnsi="Times New Roman" w:eastAsia="宋体"/>
          <w:color w:val="auto"/>
          <w:highlight w:val="none"/>
        </w:rPr>
        <w:t>。当</w:t>
      </w:r>
      <w:r>
        <w:rPr>
          <w:rFonts w:ascii="Times New Roman" w:hAnsi="Times New Roman" w:eastAsia="宋体"/>
          <w:i/>
          <w:iCs/>
          <w:color w:val="auto"/>
          <w:highlight w:val="none"/>
        </w:rPr>
        <w:t>r</w:t>
      </w:r>
      <w:r>
        <w:rPr>
          <w:rFonts w:ascii="Times New Roman" w:hAnsi="Times New Roman" w:eastAsia="宋体"/>
          <w:color w:val="auto"/>
          <w:highlight w:val="none"/>
        </w:rPr>
        <w:t>&gt;</w:t>
      </w:r>
      <w:r>
        <w:rPr>
          <w:rFonts w:ascii="Times New Roman" w:hAnsi="Times New Roman" w:eastAsia="宋体"/>
          <w:i/>
          <w:iCs/>
          <w:color w:val="auto"/>
          <w:highlight w:val="none"/>
        </w:rPr>
        <w:t>r</w:t>
      </w:r>
      <w:r>
        <w:rPr>
          <w:rFonts w:ascii="Times New Roman" w:hAnsi="Times New Roman" w:eastAsia="宋体"/>
          <w:color w:val="auto"/>
          <w:highlight w:val="none"/>
          <w:vertAlign w:val="subscript"/>
        </w:rPr>
        <w:t>α</w:t>
      </w:r>
      <w:r>
        <w:rPr>
          <w:rFonts w:ascii="Times New Roman" w:hAnsi="Times New Roman" w:eastAsia="宋体"/>
          <w:color w:val="auto"/>
          <w:highlight w:val="none"/>
        </w:rPr>
        <w:t>时，该参数即为相关型；否则为非相关型。</w:t>
      </w:r>
    </w:p>
    <w:p>
      <w:pPr>
        <w:tabs>
          <w:tab w:val="center" w:pos="4395"/>
          <w:tab w:val="center" w:pos="8647"/>
        </w:tabs>
        <w:spacing w:line="360" w:lineRule="auto"/>
        <w:ind w:firstLine="420" w:firstLineChars="200"/>
        <w:rPr>
          <w:rFonts w:ascii="Times New Roman" w:hAnsi="Times New Roman" w:eastAsia="宋体"/>
          <w:color w:val="auto"/>
          <w:highlight w:val="none"/>
        </w:rPr>
      </w:pPr>
      <w:r>
        <w:rPr>
          <w:rFonts w:ascii="Times New Roman" w:hAnsi="Times New Roman" w:eastAsia="宋体"/>
          <w:i/>
          <w:iCs/>
          <w:color w:val="auto"/>
          <w:highlight w:val="none"/>
        </w:rPr>
        <w:t>n</w:t>
      </w:r>
      <w:r>
        <w:rPr>
          <w:rFonts w:ascii="Times New Roman" w:hAnsi="Times New Roman" w:eastAsia="宋体"/>
          <w:color w:val="auto"/>
          <w:highlight w:val="none"/>
        </w:rPr>
        <w:t>-2</w:t>
      </w:r>
      <w:r>
        <w:rPr>
          <w:rFonts w:hint="eastAsia" w:ascii="宋体" w:hAnsi="宋体" w:eastAsia="宋体" w:cs="宋体"/>
          <w:color w:val="auto"/>
          <w:highlight w:val="none"/>
        </w:rPr>
        <w:t>≤</w:t>
      </w:r>
      <w:r>
        <w:rPr>
          <w:rFonts w:ascii="Times New Roman" w:hAnsi="Times New Roman" w:eastAsia="宋体"/>
          <w:color w:val="auto"/>
          <w:highlight w:val="none"/>
        </w:rPr>
        <w:t>50、显著性水平0.05的相关系数界值表如表1</w:t>
      </w:r>
      <w:r>
        <w:rPr>
          <w:rFonts w:hint="eastAsia" w:ascii="Times New Roman" w:hAnsi="Times New Roman" w:eastAsia="宋体"/>
          <w:color w:val="auto"/>
          <w:highlight w:val="none"/>
          <w:lang w:val="en-US" w:eastAsia="zh-CN"/>
        </w:rPr>
        <w:t>5</w:t>
      </w:r>
      <w:r>
        <w:rPr>
          <w:rFonts w:ascii="Times New Roman" w:hAnsi="Times New Roman" w:eastAsia="宋体"/>
          <w:color w:val="auto"/>
          <w:highlight w:val="none"/>
        </w:rPr>
        <w:t>-1所示。</w:t>
      </w:r>
    </w:p>
    <w:p>
      <w:pPr>
        <w:autoSpaceDE w:val="0"/>
        <w:autoSpaceDN w:val="0"/>
        <w:adjustRightInd w:val="0"/>
        <w:spacing w:line="360" w:lineRule="auto"/>
        <w:jc w:val="center"/>
        <w:rPr>
          <w:rFonts w:ascii="Times New Roman" w:hAnsi="Times New Roman" w:eastAsia="宋体"/>
          <w:b/>
          <w:bCs/>
          <w:color w:val="auto"/>
          <w:kern w:val="0"/>
          <w:highlight w:val="none"/>
        </w:rPr>
      </w:pPr>
      <w:r>
        <w:rPr>
          <w:rFonts w:ascii="Times New Roman" w:hAnsi="Times New Roman" w:eastAsia="宋体"/>
          <w:b/>
          <w:bCs/>
          <w:color w:val="auto"/>
          <w:kern w:val="0"/>
          <w:highlight w:val="none"/>
        </w:rPr>
        <w:t>表1</w:t>
      </w:r>
      <w:r>
        <w:rPr>
          <w:rFonts w:hint="eastAsia" w:ascii="Times New Roman" w:hAnsi="Times New Roman" w:eastAsia="宋体"/>
          <w:b/>
          <w:bCs/>
          <w:color w:val="auto"/>
          <w:kern w:val="0"/>
          <w:highlight w:val="none"/>
          <w:lang w:val="en-US" w:eastAsia="zh-CN"/>
        </w:rPr>
        <w:t>5</w:t>
      </w:r>
      <w:r>
        <w:rPr>
          <w:rFonts w:ascii="Times New Roman" w:hAnsi="Times New Roman" w:eastAsia="宋体"/>
          <w:b/>
          <w:bCs/>
          <w:color w:val="auto"/>
          <w:kern w:val="0"/>
          <w:highlight w:val="none"/>
        </w:rPr>
        <w:t>-1 相关系数界值表（</w:t>
      </w:r>
      <w:r>
        <w:rPr>
          <w:rFonts w:ascii="Times New Roman" w:hAnsi="Times New Roman" w:eastAsia="宋体"/>
          <w:b/>
          <w:bCs/>
          <w:i/>
          <w:iCs/>
          <w:color w:val="auto"/>
          <w:highlight w:val="none"/>
        </w:rPr>
        <w:t>α</w:t>
      </w:r>
      <w:r>
        <w:rPr>
          <w:rFonts w:ascii="Times New Roman" w:hAnsi="Times New Roman" w:eastAsia="宋体"/>
          <w:b/>
          <w:bCs/>
          <w:color w:val="auto"/>
          <w:kern w:val="0"/>
          <w:highlight w:val="none"/>
        </w:rPr>
        <w:t>=0.05）</w:t>
      </w:r>
    </w:p>
    <w:p>
      <w:pPr>
        <w:rPr>
          <w:rFonts w:ascii="Times New Roman" w:hAnsi="Times New Roman" w:eastAsia="宋体"/>
          <w:vanish/>
          <w:color w:val="auto"/>
          <w:highlight w:val="none"/>
        </w:rPr>
      </w:pPr>
    </w:p>
    <w:tbl>
      <w:tblPr>
        <w:tblStyle w:val="2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883"/>
        <w:gridCol w:w="815"/>
        <w:gridCol w:w="883"/>
        <w:gridCol w:w="815"/>
        <w:gridCol w:w="883"/>
        <w:gridCol w:w="816"/>
        <w:gridCol w:w="884"/>
        <w:gridCol w:w="843"/>
        <w:gridCol w:w="8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dxa"/>
            <w:tcBorders>
              <w:tl2br w:val="nil"/>
              <w:tr2bl w:val="nil"/>
            </w:tcBorders>
          </w:tcPr>
          <w:p>
            <w:pPr>
              <w:autoSpaceDE w:val="0"/>
              <w:autoSpaceDN w:val="0"/>
              <w:adjustRightInd w:val="0"/>
              <w:jc w:val="center"/>
              <w:rPr>
                <w:rFonts w:ascii="Times New Roman" w:hAnsi="Times New Roman" w:eastAsia="宋体"/>
                <w:color w:val="auto"/>
                <w:highlight w:val="none"/>
              </w:rPr>
            </w:pPr>
            <w:r>
              <w:rPr>
                <w:rFonts w:ascii="Times New Roman" w:hAnsi="Times New Roman" w:eastAsia="宋体"/>
                <w:i/>
                <w:iCs/>
                <w:color w:val="auto"/>
                <w:kern w:val="0"/>
                <w:sz w:val="20"/>
                <w:szCs w:val="20"/>
                <w:highlight w:val="none"/>
              </w:rPr>
              <w:t>n</w:t>
            </w:r>
            <w:r>
              <w:rPr>
                <w:rFonts w:ascii="Times New Roman" w:hAnsi="Times New Roman" w:eastAsia="宋体"/>
                <w:color w:val="auto"/>
                <w:kern w:val="0"/>
                <w:sz w:val="20"/>
                <w:szCs w:val="20"/>
                <w:highlight w:val="none"/>
              </w:rPr>
              <w:t>-2</w:t>
            </w:r>
          </w:p>
        </w:tc>
        <w:tc>
          <w:tcPr>
            <w:tcW w:w="951" w:type="dxa"/>
            <w:tcBorders>
              <w:tl2br w:val="nil"/>
              <w:tr2bl w:val="nil"/>
            </w:tcBorders>
          </w:tcPr>
          <w:p>
            <w:pPr>
              <w:autoSpaceDE w:val="0"/>
              <w:autoSpaceDN w:val="0"/>
              <w:adjustRightInd w:val="0"/>
              <w:jc w:val="center"/>
              <w:rPr>
                <w:rFonts w:ascii="Times New Roman" w:hAnsi="Times New Roman" w:eastAsia="宋体"/>
                <w:color w:val="auto"/>
                <w:highlight w:val="none"/>
              </w:rPr>
            </w:pPr>
            <w:r>
              <w:rPr>
                <w:rFonts w:ascii="Times New Roman" w:hAnsi="Times New Roman" w:eastAsia="宋体"/>
                <w:i/>
                <w:iCs/>
                <w:color w:val="auto"/>
                <w:kern w:val="0"/>
                <w:sz w:val="20"/>
                <w:szCs w:val="20"/>
                <w:highlight w:val="none"/>
              </w:rPr>
              <w:t>r</w:t>
            </w:r>
            <w:r>
              <w:rPr>
                <w:rFonts w:ascii="Times New Roman" w:hAnsi="Times New Roman" w:eastAsia="宋体"/>
                <w:color w:val="auto"/>
                <w:kern w:val="0"/>
                <w:sz w:val="20"/>
                <w:szCs w:val="20"/>
                <w:highlight w:val="none"/>
                <w:vertAlign w:val="subscript"/>
              </w:rPr>
              <w:t>α</w:t>
            </w:r>
          </w:p>
        </w:tc>
        <w:tc>
          <w:tcPr>
            <w:tcW w:w="951" w:type="dxa"/>
            <w:tcBorders>
              <w:tl2br w:val="nil"/>
              <w:tr2bl w:val="nil"/>
            </w:tcBorders>
          </w:tcPr>
          <w:p>
            <w:pPr>
              <w:autoSpaceDE w:val="0"/>
              <w:autoSpaceDN w:val="0"/>
              <w:adjustRightInd w:val="0"/>
              <w:jc w:val="center"/>
              <w:rPr>
                <w:rFonts w:ascii="Times New Roman" w:hAnsi="Times New Roman" w:eastAsia="宋体"/>
                <w:color w:val="auto"/>
                <w:highlight w:val="none"/>
              </w:rPr>
            </w:pPr>
            <w:r>
              <w:rPr>
                <w:rFonts w:ascii="Times New Roman" w:hAnsi="Times New Roman" w:eastAsia="宋体"/>
                <w:i/>
                <w:iCs/>
                <w:color w:val="auto"/>
                <w:kern w:val="0"/>
                <w:sz w:val="20"/>
                <w:szCs w:val="20"/>
                <w:highlight w:val="none"/>
              </w:rPr>
              <w:t>n</w:t>
            </w:r>
            <w:r>
              <w:rPr>
                <w:rFonts w:ascii="Times New Roman" w:hAnsi="Times New Roman" w:eastAsia="宋体"/>
                <w:color w:val="auto"/>
                <w:kern w:val="0"/>
                <w:sz w:val="20"/>
                <w:szCs w:val="20"/>
                <w:highlight w:val="none"/>
              </w:rPr>
              <w:t>-2</w:t>
            </w:r>
          </w:p>
        </w:tc>
        <w:tc>
          <w:tcPr>
            <w:tcW w:w="951" w:type="dxa"/>
            <w:tcBorders>
              <w:tl2br w:val="nil"/>
              <w:tr2bl w:val="nil"/>
            </w:tcBorders>
          </w:tcPr>
          <w:p>
            <w:pPr>
              <w:autoSpaceDE w:val="0"/>
              <w:autoSpaceDN w:val="0"/>
              <w:adjustRightInd w:val="0"/>
              <w:jc w:val="center"/>
              <w:rPr>
                <w:rFonts w:ascii="Times New Roman" w:hAnsi="Times New Roman" w:eastAsia="宋体"/>
                <w:color w:val="auto"/>
                <w:highlight w:val="none"/>
              </w:rPr>
            </w:pPr>
            <w:r>
              <w:rPr>
                <w:rFonts w:ascii="Times New Roman" w:hAnsi="Times New Roman" w:eastAsia="宋体"/>
                <w:i/>
                <w:iCs/>
                <w:color w:val="auto"/>
                <w:kern w:val="0"/>
                <w:sz w:val="20"/>
                <w:szCs w:val="20"/>
                <w:highlight w:val="none"/>
              </w:rPr>
              <w:t>r</w:t>
            </w:r>
            <w:r>
              <w:rPr>
                <w:rFonts w:ascii="Times New Roman" w:hAnsi="Times New Roman" w:eastAsia="宋体"/>
                <w:color w:val="auto"/>
                <w:kern w:val="0"/>
                <w:sz w:val="20"/>
                <w:szCs w:val="20"/>
                <w:highlight w:val="none"/>
                <w:vertAlign w:val="subscript"/>
              </w:rPr>
              <w:t>α</w:t>
            </w:r>
          </w:p>
        </w:tc>
        <w:tc>
          <w:tcPr>
            <w:tcW w:w="951" w:type="dxa"/>
            <w:tcBorders>
              <w:tl2br w:val="nil"/>
              <w:tr2bl w:val="nil"/>
            </w:tcBorders>
          </w:tcPr>
          <w:p>
            <w:pPr>
              <w:autoSpaceDE w:val="0"/>
              <w:autoSpaceDN w:val="0"/>
              <w:adjustRightInd w:val="0"/>
              <w:jc w:val="center"/>
              <w:rPr>
                <w:rFonts w:ascii="Times New Roman" w:hAnsi="Times New Roman" w:eastAsia="宋体"/>
                <w:color w:val="auto"/>
                <w:highlight w:val="none"/>
              </w:rPr>
            </w:pPr>
            <w:r>
              <w:rPr>
                <w:rFonts w:ascii="Times New Roman" w:hAnsi="Times New Roman" w:eastAsia="宋体"/>
                <w:i/>
                <w:iCs/>
                <w:color w:val="auto"/>
                <w:kern w:val="0"/>
                <w:sz w:val="20"/>
                <w:szCs w:val="20"/>
                <w:highlight w:val="none"/>
              </w:rPr>
              <w:t>n</w:t>
            </w:r>
            <w:r>
              <w:rPr>
                <w:rFonts w:ascii="Times New Roman" w:hAnsi="Times New Roman" w:eastAsia="宋体"/>
                <w:color w:val="auto"/>
                <w:kern w:val="0"/>
                <w:sz w:val="20"/>
                <w:szCs w:val="20"/>
                <w:highlight w:val="none"/>
              </w:rPr>
              <w:t>-2</w:t>
            </w:r>
          </w:p>
        </w:tc>
        <w:tc>
          <w:tcPr>
            <w:tcW w:w="951" w:type="dxa"/>
            <w:tcBorders>
              <w:tl2br w:val="nil"/>
              <w:tr2bl w:val="nil"/>
            </w:tcBorders>
          </w:tcPr>
          <w:p>
            <w:pPr>
              <w:autoSpaceDE w:val="0"/>
              <w:autoSpaceDN w:val="0"/>
              <w:adjustRightInd w:val="0"/>
              <w:jc w:val="center"/>
              <w:rPr>
                <w:rFonts w:ascii="Times New Roman" w:hAnsi="Times New Roman" w:eastAsia="宋体"/>
                <w:color w:val="auto"/>
                <w:highlight w:val="none"/>
              </w:rPr>
            </w:pPr>
            <w:r>
              <w:rPr>
                <w:rFonts w:ascii="Times New Roman" w:hAnsi="Times New Roman" w:eastAsia="宋体"/>
                <w:i/>
                <w:iCs/>
                <w:color w:val="auto"/>
                <w:kern w:val="0"/>
                <w:sz w:val="20"/>
                <w:szCs w:val="20"/>
                <w:highlight w:val="none"/>
              </w:rPr>
              <w:t>r</w:t>
            </w:r>
            <w:r>
              <w:rPr>
                <w:rFonts w:ascii="Times New Roman" w:hAnsi="Times New Roman" w:eastAsia="宋体"/>
                <w:color w:val="auto"/>
                <w:kern w:val="0"/>
                <w:sz w:val="20"/>
                <w:szCs w:val="20"/>
                <w:highlight w:val="none"/>
                <w:vertAlign w:val="subscript"/>
              </w:rPr>
              <w:t>α</w:t>
            </w:r>
          </w:p>
        </w:tc>
        <w:tc>
          <w:tcPr>
            <w:tcW w:w="952" w:type="dxa"/>
            <w:tcBorders>
              <w:tl2br w:val="nil"/>
              <w:tr2bl w:val="nil"/>
            </w:tcBorders>
          </w:tcPr>
          <w:p>
            <w:pPr>
              <w:autoSpaceDE w:val="0"/>
              <w:autoSpaceDN w:val="0"/>
              <w:adjustRightInd w:val="0"/>
              <w:jc w:val="center"/>
              <w:rPr>
                <w:rFonts w:ascii="Times New Roman" w:hAnsi="Times New Roman" w:eastAsia="宋体"/>
                <w:color w:val="auto"/>
                <w:highlight w:val="none"/>
              </w:rPr>
            </w:pPr>
            <w:r>
              <w:rPr>
                <w:rFonts w:ascii="Times New Roman" w:hAnsi="Times New Roman" w:eastAsia="宋体"/>
                <w:i/>
                <w:iCs/>
                <w:color w:val="auto"/>
                <w:kern w:val="0"/>
                <w:sz w:val="20"/>
                <w:szCs w:val="20"/>
                <w:highlight w:val="none"/>
              </w:rPr>
              <w:t>n</w:t>
            </w:r>
            <w:r>
              <w:rPr>
                <w:rFonts w:ascii="Times New Roman" w:hAnsi="Times New Roman" w:eastAsia="宋体"/>
                <w:color w:val="auto"/>
                <w:kern w:val="0"/>
                <w:sz w:val="20"/>
                <w:szCs w:val="20"/>
                <w:highlight w:val="none"/>
              </w:rPr>
              <w:t>-2</w:t>
            </w:r>
          </w:p>
        </w:tc>
        <w:tc>
          <w:tcPr>
            <w:tcW w:w="952" w:type="dxa"/>
            <w:tcBorders>
              <w:tl2br w:val="nil"/>
              <w:tr2bl w:val="nil"/>
            </w:tcBorders>
          </w:tcPr>
          <w:p>
            <w:pPr>
              <w:autoSpaceDE w:val="0"/>
              <w:autoSpaceDN w:val="0"/>
              <w:adjustRightInd w:val="0"/>
              <w:jc w:val="center"/>
              <w:rPr>
                <w:rFonts w:ascii="Times New Roman" w:hAnsi="Times New Roman" w:eastAsia="宋体"/>
                <w:color w:val="auto"/>
                <w:highlight w:val="none"/>
              </w:rPr>
            </w:pPr>
            <w:r>
              <w:rPr>
                <w:rFonts w:ascii="Times New Roman" w:hAnsi="Times New Roman" w:eastAsia="宋体"/>
                <w:i/>
                <w:iCs/>
                <w:color w:val="auto"/>
                <w:kern w:val="0"/>
                <w:sz w:val="20"/>
                <w:szCs w:val="20"/>
                <w:highlight w:val="none"/>
              </w:rPr>
              <w:t>r</w:t>
            </w:r>
            <w:r>
              <w:rPr>
                <w:rFonts w:ascii="Times New Roman" w:hAnsi="Times New Roman" w:eastAsia="宋体"/>
                <w:color w:val="auto"/>
                <w:kern w:val="0"/>
                <w:sz w:val="20"/>
                <w:szCs w:val="20"/>
                <w:highlight w:val="none"/>
                <w:vertAlign w:val="subscript"/>
              </w:rPr>
              <w:t>α</w:t>
            </w:r>
          </w:p>
        </w:tc>
        <w:tc>
          <w:tcPr>
            <w:tcW w:w="952" w:type="dxa"/>
            <w:tcBorders>
              <w:tl2br w:val="nil"/>
              <w:tr2bl w:val="nil"/>
            </w:tcBorders>
          </w:tcPr>
          <w:p>
            <w:pPr>
              <w:autoSpaceDE w:val="0"/>
              <w:autoSpaceDN w:val="0"/>
              <w:adjustRightInd w:val="0"/>
              <w:jc w:val="center"/>
              <w:rPr>
                <w:rFonts w:ascii="Times New Roman" w:hAnsi="Times New Roman" w:eastAsia="宋体"/>
                <w:color w:val="auto"/>
                <w:highlight w:val="none"/>
              </w:rPr>
            </w:pPr>
            <w:r>
              <w:rPr>
                <w:rFonts w:ascii="Times New Roman" w:hAnsi="Times New Roman" w:eastAsia="宋体"/>
                <w:i/>
                <w:iCs/>
                <w:color w:val="auto"/>
                <w:kern w:val="0"/>
                <w:sz w:val="20"/>
                <w:szCs w:val="20"/>
                <w:highlight w:val="none"/>
              </w:rPr>
              <w:t>n</w:t>
            </w:r>
            <w:r>
              <w:rPr>
                <w:rFonts w:ascii="Times New Roman" w:hAnsi="Times New Roman" w:eastAsia="宋体"/>
                <w:color w:val="auto"/>
                <w:kern w:val="0"/>
                <w:sz w:val="20"/>
                <w:szCs w:val="20"/>
                <w:highlight w:val="none"/>
              </w:rPr>
              <w:t>-2</w:t>
            </w:r>
          </w:p>
        </w:tc>
        <w:tc>
          <w:tcPr>
            <w:tcW w:w="952" w:type="dxa"/>
            <w:tcBorders>
              <w:tl2br w:val="nil"/>
              <w:tr2bl w:val="nil"/>
            </w:tcBorders>
          </w:tcPr>
          <w:p>
            <w:pPr>
              <w:autoSpaceDE w:val="0"/>
              <w:autoSpaceDN w:val="0"/>
              <w:adjustRightInd w:val="0"/>
              <w:jc w:val="center"/>
              <w:rPr>
                <w:rFonts w:ascii="Times New Roman" w:hAnsi="Times New Roman" w:eastAsia="宋体"/>
                <w:color w:val="auto"/>
                <w:highlight w:val="none"/>
              </w:rPr>
            </w:pPr>
            <w:r>
              <w:rPr>
                <w:rFonts w:ascii="Times New Roman" w:hAnsi="Times New Roman" w:eastAsia="宋体"/>
                <w:i/>
                <w:iCs/>
                <w:color w:val="auto"/>
                <w:kern w:val="0"/>
                <w:sz w:val="20"/>
                <w:szCs w:val="20"/>
                <w:highlight w:val="none"/>
              </w:rPr>
              <w:t>r</w:t>
            </w:r>
            <w:r>
              <w:rPr>
                <w:rFonts w:ascii="Times New Roman" w:hAnsi="Times New Roman" w:eastAsia="宋体"/>
                <w:color w:val="auto"/>
                <w:kern w:val="0"/>
                <w:sz w:val="20"/>
                <w:szCs w:val="20"/>
                <w:highlight w:val="none"/>
                <w:vertAlign w:val="subscript"/>
              </w:rPr>
              <w:t>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4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0.811 </w:t>
            </w:r>
          </w:p>
        </w:tc>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14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0.497 </w:t>
            </w:r>
          </w:p>
        </w:tc>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24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0.388 </w:t>
            </w:r>
          </w:p>
        </w:tc>
        <w:tc>
          <w:tcPr>
            <w:tcW w:w="952"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35 </w:t>
            </w:r>
          </w:p>
        </w:tc>
        <w:tc>
          <w:tcPr>
            <w:tcW w:w="952"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0.325 </w:t>
            </w:r>
          </w:p>
        </w:tc>
        <w:tc>
          <w:tcPr>
            <w:tcW w:w="952"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44 </w:t>
            </w:r>
          </w:p>
        </w:tc>
        <w:tc>
          <w:tcPr>
            <w:tcW w:w="952"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0.291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5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0.755 </w:t>
            </w:r>
          </w:p>
        </w:tc>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15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0.482 </w:t>
            </w:r>
          </w:p>
        </w:tc>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25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0.381 </w:t>
            </w:r>
          </w:p>
        </w:tc>
        <w:tc>
          <w:tcPr>
            <w:tcW w:w="952"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36 </w:t>
            </w:r>
          </w:p>
        </w:tc>
        <w:tc>
          <w:tcPr>
            <w:tcW w:w="952"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0.320 </w:t>
            </w:r>
          </w:p>
        </w:tc>
        <w:tc>
          <w:tcPr>
            <w:tcW w:w="952"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45 </w:t>
            </w:r>
          </w:p>
        </w:tc>
        <w:tc>
          <w:tcPr>
            <w:tcW w:w="952"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0.288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6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0.707 </w:t>
            </w:r>
          </w:p>
        </w:tc>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16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0.468 </w:t>
            </w:r>
          </w:p>
        </w:tc>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26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0.374 </w:t>
            </w:r>
          </w:p>
        </w:tc>
        <w:tc>
          <w:tcPr>
            <w:tcW w:w="952"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37 </w:t>
            </w:r>
          </w:p>
        </w:tc>
        <w:tc>
          <w:tcPr>
            <w:tcW w:w="952"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0.316 </w:t>
            </w:r>
          </w:p>
        </w:tc>
        <w:tc>
          <w:tcPr>
            <w:tcW w:w="952"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46 </w:t>
            </w:r>
          </w:p>
        </w:tc>
        <w:tc>
          <w:tcPr>
            <w:tcW w:w="952"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0.285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7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0.666 </w:t>
            </w:r>
          </w:p>
        </w:tc>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17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0.456 </w:t>
            </w:r>
          </w:p>
        </w:tc>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27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0.367 </w:t>
            </w:r>
          </w:p>
        </w:tc>
        <w:tc>
          <w:tcPr>
            <w:tcW w:w="952"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38 </w:t>
            </w:r>
          </w:p>
        </w:tc>
        <w:tc>
          <w:tcPr>
            <w:tcW w:w="952"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0.312 </w:t>
            </w:r>
          </w:p>
        </w:tc>
        <w:tc>
          <w:tcPr>
            <w:tcW w:w="952"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47 </w:t>
            </w:r>
          </w:p>
        </w:tc>
        <w:tc>
          <w:tcPr>
            <w:tcW w:w="952"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0.282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8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0.632 </w:t>
            </w:r>
          </w:p>
        </w:tc>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18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0.444 </w:t>
            </w:r>
          </w:p>
        </w:tc>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28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0.361 </w:t>
            </w:r>
          </w:p>
        </w:tc>
        <w:tc>
          <w:tcPr>
            <w:tcW w:w="952"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39 </w:t>
            </w:r>
          </w:p>
        </w:tc>
        <w:tc>
          <w:tcPr>
            <w:tcW w:w="952"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0.308 </w:t>
            </w:r>
          </w:p>
        </w:tc>
        <w:tc>
          <w:tcPr>
            <w:tcW w:w="952"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48 </w:t>
            </w:r>
          </w:p>
        </w:tc>
        <w:tc>
          <w:tcPr>
            <w:tcW w:w="952"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0.270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9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0.602 </w:t>
            </w:r>
          </w:p>
        </w:tc>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19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0.433 </w:t>
            </w:r>
          </w:p>
        </w:tc>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29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0.355 </w:t>
            </w:r>
          </w:p>
        </w:tc>
        <w:tc>
          <w:tcPr>
            <w:tcW w:w="952"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40 </w:t>
            </w:r>
          </w:p>
        </w:tc>
        <w:tc>
          <w:tcPr>
            <w:tcW w:w="952"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0.304 </w:t>
            </w:r>
          </w:p>
        </w:tc>
        <w:tc>
          <w:tcPr>
            <w:tcW w:w="952"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49 </w:t>
            </w:r>
          </w:p>
        </w:tc>
        <w:tc>
          <w:tcPr>
            <w:tcW w:w="952"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0.276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10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0.576 </w:t>
            </w:r>
          </w:p>
        </w:tc>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20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0.423 </w:t>
            </w:r>
          </w:p>
        </w:tc>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30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0.349 </w:t>
            </w:r>
          </w:p>
        </w:tc>
        <w:tc>
          <w:tcPr>
            <w:tcW w:w="952"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31 </w:t>
            </w:r>
          </w:p>
        </w:tc>
        <w:tc>
          <w:tcPr>
            <w:tcW w:w="952"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0.344 </w:t>
            </w:r>
          </w:p>
        </w:tc>
        <w:tc>
          <w:tcPr>
            <w:tcW w:w="952"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50 </w:t>
            </w:r>
          </w:p>
        </w:tc>
        <w:tc>
          <w:tcPr>
            <w:tcW w:w="952"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0.273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11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0.553 </w:t>
            </w:r>
          </w:p>
        </w:tc>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21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0.413 </w:t>
            </w:r>
          </w:p>
        </w:tc>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31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0.344 </w:t>
            </w:r>
          </w:p>
        </w:tc>
        <w:tc>
          <w:tcPr>
            <w:tcW w:w="952"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41 </w:t>
            </w:r>
          </w:p>
        </w:tc>
        <w:tc>
          <w:tcPr>
            <w:tcW w:w="952"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0.301 </w:t>
            </w:r>
          </w:p>
        </w:tc>
        <w:tc>
          <w:tcPr>
            <w:tcW w:w="952"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60</w:t>
            </w:r>
          </w:p>
        </w:tc>
        <w:tc>
          <w:tcPr>
            <w:tcW w:w="952" w:type="dxa"/>
            <w:tcBorders>
              <w:tl2br w:val="nil"/>
              <w:tr2bl w:val="nil"/>
            </w:tcBorders>
          </w:tcPr>
          <w:p>
            <w:pPr>
              <w:autoSpaceDE w:val="0"/>
              <w:autoSpaceDN w:val="0"/>
              <w:adjustRightInd w:val="0"/>
              <w:jc w:val="center"/>
              <w:rPr>
                <w:rFonts w:ascii="Times New Roman" w:hAnsi="Times New Roman" w:eastAsia="宋体"/>
                <w:color w:val="auto"/>
                <w:highlight w:val="none"/>
              </w:rPr>
            </w:pPr>
            <w:r>
              <w:rPr>
                <w:rFonts w:ascii="Times New Roman" w:hAnsi="Times New Roman" w:eastAsia="宋体"/>
                <w:color w:val="auto"/>
                <w:highlight w:val="none"/>
              </w:rPr>
              <w:t xml:space="preserve">0.250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12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0.532 </w:t>
            </w:r>
          </w:p>
        </w:tc>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22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0.404 </w:t>
            </w:r>
          </w:p>
        </w:tc>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32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0.339 </w:t>
            </w:r>
          </w:p>
        </w:tc>
        <w:tc>
          <w:tcPr>
            <w:tcW w:w="952"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42 </w:t>
            </w:r>
          </w:p>
        </w:tc>
        <w:tc>
          <w:tcPr>
            <w:tcW w:w="952"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0.297 </w:t>
            </w:r>
          </w:p>
        </w:tc>
        <w:tc>
          <w:tcPr>
            <w:tcW w:w="952"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80</w:t>
            </w:r>
          </w:p>
        </w:tc>
        <w:tc>
          <w:tcPr>
            <w:tcW w:w="952" w:type="dxa"/>
            <w:tcBorders>
              <w:tl2br w:val="nil"/>
              <w:tr2bl w:val="nil"/>
            </w:tcBorders>
          </w:tcPr>
          <w:p>
            <w:pPr>
              <w:autoSpaceDE w:val="0"/>
              <w:autoSpaceDN w:val="0"/>
              <w:adjustRightInd w:val="0"/>
              <w:jc w:val="center"/>
              <w:rPr>
                <w:rFonts w:ascii="Times New Roman" w:hAnsi="Times New Roman" w:eastAsia="宋体"/>
                <w:color w:val="auto"/>
                <w:highlight w:val="none"/>
              </w:rPr>
            </w:pPr>
            <w:r>
              <w:rPr>
                <w:rFonts w:ascii="Times New Roman" w:hAnsi="Times New Roman" w:eastAsia="宋体"/>
                <w:color w:val="auto"/>
                <w:highlight w:val="none"/>
              </w:rPr>
              <w:t xml:space="preserve">0.217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13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0.514 </w:t>
            </w:r>
          </w:p>
        </w:tc>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23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0.396 </w:t>
            </w:r>
          </w:p>
        </w:tc>
        <w:tc>
          <w:tcPr>
            <w:tcW w:w="951"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33 </w:t>
            </w:r>
          </w:p>
        </w:tc>
        <w:tc>
          <w:tcPr>
            <w:tcW w:w="951"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0.334 </w:t>
            </w:r>
          </w:p>
        </w:tc>
        <w:tc>
          <w:tcPr>
            <w:tcW w:w="952"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43 </w:t>
            </w:r>
          </w:p>
        </w:tc>
        <w:tc>
          <w:tcPr>
            <w:tcW w:w="952" w:type="dxa"/>
            <w:tcBorders>
              <w:tl2br w:val="nil"/>
              <w:tr2bl w:val="nil"/>
            </w:tcBorders>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 xml:space="preserve">0.294 </w:t>
            </w:r>
          </w:p>
        </w:tc>
        <w:tc>
          <w:tcPr>
            <w:tcW w:w="952" w:type="dxa"/>
            <w:tcBorders>
              <w:tl2br w:val="nil"/>
              <w:tr2bl w:val="nil"/>
            </w:tcBorders>
            <w:vAlign w:val="center"/>
          </w:tcPr>
          <w:p>
            <w:pPr>
              <w:autoSpaceDE w:val="0"/>
              <w:autoSpaceDN w:val="0"/>
              <w:adjustRightInd w:val="0"/>
              <w:jc w:val="center"/>
              <w:rPr>
                <w:rFonts w:ascii="Times New Roman" w:hAnsi="Times New Roman" w:eastAsia="宋体"/>
                <w:color w:val="auto"/>
                <w:kern w:val="0"/>
                <w:sz w:val="20"/>
                <w:szCs w:val="21"/>
                <w:highlight w:val="none"/>
              </w:rPr>
            </w:pPr>
            <w:r>
              <w:rPr>
                <w:rFonts w:ascii="Times New Roman" w:hAnsi="Times New Roman" w:eastAsia="宋体"/>
                <w:color w:val="auto"/>
                <w:highlight w:val="none"/>
              </w:rPr>
              <w:t>100</w:t>
            </w:r>
          </w:p>
        </w:tc>
        <w:tc>
          <w:tcPr>
            <w:tcW w:w="952" w:type="dxa"/>
            <w:tcBorders>
              <w:tl2br w:val="nil"/>
              <w:tr2bl w:val="nil"/>
            </w:tcBorders>
          </w:tcPr>
          <w:p>
            <w:pPr>
              <w:autoSpaceDE w:val="0"/>
              <w:autoSpaceDN w:val="0"/>
              <w:adjustRightInd w:val="0"/>
              <w:jc w:val="center"/>
              <w:rPr>
                <w:rFonts w:ascii="Times New Roman" w:hAnsi="Times New Roman" w:eastAsia="宋体"/>
                <w:color w:val="auto"/>
                <w:highlight w:val="none"/>
              </w:rPr>
            </w:pPr>
            <w:r>
              <w:rPr>
                <w:rFonts w:ascii="Times New Roman" w:hAnsi="Times New Roman" w:eastAsia="宋体"/>
                <w:color w:val="auto"/>
                <w:highlight w:val="none"/>
              </w:rPr>
              <w:t xml:space="preserve">0.195 </w:t>
            </w:r>
          </w:p>
        </w:tc>
      </w:tr>
    </w:tbl>
    <w:p>
      <w:pPr>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在缺乏现场荷载试验数据或相关地方经验的情况下，土层的地基承载力特征值</w:t>
      </w:r>
      <w:r>
        <w:rPr>
          <w:rFonts w:ascii="Times New Roman" w:hAnsi="Times New Roman" w:eastAsia="宋体"/>
          <w:i/>
          <w:iCs/>
          <w:color w:val="auto"/>
          <w:szCs w:val="21"/>
          <w:highlight w:val="none"/>
        </w:rPr>
        <w:t>f</w:t>
      </w:r>
      <w:r>
        <w:rPr>
          <w:rFonts w:ascii="Times New Roman" w:hAnsi="Times New Roman" w:eastAsia="宋体"/>
          <w:color w:val="auto"/>
          <w:szCs w:val="21"/>
          <w:highlight w:val="none"/>
          <w:vertAlign w:val="subscript"/>
        </w:rPr>
        <w:t>ak</w:t>
      </w:r>
      <w:r>
        <w:rPr>
          <w:rFonts w:ascii="Times New Roman" w:hAnsi="Times New Roman" w:eastAsia="宋体"/>
          <w:color w:val="auto"/>
          <w:szCs w:val="21"/>
          <w:highlight w:val="none"/>
        </w:rPr>
        <w:t>可根据其物理指标参照表</w:t>
      </w:r>
      <w:r>
        <w:rPr>
          <w:rFonts w:hint="eastAsia" w:ascii="Times New Roman" w:hAnsi="Times New Roman" w:eastAsia="宋体"/>
          <w:color w:val="auto"/>
          <w:szCs w:val="21"/>
          <w:highlight w:val="none"/>
          <w:lang w:val="en-US" w:eastAsia="zh-CN"/>
        </w:rPr>
        <w:t>15-2</w:t>
      </w:r>
      <w:r>
        <w:rPr>
          <w:rFonts w:ascii="Times New Roman" w:hAnsi="Times New Roman" w:eastAsia="宋体"/>
          <w:color w:val="auto"/>
          <w:szCs w:val="21"/>
          <w:highlight w:val="none"/>
        </w:rPr>
        <w:t>~表</w:t>
      </w:r>
      <w:r>
        <w:rPr>
          <w:rFonts w:hint="eastAsia" w:ascii="Times New Roman" w:hAnsi="Times New Roman" w:eastAsia="宋体"/>
          <w:color w:val="auto"/>
          <w:szCs w:val="21"/>
          <w:highlight w:val="none"/>
          <w:lang w:val="en-US" w:eastAsia="zh-CN"/>
        </w:rPr>
        <w:t>15-4</w:t>
      </w:r>
      <w:r>
        <w:rPr>
          <w:rFonts w:ascii="Times New Roman" w:hAnsi="Times New Roman" w:eastAsia="宋体"/>
          <w:color w:val="auto"/>
          <w:szCs w:val="21"/>
          <w:highlight w:val="none"/>
        </w:rPr>
        <w:t>取值</w:t>
      </w:r>
      <w:r>
        <w:rPr>
          <w:rFonts w:hint="eastAsia" w:ascii="Times New Roman" w:hAnsi="Times New Roman" w:eastAsia="宋体"/>
          <w:color w:val="auto"/>
          <w:szCs w:val="21"/>
          <w:highlight w:val="none"/>
          <w:lang w:eastAsia="zh-CN"/>
        </w:rPr>
        <w:t>，</w:t>
      </w:r>
      <w:r>
        <w:rPr>
          <w:rFonts w:hint="eastAsia" w:ascii="Times New Roman" w:hAnsi="Times New Roman" w:eastAsia="宋体"/>
          <w:color w:val="auto"/>
          <w:szCs w:val="21"/>
          <w:highlight w:val="none"/>
          <w:lang w:val="en-US" w:eastAsia="zh-CN"/>
        </w:rPr>
        <w:t>或</w:t>
      </w:r>
      <w:r>
        <w:rPr>
          <w:rFonts w:ascii="Times New Roman" w:hAnsi="Times New Roman" w:eastAsia="宋体"/>
          <w:color w:val="auto"/>
          <w:szCs w:val="21"/>
          <w:highlight w:val="none"/>
        </w:rPr>
        <w:t>根据经杆长、杆径修正后的标准贯入测试击数</w:t>
      </w:r>
      <w:r>
        <w:rPr>
          <w:rFonts w:hint="eastAsia" w:ascii="Times New Roman" w:hAnsi="Times New Roman" w:eastAsia="宋体"/>
          <w:i/>
          <w:iCs/>
          <w:color w:val="auto"/>
          <w:szCs w:val="21"/>
          <w:highlight w:val="none"/>
          <w:lang w:eastAsia="zh-CN"/>
        </w:rPr>
        <w:t>N</w:t>
      </w:r>
      <w:r>
        <w:rPr>
          <w:rFonts w:ascii="Times New Roman" w:hAnsi="Times New Roman" w:eastAsia="宋体"/>
          <w:color w:val="auto"/>
          <w:szCs w:val="21"/>
          <w:highlight w:val="none"/>
        </w:rPr>
        <w:t>参照表</w:t>
      </w:r>
      <w:r>
        <w:rPr>
          <w:rFonts w:hint="eastAsia" w:ascii="Times New Roman" w:hAnsi="Times New Roman" w:eastAsia="宋体"/>
          <w:color w:val="auto"/>
          <w:szCs w:val="21"/>
          <w:highlight w:val="none"/>
          <w:lang w:val="en-US" w:eastAsia="zh-CN"/>
        </w:rPr>
        <w:t>15-5</w:t>
      </w:r>
      <w:r>
        <w:rPr>
          <w:rFonts w:ascii="Times New Roman" w:hAnsi="Times New Roman" w:eastAsia="宋体"/>
          <w:color w:val="auto"/>
          <w:szCs w:val="21"/>
          <w:highlight w:val="none"/>
        </w:rPr>
        <w:t>~表</w:t>
      </w:r>
      <w:r>
        <w:rPr>
          <w:rFonts w:hint="eastAsia" w:ascii="Times New Roman" w:hAnsi="Times New Roman" w:eastAsia="宋体"/>
          <w:color w:val="auto"/>
          <w:szCs w:val="21"/>
          <w:highlight w:val="none"/>
          <w:lang w:val="en-US" w:eastAsia="zh-CN"/>
        </w:rPr>
        <w:t>15-7</w:t>
      </w:r>
      <w:r>
        <w:rPr>
          <w:rFonts w:ascii="Times New Roman" w:hAnsi="Times New Roman" w:eastAsia="宋体"/>
          <w:color w:val="auto"/>
          <w:szCs w:val="21"/>
          <w:highlight w:val="none"/>
        </w:rPr>
        <w:t xml:space="preserve">取值。 </w:t>
      </w:r>
    </w:p>
    <w:p>
      <w:pPr>
        <w:spacing w:line="360" w:lineRule="auto"/>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15-2</w:t>
      </w:r>
      <w:r>
        <w:rPr>
          <w:rFonts w:ascii="Times New Roman" w:hAnsi="Times New Roman" w:eastAsia="宋体"/>
          <w:b/>
          <w:bCs/>
          <w:color w:val="auto"/>
          <w:szCs w:val="21"/>
          <w:highlight w:val="none"/>
        </w:rPr>
        <w:t xml:space="preserve"> 新近沉积黏性土地基承载力特征值</w:t>
      </w:r>
      <w:r>
        <w:rPr>
          <w:rFonts w:ascii="Times New Roman" w:hAnsi="Times New Roman" w:eastAsia="宋体"/>
          <w:b/>
          <w:bCs/>
          <w:i/>
          <w:iCs/>
          <w:color w:val="auto"/>
          <w:szCs w:val="21"/>
          <w:highlight w:val="none"/>
        </w:rPr>
        <w:t>f</w:t>
      </w:r>
      <w:r>
        <w:rPr>
          <w:rFonts w:ascii="Times New Roman" w:hAnsi="Times New Roman" w:eastAsia="宋体"/>
          <w:b/>
          <w:bCs/>
          <w:color w:val="auto"/>
          <w:szCs w:val="21"/>
          <w:highlight w:val="none"/>
          <w:vertAlign w:val="subscript"/>
        </w:rPr>
        <w:t>ak</w:t>
      </w:r>
      <w:r>
        <w:rPr>
          <w:rFonts w:ascii="Times New Roman" w:hAnsi="Times New Roman" w:eastAsia="宋体"/>
          <w:b/>
          <w:bCs/>
          <w:color w:val="auto"/>
          <w:szCs w:val="21"/>
          <w:highlight w:val="none"/>
        </w:rPr>
        <w:t>（kPa）</w:t>
      </w:r>
    </w:p>
    <w:tbl>
      <w:tblPr>
        <w:tblStyle w:val="22"/>
        <w:tblW w:w="840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2093"/>
        <w:gridCol w:w="2093"/>
        <w:gridCol w:w="20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0" w:lineRule="atLeast"/>
              <w:jc w:val="right"/>
              <w:textAlignment w:val="auto"/>
              <w:rPr>
                <w:rFonts w:ascii="Times New Roman" w:hAnsi="Times New Roman" w:eastAsia="宋体"/>
                <w:i/>
                <w:iCs/>
                <w:color w:val="auto"/>
                <w:sz w:val="20"/>
                <w:szCs w:val="20"/>
                <w:highlight w:val="none"/>
              </w:rPr>
            </w:pPr>
            <w:r>
              <w:rPr>
                <w:rFonts w:ascii="Times New Roman" w:hAnsi="Times New Roman" w:eastAsia="宋体"/>
                <w:i/>
                <w:iCs/>
                <w:color w:val="auto"/>
                <w:sz w:val="20"/>
                <w:szCs w:val="20"/>
                <w:highlight w:val="none"/>
              </w:rPr>
              <w:t>I</w:t>
            </w:r>
            <w:r>
              <w:rPr>
                <w:rFonts w:ascii="Times New Roman" w:hAnsi="Times New Roman" w:eastAsia="宋体"/>
                <w:color w:val="auto"/>
                <w:sz w:val="20"/>
                <w:szCs w:val="20"/>
                <w:highlight w:val="none"/>
                <w:vertAlign w:val="subscript"/>
              </w:rPr>
              <w:t xml:space="preserve">L    </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left"/>
              <w:textAlignment w:val="auto"/>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e</w:t>
            </w:r>
          </w:p>
        </w:tc>
        <w:tc>
          <w:tcPr>
            <w:tcW w:w="2093" w:type="dxa"/>
            <w:tcBorders>
              <w:tl2br w:val="nil"/>
              <w:tr2bl w:val="nil"/>
            </w:tcBorders>
            <w:vAlign w:val="center"/>
          </w:tcPr>
          <w:p>
            <w:pPr>
              <w:jc w:val="center"/>
              <w:rPr>
                <w:rFonts w:ascii="Times New Roman" w:hAnsi="Times New Roman" w:eastAsia="宋体"/>
                <w:color w:val="auto"/>
                <w:sz w:val="20"/>
                <w:szCs w:val="20"/>
                <w:highlight w:val="none"/>
              </w:rPr>
            </w:pPr>
            <w:r>
              <w:rPr>
                <w:rFonts w:hint="eastAsia" w:ascii="宋体" w:hAnsi="宋体" w:eastAsia="宋体" w:cs="宋体"/>
                <w:color w:val="auto"/>
                <w:sz w:val="20"/>
                <w:szCs w:val="20"/>
                <w:highlight w:val="none"/>
              </w:rPr>
              <w:t>≤</w:t>
            </w:r>
            <w:r>
              <w:rPr>
                <w:rFonts w:ascii="Times New Roman" w:hAnsi="Times New Roman" w:eastAsia="宋体"/>
                <w:color w:val="auto"/>
                <w:sz w:val="20"/>
                <w:szCs w:val="20"/>
                <w:highlight w:val="none"/>
              </w:rPr>
              <w:t>0.25</w:t>
            </w:r>
          </w:p>
        </w:tc>
        <w:tc>
          <w:tcPr>
            <w:tcW w:w="2093"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0.75</w:t>
            </w:r>
          </w:p>
        </w:tc>
        <w:tc>
          <w:tcPr>
            <w:tcW w:w="2095"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22"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≤0.8</w:t>
            </w:r>
          </w:p>
        </w:tc>
        <w:tc>
          <w:tcPr>
            <w:tcW w:w="2093"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140</w:t>
            </w:r>
            <w:r>
              <w:rPr>
                <w:rFonts w:ascii="Times New Roman" w:hAnsi="Times New Roman" w:eastAsia="宋体"/>
                <w:i/>
                <w:iCs/>
                <w:color w:val="auto"/>
                <w:sz w:val="20"/>
                <w:szCs w:val="20"/>
                <w:highlight w:val="none"/>
              </w:rPr>
              <w:t xml:space="preserve">  </w:t>
            </w:r>
          </w:p>
        </w:tc>
        <w:tc>
          <w:tcPr>
            <w:tcW w:w="2093"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120</w:t>
            </w:r>
          </w:p>
        </w:tc>
        <w:tc>
          <w:tcPr>
            <w:tcW w:w="2095"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22"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0.9</w:t>
            </w:r>
          </w:p>
        </w:tc>
        <w:tc>
          <w:tcPr>
            <w:tcW w:w="2093"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130</w:t>
            </w:r>
          </w:p>
        </w:tc>
        <w:tc>
          <w:tcPr>
            <w:tcW w:w="2093"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110</w:t>
            </w:r>
          </w:p>
        </w:tc>
        <w:tc>
          <w:tcPr>
            <w:tcW w:w="2095"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22"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p>
        </w:tc>
        <w:tc>
          <w:tcPr>
            <w:tcW w:w="2093"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120</w:t>
            </w:r>
          </w:p>
        </w:tc>
        <w:tc>
          <w:tcPr>
            <w:tcW w:w="2093"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100</w:t>
            </w:r>
          </w:p>
        </w:tc>
        <w:tc>
          <w:tcPr>
            <w:tcW w:w="2095"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22"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w:t>
            </w:r>
          </w:p>
        </w:tc>
        <w:tc>
          <w:tcPr>
            <w:tcW w:w="2093"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110</w:t>
            </w:r>
          </w:p>
        </w:tc>
        <w:tc>
          <w:tcPr>
            <w:tcW w:w="2093"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90</w:t>
            </w:r>
          </w:p>
        </w:tc>
        <w:tc>
          <w:tcPr>
            <w:tcW w:w="2095" w:type="dxa"/>
            <w:tcBorders>
              <w:tl2br w:val="nil"/>
              <w:tr2bl w:val="nil"/>
            </w:tcBorders>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imes New Roman" w:hAnsi="Times New Roman" w:eastAsia="宋体"/>
          <w:b/>
          <w:bCs/>
          <w:color w:val="auto"/>
          <w:sz w:val="20"/>
          <w:szCs w:val="20"/>
          <w:highlight w:val="none"/>
        </w:rPr>
      </w:pPr>
      <w:r>
        <w:rPr>
          <w:rFonts w:hint="eastAsia" w:ascii="Times New Roman" w:hAnsi="Times New Roman" w:eastAsia="宋体"/>
          <w:b w:val="0"/>
          <w:bCs w:val="0"/>
          <w:color w:val="auto"/>
          <w:sz w:val="20"/>
          <w:szCs w:val="21"/>
          <w:highlight w:val="none"/>
          <w:lang w:val="en-US" w:eastAsia="zh-CN"/>
        </w:rPr>
        <w:t>注：本</w:t>
      </w:r>
      <w:r>
        <w:rPr>
          <w:rFonts w:ascii="Times New Roman" w:hAnsi="Times New Roman" w:eastAsia="宋体"/>
          <w:color w:val="auto"/>
          <w:sz w:val="20"/>
          <w:szCs w:val="21"/>
          <w:highlight w:val="none"/>
        </w:rPr>
        <w:t>表参考</w:t>
      </w:r>
      <w:r>
        <w:rPr>
          <w:rFonts w:ascii="Times New Roman" w:hAnsi="Times New Roman" w:eastAsia="宋体"/>
          <w:color w:val="auto"/>
          <w:sz w:val="20"/>
          <w:szCs w:val="20"/>
          <w:highlight w:val="none"/>
        </w:rPr>
        <w:t>《公路桥涵地基与基础设计规范》JTG 3363-2019表4.3.3-7。</w:t>
      </w:r>
    </w:p>
    <w:p>
      <w:pPr>
        <w:spacing w:line="360" w:lineRule="auto"/>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15-3</w:t>
      </w:r>
      <w:r>
        <w:rPr>
          <w:rFonts w:ascii="Times New Roman" w:hAnsi="Times New Roman" w:eastAsia="宋体"/>
          <w:b/>
          <w:bCs/>
          <w:color w:val="auto"/>
          <w:szCs w:val="21"/>
          <w:highlight w:val="none"/>
        </w:rPr>
        <w:t xml:space="preserve"> 一般黏性土地基承载力特征值</w:t>
      </w:r>
      <w:r>
        <w:rPr>
          <w:rFonts w:ascii="Times New Roman" w:hAnsi="Times New Roman" w:eastAsia="宋体"/>
          <w:b/>
          <w:bCs/>
          <w:i/>
          <w:iCs/>
          <w:color w:val="auto"/>
          <w:szCs w:val="21"/>
          <w:highlight w:val="none"/>
        </w:rPr>
        <w:t>f</w:t>
      </w:r>
      <w:r>
        <w:rPr>
          <w:rFonts w:ascii="Times New Roman" w:hAnsi="Times New Roman" w:eastAsia="宋体"/>
          <w:b/>
          <w:bCs/>
          <w:color w:val="auto"/>
          <w:szCs w:val="21"/>
          <w:highlight w:val="none"/>
          <w:vertAlign w:val="subscript"/>
        </w:rPr>
        <w:t>ak</w:t>
      </w:r>
      <w:r>
        <w:rPr>
          <w:rFonts w:ascii="Times New Roman" w:hAnsi="Times New Roman" w:eastAsia="宋体"/>
          <w:b/>
          <w:bCs/>
          <w:color w:val="auto"/>
          <w:szCs w:val="21"/>
          <w:highlight w:val="none"/>
        </w:rPr>
        <w:t>（kPa）</w:t>
      </w:r>
    </w:p>
    <w:tbl>
      <w:tblPr>
        <w:tblStyle w:val="22"/>
        <w:tblW w:w="840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3"/>
        <w:gridCol w:w="588"/>
        <w:gridCol w:w="588"/>
        <w:gridCol w:w="588"/>
        <w:gridCol w:w="588"/>
        <w:gridCol w:w="588"/>
        <w:gridCol w:w="588"/>
        <w:gridCol w:w="588"/>
        <w:gridCol w:w="588"/>
        <w:gridCol w:w="588"/>
        <w:gridCol w:w="588"/>
        <w:gridCol w:w="588"/>
        <w:gridCol w:w="588"/>
        <w:gridCol w:w="5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60" w:hRule="atLeast"/>
        </w:trPr>
        <w:tc>
          <w:tcPr>
            <w:tcW w:w="753" w:type="dxa"/>
            <w:tcBorders>
              <w:tl2br w:val="nil"/>
              <w:tr2bl w:val="nil"/>
            </w:tcBorders>
            <w:vAlign w:val="center"/>
          </w:tcPr>
          <w:p>
            <w:pPr>
              <w:jc w:val="right"/>
              <w:rPr>
                <w:rFonts w:ascii="Times New Roman" w:hAnsi="Times New Roman" w:eastAsia="宋体"/>
                <w:i/>
                <w:iCs/>
                <w:color w:val="auto"/>
                <w:sz w:val="20"/>
                <w:szCs w:val="20"/>
                <w:highlight w:val="none"/>
              </w:rPr>
            </w:pPr>
            <w:r>
              <w:rPr>
                <w:rFonts w:ascii="Times New Roman" w:hAnsi="Times New Roman" w:eastAsia="宋体"/>
                <w:i/>
                <w:iCs/>
                <w:color w:val="auto"/>
                <w:sz w:val="20"/>
                <w:szCs w:val="20"/>
                <w:highlight w:val="none"/>
              </w:rPr>
              <w:t>I</w:t>
            </w:r>
            <w:r>
              <w:rPr>
                <w:rFonts w:ascii="Times New Roman" w:hAnsi="Times New Roman" w:eastAsia="宋体"/>
                <w:color w:val="auto"/>
                <w:sz w:val="20"/>
                <w:szCs w:val="20"/>
                <w:highlight w:val="none"/>
                <w:vertAlign w:val="subscript"/>
              </w:rPr>
              <w:t xml:space="preserve">L  </w:t>
            </w:r>
          </w:p>
          <w:p>
            <w:pPr>
              <w:jc w:val="left"/>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 xml:space="preserve">e </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0.1</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0.2</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0.3</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0.4</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0.5</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0.6</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0.7</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0.8</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0.9</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w:t>
            </w:r>
          </w:p>
        </w:tc>
        <w:tc>
          <w:tcPr>
            <w:tcW w:w="594"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3"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0.5</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450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435</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420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400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385</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370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350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310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270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240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220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594"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3"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0.6</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380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365</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350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330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320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310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300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280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220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180</w:t>
            </w:r>
          </w:p>
        </w:tc>
        <w:tc>
          <w:tcPr>
            <w:tcW w:w="594"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3"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0.7</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310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300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290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270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260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240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230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220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190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170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160</w:t>
            </w:r>
          </w:p>
        </w:tc>
        <w:tc>
          <w:tcPr>
            <w:tcW w:w="594"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3"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0.8</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260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240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220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215</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210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190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180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160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140</w:t>
            </w:r>
          </w:p>
        </w:tc>
        <w:tc>
          <w:tcPr>
            <w:tcW w:w="594"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3"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0.9</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220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210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195</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190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180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170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160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140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130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120</w:t>
            </w:r>
          </w:p>
        </w:tc>
        <w:tc>
          <w:tcPr>
            <w:tcW w:w="594"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3"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190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180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170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165</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160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140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130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125</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594"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3"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160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140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130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90</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588"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c>
          <w:tcPr>
            <w:tcW w:w="594" w:type="dxa"/>
            <w:tcBorders>
              <w:tl2br w:val="nil"/>
              <w:tr2bl w:val="nil"/>
            </w:tcBorders>
            <w:vAlign w:val="center"/>
          </w:tcPr>
          <w:p>
            <w:pPr>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imes New Roman" w:hAnsi="Times New Roman" w:eastAsia="宋体"/>
          <w:color w:val="auto"/>
          <w:sz w:val="20"/>
          <w:szCs w:val="20"/>
          <w:highlight w:val="none"/>
        </w:rPr>
      </w:pPr>
      <w:r>
        <w:rPr>
          <w:rFonts w:hint="eastAsia" w:ascii="Times New Roman" w:hAnsi="Times New Roman" w:eastAsia="宋体"/>
          <w:color w:val="auto"/>
          <w:sz w:val="20"/>
          <w:szCs w:val="20"/>
          <w:highlight w:val="none"/>
          <w:lang w:val="en-US" w:eastAsia="zh-CN"/>
        </w:rPr>
        <w:t>注：本</w:t>
      </w:r>
      <w:r>
        <w:rPr>
          <w:rFonts w:ascii="Times New Roman" w:hAnsi="Times New Roman" w:eastAsia="宋体"/>
          <w:color w:val="auto"/>
          <w:sz w:val="20"/>
          <w:szCs w:val="20"/>
          <w:highlight w:val="none"/>
        </w:rPr>
        <w:t>表综合参考《公路桥涵地基与基础设计规范》JTG 3363-2019表4.3.3-6及广东省标准《建筑地基基础设计规范》DBJ 15-31-2016表4.5.2-4。</w:t>
      </w:r>
    </w:p>
    <w:p>
      <w:pPr>
        <w:spacing w:line="360" w:lineRule="auto"/>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15-4</w:t>
      </w:r>
      <w:r>
        <w:rPr>
          <w:rFonts w:ascii="Times New Roman" w:hAnsi="Times New Roman" w:eastAsia="宋体"/>
          <w:b/>
          <w:bCs/>
          <w:color w:val="auto"/>
          <w:szCs w:val="21"/>
          <w:highlight w:val="none"/>
        </w:rPr>
        <w:t xml:space="preserve"> 沿海地区淤泥和淤泥质土根据含水量w确定的承载力特征值</w:t>
      </w:r>
      <w:r>
        <w:rPr>
          <w:rFonts w:ascii="Times New Roman" w:hAnsi="Times New Roman" w:eastAsia="宋体"/>
          <w:b/>
          <w:bCs/>
          <w:i/>
          <w:iCs/>
          <w:color w:val="auto"/>
          <w:szCs w:val="21"/>
          <w:highlight w:val="none"/>
        </w:rPr>
        <w:t>f</w:t>
      </w:r>
      <w:r>
        <w:rPr>
          <w:rFonts w:ascii="Times New Roman" w:hAnsi="Times New Roman" w:eastAsia="宋体"/>
          <w:b/>
          <w:bCs/>
          <w:color w:val="auto"/>
          <w:szCs w:val="21"/>
          <w:highlight w:val="none"/>
          <w:vertAlign w:val="subscript"/>
        </w:rPr>
        <w:t>ak</w:t>
      </w:r>
      <w:r>
        <w:rPr>
          <w:rFonts w:ascii="Times New Roman" w:hAnsi="Times New Roman" w:eastAsia="宋体"/>
          <w:b/>
          <w:bCs/>
          <w:color w:val="auto"/>
          <w:szCs w:val="21"/>
          <w:highlight w:val="none"/>
        </w:rPr>
        <w:t>(kPa)</w:t>
      </w:r>
    </w:p>
    <w:tbl>
      <w:tblPr>
        <w:tblStyle w:val="22"/>
        <w:tblW w:w="840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27"/>
        <w:gridCol w:w="827"/>
        <w:gridCol w:w="827"/>
        <w:gridCol w:w="827"/>
        <w:gridCol w:w="827"/>
        <w:gridCol w:w="827"/>
        <w:gridCol w:w="827"/>
        <w:gridCol w:w="827"/>
        <w:gridCol w:w="8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w (%)</w:t>
            </w:r>
          </w:p>
        </w:tc>
        <w:tc>
          <w:tcPr>
            <w:tcW w:w="827"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36</w:t>
            </w:r>
          </w:p>
        </w:tc>
        <w:tc>
          <w:tcPr>
            <w:tcW w:w="827"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40</w:t>
            </w:r>
          </w:p>
        </w:tc>
        <w:tc>
          <w:tcPr>
            <w:tcW w:w="827"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45</w:t>
            </w:r>
          </w:p>
        </w:tc>
        <w:tc>
          <w:tcPr>
            <w:tcW w:w="827"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50</w:t>
            </w:r>
          </w:p>
        </w:tc>
        <w:tc>
          <w:tcPr>
            <w:tcW w:w="827"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55</w:t>
            </w:r>
          </w:p>
        </w:tc>
        <w:tc>
          <w:tcPr>
            <w:tcW w:w="827"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60</w:t>
            </w:r>
          </w:p>
        </w:tc>
        <w:tc>
          <w:tcPr>
            <w:tcW w:w="827"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65</w:t>
            </w:r>
          </w:p>
        </w:tc>
        <w:tc>
          <w:tcPr>
            <w:tcW w:w="827"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70</w:t>
            </w:r>
          </w:p>
        </w:tc>
        <w:tc>
          <w:tcPr>
            <w:tcW w:w="828"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f</w:t>
            </w:r>
            <w:r>
              <w:rPr>
                <w:rFonts w:ascii="Times New Roman" w:hAnsi="Times New Roman" w:eastAsia="宋体"/>
                <w:color w:val="auto"/>
                <w:sz w:val="20"/>
                <w:szCs w:val="20"/>
                <w:highlight w:val="none"/>
                <w:vertAlign w:val="subscript"/>
              </w:rPr>
              <w:t xml:space="preserve">ak </w:t>
            </w:r>
          </w:p>
        </w:tc>
        <w:tc>
          <w:tcPr>
            <w:tcW w:w="827"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100</w:t>
            </w:r>
          </w:p>
        </w:tc>
        <w:tc>
          <w:tcPr>
            <w:tcW w:w="827"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90</w:t>
            </w:r>
          </w:p>
        </w:tc>
        <w:tc>
          <w:tcPr>
            <w:tcW w:w="827"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80</w:t>
            </w:r>
          </w:p>
        </w:tc>
        <w:tc>
          <w:tcPr>
            <w:tcW w:w="827"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70</w:t>
            </w:r>
          </w:p>
        </w:tc>
        <w:tc>
          <w:tcPr>
            <w:tcW w:w="827"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60</w:t>
            </w:r>
          </w:p>
        </w:tc>
        <w:tc>
          <w:tcPr>
            <w:tcW w:w="827"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55</w:t>
            </w:r>
          </w:p>
        </w:tc>
        <w:tc>
          <w:tcPr>
            <w:tcW w:w="827"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50</w:t>
            </w:r>
          </w:p>
        </w:tc>
        <w:tc>
          <w:tcPr>
            <w:tcW w:w="827"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45</w:t>
            </w:r>
          </w:p>
        </w:tc>
        <w:tc>
          <w:tcPr>
            <w:tcW w:w="828"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40</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imes New Roman" w:hAnsi="Times New Roman" w:eastAsia="宋体"/>
          <w:b/>
          <w:bCs/>
          <w:color w:val="auto"/>
          <w:sz w:val="20"/>
          <w:szCs w:val="20"/>
          <w:highlight w:val="none"/>
        </w:rPr>
      </w:pPr>
      <w:r>
        <w:rPr>
          <w:rFonts w:hint="eastAsia" w:ascii="Times New Roman" w:hAnsi="Times New Roman" w:eastAsia="宋体"/>
          <w:color w:val="auto"/>
          <w:sz w:val="20"/>
          <w:szCs w:val="21"/>
          <w:highlight w:val="none"/>
          <w:lang w:val="en-US" w:eastAsia="zh-CN"/>
        </w:rPr>
        <w:t>注：本</w:t>
      </w:r>
      <w:r>
        <w:rPr>
          <w:rFonts w:ascii="Times New Roman" w:hAnsi="Times New Roman" w:eastAsia="宋体"/>
          <w:color w:val="auto"/>
          <w:sz w:val="20"/>
          <w:szCs w:val="21"/>
          <w:highlight w:val="none"/>
        </w:rPr>
        <w:t>表参考</w:t>
      </w:r>
      <w:r>
        <w:rPr>
          <w:rFonts w:ascii="Times New Roman" w:hAnsi="Times New Roman" w:eastAsia="宋体"/>
          <w:color w:val="auto"/>
          <w:sz w:val="20"/>
          <w:szCs w:val="20"/>
          <w:highlight w:val="none"/>
        </w:rPr>
        <w:t>广东省标准《建筑地基基础设计规范》DBJ 15-31-2016表4.5.2-5。</w:t>
      </w:r>
    </w:p>
    <w:p>
      <w:pPr>
        <w:spacing w:line="360" w:lineRule="auto"/>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15-5</w:t>
      </w:r>
      <w:r>
        <w:rPr>
          <w:rFonts w:ascii="Times New Roman" w:hAnsi="Times New Roman" w:eastAsia="宋体"/>
          <w:b/>
          <w:bCs/>
          <w:color w:val="auto"/>
          <w:szCs w:val="21"/>
          <w:highlight w:val="none"/>
        </w:rPr>
        <w:t xml:space="preserve"> 黏性土承载力特征值</w:t>
      </w:r>
      <w:r>
        <w:rPr>
          <w:rFonts w:ascii="Times New Roman" w:hAnsi="Times New Roman" w:eastAsia="宋体"/>
          <w:b/>
          <w:bCs/>
          <w:i/>
          <w:iCs/>
          <w:color w:val="auto"/>
          <w:szCs w:val="21"/>
          <w:highlight w:val="none"/>
        </w:rPr>
        <w:t>f</w:t>
      </w:r>
      <w:r>
        <w:rPr>
          <w:rFonts w:ascii="Times New Roman" w:hAnsi="Times New Roman" w:eastAsia="宋体"/>
          <w:b/>
          <w:bCs/>
          <w:color w:val="auto"/>
          <w:szCs w:val="21"/>
          <w:highlight w:val="none"/>
          <w:vertAlign w:val="subscript"/>
        </w:rPr>
        <w:t xml:space="preserve">ak </w:t>
      </w:r>
      <w:r>
        <w:rPr>
          <w:rFonts w:ascii="Times New Roman" w:hAnsi="Times New Roman" w:eastAsia="宋体"/>
          <w:b/>
          <w:bCs/>
          <w:color w:val="auto"/>
          <w:szCs w:val="21"/>
          <w:highlight w:val="none"/>
        </w:rPr>
        <w:t>(kPa)</w:t>
      </w:r>
    </w:p>
    <w:tbl>
      <w:tblPr>
        <w:tblStyle w:val="22"/>
        <w:tblW w:w="840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8"/>
        <w:gridCol w:w="741"/>
        <w:gridCol w:w="741"/>
        <w:gridCol w:w="741"/>
        <w:gridCol w:w="741"/>
        <w:gridCol w:w="741"/>
        <w:gridCol w:w="741"/>
        <w:gridCol w:w="741"/>
        <w:gridCol w:w="741"/>
        <w:gridCol w:w="741"/>
        <w:gridCol w:w="7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88"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hint="eastAsia" w:ascii="Times New Roman" w:hAnsi="Times New Roman" w:eastAsia="宋体"/>
                <w:i/>
                <w:iCs/>
                <w:color w:val="auto"/>
                <w:sz w:val="20"/>
                <w:szCs w:val="20"/>
                <w:highlight w:val="none"/>
                <w:lang w:eastAsia="zh-CN"/>
              </w:rPr>
              <w:t>N</w:t>
            </w:r>
            <w:r>
              <w:rPr>
                <w:rFonts w:ascii="Times New Roman" w:hAnsi="Times New Roman" w:eastAsia="宋体"/>
                <w:color w:val="auto"/>
                <w:sz w:val="20"/>
                <w:szCs w:val="20"/>
                <w:highlight w:val="none"/>
              </w:rPr>
              <w:t>（击）</w:t>
            </w:r>
          </w:p>
        </w:tc>
        <w:tc>
          <w:tcPr>
            <w:tcW w:w="741"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w:t>
            </w:r>
          </w:p>
        </w:tc>
        <w:tc>
          <w:tcPr>
            <w:tcW w:w="741"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w:t>
            </w:r>
          </w:p>
        </w:tc>
        <w:tc>
          <w:tcPr>
            <w:tcW w:w="741"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7</w:t>
            </w:r>
          </w:p>
        </w:tc>
        <w:tc>
          <w:tcPr>
            <w:tcW w:w="741"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10</w:t>
            </w:r>
          </w:p>
        </w:tc>
        <w:tc>
          <w:tcPr>
            <w:tcW w:w="741"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12</w:t>
            </w:r>
          </w:p>
        </w:tc>
        <w:tc>
          <w:tcPr>
            <w:tcW w:w="741"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w:t>
            </w:r>
          </w:p>
        </w:tc>
        <w:tc>
          <w:tcPr>
            <w:tcW w:w="741"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17</w:t>
            </w:r>
          </w:p>
        </w:tc>
        <w:tc>
          <w:tcPr>
            <w:tcW w:w="741"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20</w:t>
            </w:r>
          </w:p>
        </w:tc>
        <w:tc>
          <w:tcPr>
            <w:tcW w:w="741"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25</w:t>
            </w:r>
          </w:p>
        </w:tc>
        <w:tc>
          <w:tcPr>
            <w:tcW w:w="746"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88"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i/>
                <w:iCs/>
                <w:color w:val="auto"/>
                <w:sz w:val="20"/>
                <w:szCs w:val="20"/>
                <w:highlight w:val="none"/>
              </w:rPr>
              <w:t>f</w:t>
            </w:r>
            <w:r>
              <w:rPr>
                <w:rFonts w:ascii="Times New Roman" w:hAnsi="Times New Roman" w:eastAsia="宋体"/>
                <w:color w:val="auto"/>
                <w:sz w:val="20"/>
                <w:szCs w:val="20"/>
                <w:highlight w:val="none"/>
                <w:vertAlign w:val="subscript"/>
              </w:rPr>
              <w:t>ak</w:t>
            </w:r>
          </w:p>
        </w:tc>
        <w:tc>
          <w:tcPr>
            <w:tcW w:w="741"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90</w:t>
            </w:r>
          </w:p>
        </w:tc>
        <w:tc>
          <w:tcPr>
            <w:tcW w:w="741"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110</w:t>
            </w:r>
          </w:p>
        </w:tc>
        <w:tc>
          <w:tcPr>
            <w:tcW w:w="741"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150</w:t>
            </w:r>
          </w:p>
        </w:tc>
        <w:tc>
          <w:tcPr>
            <w:tcW w:w="741"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195</w:t>
            </w:r>
          </w:p>
        </w:tc>
        <w:tc>
          <w:tcPr>
            <w:tcW w:w="741"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240</w:t>
            </w:r>
          </w:p>
        </w:tc>
        <w:tc>
          <w:tcPr>
            <w:tcW w:w="741"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310</w:t>
            </w:r>
          </w:p>
        </w:tc>
        <w:tc>
          <w:tcPr>
            <w:tcW w:w="741"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360</w:t>
            </w:r>
          </w:p>
        </w:tc>
        <w:tc>
          <w:tcPr>
            <w:tcW w:w="741"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430</w:t>
            </w:r>
          </w:p>
        </w:tc>
        <w:tc>
          <w:tcPr>
            <w:tcW w:w="741"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510</w:t>
            </w:r>
          </w:p>
        </w:tc>
        <w:tc>
          <w:tcPr>
            <w:tcW w:w="746" w:type="dxa"/>
            <w:tcBorders>
              <w:tl2br w:val="nil"/>
              <w:tr2bl w:val="nil"/>
            </w:tcBorders>
          </w:tcPr>
          <w:p>
            <w:pPr>
              <w:ind w:left="-105" w:leftChars="-50" w:right="-105" w:rightChars="-50"/>
              <w:jc w:val="center"/>
              <w:rPr>
                <w:rFonts w:ascii="Times New Roman" w:hAnsi="Times New Roman" w:eastAsia="宋体"/>
                <w:color w:val="auto"/>
                <w:sz w:val="20"/>
                <w:szCs w:val="20"/>
                <w:highlight w:val="none"/>
              </w:rPr>
            </w:pPr>
            <w:r>
              <w:rPr>
                <w:rFonts w:ascii="Times New Roman" w:hAnsi="Times New Roman" w:eastAsia="宋体"/>
                <w:color w:val="auto"/>
                <w:sz w:val="20"/>
                <w:szCs w:val="20"/>
                <w:highlight w:val="none"/>
              </w:rPr>
              <w:t>600</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imes New Roman" w:hAnsi="Times New Roman" w:eastAsia="宋体"/>
          <w:b/>
          <w:bCs/>
          <w:color w:val="auto"/>
          <w:sz w:val="20"/>
          <w:szCs w:val="20"/>
          <w:highlight w:val="none"/>
        </w:rPr>
      </w:pPr>
      <w:r>
        <w:rPr>
          <w:rFonts w:hint="eastAsia" w:ascii="Times New Roman" w:hAnsi="Times New Roman" w:eastAsia="宋体"/>
          <w:color w:val="auto"/>
          <w:sz w:val="20"/>
          <w:szCs w:val="21"/>
          <w:highlight w:val="none"/>
          <w:lang w:val="en-US" w:eastAsia="zh-CN"/>
        </w:rPr>
        <w:t>注：</w:t>
      </w:r>
      <w:r>
        <w:rPr>
          <w:rFonts w:ascii="Times New Roman" w:hAnsi="Times New Roman" w:eastAsia="宋体"/>
          <w:color w:val="auto"/>
          <w:sz w:val="20"/>
          <w:szCs w:val="21"/>
          <w:highlight w:val="none"/>
        </w:rPr>
        <w:t>表C-4</w:t>
      </w:r>
      <w:r>
        <w:rPr>
          <w:rFonts w:ascii="Times New Roman" w:hAnsi="Times New Roman" w:eastAsia="宋体"/>
          <w:color w:val="auto"/>
          <w:sz w:val="20"/>
          <w:szCs w:val="20"/>
          <w:highlight w:val="none"/>
        </w:rPr>
        <w:t>主要参照《建筑地基检测技术规范》JGJ 340-2015表7.4.8-3。</w:t>
      </w:r>
    </w:p>
    <w:p>
      <w:pPr>
        <w:spacing w:line="360" w:lineRule="auto"/>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15-6</w:t>
      </w:r>
      <w:r>
        <w:rPr>
          <w:rFonts w:ascii="Times New Roman" w:hAnsi="Times New Roman" w:eastAsia="宋体"/>
          <w:b/>
          <w:bCs/>
          <w:color w:val="auto"/>
          <w:szCs w:val="21"/>
          <w:highlight w:val="none"/>
        </w:rPr>
        <w:t xml:space="preserve"> 砂土承载力特征值</w:t>
      </w:r>
      <w:r>
        <w:rPr>
          <w:rFonts w:ascii="Times New Roman" w:hAnsi="Times New Roman" w:eastAsia="宋体"/>
          <w:b/>
          <w:bCs/>
          <w:i/>
          <w:iCs/>
          <w:color w:val="auto"/>
          <w:szCs w:val="21"/>
          <w:highlight w:val="none"/>
        </w:rPr>
        <w:t>f</w:t>
      </w:r>
      <w:r>
        <w:rPr>
          <w:rFonts w:ascii="Times New Roman" w:hAnsi="Times New Roman" w:eastAsia="宋体"/>
          <w:b/>
          <w:bCs/>
          <w:color w:val="auto"/>
          <w:szCs w:val="21"/>
          <w:highlight w:val="none"/>
          <w:vertAlign w:val="subscript"/>
        </w:rPr>
        <w:t xml:space="preserve">ak </w:t>
      </w:r>
      <w:r>
        <w:rPr>
          <w:rFonts w:ascii="Times New Roman" w:hAnsi="Times New Roman" w:eastAsia="宋体"/>
          <w:b/>
          <w:bCs/>
          <w:color w:val="auto"/>
          <w:szCs w:val="21"/>
          <w:highlight w:val="none"/>
        </w:rPr>
        <w:t>(kPa)</w:t>
      </w:r>
    </w:p>
    <w:tbl>
      <w:tblPr>
        <w:tblStyle w:val="22"/>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90"/>
        <w:gridCol w:w="899"/>
        <w:gridCol w:w="899"/>
        <w:gridCol w:w="899"/>
        <w:gridCol w:w="899"/>
        <w:gridCol w:w="899"/>
        <w:gridCol w:w="899"/>
        <w:gridCol w:w="899"/>
        <w:gridCol w:w="90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190"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hint="eastAsia" w:ascii="Times New Roman" w:hAnsi="Times New Roman" w:eastAsia="宋体"/>
                <w:i/>
                <w:iCs/>
                <w:color w:val="auto"/>
                <w:kern w:val="0"/>
                <w:sz w:val="20"/>
                <w:szCs w:val="20"/>
                <w:highlight w:val="none"/>
                <w:lang w:eastAsia="zh-CN"/>
              </w:rPr>
              <w:t>N</w:t>
            </w:r>
            <w:r>
              <w:rPr>
                <w:rFonts w:ascii="Times New Roman" w:hAnsi="Times New Roman" w:eastAsia="宋体"/>
                <w:color w:val="auto"/>
                <w:kern w:val="0"/>
                <w:sz w:val="20"/>
                <w:szCs w:val="20"/>
                <w:highlight w:val="none"/>
              </w:rPr>
              <w:t>（击）</w:t>
            </w:r>
          </w:p>
        </w:tc>
        <w:tc>
          <w:tcPr>
            <w:tcW w:w="899"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6</w:t>
            </w:r>
          </w:p>
        </w:tc>
        <w:tc>
          <w:tcPr>
            <w:tcW w:w="899"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10</w:t>
            </w:r>
          </w:p>
        </w:tc>
        <w:tc>
          <w:tcPr>
            <w:tcW w:w="899"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15</w:t>
            </w:r>
          </w:p>
        </w:tc>
        <w:tc>
          <w:tcPr>
            <w:tcW w:w="899"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20</w:t>
            </w:r>
          </w:p>
        </w:tc>
        <w:tc>
          <w:tcPr>
            <w:tcW w:w="899"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25</w:t>
            </w:r>
          </w:p>
        </w:tc>
        <w:tc>
          <w:tcPr>
            <w:tcW w:w="899"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30</w:t>
            </w:r>
          </w:p>
        </w:tc>
        <w:tc>
          <w:tcPr>
            <w:tcW w:w="899"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35</w:t>
            </w:r>
          </w:p>
        </w:tc>
        <w:tc>
          <w:tcPr>
            <w:tcW w:w="905"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190"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中、粗砂</w:t>
            </w:r>
          </w:p>
        </w:tc>
        <w:tc>
          <w:tcPr>
            <w:tcW w:w="899" w:type="dxa"/>
            <w:tcBorders>
              <w:tl2br w:val="nil"/>
              <w:tr2bl w:val="nil"/>
            </w:tcBorders>
            <w:shd w:val="clear" w:color="auto" w:fill="auto"/>
          </w:tcPr>
          <w:p>
            <w:pPr>
              <w:ind w:left="-105" w:leftChars="-50" w:right="-105" w:rightChars="-50"/>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120</w:t>
            </w:r>
          </w:p>
        </w:tc>
        <w:tc>
          <w:tcPr>
            <w:tcW w:w="899" w:type="dxa"/>
            <w:tcBorders>
              <w:tl2br w:val="nil"/>
              <w:tr2bl w:val="nil"/>
            </w:tcBorders>
            <w:shd w:val="clear" w:color="auto" w:fill="auto"/>
          </w:tcPr>
          <w:p>
            <w:pPr>
              <w:ind w:left="-105" w:leftChars="-50" w:right="-105" w:rightChars="-50"/>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180</w:t>
            </w:r>
          </w:p>
        </w:tc>
        <w:tc>
          <w:tcPr>
            <w:tcW w:w="899" w:type="dxa"/>
            <w:tcBorders>
              <w:tl2br w:val="nil"/>
              <w:tr2bl w:val="nil"/>
            </w:tcBorders>
            <w:shd w:val="clear" w:color="auto" w:fill="auto"/>
          </w:tcPr>
          <w:p>
            <w:pPr>
              <w:ind w:left="-105" w:leftChars="-50" w:right="-105" w:rightChars="-50"/>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210</w:t>
            </w:r>
          </w:p>
        </w:tc>
        <w:tc>
          <w:tcPr>
            <w:tcW w:w="899" w:type="dxa"/>
            <w:tcBorders>
              <w:tl2br w:val="nil"/>
              <w:tr2bl w:val="nil"/>
            </w:tcBorders>
            <w:shd w:val="clear" w:color="auto" w:fill="auto"/>
          </w:tcPr>
          <w:p>
            <w:pPr>
              <w:ind w:left="-105" w:leftChars="-50" w:right="-105" w:rightChars="-50"/>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250</w:t>
            </w:r>
          </w:p>
        </w:tc>
        <w:tc>
          <w:tcPr>
            <w:tcW w:w="899" w:type="dxa"/>
            <w:tcBorders>
              <w:tl2br w:val="nil"/>
              <w:tr2bl w:val="nil"/>
            </w:tcBorders>
            <w:shd w:val="clear" w:color="auto" w:fill="auto"/>
          </w:tcPr>
          <w:p>
            <w:pPr>
              <w:ind w:left="-105" w:leftChars="-50" w:right="-105" w:rightChars="-50"/>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300</w:t>
            </w:r>
          </w:p>
        </w:tc>
        <w:tc>
          <w:tcPr>
            <w:tcW w:w="899" w:type="dxa"/>
            <w:tcBorders>
              <w:tl2br w:val="nil"/>
              <w:tr2bl w:val="nil"/>
            </w:tcBorders>
            <w:shd w:val="clear" w:color="auto" w:fill="auto"/>
          </w:tcPr>
          <w:p>
            <w:pPr>
              <w:ind w:left="-105" w:leftChars="-50" w:right="-105" w:rightChars="-50"/>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340</w:t>
            </w:r>
          </w:p>
        </w:tc>
        <w:tc>
          <w:tcPr>
            <w:tcW w:w="899" w:type="dxa"/>
            <w:tcBorders>
              <w:tl2br w:val="nil"/>
              <w:tr2bl w:val="nil"/>
            </w:tcBorders>
            <w:shd w:val="clear" w:color="auto" w:fill="auto"/>
          </w:tcPr>
          <w:p>
            <w:pPr>
              <w:ind w:left="-105" w:leftChars="-50" w:right="-105" w:rightChars="-50"/>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380</w:t>
            </w:r>
          </w:p>
        </w:tc>
        <w:tc>
          <w:tcPr>
            <w:tcW w:w="905" w:type="dxa"/>
            <w:tcBorders>
              <w:tl2br w:val="nil"/>
              <w:tr2bl w:val="nil"/>
            </w:tcBorders>
            <w:shd w:val="clear" w:color="auto" w:fill="auto"/>
          </w:tcPr>
          <w:p>
            <w:pPr>
              <w:ind w:left="-105" w:leftChars="-50" w:right="-105" w:rightChars="-50"/>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420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190"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粉、细砂</w:t>
            </w:r>
          </w:p>
        </w:tc>
        <w:tc>
          <w:tcPr>
            <w:tcW w:w="899" w:type="dxa"/>
            <w:tcBorders>
              <w:tl2br w:val="nil"/>
              <w:tr2bl w:val="nil"/>
            </w:tcBorders>
            <w:shd w:val="clear" w:color="auto" w:fill="auto"/>
          </w:tcPr>
          <w:p>
            <w:pPr>
              <w:ind w:left="-105" w:leftChars="-50" w:right="-105" w:rightChars="-50"/>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100</w:t>
            </w:r>
          </w:p>
        </w:tc>
        <w:tc>
          <w:tcPr>
            <w:tcW w:w="899" w:type="dxa"/>
            <w:tcBorders>
              <w:tl2br w:val="nil"/>
              <w:tr2bl w:val="nil"/>
            </w:tcBorders>
            <w:shd w:val="clear" w:color="auto" w:fill="auto"/>
          </w:tcPr>
          <w:p>
            <w:pPr>
              <w:ind w:left="-105" w:leftChars="-50" w:right="-105" w:rightChars="-50"/>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140</w:t>
            </w:r>
          </w:p>
        </w:tc>
        <w:tc>
          <w:tcPr>
            <w:tcW w:w="899" w:type="dxa"/>
            <w:tcBorders>
              <w:tl2br w:val="nil"/>
              <w:tr2bl w:val="nil"/>
            </w:tcBorders>
            <w:shd w:val="clear" w:color="auto" w:fill="auto"/>
          </w:tcPr>
          <w:p>
            <w:pPr>
              <w:ind w:left="-105" w:leftChars="-50" w:right="-105" w:rightChars="-50"/>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160</w:t>
            </w:r>
          </w:p>
        </w:tc>
        <w:tc>
          <w:tcPr>
            <w:tcW w:w="899" w:type="dxa"/>
            <w:tcBorders>
              <w:tl2br w:val="nil"/>
              <w:tr2bl w:val="nil"/>
            </w:tcBorders>
            <w:shd w:val="clear" w:color="auto" w:fill="auto"/>
          </w:tcPr>
          <w:p>
            <w:pPr>
              <w:ind w:left="-105" w:leftChars="-50" w:right="-105" w:rightChars="-50"/>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180</w:t>
            </w:r>
          </w:p>
        </w:tc>
        <w:tc>
          <w:tcPr>
            <w:tcW w:w="899" w:type="dxa"/>
            <w:tcBorders>
              <w:tl2br w:val="nil"/>
              <w:tr2bl w:val="nil"/>
            </w:tcBorders>
            <w:shd w:val="clear" w:color="auto" w:fill="auto"/>
          </w:tcPr>
          <w:p>
            <w:pPr>
              <w:ind w:left="-105" w:leftChars="-50" w:right="-105" w:rightChars="-50"/>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210</w:t>
            </w:r>
          </w:p>
        </w:tc>
        <w:tc>
          <w:tcPr>
            <w:tcW w:w="899" w:type="dxa"/>
            <w:tcBorders>
              <w:tl2br w:val="nil"/>
              <w:tr2bl w:val="nil"/>
            </w:tcBorders>
            <w:shd w:val="clear" w:color="auto" w:fill="auto"/>
          </w:tcPr>
          <w:p>
            <w:pPr>
              <w:ind w:left="-105" w:leftChars="-50" w:right="-105" w:rightChars="-50"/>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250</w:t>
            </w:r>
          </w:p>
        </w:tc>
        <w:tc>
          <w:tcPr>
            <w:tcW w:w="899" w:type="dxa"/>
            <w:tcBorders>
              <w:tl2br w:val="nil"/>
              <w:tr2bl w:val="nil"/>
            </w:tcBorders>
            <w:shd w:val="clear" w:color="auto" w:fill="auto"/>
          </w:tcPr>
          <w:p>
            <w:pPr>
              <w:ind w:left="-105" w:leftChars="-50" w:right="-105" w:rightChars="-50"/>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273</w:t>
            </w:r>
          </w:p>
        </w:tc>
        <w:tc>
          <w:tcPr>
            <w:tcW w:w="905" w:type="dxa"/>
            <w:tcBorders>
              <w:tl2br w:val="nil"/>
              <w:tr2bl w:val="nil"/>
            </w:tcBorders>
            <w:shd w:val="clear" w:color="auto" w:fill="auto"/>
          </w:tcPr>
          <w:p>
            <w:pPr>
              <w:ind w:left="-105" w:leftChars="-50" w:right="-105" w:rightChars="-50"/>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295</w:t>
            </w:r>
          </w:p>
        </w:tc>
      </w:tr>
    </w:tbl>
    <w:p>
      <w:pPr>
        <w:keepNext w:val="0"/>
        <w:keepLines w:val="0"/>
        <w:pageBreakBefore w:val="0"/>
        <w:widowControl w:val="0"/>
        <w:kinsoku/>
        <w:wordWrap/>
        <w:overflowPunct/>
        <w:topLinePunct w:val="0"/>
        <w:autoSpaceDE/>
        <w:autoSpaceDN/>
        <w:bidi w:val="0"/>
        <w:adjustRightInd/>
        <w:snapToGrid/>
        <w:spacing w:before="63" w:beforeLines="20" w:after="157" w:afterLines="50" w:line="240" w:lineRule="auto"/>
        <w:jc w:val="left"/>
        <w:textAlignment w:val="auto"/>
        <w:rPr>
          <w:rFonts w:ascii="Times New Roman" w:hAnsi="Times New Roman" w:eastAsia="宋体"/>
          <w:b/>
          <w:bCs/>
          <w:color w:val="auto"/>
          <w:sz w:val="20"/>
          <w:szCs w:val="20"/>
          <w:highlight w:val="none"/>
        </w:rPr>
      </w:pPr>
      <w:r>
        <w:rPr>
          <w:rFonts w:hint="eastAsia" w:ascii="Times New Roman" w:hAnsi="Times New Roman" w:eastAsia="宋体"/>
          <w:color w:val="auto"/>
          <w:sz w:val="20"/>
          <w:szCs w:val="21"/>
          <w:highlight w:val="none"/>
          <w:lang w:val="en-US" w:eastAsia="zh-CN"/>
        </w:rPr>
        <w:t>注：本</w:t>
      </w:r>
      <w:r>
        <w:rPr>
          <w:rFonts w:ascii="Times New Roman" w:hAnsi="Times New Roman" w:eastAsia="宋体"/>
          <w:color w:val="auto"/>
          <w:sz w:val="20"/>
          <w:szCs w:val="21"/>
          <w:highlight w:val="none"/>
        </w:rPr>
        <w:t>表综合了</w:t>
      </w:r>
      <w:r>
        <w:rPr>
          <w:rFonts w:ascii="Times New Roman" w:hAnsi="Times New Roman" w:eastAsia="宋体"/>
          <w:color w:val="auto"/>
          <w:sz w:val="20"/>
          <w:szCs w:val="20"/>
          <w:highlight w:val="none"/>
        </w:rPr>
        <w:t>广东省标准《建筑地基基础设计规范》DBJ 15-31-2016表4.5.3-1及《建筑地基检测技术规范》JGJ 340-2015表7.4.8-1，并进行了内插。</w:t>
      </w:r>
    </w:p>
    <w:p>
      <w:pPr>
        <w:spacing w:line="360" w:lineRule="auto"/>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表</w:t>
      </w:r>
      <w:r>
        <w:rPr>
          <w:rFonts w:hint="eastAsia" w:ascii="Times New Roman" w:hAnsi="Times New Roman" w:eastAsia="宋体"/>
          <w:b/>
          <w:bCs/>
          <w:color w:val="auto"/>
          <w:szCs w:val="21"/>
          <w:highlight w:val="none"/>
          <w:lang w:val="en-US" w:eastAsia="zh-CN"/>
        </w:rPr>
        <w:t>15-7</w:t>
      </w:r>
      <w:r>
        <w:rPr>
          <w:rFonts w:ascii="Times New Roman" w:hAnsi="Times New Roman" w:eastAsia="宋体"/>
          <w:b/>
          <w:bCs/>
          <w:color w:val="auto"/>
          <w:szCs w:val="21"/>
          <w:highlight w:val="none"/>
        </w:rPr>
        <w:t xml:space="preserve"> 花岗岩类残积土承载力特征值</w:t>
      </w:r>
      <w:r>
        <w:rPr>
          <w:rFonts w:ascii="Times New Roman" w:hAnsi="Times New Roman" w:eastAsia="宋体"/>
          <w:b/>
          <w:bCs/>
          <w:i/>
          <w:iCs/>
          <w:color w:val="auto"/>
          <w:szCs w:val="21"/>
          <w:highlight w:val="none"/>
        </w:rPr>
        <w:t>f</w:t>
      </w:r>
      <w:r>
        <w:rPr>
          <w:rFonts w:ascii="Times New Roman" w:hAnsi="Times New Roman" w:eastAsia="宋体"/>
          <w:b/>
          <w:bCs/>
          <w:color w:val="auto"/>
          <w:szCs w:val="21"/>
          <w:highlight w:val="none"/>
          <w:vertAlign w:val="subscript"/>
        </w:rPr>
        <w:t xml:space="preserve">ak </w:t>
      </w:r>
      <w:r>
        <w:rPr>
          <w:rFonts w:ascii="Times New Roman" w:hAnsi="Times New Roman" w:eastAsia="宋体"/>
          <w:b/>
          <w:bCs/>
          <w:color w:val="auto"/>
          <w:szCs w:val="21"/>
          <w:highlight w:val="none"/>
        </w:rPr>
        <w:t>(kPa)</w:t>
      </w:r>
    </w:p>
    <w:tbl>
      <w:tblPr>
        <w:tblStyle w:val="22"/>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670"/>
        <w:gridCol w:w="1719"/>
        <w:gridCol w:w="1695"/>
        <w:gridCol w:w="1719"/>
        <w:gridCol w:w="171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902"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hint="eastAsia" w:ascii="Times New Roman" w:hAnsi="Times New Roman" w:eastAsia="宋体"/>
                <w:i/>
                <w:iCs/>
                <w:color w:val="auto"/>
                <w:kern w:val="0"/>
                <w:sz w:val="20"/>
                <w:szCs w:val="20"/>
                <w:highlight w:val="none"/>
                <w:lang w:eastAsia="zh-CN"/>
              </w:rPr>
              <w:t>N</w:t>
            </w:r>
            <w:r>
              <w:rPr>
                <w:rFonts w:ascii="Times New Roman" w:hAnsi="Times New Roman" w:eastAsia="宋体"/>
                <w:color w:val="auto"/>
                <w:kern w:val="0"/>
                <w:sz w:val="20"/>
                <w:szCs w:val="20"/>
                <w:highlight w:val="none"/>
              </w:rPr>
              <w:t>（击）</w:t>
            </w:r>
          </w:p>
        </w:tc>
        <w:tc>
          <w:tcPr>
            <w:tcW w:w="1903"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4~10</w:t>
            </w:r>
          </w:p>
        </w:tc>
        <w:tc>
          <w:tcPr>
            <w:tcW w:w="1903"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10~15</w:t>
            </w:r>
          </w:p>
        </w:tc>
        <w:tc>
          <w:tcPr>
            <w:tcW w:w="1903"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15~20</w:t>
            </w:r>
          </w:p>
        </w:tc>
        <w:tc>
          <w:tcPr>
            <w:tcW w:w="1903"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20~30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902"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砾质黏性土</w:t>
            </w:r>
          </w:p>
        </w:tc>
        <w:tc>
          <w:tcPr>
            <w:tcW w:w="1903"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&lt;100~250</w:t>
            </w:r>
          </w:p>
        </w:tc>
        <w:tc>
          <w:tcPr>
            <w:tcW w:w="1903"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250~300</w:t>
            </w:r>
          </w:p>
        </w:tc>
        <w:tc>
          <w:tcPr>
            <w:tcW w:w="1903"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300~350</w:t>
            </w:r>
          </w:p>
        </w:tc>
        <w:tc>
          <w:tcPr>
            <w:tcW w:w="1903"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350~&lt;400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902"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砂质黏性土</w:t>
            </w:r>
          </w:p>
        </w:tc>
        <w:tc>
          <w:tcPr>
            <w:tcW w:w="1903"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&lt;80~200</w:t>
            </w:r>
          </w:p>
        </w:tc>
        <w:tc>
          <w:tcPr>
            <w:tcW w:w="1903"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200~250</w:t>
            </w:r>
          </w:p>
        </w:tc>
        <w:tc>
          <w:tcPr>
            <w:tcW w:w="1903"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250~300</w:t>
            </w:r>
          </w:p>
        </w:tc>
        <w:tc>
          <w:tcPr>
            <w:tcW w:w="1903"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300~&lt;350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902"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黏性土</w:t>
            </w:r>
          </w:p>
        </w:tc>
        <w:tc>
          <w:tcPr>
            <w:tcW w:w="1903"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150~200</w:t>
            </w:r>
          </w:p>
        </w:tc>
        <w:tc>
          <w:tcPr>
            <w:tcW w:w="1903"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200~240</w:t>
            </w:r>
          </w:p>
        </w:tc>
        <w:tc>
          <w:tcPr>
            <w:tcW w:w="1903"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240~&lt;270</w:t>
            </w:r>
          </w:p>
        </w:tc>
        <w:tc>
          <w:tcPr>
            <w:tcW w:w="1903" w:type="dxa"/>
            <w:tcBorders>
              <w:tl2br w:val="nil"/>
              <w:tr2bl w:val="nil"/>
            </w:tcBorders>
            <w:shd w:val="clear" w:color="auto" w:fill="auto"/>
          </w:tcPr>
          <w:p>
            <w:pPr>
              <w:jc w:val="center"/>
              <w:rPr>
                <w:rFonts w:ascii="Times New Roman" w:hAnsi="Times New Roman" w:eastAsia="宋体"/>
                <w:color w:val="auto"/>
                <w:kern w:val="0"/>
                <w:sz w:val="20"/>
                <w:szCs w:val="20"/>
                <w:highlight w:val="none"/>
              </w:rPr>
            </w:pPr>
            <w:r>
              <w:rPr>
                <w:rFonts w:ascii="Times New Roman" w:hAnsi="Times New Roman" w:eastAsia="宋体"/>
                <w:color w:val="auto"/>
                <w:kern w:val="0"/>
                <w:sz w:val="20"/>
                <w:szCs w:val="20"/>
                <w:highlight w:val="none"/>
              </w:rPr>
              <w:t>——</w:t>
            </w:r>
          </w:p>
        </w:tc>
      </w:tr>
    </w:tbl>
    <w:p>
      <w:pPr>
        <w:spacing w:line="360" w:lineRule="auto"/>
        <w:ind w:firstLine="420" w:firstLineChars="200"/>
        <w:jc w:val="left"/>
        <w:rPr>
          <w:rFonts w:ascii="Times New Roman" w:hAnsi="Times New Roman" w:eastAsia="宋体"/>
          <w:color w:val="auto"/>
          <w:szCs w:val="21"/>
          <w:highlight w:val="none"/>
        </w:rPr>
      </w:pPr>
      <w:bookmarkStart w:id="474" w:name="_Toc76998338"/>
      <w:r>
        <w:rPr>
          <w:rFonts w:ascii="Times New Roman" w:hAnsi="Times New Roman" w:eastAsia="宋体"/>
          <w:color w:val="auto"/>
          <w:szCs w:val="21"/>
          <w:highlight w:val="none"/>
        </w:rPr>
        <w:t>广东省标准《建筑地基基础设计规范》DBJ 15-31-2016表4.5.3-3的承载力建议值显著偏高。根据该规范表4.2.4注1规定，实测标贯击数40~70击为全风化花岗岩、70击以上为强风化花岗岩。按全风化最小实测击数40击计，杆长校正系数取最小值0.5，对应的修正击数也有20击，查该规范表4.5.3-3，全风化岩的承载力特征值超过500kPa；而强风化岩的承载力特征值更是超过1000kPa。与下表比较也是偏大。</w:t>
      </w:r>
    </w:p>
    <w:p>
      <w:pPr>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因此，广东省标准《建筑地基基础设计规范》DBJ 15-31-2016表4.5.3-3的取值不够合理。相较而言，</w:t>
      </w:r>
      <w:bookmarkStart w:id="475" w:name="_Hlk80352255"/>
      <w:r>
        <w:rPr>
          <w:rFonts w:ascii="Times New Roman" w:hAnsi="Times New Roman" w:eastAsia="宋体"/>
          <w:color w:val="auto"/>
          <w:szCs w:val="21"/>
          <w:highlight w:val="none"/>
        </w:rPr>
        <w:t>《建筑地基检测技术规范》JGJ 340</w:t>
      </w:r>
      <w:bookmarkEnd w:id="475"/>
      <w:r>
        <w:rPr>
          <w:rFonts w:ascii="Times New Roman" w:hAnsi="Times New Roman" w:eastAsia="宋体"/>
          <w:color w:val="auto"/>
          <w:szCs w:val="21"/>
          <w:highlight w:val="none"/>
        </w:rPr>
        <w:t>-2015表7.4.8-3的取值显然更为合理，故</w:t>
      </w:r>
      <w:r>
        <w:rPr>
          <w:rFonts w:hint="eastAsia" w:ascii="Times New Roman" w:hAnsi="Times New Roman" w:eastAsia="宋体"/>
          <w:color w:val="auto"/>
          <w:szCs w:val="21"/>
          <w:highlight w:val="none"/>
          <w:lang w:val="en-US" w:eastAsia="zh-CN"/>
        </w:rPr>
        <w:t>上表</w:t>
      </w:r>
      <w:r>
        <w:rPr>
          <w:rFonts w:ascii="Times New Roman" w:hAnsi="Times New Roman" w:eastAsia="宋体"/>
          <w:color w:val="auto"/>
          <w:szCs w:val="21"/>
          <w:highlight w:val="none"/>
        </w:rPr>
        <w:t>主要参照《建筑地基检测技术规范》。</w:t>
      </w:r>
    </w:p>
    <w:p>
      <w:pPr>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当测试使用的是</w:t>
      </w:r>
      <w:r>
        <w:rPr>
          <w:rFonts w:hint="eastAsia" w:ascii="宋体" w:hAnsi="宋体" w:eastAsia="宋体" w:cs="宋体"/>
          <w:color w:val="auto"/>
          <w:szCs w:val="21"/>
          <w:highlight w:val="none"/>
        </w:rPr>
        <w:t>φ</w:t>
      </w:r>
      <w:r>
        <w:rPr>
          <w:rFonts w:ascii="Times New Roman" w:hAnsi="Times New Roman" w:eastAsia="宋体"/>
          <w:color w:val="auto"/>
          <w:szCs w:val="21"/>
          <w:highlight w:val="none"/>
        </w:rPr>
        <w:t>50杆，而非标准杆径</w:t>
      </w:r>
      <w:r>
        <w:rPr>
          <w:rFonts w:hint="eastAsia" w:ascii="宋体" w:hAnsi="宋体" w:eastAsia="宋体" w:cs="宋体"/>
          <w:color w:val="auto"/>
          <w:szCs w:val="21"/>
          <w:highlight w:val="none"/>
        </w:rPr>
        <w:t>φ</w:t>
      </w:r>
      <w:r>
        <w:rPr>
          <w:rFonts w:ascii="Times New Roman" w:hAnsi="Times New Roman" w:eastAsia="宋体"/>
          <w:color w:val="auto"/>
          <w:szCs w:val="21"/>
          <w:highlight w:val="none"/>
        </w:rPr>
        <w:t>42杆时，标贯击数还</w:t>
      </w:r>
      <w:r>
        <w:rPr>
          <w:rFonts w:hint="eastAsia"/>
          <w:color w:val="auto"/>
          <w:szCs w:val="21"/>
          <w:highlight w:val="none"/>
          <w:lang w:val="en-US" w:eastAsia="zh-CN"/>
        </w:rPr>
        <w:t>需</w:t>
      </w:r>
      <w:r>
        <w:rPr>
          <w:rFonts w:ascii="Times New Roman" w:hAnsi="Times New Roman" w:eastAsia="宋体"/>
          <w:color w:val="auto"/>
          <w:szCs w:val="21"/>
          <w:highlight w:val="none"/>
        </w:rPr>
        <w:t>进行杆径校正。</w:t>
      </w:r>
    </w:p>
    <w:p>
      <w:pPr>
        <w:spacing w:line="360" w:lineRule="auto"/>
        <w:rPr>
          <w:rFonts w:ascii="Times New Roman" w:hAnsi="Times New Roman" w:eastAsia="宋体"/>
          <w:color w:val="auto"/>
          <w:highlight w:val="none"/>
        </w:rPr>
      </w:pPr>
      <w:r>
        <w:rPr>
          <w:rFonts w:hint="eastAsia" w:ascii="Times New Roman" w:hAnsi="Times New Roman" w:eastAsia="宋体"/>
          <w:b/>
          <w:bCs/>
          <w:color w:val="auto"/>
          <w:highlight w:val="none"/>
          <w:lang w:eastAsia="zh-CN"/>
        </w:rPr>
        <w:t>15.</w:t>
      </w:r>
      <w:r>
        <w:rPr>
          <w:rFonts w:hint="eastAsia" w:ascii="Times New Roman" w:hAnsi="Times New Roman" w:eastAsia="宋体"/>
          <w:b/>
          <w:bCs/>
          <w:color w:val="auto"/>
          <w:highlight w:val="none"/>
          <w:lang w:val="en-US" w:eastAsia="zh-CN"/>
        </w:rPr>
        <w:t>2</w:t>
      </w:r>
      <w:r>
        <w:rPr>
          <w:rFonts w:ascii="Times New Roman" w:hAnsi="Times New Roman" w:eastAsia="宋体"/>
          <w:b/>
          <w:bCs/>
          <w:color w:val="auto"/>
          <w:highlight w:val="none"/>
        </w:rPr>
        <w:t>.2</w:t>
      </w:r>
      <w:r>
        <w:rPr>
          <w:rFonts w:ascii="Times New Roman" w:hAnsi="Times New Roman" w:eastAsia="宋体"/>
          <w:color w:val="auto"/>
          <w:highlight w:val="none"/>
        </w:rPr>
        <w:t xml:space="preserve"> </w:t>
      </w:r>
      <w:r>
        <w:rPr>
          <w:rFonts w:hint="eastAsia"/>
          <w:color w:val="auto"/>
          <w:highlight w:val="none"/>
          <w:lang w:val="en-US" w:eastAsia="zh-CN"/>
        </w:rPr>
        <w:t xml:space="preserve"> </w:t>
      </w:r>
      <w:r>
        <w:rPr>
          <w:rFonts w:ascii="Times New Roman" w:hAnsi="Times New Roman" w:eastAsia="宋体"/>
          <w:color w:val="auto"/>
          <w:highlight w:val="none"/>
        </w:rPr>
        <w:t>根据需要，尚可附物探成果图表、综合工程地质图、工程地质分区图、综合地质柱状图、围岩分级图、关键地层界面等高线图、地下水等水位线图、岩溶发育强度分布图、岩芯及现场照片等。</w:t>
      </w:r>
    </w:p>
    <w:p>
      <w:pPr>
        <w:pStyle w:val="3"/>
        <w:jc w:val="center"/>
        <w:rPr>
          <w:rFonts w:hint="default" w:ascii="Times New Roman" w:hAnsi="Times New Roman" w:eastAsia="宋体" w:cs="Times New Roman"/>
          <w:color w:val="auto"/>
          <w:sz w:val="24"/>
          <w:highlight w:val="none"/>
          <w:lang w:val="en-US" w:eastAsia="zh-CN"/>
        </w:rPr>
      </w:pPr>
      <w:bookmarkStart w:id="476" w:name="_Toc11443"/>
      <w:bookmarkStart w:id="477" w:name="_Toc14341"/>
      <w:r>
        <w:rPr>
          <w:rFonts w:hint="eastAsia" w:ascii="Times New Roman" w:hAnsi="Times New Roman" w:eastAsia="宋体" w:cs="Times New Roman"/>
          <w:color w:val="auto"/>
          <w:sz w:val="24"/>
          <w:highlight w:val="none"/>
          <w:lang w:eastAsia="zh-CN"/>
        </w:rPr>
        <w:t>15.</w:t>
      </w:r>
      <w:r>
        <w:rPr>
          <w:rFonts w:hint="eastAsia" w:ascii="Times New Roman" w:hAnsi="Times New Roman" w:eastAsia="宋体" w:cs="Times New Roman"/>
          <w:color w:val="auto"/>
          <w:sz w:val="24"/>
          <w:highlight w:val="none"/>
          <w:lang w:val="en-US" w:eastAsia="zh-CN"/>
        </w:rPr>
        <w:t xml:space="preserve">3  </w:t>
      </w:r>
      <w:r>
        <w:rPr>
          <w:rFonts w:ascii="Times New Roman" w:hAnsi="Times New Roman" w:eastAsia="宋体" w:cs="Times New Roman"/>
          <w:color w:val="auto"/>
          <w:sz w:val="24"/>
          <w:highlight w:val="none"/>
        </w:rPr>
        <w:t>勘察</w:t>
      </w:r>
      <w:r>
        <w:rPr>
          <w:rFonts w:hint="eastAsia" w:ascii="Times New Roman" w:hAnsi="Times New Roman" w:eastAsia="宋体" w:cs="Times New Roman"/>
          <w:color w:val="auto"/>
          <w:sz w:val="24"/>
          <w:highlight w:val="none"/>
          <w:lang w:val="en-US" w:eastAsia="zh-CN"/>
        </w:rPr>
        <w:t>成果数字化</w:t>
      </w:r>
      <w:bookmarkEnd w:id="476"/>
      <w:bookmarkEnd w:id="477"/>
    </w:p>
    <w:p>
      <w:pPr>
        <w:autoSpaceDE w:val="0"/>
        <w:autoSpaceDN w:val="0"/>
        <w:adjustRightInd w:val="0"/>
        <w:spacing w:line="360" w:lineRule="auto"/>
        <w:jc w:val="left"/>
        <w:rPr>
          <w:rFonts w:hint="eastAsia" w:ascii="Times New Roman" w:hAnsi="Times New Roman" w:eastAsia="宋体"/>
          <w:b/>
          <w:bCs/>
          <w:color w:val="auto"/>
          <w:highlight w:val="none"/>
          <w:lang w:eastAsia="zh-CN"/>
        </w:rPr>
      </w:pPr>
      <w:r>
        <w:rPr>
          <w:rFonts w:hint="eastAsia" w:ascii="Times New Roman" w:hAnsi="Times New Roman" w:eastAsia="宋体"/>
          <w:b/>
          <w:bCs/>
          <w:color w:val="auto"/>
          <w:highlight w:val="none"/>
          <w:lang w:eastAsia="zh-CN"/>
        </w:rPr>
        <w:t>15.</w:t>
      </w:r>
      <w:r>
        <w:rPr>
          <w:rFonts w:hint="eastAsia" w:ascii="Times New Roman" w:hAnsi="Times New Roman" w:eastAsia="宋体"/>
          <w:b/>
          <w:bCs/>
          <w:color w:val="auto"/>
          <w:highlight w:val="none"/>
          <w:lang w:val="en-US" w:eastAsia="zh-CN"/>
        </w:rPr>
        <w:t>3</w:t>
      </w:r>
      <w:r>
        <w:rPr>
          <w:rFonts w:ascii="Times New Roman" w:hAnsi="Times New Roman" w:eastAsia="宋体"/>
          <w:b/>
          <w:bCs/>
          <w:color w:val="auto"/>
          <w:highlight w:val="none"/>
        </w:rPr>
        <w:t>.</w:t>
      </w:r>
      <w:r>
        <w:rPr>
          <w:rFonts w:hint="eastAsia" w:ascii="Times New Roman" w:hAnsi="Times New Roman" w:eastAsia="宋体"/>
          <w:b/>
          <w:bCs/>
          <w:color w:val="auto"/>
          <w:highlight w:val="none"/>
          <w:lang w:val="en-US" w:eastAsia="zh-CN"/>
        </w:rPr>
        <w:t>1</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hint="eastAsia" w:ascii="Times New Roman" w:hAnsi="Times New Roman" w:eastAsia="宋体"/>
          <w:color w:val="auto"/>
          <w:szCs w:val="21"/>
          <w:highlight w:val="none"/>
        </w:rPr>
        <w:t>勘察成果数据云平台</w:t>
      </w:r>
      <w:r>
        <w:rPr>
          <w:rFonts w:hint="eastAsia" w:ascii="Times New Roman" w:hAnsi="Times New Roman" w:eastAsia="宋体"/>
          <w:color w:val="auto"/>
          <w:szCs w:val="21"/>
          <w:highlight w:val="none"/>
          <w:lang w:val="en-US" w:eastAsia="zh-CN"/>
        </w:rPr>
        <w:t>的建设主要</w:t>
      </w:r>
      <w:r>
        <w:rPr>
          <w:rFonts w:hint="eastAsia" w:ascii="Times New Roman" w:hAnsi="Times New Roman" w:eastAsia="宋体"/>
          <w:color w:val="auto"/>
          <w:highlight w:val="none"/>
          <w:lang w:val="en-US" w:eastAsia="zh-CN"/>
        </w:rPr>
        <w:t>利用现代数字摄影技术、存储技术、数据库技术及相关算法。</w:t>
      </w:r>
    </w:p>
    <w:p>
      <w:pPr>
        <w:autoSpaceDE w:val="0"/>
        <w:autoSpaceDN w:val="0"/>
        <w:adjustRightInd w:val="0"/>
        <w:spacing w:line="360" w:lineRule="auto"/>
        <w:jc w:val="left"/>
        <w:rPr>
          <w:rFonts w:hint="eastAsia" w:ascii="Times New Roman" w:hAnsi="Times New Roman" w:eastAsia="宋体"/>
          <w:b w:val="0"/>
          <w:bCs w:val="0"/>
          <w:color w:val="auto"/>
          <w:highlight w:val="none"/>
          <w:lang w:val="en-US" w:eastAsia="zh-CN"/>
        </w:rPr>
      </w:pPr>
      <w:r>
        <w:rPr>
          <w:rFonts w:hint="eastAsia" w:ascii="Times New Roman" w:hAnsi="Times New Roman" w:eastAsia="宋体"/>
          <w:b/>
          <w:bCs/>
          <w:color w:val="auto"/>
          <w:highlight w:val="none"/>
          <w:lang w:eastAsia="zh-CN"/>
        </w:rPr>
        <w:t>15.</w:t>
      </w:r>
      <w:r>
        <w:rPr>
          <w:rFonts w:hint="eastAsia" w:ascii="Times New Roman" w:hAnsi="Times New Roman" w:eastAsia="宋体"/>
          <w:b/>
          <w:bCs/>
          <w:color w:val="auto"/>
          <w:highlight w:val="none"/>
          <w:lang w:val="en-US" w:eastAsia="zh-CN"/>
        </w:rPr>
        <w:t>3</w:t>
      </w:r>
      <w:r>
        <w:rPr>
          <w:rFonts w:ascii="Times New Roman" w:hAnsi="Times New Roman" w:eastAsia="宋体"/>
          <w:b/>
          <w:bCs/>
          <w:color w:val="auto"/>
          <w:highlight w:val="none"/>
        </w:rPr>
        <w:t>.</w:t>
      </w:r>
      <w:r>
        <w:rPr>
          <w:rFonts w:hint="eastAsia" w:ascii="Times New Roman" w:hAnsi="Times New Roman" w:eastAsia="宋体"/>
          <w:b/>
          <w:bCs/>
          <w:color w:val="auto"/>
          <w:highlight w:val="none"/>
          <w:lang w:val="en-US" w:eastAsia="zh-CN"/>
        </w:rPr>
        <w:t>2</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hint="eastAsia" w:ascii="Times New Roman" w:hAnsi="Times New Roman" w:eastAsia="宋体"/>
          <w:b w:val="0"/>
          <w:bCs w:val="0"/>
          <w:color w:val="auto"/>
          <w:highlight w:val="none"/>
          <w:lang w:val="en-US" w:eastAsia="zh-CN"/>
        </w:rPr>
        <w:t>地层要素包括钻孔编号、土层序号、地质年代、底界深度、土层名称、颜色、矿物成分、湿度、密度、状态、颗粒组成、有机质含量、地层描述等。</w:t>
      </w:r>
    </w:p>
    <w:p>
      <w:pPr>
        <w:autoSpaceDE w:val="0"/>
        <w:autoSpaceDN w:val="0"/>
        <w:adjustRightInd w:val="0"/>
        <w:spacing w:line="360" w:lineRule="auto"/>
        <w:jc w:val="left"/>
        <w:rPr>
          <w:rFonts w:ascii="Times New Roman" w:hAnsi="Times New Roman" w:eastAsia="宋体"/>
          <w:color w:val="auto"/>
          <w:szCs w:val="21"/>
          <w:highlight w:val="none"/>
        </w:rPr>
      </w:pPr>
      <w:r>
        <w:rPr>
          <w:rFonts w:hint="eastAsia" w:ascii="Times New Roman" w:hAnsi="Times New Roman" w:eastAsia="宋体"/>
          <w:b/>
          <w:bCs/>
          <w:color w:val="auto"/>
          <w:highlight w:val="none"/>
          <w:lang w:val="en-US" w:eastAsia="zh-CN"/>
        </w:rPr>
        <w:t>15.3.3</w:t>
      </w:r>
      <w:r>
        <w:rPr>
          <w:rFonts w:hint="eastAsia"/>
          <w:b/>
          <w:bCs/>
          <w:color w:val="auto"/>
          <w:highlight w:val="none"/>
          <w:lang w:val="en-US" w:eastAsia="zh-CN"/>
        </w:rPr>
        <w:t xml:space="preserve"> </w:t>
      </w:r>
      <w:r>
        <w:rPr>
          <w:rFonts w:hint="eastAsia" w:ascii="Times New Roman" w:hAnsi="Times New Roman" w:eastAsia="宋体"/>
          <w:b/>
          <w:bCs/>
          <w:color w:val="auto"/>
          <w:highlight w:val="none"/>
          <w:lang w:val="en-US" w:eastAsia="zh-CN"/>
        </w:rPr>
        <w:t xml:space="preserve"> </w:t>
      </w:r>
      <w:r>
        <w:rPr>
          <w:rFonts w:hint="eastAsia" w:ascii="Times New Roman" w:hAnsi="Times New Roman" w:eastAsia="宋体"/>
          <w:color w:val="auto"/>
          <w:szCs w:val="21"/>
          <w:highlight w:val="none"/>
          <w:lang w:val="en-US" w:eastAsia="zh-CN"/>
        </w:rPr>
        <w:t>市政工程勘察数据</w:t>
      </w:r>
      <w:r>
        <w:rPr>
          <w:rFonts w:hint="eastAsia" w:ascii="Times New Roman" w:hAnsi="Times New Roman" w:eastAsia="宋体"/>
          <w:color w:val="auto"/>
          <w:szCs w:val="21"/>
          <w:highlight w:val="none"/>
        </w:rPr>
        <w:t>管理系统</w:t>
      </w:r>
      <w:r>
        <w:rPr>
          <w:rFonts w:hint="eastAsia"/>
          <w:color w:val="auto"/>
          <w:szCs w:val="21"/>
          <w:highlight w:val="none"/>
          <w:lang w:val="en-US" w:eastAsia="zh-CN"/>
        </w:rPr>
        <w:t>需</w:t>
      </w:r>
      <w:r>
        <w:rPr>
          <w:rFonts w:hint="eastAsia" w:ascii="Times New Roman" w:hAnsi="Times New Roman" w:eastAsia="宋体"/>
          <w:color w:val="auto"/>
          <w:szCs w:val="21"/>
          <w:highlight w:val="none"/>
          <w:lang w:val="en-US" w:eastAsia="zh-CN"/>
        </w:rPr>
        <w:t>处理好各数据之间的关系和各数据表之间的关系，使数据的分析、调用、交互符合相关勘察规范及作业习惯。</w:t>
      </w:r>
    </w:p>
    <w:p>
      <w:pPr>
        <w:autoSpaceDE w:val="0"/>
        <w:spacing w:line="360" w:lineRule="auto"/>
        <w:ind w:firstLine="422" w:firstLineChars="200"/>
        <w:rPr>
          <w:rFonts w:hint="eastAsia" w:ascii="Times New Roman" w:hAnsi="Times New Roman" w:eastAsia="宋体"/>
          <w:color w:val="auto"/>
          <w:szCs w:val="21"/>
          <w:highlight w:val="none"/>
        </w:rPr>
      </w:pPr>
      <w:r>
        <w:rPr>
          <w:rFonts w:hint="eastAsia" w:ascii="Times New Roman" w:hAnsi="Times New Roman" w:eastAsia="宋体"/>
          <w:b/>
          <w:bCs/>
          <w:color w:val="auto"/>
          <w:szCs w:val="21"/>
          <w:highlight w:val="none"/>
        </w:rPr>
        <w:t xml:space="preserve">1 </w:t>
      </w:r>
      <w:r>
        <w:rPr>
          <w:rFonts w:hint="eastAsia"/>
          <w:b/>
          <w:bCs/>
          <w:color w:val="auto"/>
          <w:szCs w:val="21"/>
          <w:highlight w:val="none"/>
          <w:lang w:val="en-US" w:eastAsia="zh-CN"/>
        </w:rPr>
        <w:t xml:space="preserve"> </w:t>
      </w:r>
      <w:r>
        <w:rPr>
          <w:rFonts w:hint="eastAsia" w:ascii="Times New Roman" w:hAnsi="Times New Roman" w:eastAsia="宋体"/>
          <w:color w:val="auto"/>
          <w:szCs w:val="21"/>
          <w:highlight w:val="none"/>
        </w:rPr>
        <w:t>具备数据与图形转换功能，可自动生成各类统计表格、</w:t>
      </w:r>
      <w:r>
        <w:rPr>
          <w:rFonts w:ascii="Times New Roman" w:hAnsi="Times New Roman" w:eastAsia="宋体"/>
          <w:color w:val="auto"/>
          <w:szCs w:val="21"/>
          <w:highlight w:val="none"/>
        </w:rPr>
        <w:t>钻孔平面布置图、钻孔柱状图，可根据指定的钻孔生成剖面图，形成图形文件初步成果</w:t>
      </w:r>
      <w:r>
        <w:rPr>
          <w:rFonts w:hint="eastAsia" w:ascii="Times New Roman" w:hAnsi="Times New Roman" w:eastAsia="宋体"/>
          <w:color w:val="auto"/>
          <w:szCs w:val="21"/>
          <w:highlight w:val="none"/>
        </w:rPr>
        <w:t>，图例和线型符合相关标准要求。</w:t>
      </w:r>
    </w:p>
    <w:p>
      <w:pPr>
        <w:autoSpaceDE w:val="0"/>
        <w:spacing w:line="360" w:lineRule="auto"/>
        <w:ind w:firstLine="422" w:firstLineChars="200"/>
        <w:rPr>
          <w:rFonts w:hint="eastAsia" w:ascii="Times New Roman" w:hAnsi="Times New Roman" w:eastAsia="宋体"/>
          <w:color w:val="auto"/>
          <w:szCs w:val="21"/>
          <w:highlight w:val="none"/>
        </w:rPr>
      </w:pPr>
      <w:r>
        <w:rPr>
          <w:rFonts w:hint="eastAsia" w:ascii="Times New Roman" w:hAnsi="Times New Roman" w:eastAsia="宋体"/>
          <w:b/>
          <w:bCs/>
          <w:color w:val="auto"/>
          <w:szCs w:val="21"/>
          <w:highlight w:val="none"/>
          <w:lang w:val="en-US" w:eastAsia="zh-CN"/>
        </w:rPr>
        <w:t>2</w:t>
      </w:r>
      <w:r>
        <w:rPr>
          <w:rFonts w:hint="eastAsia" w:ascii="Times New Roman" w:hAnsi="Times New Roman" w:eastAsia="宋体"/>
          <w:b/>
          <w:bCs/>
          <w:color w:val="auto"/>
          <w:szCs w:val="21"/>
          <w:highlight w:val="none"/>
        </w:rPr>
        <w:t xml:space="preserve"> </w:t>
      </w:r>
      <w:r>
        <w:rPr>
          <w:rFonts w:hint="eastAsia"/>
          <w:b/>
          <w:bCs/>
          <w:color w:val="auto"/>
          <w:szCs w:val="21"/>
          <w:highlight w:val="none"/>
          <w:lang w:val="en-US" w:eastAsia="zh-CN"/>
        </w:rPr>
        <w:t xml:space="preserve"> </w:t>
      </w:r>
      <w:r>
        <w:rPr>
          <w:rFonts w:hint="eastAsia" w:ascii="Times New Roman" w:hAnsi="Times New Roman" w:eastAsia="宋体"/>
          <w:color w:val="auto"/>
          <w:szCs w:val="21"/>
          <w:highlight w:val="none"/>
        </w:rPr>
        <w:t>成果电子文件</w:t>
      </w:r>
      <w:r>
        <w:rPr>
          <w:rFonts w:hint="eastAsia"/>
          <w:color w:val="auto"/>
          <w:szCs w:val="21"/>
          <w:highlight w:val="none"/>
          <w:lang w:val="en-US" w:eastAsia="zh-CN"/>
        </w:rPr>
        <w:t>需</w:t>
      </w:r>
      <w:r>
        <w:rPr>
          <w:rFonts w:hint="eastAsia" w:ascii="Times New Roman" w:hAnsi="Times New Roman" w:eastAsia="宋体"/>
          <w:color w:val="auto"/>
          <w:szCs w:val="21"/>
          <w:highlight w:val="none"/>
        </w:rPr>
        <w:t>采用通用存储格式，数据表格</w:t>
      </w:r>
      <w:r>
        <w:rPr>
          <w:rFonts w:hint="eastAsia"/>
          <w:color w:val="auto"/>
          <w:szCs w:val="21"/>
          <w:highlight w:val="none"/>
          <w:lang w:val="en-US" w:eastAsia="zh-CN"/>
        </w:rPr>
        <w:t>建议</w:t>
      </w:r>
      <w:r>
        <w:rPr>
          <w:rFonts w:hint="eastAsia" w:ascii="Times New Roman" w:hAnsi="Times New Roman" w:eastAsia="宋体"/>
          <w:color w:val="auto"/>
          <w:szCs w:val="21"/>
          <w:highlight w:val="none"/>
        </w:rPr>
        <w:t>采用纯文本或XLS格式，文档文件</w:t>
      </w:r>
      <w:r>
        <w:rPr>
          <w:rFonts w:hint="eastAsia"/>
          <w:color w:val="auto"/>
          <w:szCs w:val="21"/>
          <w:highlight w:val="none"/>
          <w:lang w:val="en-US" w:eastAsia="zh-CN"/>
        </w:rPr>
        <w:t>建议</w:t>
      </w:r>
      <w:r>
        <w:rPr>
          <w:rFonts w:hint="eastAsia" w:ascii="Times New Roman" w:hAnsi="Times New Roman" w:eastAsia="宋体"/>
          <w:color w:val="auto"/>
          <w:szCs w:val="21"/>
          <w:highlight w:val="none"/>
        </w:rPr>
        <w:t>采用PDF或DOC格式，CAD图形文件</w:t>
      </w:r>
      <w:r>
        <w:rPr>
          <w:rFonts w:hint="eastAsia"/>
          <w:color w:val="auto"/>
          <w:szCs w:val="21"/>
          <w:highlight w:val="none"/>
          <w:lang w:val="en-US" w:eastAsia="zh-CN"/>
        </w:rPr>
        <w:t>建议</w:t>
      </w:r>
      <w:r>
        <w:rPr>
          <w:rFonts w:hint="eastAsia" w:ascii="Times New Roman" w:hAnsi="Times New Roman" w:eastAsia="宋体"/>
          <w:color w:val="auto"/>
          <w:szCs w:val="21"/>
          <w:highlight w:val="none"/>
        </w:rPr>
        <w:t>采用DWG或DXF格式，光栅图像文件</w:t>
      </w:r>
      <w:r>
        <w:rPr>
          <w:rFonts w:hint="eastAsia"/>
          <w:color w:val="auto"/>
          <w:szCs w:val="21"/>
          <w:highlight w:val="none"/>
          <w:lang w:val="en-US" w:eastAsia="zh-CN"/>
        </w:rPr>
        <w:t>建议</w:t>
      </w:r>
      <w:r>
        <w:rPr>
          <w:rFonts w:hint="eastAsia" w:ascii="Times New Roman" w:hAnsi="Times New Roman" w:eastAsia="宋体"/>
          <w:color w:val="auto"/>
          <w:szCs w:val="21"/>
          <w:highlight w:val="none"/>
        </w:rPr>
        <w:t>采用JPG或TIFF格式。</w:t>
      </w:r>
    </w:p>
    <w:p>
      <w:pPr>
        <w:autoSpaceDE w:val="0"/>
        <w:spacing w:line="360" w:lineRule="auto"/>
        <w:ind w:firstLine="422" w:firstLineChars="200"/>
        <w:rPr>
          <w:rFonts w:hint="eastAsia" w:ascii="Times New Roman" w:hAnsi="Times New Roman" w:eastAsia="宋体"/>
          <w:color w:val="auto"/>
          <w:szCs w:val="21"/>
          <w:highlight w:val="none"/>
        </w:rPr>
      </w:pPr>
      <w:r>
        <w:rPr>
          <w:rFonts w:hint="eastAsia" w:ascii="Times New Roman" w:hAnsi="Times New Roman" w:eastAsia="宋体"/>
          <w:b/>
          <w:bCs/>
          <w:color w:val="auto"/>
          <w:szCs w:val="21"/>
          <w:highlight w:val="none"/>
          <w:lang w:val="en-US" w:eastAsia="zh-CN"/>
        </w:rPr>
        <w:t>3</w:t>
      </w:r>
      <w:r>
        <w:rPr>
          <w:rFonts w:hint="eastAsia"/>
          <w:b/>
          <w:bCs/>
          <w:color w:val="auto"/>
          <w:szCs w:val="21"/>
          <w:highlight w:val="none"/>
          <w:lang w:val="en-US" w:eastAsia="zh-CN"/>
        </w:rPr>
        <w:t xml:space="preserve"> </w:t>
      </w:r>
      <w:r>
        <w:rPr>
          <w:rFonts w:hint="eastAsia" w:ascii="Times New Roman" w:hAnsi="Times New Roman" w:eastAsia="宋体"/>
          <w:color w:val="auto"/>
          <w:szCs w:val="21"/>
          <w:highlight w:val="none"/>
        </w:rPr>
        <w:t xml:space="preserve"> </w:t>
      </w:r>
      <w:r>
        <w:rPr>
          <w:rFonts w:ascii="Times New Roman" w:hAnsi="Times New Roman" w:eastAsia="宋体"/>
          <w:color w:val="auto"/>
          <w:szCs w:val="21"/>
          <w:highlight w:val="none"/>
        </w:rPr>
        <w:t>勘察</w:t>
      </w:r>
      <w:r>
        <w:rPr>
          <w:rFonts w:ascii="Times New Roman" w:hAnsi="Times New Roman" w:eastAsia="宋体"/>
          <w:color w:val="auto"/>
          <w:kern w:val="0"/>
          <w:szCs w:val="21"/>
          <w:highlight w:val="none"/>
        </w:rPr>
        <w:t>成果数据管理</w:t>
      </w:r>
      <w:r>
        <w:rPr>
          <w:rFonts w:ascii="Times New Roman" w:hAnsi="Times New Roman" w:eastAsia="宋体"/>
          <w:color w:val="auto"/>
          <w:szCs w:val="21"/>
          <w:highlight w:val="none"/>
        </w:rPr>
        <w:t>系统</w:t>
      </w:r>
      <w:r>
        <w:rPr>
          <w:rFonts w:hint="eastAsia"/>
          <w:color w:val="auto"/>
          <w:szCs w:val="21"/>
          <w:highlight w:val="none"/>
          <w:lang w:val="en-US" w:eastAsia="zh-CN"/>
        </w:rPr>
        <w:t>需</w:t>
      </w:r>
      <w:r>
        <w:rPr>
          <w:rFonts w:ascii="Times New Roman" w:hAnsi="Times New Roman" w:eastAsia="宋体"/>
          <w:color w:val="auto"/>
          <w:szCs w:val="21"/>
          <w:highlight w:val="none"/>
        </w:rPr>
        <w:t>具备数据统计功能，可根据需要生成钻孔基本信息、室内试验数据和原位测试结果统计表格等，作为勘察成果的编制基础和附表资料</w:t>
      </w:r>
      <w:r>
        <w:rPr>
          <w:rFonts w:hint="eastAsia" w:ascii="Times New Roman" w:hAnsi="Times New Roman" w:eastAsia="宋体"/>
          <w:color w:val="auto"/>
          <w:szCs w:val="21"/>
          <w:highlight w:val="none"/>
          <w:lang w:eastAsia="zh-CN"/>
        </w:rPr>
        <w:t>；</w:t>
      </w:r>
      <w:r>
        <w:rPr>
          <w:rFonts w:ascii="Times New Roman" w:hAnsi="Times New Roman" w:eastAsia="宋体"/>
          <w:color w:val="auto"/>
          <w:szCs w:val="21"/>
          <w:highlight w:val="none"/>
        </w:rPr>
        <w:t>在外业采集数据与土工试验成果数据汇总基础上，自动生成规范格式的勘察报告文档，作为勘察报告编制的初稿。</w:t>
      </w:r>
    </w:p>
    <w:p>
      <w:pPr>
        <w:spacing w:line="360" w:lineRule="auto"/>
        <w:rPr>
          <w:rFonts w:ascii="Times New Roman" w:hAnsi="Times New Roman" w:eastAsia="宋体"/>
          <w:color w:val="auto"/>
          <w:highlight w:val="none"/>
        </w:rPr>
      </w:pPr>
      <w:r>
        <w:rPr>
          <w:rFonts w:hint="eastAsia" w:ascii="Times New Roman" w:hAnsi="Times New Roman" w:eastAsia="宋体"/>
          <w:b/>
          <w:bCs/>
          <w:color w:val="auto"/>
          <w:highlight w:val="none"/>
          <w:lang w:val="en-US" w:eastAsia="zh-CN"/>
        </w:rPr>
        <w:t>15.3.4</w:t>
      </w:r>
      <w:r>
        <w:rPr>
          <w:rFonts w:hint="eastAsia" w:ascii="Times New Roman" w:hAnsi="Times New Roman" w:eastAsia="宋体"/>
          <w:b w:val="0"/>
          <w:bCs w:val="0"/>
          <w:color w:val="auto"/>
          <w:highlight w:val="none"/>
          <w:lang w:val="en-US" w:eastAsia="zh-CN"/>
        </w:rPr>
        <w:t xml:space="preserve"> </w:t>
      </w:r>
      <w:r>
        <w:rPr>
          <w:rFonts w:hint="eastAsia"/>
          <w:b w:val="0"/>
          <w:bCs w:val="0"/>
          <w:color w:val="auto"/>
          <w:highlight w:val="none"/>
          <w:lang w:val="en-US" w:eastAsia="zh-CN"/>
        </w:rPr>
        <w:t xml:space="preserve"> </w:t>
      </w:r>
      <w:r>
        <w:rPr>
          <w:rFonts w:hint="eastAsia" w:ascii="Times New Roman" w:hAnsi="Times New Roman" w:eastAsia="宋体"/>
          <w:color w:val="auto"/>
          <w:highlight w:val="none"/>
        </w:rPr>
        <w:t>建立三维地质模型的</w:t>
      </w:r>
      <w:r>
        <w:rPr>
          <w:rFonts w:hint="eastAsia"/>
          <w:color w:val="auto"/>
          <w:highlight w:val="none"/>
          <w:lang w:val="en-US" w:eastAsia="zh-CN"/>
        </w:rPr>
        <w:t>要求包括</w:t>
      </w:r>
      <w:r>
        <w:rPr>
          <w:rFonts w:hint="eastAsia" w:ascii="Times New Roman" w:hAnsi="Times New Roman" w:eastAsia="宋体"/>
          <w:color w:val="auto"/>
          <w:highlight w:val="none"/>
        </w:rPr>
        <w:t>：</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1</w:t>
      </w:r>
      <w:r>
        <w:rPr>
          <w:rFonts w:ascii="Times New Roman" w:hAnsi="Times New Roman" w:eastAsia="宋体"/>
          <w:color w:val="auto"/>
          <w:highlight w:val="none"/>
        </w:rPr>
        <w:t xml:space="preserve">  </w:t>
      </w:r>
      <w:r>
        <w:rPr>
          <w:rFonts w:hint="eastAsia" w:ascii="Times New Roman" w:hAnsi="Times New Roman" w:eastAsia="宋体"/>
          <w:color w:val="auto"/>
          <w:highlight w:val="none"/>
        </w:rPr>
        <w:t>三维</w:t>
      </w:r>
      <w:r>
        <w:rPr>
          <w:rFonts w:ascii="Times New Roman" w:hAnsi="Times New Roman" w:eastAsia="宋体"/>
          <w:color w:val="auto"/>
          <w:highlight w:val="none"/>
        </w:rPr>
        <w:t>地质模型</w:t>
      </w:r>
      <w:r>
        <w:rPr>
          <w:rFonts w:hint="eastAsia"/>
          <w:color w:val="auto"/>
          <w:highlight w:val="none"/>
          <w:lang w:val="en-US" w:eastAsia="zh-CN"/>
        </w:rPr>
        <w:t>需</w:t>
      </w:r>
      <w:r>
        <w:rPr>
          <w:rFonts w:ascii="Times New Roman" w:hAnsi="Times New Roman" w:eastAsia="宋体"/>
          <w:color w:val="auto"/>
          <w:highlight w:val="none"/>
        </w:rPr>
        <w:t>具备场地岩土层分布及地层结构三维展示功能，可对模型进行旋转、缩放、</w:t>
      </w:r>
      <w:r>
        <w:rPr>
          <w:rFonts w:hint="eastAsia" w:ascii="Times New Roman" w:hAnsi="Times New Roman" w:eastAsia="宋体"/>
          <w:color w:val="auto"/>
          <w:highlight w:val="none"/>
        </w:rPr>
        <w:t>隐藏、显示、剖切、开挖、漫游展示。</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2</w:t>
      </w:r>
      <w:r>
        <w:rPr>
          <w:rFonts w:ascii="Times New Roman" w:hAnsi="Times New Roman" w:eastAsia="宋体"/>
          <w:color w:val="auto"/>
          <w:highlight w:val="none"/>
        </w:rPr>
        <w:t xml:space="preserve">  </w:t>
      </w:r>
      <w:r>
        <w:rPr>
          <w:rFonts w:hint="eastAsia" w:ascii="Times New Roman" w:hAnsi="Times New Roman" w:eastAsia="宋体"/>
          <w:color w:val="auto"/>
          <w:highlight w:val="none"/>
        </w:rPr>
        <w:t>三维地质模型</w:t>
      </w:r>
      <w:r>
        <w:rPr>
          <w:rFonts w:hint="eastAsia"/>
          <w:color w:val="auto"/>
          <w:highlight w:val="none"/>
          <w:lang w:val="en-US" w:eastAsia="zh-CN"/>
        </w:rPr>
        <w:t>需</w:t>
      </w:r>
      <w:r>
        <w:rPr>
          <w:rFonts w:hint="eastAsia" w:ascii="Times New Roman" w:hAnsi="Times New Roman" w:eastAsia="宋体"/>
          <w:color w:val="auto"/>
          <w:highlight w:val="none"/>
        </w:rPr>
        <w:t>包含地质体的岩性、时代等基本属性信息，并且利用空间插值算法获得任意点的物理力学参数。</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3</w:t>
      </w:r>
      <w:r>
        <w:rPr>
          <w:rFonts w:ascii="Times New Roman" w:hAnsi="Times New Roman" w:eastAsia="宋体"/>
          <w:color w:val="auto"/>
          <w:highlight w:val="none"/>
        </w:rPr>
        <w:t xml:space="preserve">  </w:t>
      </w:r>
      <w:r>
        <w:rPr>
          <w:rFonts w:hint="eastAsia" w:ascii="Times New Roman" w:hAnsi="Times New Roman" w:eastAsia="宋体"/>
          <w:color w:val="auto"/>
          <w:highlight w:val="none"/>
        </w:rPr>
        <w:t>三维</w:t>
      </w:r>
      <w:r>
        <w:rPr>
          <w:rFonts w:ascii="Times New Roman" w:hAnsi="Times New Roman" w:eastAsia="宋体"/>
          <w:color w:val="auto"/>
          <w:highlight w:val="none"/>
        </w:rPr>
        <w:t>地质模型</w:t>
      </w:r>
      <w:r>
        <w:rPr>
          <w:rFonts w:hint="eastAsia"/>
          <w:color w:val="auto"/>
          <w:highlight w:val="none"/>
          <w:lang w:val="en-US" w:eastAsia="zh-CN"/>
        </w:rPr>
        <w:t>需</w:t>
      </w:r>
      <w:r>
        <w:rPr>
          <w:rFonts w:ascii="Times New Roman" w:hAnsi="Times New Roman" w:eastAsia="宋体"/>
          <w:color w:val="auto"/>
          <w:highlight w:val="none"/>
        </w:rPr>
        <w:t>具备查询功能，可通过输入关键字段进行筛选查询并展示对应的模型内容或模型部位。</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4</w:t>
      </w:r>
      <w:r>
        <w:rPr>
          <w:rFonts w:ascii="Times New Roman" w:hAnsi="Times New Roman" w:eastAsia="宋体"/>
          <w:color w:val="auto"/>
          <w:highlight w:val="none"/>
        </w:rPr>
        <w:t xml:space="preserve">  </w:t>
      </w:r>
      <w:r>
        <w:rPr>
          <w:rFonts w:hint="eastAsia" w:ascii="Times New Roman" w:hAnsi="Times New Roman" w:eastAsia="宋体"/>
          <w:color w:val="auto"/>
          <w:highlight w:val="none"/>
        </w:rPr>
        <w:t>三维</w:t>
      </w:r>
      <w:r>
        <w:rPr>
          <w:rFonts w:ascii="Times New Roman" w:hAnsi="Times New Roman" w:eastAsia="宋体"/>
          <w:color w:val="auto"/>
          <w:highlight w:val="none"/>
        </w:rPr>
        <w:t>地质模型</w:t>
      </w:r>
      <w:r>
        <w:rPr>
          <w:rFonts w:hint="eastAsia"/>
          <w:color w:val="auto"/>
          <w:highlight w:val="none"/>
          <w:lang w:val="en-US" w:eastAsia="zh-CN"/>
        </w:rPr>
        <w:t>一般要</w:t>
      </w:r>
      <w:r>
        <w:rPr>
          <w:rFonts w:hint="eastAsia" w:ascii="Times New Roman" w:hAnsi="Times New Roman" w:eastAsia="宋体"/>
          <w:color w:val="auto"/>
          <w:highlight w:val="none"/>
        </w:rPr>
        <w:t>包含断裂、岩溶、孤石等不良地质现象的空间分布，可直观展示断裂的走向、倾向等产状信息。</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5</w:t>
      </w:r>
      <w:r>
        <w:rPr>
          <w:rFonts w:ascii="Times New Roman" w:hAnsi="Times New Roman" w:eastAsia="宋体"/>
          <w:color w:val="auto"/>
          <w:highlight w:val="none"/>
        </w:rPr>
        <w:t xml:space="preserve">  地质</w:t>
      </w:r>
      <w:r>
        <w:rPr>
          <w:rFonts w:hint="eastAsia" w:ascii="Times New Roman" w:hAnsi="Times New Roman" w:eastAsia="宋体"/>
          <w:color w:val="auto"/>
          <w:highlight w:val="none"/>
        </w:rPr>
        <w:t>建模系统</w:t>
      </w:r>
      <w:r>
        <w:rPr>
          <w:rFonts w:hint="eastAsia"/>
          <w:color w:val="auto"/>
          <w:highlight w:val="none"/>
          <w:lang w:val="en-US" w:eastAsia="zh-CN"/>
        </w:rPr>
        <w:t>一般要</w:t>
      </w:r>
      <w:r>
        <w:rPr>
          <w:rFonts w:ascii="Times New Roman" w:hAnsi="Times New Roman" w:eastAsia="宋体"/>
          <w:color w:val="auto"/>
          <w:highlight w:val="none"/>
        </w:rPr>
        <w:t>具备</w:t>
      </w:r>
      <w:r>
        <w:rPr>
          <w:rFonts w:hint="eastAsia" w:ascii="Times New Roman" w:hAnsi="Times New Roman" w:eastAsia="宋体"/>
          <w:color w:val="auto"/>
          <w:highlight w:val="none"/>
        </w:rPr>
        <w:t>快速构建模型和实时更新功能，可通过新增钻孔提高局部或整体模型精度。</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6</w:t>
      </w:r>
      <w:r>
        <w:rPr>
          <w:rFonts w:ascii="Times New Roman" w:hAnsi="Times New Roman" w:eastAsia="宋体"/>
          <w:color w:val="auto"/>
          <w:highlight w:val="none"/>
        </w:rPr>
        <w:t xml:space="preserve">  地质</w:t>
      </w:r>
      <w:r>
        <w:rPr>
          <w:rFonts w:hint="eastAsia" w:ascii="Times New Roman" w:hAnsi="Times New Roman" w:eastAsia="宋体"/>
          <w:color w:val="auto"/>
          <w:highlight w:val="none"/>
        </w:rPr>
        <w:t>建模系统</w:t>
      </w:r>
      <w:r>
        <w:rPr>
          <w:rFonts w:hint="eastAsia"/>
          <w:color w:val="auto"/>
          <w:highlight w:val="none"/>
          <w:lang w:val="en-US" w:eastAsia="zh-CN"/>
        </w:rPr>
        <w:t>一般要</w:t>
      </w:r>
      <w:r>
        <w:rPr>
          <w:rFonts w:hint="eastAsia" w:ascii="Times New Roman" w:hAnsi="Times New Roman" w:eastAsia="宋体"/>
          <w:color w:val="auto"/>
          <w:highlight w:val="none"/>
        </w:rPr>
        <w:t>具备遥感影像、倾斜摄影、建（构）筑物模型、地下管线等多源异构数据的集成功能，可实现地上地下一体化建模。</w:t>
      </w:r>
    </w:p>
    <w:p>
      <w:pPr>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7</w:t>
      </w:r>
      <w:r>
        <w:rPr>
          <w:rFonts w:ascii="Times New Roman" w:hAnsi="Times New Roman" w:eastAsia="宋体"/>
          <w:color w:val="auto"/>
          <w:highlight w:val="none"/>
        </w:rPr>
        <w:t xml:space="preserve">  </w:t>
      </w:r>
      <w:r>
        <w:rPr>
          <w:rFonts w:hint="eastAsia" w:ascii="Times New Roman" w:hAnsi="Times New Roman" w:eastAsia="宋体"/>
          <w:color w:val="auto"/>
          <w:highlight w:val="none"/>
        </w:rPr>
        <w:t>地质建模系统</w:t>
      </w:r>
      <w:r>
        <w:rPr>
          <w:rFonts w:hint="eastAsia"/>
          <w:color w:val="auto"/>
          <w:highlight w:val="none"/>
          <w:lang w:val="en-US" w:eastAsia="zh-CN"/>
        </w:rPr>
        <w:t>需</w:t>
      </w:r>
      <w:r>
        <w:rPr>
          <w:rFonts w:hint="eastAsia" w:ascii="Times New Roman" w:hAnsi="Times New Roman" w:eastAsia="宋体"/>
          <w:color w:val="auto"/>
          <w:highlight w:val="none"/>
        </w:rPr>
        <w:t>具备数据的导出功能，可将地质模型导出为dae、obj、stl等通用的三维模型交换文件，并提供包含地质属性信息的xml文件</w:t>
      </w:r>
      <w:r>
        <w:rPr>
          <w:rFonts w:ascii="Times New Roman" w:hAnsi="Times New Roman" w:eastAsia="宋体"/>
          <w:color w:val="auto"/>
          <w:highlight w:val="none"/>
        </w:rPr>
        <w:t>。</w:t>
      </w:r>
    </w:p>
    <w:p>
      <w:pPr>
        <w:pStyle w:val="3"/>
        <w:jc w:val="center"/>
        <w:rPr>
          <w:rFonts w:hint="eastAsia" w:ascii="Times New Roman" w:hAnsi="Times New Roman" w:eastAsia="宋体" w:cs="Times New Roman"/>
          <w:color w:val="auto"/>
          <w:sz w:val="24"/>
          <w:highlight w:val="none"/>
          <w:lang w:val="en-US" w:eastAsia="zh-CN"/>
        </w:rPr>
      </w:pPr>
      <w:bookmarkStart w:id="478" w:name="_Toc24549"/>
      <w:bookmarkStart w:id="479" w:name="_Toc1136"/>
      <w:r>
        <w:rPr>
          <w:rFonts w:hint="eastAsia" w:ascii="Times New Roman" w:hAnsi="Times New Roman" w:eastAsia="宋体" w:cs="Times New Roman"/>
          <w:color w:val="auto"/>
          <w:sz w:val="24"/>
          <w:highlight w:val="none"/>
          <w:lang w:eastAsia="zh-CN"/>
        </w:rPr>
        <w:t>15.</w:t>
      </w:r>
      <w:r>
        <w:rPr>
          <w:rFonts w:hint="eastAsia" w:ascii="Times New Roman" w:hAnsi="Times New Roman" w:eastAsia="宋体" w:cs="Times New Roman"/>
          <w:color w:val="auto"/>
          <w:sz w:val="24"/>
          <w:highlight w:val="none"/>
          <w:lang w:val="en-US" w:eastAsia="zh-CN"/>
        </w:rPr>
        <w:t xml:space="preserve">4 </w:t>
      </w:r>
      <w:r>
        <w:rPr>
          <w:rFonts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lang w:val="en-US" w:eastAsia="zh-CN"/>
        </w:rPr>
        <w:t>勘察</w:t>
      </w:r>
      <w:r>
        <w:rPr>
          <w:rFonts w:ascii="Times New Roman" w:hAnsi="Times New Roman" w:eastAsia="宋体" w:cs="Times New Roman"/>
          <w:color w:val="auto"/>
          <w:sz w:val="24"/>
          <w:highlight w:val="none"/>
        </w:rPr>
        <w:t>信息化</w:t>
      </w:r>
      <w:bookmarkEnd w:id="478"/>
      <w:bookmarkEnd w:id="479"/>
    </w:p>
    <w:p>
      <w:pPr>
        <w:autoSpaceDE w:val="0"/>
        <w:autoSpaceDN w:val="0"/>
        <w:adjustRightInd w:val="0"/>
        <w:spacing w:line="360" w:lineRule="auto"/>
        <w:jc w:val="left"/>
        <w:rPr>
          <w:rFonts w:ascii="Times New Roman" w:hAnsi="Times New Roman" w:eastAsia="宋体"/>
          <w:color w:val="auto"/>
          <w:szCs w:val="21"/>
          <w:highlight w:val="none"/>
        </w:rPr>
      </w:pPr>
      <w:r>
        <w:rPr>
          <w:rFonts w:hint="eastAsia" w:ascii="Times New Roman" w:hAnsi="Times New Roman" w:eastAsia="宋体"/>
          <w:b/>
          <w:bCs/>
          <w:color w:val="auto"/>
          <w:highlight w:val="none"/>
          <w:lang w:val="en-US" w:eastAsia="zh-CN"/>
        </w:rPr>
        <w:t xml:space="preserve">15.4.3 </w:t>
      </w:r>
      <w:r>
        <w:rPr>
          <w:rFonts w:hint="eastAsia"/>
          <w:b/>
          <w:bCs/>
          <w:color w:val="auto"/>
          <w:highlight w:val="none"/>
          <w:lang w:val="en-US" w:eastAsia="zh-CN"/>
        </w:rPr>
        <w:t xml:space="preserve"> </w:t>
      </w:r>
      <w:r>
        <w:rPr>
          <w:rFonts w:hint="eastAsia" w:ascii="Times New Roman" w:hAnsi="Times New Roman" w:eastAsia="宋体"/>
          <w:color w:val="auto"/>
          <w:szCs w:val="21"/>
          <w:highlight w:val="none"/>
        </w:rPr>
        <w:t>企业权限管理控制属于该企业的个人用户权限，项目权限管理控制属于该项目的个人用户权限，根据权限创建角色，控制访问和使用功能。</w:t>
      </w:r>
      <w:r>
        <w:rPr>
          <w:rFonts w:ascii="Times New Roman" w:hAnsi="Times New Roman" w:eastAsia="宋体"/>
          <w:color w:val="auto"/>
          <w:szCs w:val="21"/>
          <w:highlight w:val="none"/>
        </w:rPr>
        <w:t>勘察项目管理实行分层级分版块权限管理，企业权限管理可以控制属于该企业的个人用户权限，可以创建角色，控制其所能访问和使用的功能；项目权限管理可以控制属于该项目的个人用户权限，可以创建项目角色，控制其能访问和使用的项目功能。</w:t>
      </w:r>
    </w:p>
    <w:p>
      <w:pPr>
        <w:autoSpaceDE w:val="0"/>
        <w:autoSpaceDN w:val="0"/>
        <w:adjustRightInd w:val="0"/>
        <w:spacing w:line="360" w:lineRule="auto"/>
        <w:jc w:val="left"/>
        <w:rPr>
          <w:rFonts w:hint="default"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eastAsia="zh-CN"/>
        </w:rPr>
        <w:t>15.</w:t>
      </w:r>
      <w:r>
        <w:rPr>
          <w:rFonts w:hint="eastAsia" w:ascii="Times New Roman" w:hAnsi="Times New Roman" w:eastAsia="宋体"/>
          <w:b/>
          <w:bCs/>
          <w:color w:val="auto"/>
          <w:highlight w:val="none"/>
          <w:lang w:val="en-US" w:eastAsia="zh-CN"/>
        </w:rPr>
        <w:t>4</w:t>
      </w:r>
      <w:r>
        <w:rPr>
          <w:rFonts w:ascii="Times New Roman" w:hAnsi="Times New Roman" w:eastAsia="宋体"/>
          <w:b/>
          <w:bCs/>
          <w:color w:val="auto"/>
          <w:highlight w:val="none"/>
        </w:rPr>
        <w:t>.</w:t>
      </w:r>
      <w:r>
        <w:rPr>
          <w:rFonts w:hint="eastAsia" w:ascii="Times New Roman" w:hAnsi="Times New Roman" w:eastAsia="宋体"/>
          <w:b/>
          <w:bCs/>
          <w:color w:val="auto"/>
          <w:highlight w:val="none"/>
          <w:lang w:val="en-US" w:eastAsia="zh-CN"/>
        </w:rPr>
        <w:t>4</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hint="eastAsia" w:ascii="Times New Roman" w:hAnsi="Times New Roman" w:eastAsia="宋体"/>
          <w:b w:val="0"/>
          <w:bCs w:val="0"/>
          <w:color w:val="auto"/>
          <w:highlight w:val="none"/>
          <w:lang w:val="en-US" w:eastAsia="zh-CN"/>
        </w:rPr>
        <w:t>本条款相关说明如下：</w:t>
      </w:r>
    </w:p>
    <w:p>
      <w:pPr>
        <w:autoSpaceDE w:val="0"/>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1</w:t>
      </w:r>
      <w:r>
        <w:rPr>
          <w:rFonts w:ascii="Times New Roman" w:hAnsi="Times New Roman" w:eastAsia="宋体"/>
          <w:color w:val="auto"/>
          <w:highlight w:val="none"/>
        </w:rPr>
        <w:t xml:space="preserve"> </w:t>
      </w:r>
      <w:r>
        <w:rPr>
          <w:rFonts w:hint="eastAsia"/>
          <w:color w:val="auto"/>
          <w:highlight w:val="none"/>
          <w:lang w:val="en-US" w:eastAsia="zh-CN"/>
        </w:rPr>
        <w:t xml:space="preserve"> </w:t>
      </w:r>
      <w:r>
        <w:rPr>
          <w:rFonts w:ascii="Times New Roman" w:hAnsi="Times New Roman" w:eastAsia="宋体"/>
          <w:color w:val="auto"/>
          <w:highlight w:val="none"/>
        </w:rPr>
        <w:t>外业数据采集系统可自动导入的项目信息和技术要求包括：项目编号、钻孔编号、钻孔设计坐标与标高、终孔深度要求等；外业采集过程中可电子化录入的岩土数据和信息包括：岩土层分类、定名、深度、厚度、岩性描述、原位测试结果、岩芯照片等。</w:t>
      </w:r>
    </w:p>
    <w:p>
      <w:pPr>
        <w:autoSpaceDE w:val="0"/>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现场采样信息包括：岩土水样品的定名、取样深度、编号等基本信息。</w:t>
      </w:r>
    </w:p>
    <w:p>
      <w:pPr>
        <w:autoSpaceDE w:val="0"/>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数据统计和分析功能包括：实时统计主要地层取样、原位测试的间距、数量等，分析其是否满足规范要求、原位测试深度是否跨层，分析终孔深度是否满足技术要求等。</w:t>
      </w:r>
    </w:p>
    <w:p>
      <w:pPr>
        <w:autoSpaceDE w:val="0"/>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具备条件时，可逐步建立</w:t>
      </w:r>
      <w:r>
        <w:rPr>
          <w:rFonts w:hint="eastAsia" w:ascii="Times New Roman" w:hAnsi="Times New Roman" w:eastAsia="宋体"/>
          <w:color w:val="auto"/>
          <w:highlight w:val="none"/>
          <w:lang w:eastAsia="zh-CN"/>
        </w:rPr>
        <w:t>勘探</w:t>
      </w:r>
      <w:r>
        <w:rPr>
          <w:rFonts w:ascii="Times New Roman" w:hAnsi="Times New Roman" w:eastAsia="宋体"/>
          <w:color w:val="auto"/>
          <w:highlight w:val="none"/>
        </w:rPr>
        <w:t>或原位测试设备的数据采集及交互接口，自动记录标贯、动力触探、旁压、波速、电阻率等现场原位测试成果，并将数据自动上传。</w:t>
      </w:r>
    </w:p>
    <w:p>
      <w:pPr>
        <w:autoSpaceDE w:val="0"/>
        <w:spacing w:line="360" w:lineRule="auto"/>
        <w:ind w:firstLine="420" w:firstLineChars="200"/>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val="en-US" w:eastAsia="zh-CN"/>
        </w:rPr>
        <w:t>外业数据采集宜</w:t>
      </w:r>
      <w:r>
        <w:rPr>
          <w:rFonts w:ascii="Times New Roman" w:hAnsi="Times New Roman" w:eastAsia="宋体"/>
          <w:color w:val="auto"/>
          <w:szCs w:val="21"/>
          <w:highlight w:val="none"/>
        </w:rPr>
        <w:t>以手持智能终端为载体，自动导入项目信息和技术要求，电子化录入</w:t>
      </w:r>
      <w:r>
        <w:rPr>
          <w:rFonts w:hint="eastAsia" w:ascii="Times New Roman" w:hAnsi="Times New Roman" w:eastAsia="宋体"/>
          <w:color w:val="auto"/>
          <w:szCs w:val="21"/>
          <w:highlight w:val="none"/>
        </w:rPr>
        <w:t>各类岩土</w:t>
      </w:r>
      <w:r>
        <w:rPr>
          <w:rFonts w:ascii="Times New Roman" w:hAnsi="Times New Roman" w:eastAsia="宋体"/>
          <w:color w:val="auto"/>
          <w:szCs w:val="21"/>
          <w:highlight w:val="none"/>
        </w:rPr>
        <w:t>数据和信息，录入后通过移动互联网实时传输至服务器</w:t>
      </w:r>
      <w:r>
        <w:rPr>
          <w:rFonts w:hint="eastAsia" w:ascii="Times New Roman" w:hAnsi="Times New Roman" w:eastAsia="宋体"/>
          <w:color w:val="auto"/>
          <w:szCs w:val="21"/>
          <w:highlight w:val="none"/>
        </w:rPr>
        <w:t>；</w:t>
      </w:r>
      <w:r>
        <w:rPr>
          <w:rFonts w:ascii="Times New Roman" w:hAnsi="Times New Roman" w:eastAsia="宋体"/>
          <w:color w:val="auto"/>
          <w:szCs w:val="21"/>
          <w:highlight w:val="none"/>
        </w:rPr>
        <w:t>电子化录入现场</w:t>
      </w:r>
      <w:r>
        <w:rPr>
          <w:rFonts w:hint="eastAsia" w:ascii="Times New Roman" w:hAnsi="Times New Roman" w:eastAsia="宋体"/>
          <w:color w:val="auto"/>
          <w:szCs w:val="21"/>
          <w:highlight w:val="none"/>
        </w:rPr>
        <w:t>采样信息</w:t>
      </w:r>
      <w:r>
        <w:rPr>
          <w:rFonts w:ascii="Times New Roman" w:hAnsi="Times New Roman" w:eastAsia="宋体"/>
          <w:color w:val="auto"/>
          <w:szCs w:val="21"/>
          <w:highlight w:val="none"/>
        </w:rPr>
        <w:t>，</w:t>
      </w:r>
      <w:r>
        <w:rPr>
          <w:rFonts w:hint="eastAsia" w:ascii="Times New Roman" w:hAnsi="Times New Roman" w:eastAsia="宋体"/>
          <w:color w:val="auto"/>
          <w:szCs w:val="21"/>
          <w:highlight w:val="none"/>
          <w:lang w:val="en-US" w:eastAsia="zh-CN"/>
        </w:rPr>
        <w:t>可</w:t>
      </w:r>
      <w:r>
        <w:rPr>
          <w:rFonts w:ascii="Times New Roman" w:hAnsi="Times New Roman" w:eastAsia="宋体"/>
          <w:color w:val="auto"/>
          <w:szCs w:val="21"/>
          <w:highlight w:val="none"/>
        </w:rPr>
        <w:t>通过现场打印二维码标签对每个样品进行独立标识</w:t>
      </w:r>
      <w:r>
        <w:rPr>
          <w:rFonts w:hint="eastAsia" w:ascii="Times New Roman" w:hAnsi="Times New Roman" w:eastAsia="宋体"/>
          <w:color w:val="auto"/>
          <w:szCs w:val="21"/>
          <w:highlight w:val="none"/>
        </w:rPr>
        <w:t>；可结合现行规范和技术要求进行实时</w:t>
      </w:r>
      <w:r>
        <w:rPr>
          <w:rFonts w:hint="eastAsia" w:ascii="Times New Roman" w:hAnsi="Times New Roman" w:eastAsia="宋体"/>
          <w:color w:val="auto"/>
          <w:szCs w:val="21"/>
          <w:highlight w:val="none"/>
          <w:lang w:val="en-US" w:eastAsia="zh-CN"/>
        </w:rPr>
        <w:t>检查</w:t>
      </w:r>
      <w:r>
        <w:rPr>
          <w:rFonts w:hint="eastAsia" w:ascii="Times New Roman" w:hAnsi="Times New Roman" w:eastAsia="宋体"/>
          <w:color w:val="auto"/>
          <w:szCs w:val="21"/>
          <w:highlight w:val="none"/>
          <w:lang w:eastAsia="zh-CN"/>
        </w:rPr>
        <w:t>。</w:t>
      </w:r>
    </w:p>
    <w:p>
      <w:pPr>
        <w:autoSpaceDE w:val="0"/>
        <w:spacing w:line="360" w:lineRule="auto"/>
        <w:ind w:firstLine="422" w:firstLineChars="200"/>
        <w:rPr>
          <w:rFonts w:ascii="Times New Roman" w:hAnsi="Times New Roman" w:eastAsia="宋体"/>
          <w:color w:val="auto"/>
          <w:highlight w:val="none"/>
        </w:rPr>
      </w:pPr>
      <w:r>
        <w:rPr>
          <w:rFonts w:ascii="Times New Roman" w:hAnsi="Times New Roman" w:eastAsia="宋体"/>
          <w:b/>
          <w:bCs/>
          <w:color w:val="auto"/>
          <w:highlight w:val="none"/>
        </w:rPr>
        <w:t xml:space="preserve">2 </w:t>
      </w:r>
      <w:r>
        <w:rPr>
          <w:rFonts w:hint="eastAsia"/>
          <w:b/>
          <w:bCs/>
          <w:color w:val="auto"/>
          <w:highlight w:val="none"/>
          <w:lang w:val="en-US" w:eastAsia="zh-CN"/>
        </w:rPr>
        <w:t xml:space="preserve"> </w:t>
      </w:r>
      <w:r>
        <w:rPr>
          <w:rFonts w:ascii="Times New Roman" w:hAnsi="Times New Roman" w:eastAsia="宋体"/>
          <w:color w:val="auto"/>
          <w:szCs w:val="21"/>
          <w:highlight w:val="none"/>
        </w:rPr>
        <w:t>土工试验数据</w:t>
      </w:r>
      <w:r>
        <w:rPr>
          <w:rFonts w:hint="eastAsia" w:ascii="Times New Roman" w:hAnsi="Times New Roman" w:eastAsia="宋体"/>
          <w:color w:val="auto"/>
          <w:szCs w:val="21"/>
          <w:highlight w:val="none"/>
          <w:lang w:val="en-US" w:eastAsia="zh-CN"/>
        </w:rPr>
        <w:t>采集</w:t>
      </w:r>
      <w:r>
        <w:rPr>
          <w:rFonts w:ascii="Times New Roman" w:hAnsi="Times New Roman" w:eastAsia="宋体"/>
          <w:color w:val="auto"/>
          <w:szCs w:val="21"/>
          <w:highlight w:val="none"/>
        </w:rPr>
        <w:t>系统对试验数据自动采集、统计和处理，生成土工试验成果，并将数据传至服务器。</w:t>
      </w:r>
      <w:r>
        <w:rPr>
          <w:rFonts w:ascii="Times New Roman" w:hAnsi="Times New Roman" w:eastAsia="宋体"/>
          <w:color w:val="auto"/>
          <w:highlight w:val="none"/>
        </w:rPr>
        <w:t>土工试验数据处理系统具备扫描二维码标签读取样品基本信息和试验内容的功能，以达到外业数据采集系统与土工试验数据处理系统能有效衔接</w:t>
      </w:r>
      <w:r>
        <w:rPr>
          <w:rFonts w:ascii="Times New Roman" w:hAnsi="Times New Roman" w:eastAsia="宋体"/>
          <w:color w:val="auto"/>
          <w:szCs w:val="21"/>
          <w:highlight w:val="none"/>
        </w:rPr>
        <w:t>。</w:t>
      </w:r>
      <w:r>
        <w:rPr>
          <w:rFonts w:ascii="Times New Roman" w:hAnsi="Times New Roman" w:eastAsia="宋体"/>
          <w:color w:val="auto"/>
          <w:highlight w:val="none"/>
        </w:rPr>
        <w:t>土工试验数据处理系统与各土工试验设备建立交互接口，以实现对试验数据自动采集。</w:t>
      </w:r>
    </w:p>
    <w:p>
      <w:pPr>
        <w:autoSpaceDE w:val="0"/>
        <w:autoSpaceDN w:val="0"/>
        <w:adjustRightInd w:val="0"/>
        <w:spacing w:line="360" w:lineRule="auto"/>
        <w:jc w:val="left"/>
        <w:rPr>
          <w:rFonts w:ascii="Times New Roman" w:hAnsi="Times New Roman" w:eastAsia="宋体"/>
          <w:b/>
          <w:color w:val="auto"/>
          <w:szCs w:val="21"/>
          <w:highlight w:val="none"/>
        </w:rPr>
      </w:pPr>
      <w:r>
        <w:rPr>
          <w:rFonts w:hint="eastAsia" w:ascii="Times New Roman" w:hAnsi="Times New Roman" w:eastAsia="宋体"/>
          <w:b/>
          <w:bCs/>
          <w:color w:val="auto"/>
          <w:highlight w:val="none"/>
          <w:lang w:eastAsia="zh-CN"/>
        </w:rPr>
        <w:t>15.</w:t>
      </w:r>
      <w:r>
        <w:rPr>
          <w:rFonts w:hint="eastAsia" w:ascii="Times New Roman" w:hAnsi="Times New Roman" w:eastAsia="宋体"/>
          <w:b/>
          <w:bCs/>
          <w:color w:val="auto"/>
          <w:highlight w:val="none"/>
          <w:lang w:val="en-US" w:eastAsia="zh-CN"/>
        </w:rPr>
        <w:t>4.5</w:t>
      </w:r>
      <w:r>
        <w:rPr>
          <w:rFonts w:ascii="Times New Roman" w:hAnsi="Times New Roman" w:eastAsia="宋体"/>
          <w:color w:val="auto"/>
          <w:highlight w:val="none"/>
        </w:rPr>
        <w:t xml:space="preserve"> </w:t>
      </w:r>
      <w:r>
        <w:rPr>
          <w:rFonts w:hint="eastAsia"/>
          <w:color w:val="auto"/>
          <w:highlight w:val="none"/>
          <w:lang w:val="en-US" w:eastAsia="zh-CN"/>
        </w:rPr>
        <w:t xml:space="preserve"> </w:t>
      </w:r>
      <w:r>
        <w:rPr>
          <w:rFonts w:ascii="Times New Roman" w:hAnsi="Times New Roman" w:eastAsia="宋体"/>
          <w:color w:val="auto"/>
          <w:highlight w:val="none"/>
        </w:rPr>
        <w:t>为提高</w:t>
      </w:r>
      <w:r>
        <w:rPr>
          <w:rFonts w:ascii="Times New Roman" w:hAnsi="Times New Roman" w:eastAsia="宋体"/>
          <w:b w:val="0"/>
          <w:bCs w:val="0"/>
          <w:color w:val="auto"/>
          <w:highlight w:val="none"/>
        </w:rPr>
        <w:t>信息化</w:t>
      </w:r>
      <w:r>
        <w:rPr>
          <w:rFonts w:ascii="Times New Roman" w:hAnsi="Times New Roman" w:eastAsia="宋体"/>
          <w:color w:val="auto"/>
          <w:highlight w:val="none"/>
        </w:rPr>
        <w:t>平台系统的应用效率，一般要求其可在便携式移动设备上使用。</w:t>
      </w:r>
    </w:p>
    <w:p>
      <w:pPr>
        <w:autoSpaceDE w:val="0"/>
        <w:spacing w:line="360" w:lineRule="auto"/>
        <w:ind w:firstLine="422" w:firstLineChars="200"/>
        <w:rPr>
          <w:rFonts w:ascii="Times New Roman" w:hAnsi="Times New Roman" w:eastAsia="宋体"/>
          <w:color w:val="auto"/>
          <w:szCs w:val="21"/>
          <w:highlight w:val="none"/>
        </w:rPr>
      </w:pPr>
      <w:r>
        <w:rPr>
          <w:rFonts w:ascii="Times New Roman" w:hAnsi="Times New Roman" w:eastAsia="宋体"/>
          <w:b/>
          <w:color w:val="auto"/>
          <w:szCs w:val="21"/>
          <w:highlight w:val="none"/>
        </w:rPr>
        <w:t>1</w:t>
      </w:r>
      <w:r>
        <w:rPr>
          <w:rFonts w:ascii="Times New Roman" w:hAnsi="Times New Roman" w:eastAsia="宋体"/>
          <w:color w:val="auto"/>
          <w:szCs w:val="21"/>
          <w:highlight w:val="none"/>
        </w:rPr>
        <w:t xml:space="preserve">  </w:t>
      </w:r>
      <w:r>
        <w:rPr>
          <w:rFonts w:hint="eastAsia" w:ascii="Times New Roman" w:hAnsi="Times New Roman" w:eastAsia="宋体"/>
          <w:color w:val="auto"/>
          <w:szCs w:val="21"/>
          <w:highlight w:val="none"/>
          <w:lang w:val="en-US" w:eastAsia="zh-CN"/>
        </w:rPr>
        <w:t>宜</w:t>
      </w:r>
      <w:r>
        <w:rPr>
          <w:rFonts w:ascii="Times New Roman" w:hAnsi="Times New Roman" w:eastAsia="宋体"/>
          <w:color w:val="auto"/>
          <w:szCs w:val="21"/>
          <w:highlight w:val="none"/>
        </w:rPr>
        <w:t>实现勘察技术要求、钻孔布置图、管线图、地形图等文档便携式在线查阅，实现流程手续文件、勘察大纲、会议纪要等在线上传及审批，涵盖开工准备、方案审批、现场实施、成果编制、归档结算等全过程管理。</w:t>
      </w:r>
    </w:p>
    <w:p>
      <w:pPr>
        <w:autoSpaceDE w:val="0"/>
        <w:spacing w:line="360" w:lineRule="auto"/>
        <w:ind w:firstLine="422" w:firstLineChars="200"/>
        <w:rPr>
          <w:rFonts w:ascii="Times New Roman" w:hAnsi="Times New Roman" w:eastAsia="宋体"/>
          <w:color w:val="auto"/>
          <w:szCs w:val="21"/>
          <w:highlight w:val="none"/>
        </w:rPr>
      </w:pPr>
      <w:r>
        <w:rPr>
          <w:rFonts w:ascii="Times New Roman" w:hAnsi="Times New Roman" w:eastAsia="宋体"/>
          <w:b/>
          <w:color w:val="auto"/>
          <w:szCs w:val="21"/>
          <w:highlight w:val="none"/>
        </w:rPr>
        <w:t>2</w:t>
      </w:r>
      <w:r>
        <w:rPr>
          <w:rFonts w:hint="eastAsia" w:ascii="Times New Roman" w:hAnsi="Times New Roman" w:eastAsia="宋体"/>
          <w:b/>
          <w:color w:val="auto"/>
          <w:szCs w:val="21"/>
          <w:highlight w:val="none"/>
          <w:lang w:val="en-US" w:eastAsia="zh-CN"/>
        </w:rPr>
        <w:t xml:space="preserve"> </w:t>
      </w:r>
      <w:r>
        <w:rPr>
          <w:rFonts w:hint="eastAsia"/>
          <w:b/>
          <w:color w:val="auto"/>
          <w:szCs w:val="21"/>
          <w:highlight w:val="none"/>
          <w:lang w:val="en-US" w:eastAsia="zh-CN"/>
        </w:rPr>
        <w:t xml:space="preserve"> </w:t>
      </w:r>
      <w:r>
        <w:rPr>
          <w:rFonts w:ascii="Times New Roman" w:hAnsi="Times New Roman" w:eastAsia="宋体"/>
          <w:color w:val="auto"/>
          <w:szCs w:val="21"/>
          <w:highlight w:val="none"/>
        </w:rPr>
        <w:t>勘察项目管理系统</w:t>
      </w:r>
      <w:r>
        <w:rPr>
          <w:rFonts w:hint="eastAsia"/>
          <w:color w:val="auto"/>
          <w:szCs w:val="21"/>
          <w:highlight w:val="none"/>
          <w:lang w:val="en-US" w:eastAsia="zh-CN"/>
        </w:rPr>
        <w:t>需</w:t>
      </w:r>
      <w:r>
        <w:rPr>
          <w:rFonts w:ascii="Times New Roman" w:hAnsi="Times New Roman" w:eastAsia="宋体"/>
          <w:color w:val="auto"/>
          <w:szCs w:val="21"/>
          <w:highlight w:val="none"/>
        </w:rPr>
        <w:t>实时记录设备的GPS定位信息，对勘察外业数据采集的过程及真实性进行监控。勘察项目管理系统应通过数字传输技术，将视频监控系统接入信息化管理平台，建立远程视频监控系统，对现场实施在线监控。</w:t>
      </w:r>
    </w:p>
    <w:p>
      <w:pPr>
        <w:autoSpaceDE w:val="0"/>
        <w:spacing w:line="360" w:lineRule="auto"/>
        <w:ind w:firstLine="422" w:firstLineChars="200"/>
        <w:rPr>
          <w:rFonts w:ascii="Times New Roman" w:hAnsi="Times New Roman" w:eastAsia="宋体"/>
          <w:color w:val="auto"/>
          <w:highlight w:val="none"/>
        </w:rPr>
      </w:pPr>
      <w:r>
        <w:rPr>
          <w:rFonts w:hint="eastAsia"/>
          <w:b/>
          <w:bCs/>
          <w:color w:val="auto"/>
          <w:szCs w:val="21"/>
          <w:highlight w:val="none"/>
          <w:lang w:val="en-US" w:eastAsia="zh-CN"/>
        </w:rPr>
        <w:t xml:space="preserve">3 </w:t>
      </w:r>
      <w:r>
        <w:rPr>
          <w:rFonts w:hint="eastAsia"/>
          <w:color w:val="auto"/>
          <w:szCs w:val="21"/>
          <w:highlight w:val="none"/>
          <w:lang w:val="en-US" w:eastAsia="zh-CN"/>
        </w:rPr>
        <w:t xml:space="preserve"> </w:t>
      </w:r>
      <w:r>
        <w:rPr>
          <w:rFonts w:ascii="Times New Roman" w:hAnsi="Times New Roman" w:eastAsia="宋体"/>
          <w:color w:val="auto"/>
          <w:szCs w:val="21"/>
          <w:highlight w:val="none"/>
        </w:rPr>
        <w:t>视频监控系统</w:t>
      </w:r>
      <w:r>
        <w:rPr>
          <w:rFonts w:hint="eastAsia"/>
          <w:color w:val="auto"/>
          <w:szCs w:val="21"/>
          <w:highlight w:val="none"/>
          <w:lang w:val="en-US" w:eastAsia="zh-CN"/>
        </w:rPr>
        <w:t>需</w:t>
      </w:r>
      <w:r>
        <w:rPr>
          <w:rFonts w:ascii="Times New Roman" w:hAnsi="Times New Roman" w:eastAsia="宋体"/>
          <w:color w:val="auto"/>
          <w:szCs w:val="21"/>
          <w:highlight w:val="none"/>
        </w:rPr>
        <w:t xml:space="preserve">具备云台控制、抓图、录像控制、预置点管理、监控点3D放大、视频存储、检索等功能，可对现场作业实施过程进行记录和回溯。勘察项目管理系统中应实时记录校审或审批意见、文件或数据修改的过程，保证过程的可追溯性。 </w:t>
      </w:r>
    </w:p>
    <w:bookmarkEnd w:id="474"/>
    <w:p>
      <w:pPr>
        <w:widowControl/>
        <w:jc w:val="left"/>
        <w:rPr>
          <w:rFonts w:ascii="Times New Roman" w:hAnsi="Times New Roman" w:eastAsia="宋体"/>
          <w:color w:val="auto"/>
          <w:highlight w:val="none"/>
        </w:rPr>
      </w:pPr>
      <w:r>
        <w:rPr>
          <w:rFonts w:ascii="Times New Roman" w:hAnsi="Times New Roman" w:eastAsia="宋体"/>
          <w:color w:val="auto"/>
          <w:highlight w:val="none"/>
        </w:rPr>
        <w:br w:type="page"/>
      </w:r>
    </w:p>
    <w:p>
      <w:pPr>
        <w:widowControl/>
        <w:jc w:val="left"/>
        <w:rPr>
          <w:rFonts w:ascii="Times New Roman" w:hAnsi="Times New Roman" w:eastAsia="宋体"/>
          <w:color w:val="auto"/>
          <w:highlight w:val="none"/>
        </w:rPr>
      </w:pPr>
    </w:p>
    <w:p>
      <w:pPr>
        <w:rPr>
          <w:rFonts w:ascii="Times New Roman" w:hAnsi="Times New Roman" w:eastAsia="宋体"/>
          <w:color w:val="auto"/>
          <w:sz w:val="10"/>
          <w:szCs w:val="10"/>
          <w:highlight w:val="none"/>
        </w:rPr>
      </w:pPr>
    </w:p>
    <w:p>
      <w:pPr>
        <w:pStyle w:val="2"/>
        <w:rPr>
          <w:rFonts w:ascii="Times New Roman" w:hAnsi="Times New Roman" w:eastAsia="宋体"/>
          <w:b/>
          <w:bCs/>
          <w:color w:val="auto"/>
          <w:sz w:val="32"/>
          <w:szCs w:val="32"/>
          <w:highlight w:val="none"/>
        </w:rPr>
      </w:pPr>
      <w:bookmarkStart w:id="480" w:name="_Toc10376"/>
      <w:bookmarkStart w:id="481" w:name="_Toc6986"/>
      <w:bookmarkStart w:id="482" w:name="_Toc354"/>
      <w:bookmarkStart w:id="483" w:name="_附录A  岩土试验项目"/>
      <w:r>
        <w:rPr>
          <w:rFonts w:ascii="Times New Roman" w:hAnsi="Times New Roman" w:eastAsia="宋体"/>
          <w:b/>
          <w:bCs/>
          <w:color w:val="auto"/>
          <w:sz w:val="32"/>
          <w:szCs w:val="32"/>
          <w:highlight w:val="none"/>
        </w:rPr>
        <w:t>附录</w:t>
      </w:r>
      <w:r>
        <w:rPr>
          <w:rFonts w:hint="eastAsia" w:ascii="Times New Roman" w:hAnsi="Times New Roman" w:eastAsia="宋体"/>
          <w:b/>
          <w:bCs/>
          <w:color w:val="auto"/>
          <w:sz w:val="32"/>
          <w:szCs w:val="32"/>
          <w:highlight w:val="none"/>
          <w:lang w:val="en-US" w:eastAsia="zh-CN"/>
        </w:rPr>
        <w:t>A</w:t>
      </w:r>
      <w:r>
        <w:rPr>
          <w:rFonts w:ascii="Times New Roman" w:hAnsi="Times New Roman" w:eastAsia="宋体"/>
          <w:b/>
          <w:bCs/>
          <w:color w:val="auto"/>
          <w:sz w:val="32"/>
          <w:szCs w:val="32"/>
          <w:highlight w:val="none"/>
        </w:rPr>
        <w:t xml:space="preserve">  岩土试验项目</w:t>
      </w:r>
      <w:bookmarkEnd w:id="480"/>
      <w:bookmarkEnd w:id="481"/>
      <w:bookmarkEnd w:id="482"/>
    </w:p>
    <w:bookmarkEnd w:id="483"/>
    <w:p>
      <w:pPr>
        <w:spacing w:line="360" w:lineRule="auto"/>
        <w:rPr>
          <w:rFonts w:ascii="Times New Roman" w:hAnsi="Times New Roman" w:eastAsia="宋体"/>
          <w:color w:val="auto"/>
          <w:highlight w:val="none"/>
        </w:rPr>
      </w:pPr>
      <w:r>
        <w:rPr>
          <w:rFonts w:hint="eastAsia" w:ascii="Times New Roman" w:hAnsi="Times New Roman" w:eastAsia="宋体"/>
          <w:b/>
          <w:bCs/>
          <w:color w:val="auto"/>
          <w:highlight w:val="none"/>
          <w:lang w:val="en-US" w:eastAsia="zh-CN"/>
        </w:rPr>
        <w:t>A</w:t>
      </w:r>
      <w:r>
        <w:rPr>
          <w:rFonts w:ascii="Times New Roman" w:hAnsi="Times New Roman" w:eastAsia="宋体"/>
          <w:b/>
          <w:bCs/>
          <w:color w:val="auto"/>
          <w:highlight w:val="none"/>
        </w:rPr>
        <w:t>.0.</w:t>
      </w:r>
      <w:r>
        <w:rPr>
          <w:rFonts w:hint="eastAsia" w:ascii="Times New Roman" w:hAnsi="Times New Roman" w:eastAsia="宋体"/>
          <w:b/>
          <w:bCs/>
          <w:color w:val="auto"/>
          <w:highlight w:val="none"/>
          <w:lang w:val="en-US" w:eastAsia="zh-CN"/>
        </w:rPr>
        <w:t>2、A</w:t>
      </w:r>
      <w:r>
        <w:rPr>
          <w:rFonts w:ascii="Times New Roman" w:hAnsi="Times New Roman" w:eastAsia="宋体"/>
          <w:b/>
          <w:bCs/>
          <w:color w:val="auto"/>
          <w:highlight w:val="none"/>
        </w:rPr>
        <w:t>.0.</w:t>
      </w:r>
      <w:r>
        <w:rPr>
          <w:rFonts w:hint="eastAsia" w:ascii="Times New Roman" w:hAnsi="Times New Roman" w:eastAsia="宋体"/>
          <w:b/>
          <w:bCs/>
          <w:color w:val="auto"/>
          <w:highlight w:val="none"/>
          <w:lang w:val="en-US" w:eastAsia="zh-CN"/>
        </w:rPr>
        <w:t>3</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hint="eastAsia" w:ascii="Times New Roman" w:hAnsi="Times New Roman" w:eastAsia="宋体"/>
          <w:b w:val="0"/>
          <w:bCs w:val="0"/>
          <w:color w:val="auto"/>
          <w:highlight w:val="none"/>
          <w:lang w:val="en-US" w:eastAsia="zh-CN"/>
        </w:rPr>
        <w:t>本规范表A.0.2“</w:t>
      </w:r>
      <w:r>
        <w:rPr>
          <w:rFonts w:hint="eastAsia" w:ascii="Times New Roman" w:hAnsi="Times New Roman" w:eastAsia="宋体"/>
          <w:color w:val="auto"/>
          <w:highlight w:val="none"/>
          <w:lang w:val="en-US" w:eastAsia="zh-CN"/>
        </w:rPr>
        <w:t>岩石试验项目”和</w:t>
      </w:r>
      <w:r>
        <w:rPr>
          <w:rFonts w:hint="eastAsia" w:ascii="Times New Roman" w:hAnsi="Times New Roman" w:eastAsia="宋体"/>
          <w:b w:val="0"/>
          <w:bCs w:val="0"/>
          <w:color w:val="auto"/>
          <w:highlight w:val="none"/>
          <w:lang w:val="en-US" w:eastAsia="zh-CN"/>
        </w:rPr>
        <w:t>A.0.3“</w:t>
      </w:r>
      <w:r>
        <w:rPr>
          <w:rFonts w:hint="eastAsia" w:ascii="Times New Roman" w:hAnsi="Times New Roman" w:eastAsia="宋体"/>
          <w:color w:val="auto"/>
          <w:highlight w:val="none"/>
          <w:lang w:val="en-US" w:eastAsia="zh-CN"/>
        </w:rPr>
        <w:t>土的试验项目”是在参考《铁路工程地质勘察规范》TB 10012-2007的表E.0.1-1和表E.0.1-2基础上，考虑到市政工程项目的特点，按岩土类别和工程类型划分了应做和选做的试验项目</w:t>
      </w:r>
      <w:r>
        <w:rPr>
          <w:rFonts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其中，岩类划分为硬质岩和软质岩两类，但考虑到泥岩或黏土岩不适宜做饱和抗压强度，故在备注中补充说明“泥岩或黏土岩的岩石抗压强度可仅做单轴天然抗压强度”。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土则根据不同性质划分为5类，包括：1）碎石土、砂土；2）黏性土、粉土；3）软土；4）盐渍土；5）膨胀土。前三者属于一般土类，后两者属于特殊土类。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工程类型划分设计地基基础的，主要按地基基础类型划分。故主要划分了天然地基、地基处理、桩基、隧道、基坑、边坡几类。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具体的试验项目，主要纳入了一般的岩土试验项目，对于一些仅特殊工程、特殊工法才开展的试验，如：黏土矿物分析、收缩试验、击实试验、热物理指标等，表中未纳入。</w:t>
      </w:r>
    </w:p>
    <w:p>
      <w:pPr>
        <w:rPr>
          <w:rFonts w:ascii="Times New Roman" w:hAnsi="Times New Roman" w:eastAsia="宋体"/>
          <w:color w:val="auto"/>
          <w:sz w:val="10"/>
          <w:szCs w:val="10"/>
          <w:highlight w:val="none"/>
        </w:rPr>
      </w:pPr>
      <w:r>
        <w:rPr>
          <w:rFonts w:ascii="Times New Roman" w:hAnsi="Times New Roman" w:eastAsia="宋体"/>
          <w:color w:val="auto"/>
          <w:sz w:val="10"/>
          <w:szCs w:val="10"/>
          <w:highlight w:val="none"/>
        </w:rPr>
        <w:br w:type="page"/>
      </w:r>
    </w:p>
    <w:p>
      <w:pPr>
        <w:jc w:val="center"/>
        <w:rPr>
          <w:rFonts w:hint="eastAsia" w:ascii="Times New Roman" w:hAnsi="Times New Roman" w:eastAsia="宋体"/>
          <w:color w:val="auto"/>
          <w:highlight w:val="none"/>
        </w:rPr>
      </w:pPr>
    </w:p>
    <w:p>
      <w:pPr>
        <w:pStyle w:val="2"/>
        <w:rPr>
          <w:rFonts w:hint="default" w:ascii="Times New Roman" w:hAnsi="Times New Roman" w:eastAsia="宋体"/>
          <w:b/>
          <w:bCs/>
          <w:color w:val="auto"/>
          <w:sz w:val="32"/>
          <w:szCs w:val="32"/>
          <w:highlight w:val="none"/>
          <w:lang w:val="en-US" w:eastAsia="zh-CN"/>
        </w:rPr>
      </w:pPr>
      <w:bookmarkStart w:id="484" w:name="_Toc23711"/>
      <w:bookmarkStart w:id="485" w:name="_Toc22820"/>
      <w:bookmarkStart w:id="486" w:name="_附录B  勘探岩芯摆放及照片拍摄"/>
      <w:r>
        <w:rPr>
          <w:rFonts w:ascii="Times New Roman" w:hAnsi="Times New Roman" w:eastAsia="宋体"/>
          <w:b/>
          <w:bCs/>
          <w:color w:val="auto"/>
          <w:sz w:val="32"/>
          <w:szCs w:val="32"/>
          <w:highlight w:val="none"/>
        </w:rPr>
        <w:t>附录</w:t>
      </w:r>
      <w:r>
        <w:rPr>
          <w:rFonts w:hint="eastAsia" w:ascii="Times New Roman" w:hAnsi="Times New Roman" w:eastAsia="宋体"/>
          <w:b/>
          <w:bCs/>
          <w:color w:val="auto"/>
          <w:sz w:val="32"/>
          <w:szCs w:val="32"/>
          <w:highlight w:val="none"/>
          <w:lang w:val="en-US" w:eastAsia="zh-CN"/>
        </w:rPr>
        <w:t>B</w:t>
      </w:r>
      <w:r>
        <w:rPr>
          <w:rFonts w:ascii="Times New Roman" w:hAnsi="Times New Roman" w:eastAsia="宋体"/>
          <w:b/>
          <w:bCs/>
          <w:color w:val="auto"/>
          <w:sz w:val="32"/>
          <w:szCs w:val="32"/>
          <w:highlight w:val="none"/>
        </w:rPr>
        <w:t xml:space="preserve"> </w:t>
      </w:r>
      <w:r>
        <w:rPr>
          <w:rFonts w:hint="eastAsia"/>
          <w:b/>
          <w:bCs/>
          <w:color w:val="auto"/>
          <w:sz w:val="32"/>
          <w:szCs w:val="32"/>
          <w:highlight w:val="none"/>
          <w:lang w:val="en-US" w:eastAsia="zh-CN"/>
        </w:rPr>
        <w:t xml:space="preserve"> </w:t>
      </w:r>
      <w:r>
        <w:rPr>
          <w:rFonts w:hint="eastAsia" w:ascii="Times New Roman" w:hAnsi="Times New Roman" w:eastAsia="宋体"/>
          <w:b/>
          <w:bCs/>
          <w:color w:val="auto"/>
          <w:sz w:val="32"/>
          <w:szCs w:val="32"/>
          <w:highlight w:val="none"/>
          <w:lang w:val="en-US" w:eastAsia="zh-CN"/>
        </w:rPr>
        <w:t>勘探岩芯摆放及照片拍摄</w:t>
      </w:r>
      <w:bookmarkEnd w:id="484"/>
      <w:bookmarkEnd w:id="485"/>
    </w:p>
    <w:bookmarkEnd w:id="486"/>
    <w:p>
      <w:pPr>
        <w:tabs>
          <w:tab w:val="center" w:pos="4410"/>
          <w:tab w:val="right" w:pos="9240"/>
        </w:tabs>
        <w:autoSpaceDE w:val="0"/>
        <w:autoSpaceDN w:val="0"/>
        <w:adjustRightInd w:val="0"/>
        <w:spacing w:line="360" w:lineRule="auto"/>
        <w:jc w:val="left"/>
        <w:rPr>
          <w:rFonts w:hint="default" w:ascii="Times New Roman" w:hAnsi="Times New Roman" w:eastAsia="宋体"/>
          <w:color w:val="auto"/>
          <w:szCs w:val="21"/>
          <w:highlight w:val="none"/>
          <w:lang w:val="en-US" w:eastAsia="zh-CN"/>
        </w:rPr>
      </w:pPr>
      <w:r>
        <w:rPr>
          <w:rFonts w:hint="eastAsia" w:ascii="Times New Roman" w:hAnsi="Times New Roman" w:eastAsia="宋体"/>
          <w:b/>
          <w:bCs/>
          <w:color w:val="auto"/>
          <w:szCs w:val="21"/>
          <w:highlight w:val="none"/>
          <w:lang w:val="en-US" w:eastAsia="zh-CN"/>
        </w:rPr>
        <w:t>B.0.1</w:t>
      </w:r>
      <w:r>
        <w:rPr>
          <w:rFonts w:hint="eastAsia" w:ascii="Times New Roman" w:hAnsi="Times New Roman" w:eastAsia="宋体"/>
          <w:color w:val="auto"/>
          <w:szCs w:val="21"/>
          <w:highlight w:val="none"/>
          <w:lang w:val="en-US" w:eastAsia="zh-CN"/>
        </w:rPr>
        <w:t xml:space="preserve"> </w:t>
      </w:r>
      <w:r>
        <w:rPr>
          <w:rFonts w:hint="eastAsia"/>
          <w:color w:val="auto"/>
          <w:szCs w:val="21"/>
          <w:highlight w:val="none"/>
          <w:lang w:val="en-US" w:eastAsia="zh-CN"/>
        </w:rPr>
        <w:t xml:space="preserve"> </w:t>
      </w:r>
      <w:r>
        <w:rPr>
          <w:rFonts w:hint="eastAsia" w:ascii="Times New Roman" w:hAnsi="Times New Roman" w:eastAsia="宋体"/>
          <w:color w:val="auto"/>
          <w:szCs w:val="21"/>
          <w:highlight w:val="none"/>
          <w:lang w:val="en-US" w:eastAsia="zh-CN"/>
        </w:rPr>
        <w:t>本条规定岩芯摆放及岩芯照片拍摄要求，目的在于通过查看岩芯照片即可直观判断岩土层所处深度，方便岩芯照片作为勘察成果时的使用。整理勘察成果时不应降低岩芯照片的自然分辨率，以保证提供的勘察成果中岩芯照片清晰，最大程度地保留岩土层结构、构造特征和颜色，向勘察成果使用人还原岩芯的现场观感</w:t>
      </w:r>
      <w:r>
        <w:rPr>
          <w:rFonts w:hint="eastAsia"/>
          <w:color w:val="auto"/>
          <w:szCs w:val="21"/>
          <w:highlight w:val="none"/>
          <w:lang w:val="en-US" w:eastAsia="zh-CN"/>
        </w:rPr>
        <w:t>。</w:t>
      </w:r>
    </w:p>
    <w:p>
      <w:pPr>
        <w:rPr>
          <w:rFonts w:ascii="Times New Roman" w:hAnsi="Times New Roman" w:eastAsia="宋体"/>
          <w:color w:val="auto"/>
          <w:highlight w:val="none"/>
        </w:rPr>
      </w:pPr>
      <w:r>
        <w:rPr>
          <w:rFonts w:ascii="Times New Roman" w:hAnsi="Times New Roman" w:eastAsia="宋体"/>
          <w:color w:val="auto"/>
          <w:highlight w:val="none"/>
        </w:rPr>
        <w:br w:type="page"/>
      </w:r>
    </w:p>
    <w:p>
      <w:pPr>
        <w:rPr>
          <w:rFonts w:ascii="Times New Roman" w:hAnsi="Times New Roman" w:eastAsia="宋体"/>
          <w:color w:val="auto"/>
          <w:sz w:val="10"/>
          <w:szCs w:val="10"/>
          <w:highlight w:val="none"/>
        </w:rPr>
      </w:pPr>
    </w:p>
    <w:p>
      <w:pPr>
        <w:pStyle w:val="2"/>
        <w:rPr>
          <w:rFonts w:ascii="Times New Roman" w:hAnsi="Times New Roman" w:eastAsia="宋体" w:cs="Times New Roman"/>
          <w:b/>
          <w:bCs/>
          <w:color w:val="auto"/>
          <w:sz w:val="32"/>
          <w:szCs w:val="32"/>
          <w:highlight w:val="none"/>
        </w:rPr>
      </w:pPr>
      <w:bookmarkStart w:id="487" w:name="_Toc1494"/>
      <w:bookmarkStart w:id="488" w:name="_Toc9927"/>
      <w:bookmarkStart w:id="489" w:name="_附录D  圆锥动力触探和标准贯入锤击数修正"/>
      <w:r>
        <w:rPr>
          <w:rFonts w:ascii="Times New Roman" w:hAnsi="Times New Roman" w:eastAsia="宋体" w:cs="Times New Roman"/>
          <w:b/>
          <w:bCs/>
          <w:color w:val="auto"/>
          <w:sz w:val="32"/>
          <w:szCs w:val="32"/>
          <w:highlight w:val="none"/>
        </w:rPr>
        <w:t>附录</w:t>
      </w:r>
      <w:r>
        <w:rPr>
          <w:rFonts w:hint="eastAsia" w:ascii="Times New Roman" w:hAnsi="Times New Roman" w:eastAsia="宋体" w:cs="Times New Roman"/>
          <w:b/>
          <w:bCs/>
          <w:color w:val="auto"/>
          <w:sz w:val="32"/>
          <w:szCs w:val="32"/>
          <w:highlight w:val="none"/>
          <w:lang w:val="en-US" w:eastAsia="zh-CN"/>
        </w:rPr>
        <w:t>D</w:t>
      </w:r>
      <w:r>
        <w:rPr>
          <w:rFonts w:ascii="Times New Roman" w:hAnsi="Times New Roman" w:eastAsia="宋体" w:cs="Times New Roman"/>
          <w:b/>
          <w:bCs/>
          <w:color w:val="auto"/>
          <w:sz w:val="32"/>
          <w:szCs w:val="32"/>
          <w:highlight w:val="none"/>
        </w:rPr>
        <w:t xml:space="preserve">  圆锥动力触探和标准贯入锤击数修正</w:t>
      </w:r>
      <w:bookmarkEnd w:id="487"/>
      <w:bookmarkEnd w:id="488"/>
    </w:p>
    <w:bookmarkEnd w:id="489"/>
    <w:p>
      <w:pPr>
        <w:spacing w:line="360" w:lineRule="auto"/>
        <w:rPr>
          <w:rFonts w:hint="eastAsia" w:ascii="Times New Roman" w:hAnsi="Times New Roman" w:eastAsia="宋体"/>
          <w:color w:val="auto"/>
          <w:highlight w:val="none"/>
        </w:rPr>
      </w:pPr>
      <w:r>
        <w:rPr>
          <w:rFonts w:hint="eastAsia" w:ascii="Times New Roman" w:hAnsi="Times New Roman" w:eastAsia="宋体"/>
          <w:b/>
          <w:bCs/>
          <w:color w:val="auto"/>
          <w:highlight w:val="none"/>
          <w:lang w:val="en-US" w:eastAsia="zh-CN"/>
        </w:rPr>
        <w:t>D</w:t>
      </w:r>
      <w:r>
        <w:rPr>
          <w:rFonts w:ascii="Times New Roman" w:hAnsi="Times New Roman" w:eastAsia="宋体"/>
          <w:b/>
          <w:bCs/>
          <w:color w:val="auto"/>
          <w:highlight w:val="none"/>
        </w:rPr>
        <w:t xml:space="preserve">.0.1 </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本条根据《岩土工程勘察规范》</w:t>
      </w:r>
      <w:r>
        <w:rPr>
          <w:rFonts w:hint="eastAsia" w:ascii="Times New Roman" w:hAnsi="Times New Roman" w:eastAsia="宋体"/>
          <w:color w:val="auto"/>
          <w:highlight w:val="none"/>
        </w:rPr>
        <w:t>GB</w:t>
      </w:r>
      <w:r>
        <w:rPr>
          <w:rFonts w:hint="eastAsia" w:ascii="Times New Roman" w:hAnsi="Times New Roman" w:eastAsia="宋体"/>
          <w:color w:val="auto"/>
          <w:highlight w:val="none"/>
          <w:lang w:val="en-US" w:eastAsia="zh-CN"/>
        </w:rPr>
        <w:t xml:space="preserve"> </w:t>
      </w:r>
      <w:r>
        <w:rPr>
          <w:rFonts w:hint="eastAsia" w:ascii="Times New Roman" w:hAnsi="Times New Roman" w:eastAsia="宋体"/>
          <w:color w:val="auto"/>
          <w:highlight w:val="none"/>
        </w:rPr>
        <w:t>50021-2001</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2009版）附录B</w:t>
      </w:r>
      <w:r>
        <w:rPr>
          <w:rFonts w:hint="eastAsia" w:ascii="Times New Roman" w:hAnsi="Times New Roman" w:eastAsia="宋体"/>
          <w:color w:val="auto"/>
          <w:highlight w:val="none"/>
        </w:rPr>
        <w:t>。</w:t>
      </w:r>
    </w:p>
    <w:p>
      <w:pPr>
        <w:rPr>
          <w:rFonts w:eastAsia="楷体"/>
          <w:color w:val="auto"/>
          <w:sz w:val="21"/>
          <w:szCs w:val="21"/>
          <w:highlight w:val="none"/>
        </w:rPr>
      </w:pPr>
      <w:r>
        <w:rPr>
          <w:rFonts w:hint="eastAsia" w:ascii="Times New Roman" w:hAnsi="Times New Roman" w:eastAsia="宋体"/>
          <w:b/>
          <w:bCs/>
          <w:color w:val="auto"/>
          <w:highlight w:val="none"/>
          <w:lang w:val="en-US" w:eastAsia="zh-CN"/>
        </w:rPr>
        <w:t>D</w:t>
      </w:r>
      <w:r>
        <w:rPr>
          <w:rFonts w:ascii="Times New Roman" w:hAnsi="Times New Roman" w:eastAsia="宋体"/>
          <w:b/>
          <w:bCs/>
          <w:color w:val="auto"/>
          <w:highlight w:val="none"/>
        </w:rPr>
        <w:t>.0.</w:t>
      </w:r>
      <w:r>
        <w:rPr>
          <w:rFonts w:hint="eastAsia" w:ascii="Times New Roman" w:hAnsi="Times New Roman" w:eastAsia="宋体"/>
          <w:b/>
          <w:bCs/>
          <w:color w:val="auto"/>
          <w:highlight w:val="none"/>
          <w:lang w:val="en-US" w:eastAsia="zh-CN"/>
        </w:rPr>
        <w:t>2</w:t>
      </w:r>
      <w:r>
        <w:rPr>
          <w:rFonts w:ascii="Times New Roman" w:hAnsi="Times New Roman" w:eastAsia="宋体"/>
          <w:b/>
          <w:bCs/>
          <w:color w:val="auto"/>
          <w:highlight w:val="none"/>
        </w:rPr>
        <w:t xml:space="preserve"> </w:t>
      </w:r>
      <w:r>
        <w:rPr>
          <w:rFonts w:hint="eastAsia"/>
          <w:b/>
          <w:bCs/>
          <w:color w:val="auto"/>
          <w:highlight w:val="none"/>
          <w:lang w:val="en-US" w:eastAsia="zh-CN"/>
        </w:rPr>
        <w:t xml:space="preserve"> </w:t>
      </w:r>
      <w:r>
        <w:rPr>
          <w:rFonts w:hint="eastAsia" w:ascii="Times New Roman" w:hAnsi="Times New Roman" w:eastAsia="宋体"/>
          <w:color w:val="auto"/>
          <w:highlight w:val="none"/>
          <w:lang w:val="en-US" w:eastAsia="zh-CN"/>
        </w:rPr>
        <w:t>本条根据广东省地方标准《建筑地基基础设计规范》DBJ 15-31-2016表L.0.1。</w:t>
      </w:r>
    </w:p>
    <w:p>
      <w:pPr>
        <w:spacing w:line="360" w:lineRule="auto"/>
        <w:rPr>
          <w:rFonts w:hint="eastAsia" w:ascii="Times New Roman" w:hAnsi="Times New Roman" w:eastAsia="宋体"/>
          <w:color w:val="auto"/>
          <w:highlight w:val="none"/>
        </w:rPr>
      </w:pPr>
    </w:p>
    <w:p>
      <w:pPr>
        <w:spacing w:line="360" w:lineRule="auto"/>
        <w:ind w:firstLine="420" w:firstLineChars="200"/>
        <w:rPr>
          <w:rFonts w:hint="default" w:ascii="Times New Roman" w:hAnsi="Times New Roman" w:eastAsia="宋体"/>
          <w:color w:val="auto"/>
          <w:highlight w:val="none"/>
          <w:lang w:val="en-US" w:eastAsia="zh-CN"/>
        </w:rPr>
      </w:pPr>
    </w:p>
    <w:p>
      <w:pPr>
        <w:widowControl/>
        <w:jc w:val="left"/>
        <w:rPr>
          <w:rFonts w:ascii="Times New Roman" w:hAnsi="Times New Roman" w:eastAsia="宋体"/>
          <w:color w:val="auto"/>
          <w:highlight w:val="none"/>
        </w:rPr>
      </w:pPr>
      <w:r>
        <w:rPr>
          <w:rFonts w:ascii="Times New Roman" w:hAnsi="Times New Roman" w:eastAsia="宋体"/>
          <w:color w:val="auto"/>
          <w:highlight w:val="none"/>
        </w:rPr>
        <w:br w:type="page"/>
      </w:r>
    </w:p>
    <w:p>
      <w:pPr>
        <w:rPr>
          <w:rFonts w:ascii="Times New Roman" w:hAnsi="Times New Roman" w:eastAsia="宋体"/>
          <w:color w:val="auto"/>
          <w:sz w:val="10"/>
          <w:szCs w:val="10"/>
          <w:highlight w:val="none"/>
        </w:rPr>
      </w:pPr>
    </w:p>
    <w:p>
      <w:pPr>
        <w:pStyle w:val="2"/>
        <w:rPr>
          <w:rFonts w:ascii="Times New Roman" w:hAnsi="Times New Roman" w:eastAsia="宋体"/>
          <w:b/>
          <w:bCs/>
          <w:color w:val="auto"/>
          <w:sz w:val="32"/>
          <w:szCs w:val="32"/>
          <w:highlight w:val="none"/>
        </w:rPr>
      </w:pPr>
      <w:bookmarkStart w:id="490" w:name="_Toc17568"/>
      <w:bookmarkStart w:id="491" w:name="_Toc9157"/>
      <w:bookmarkStart w:id="492" w:name="_Toc76998346"/>
      <w:bookmarkStart w:id="493" w:name="_附录E  路基干湿状态"/>
      <w:r>
        <w:rPr>
          <w:rFonts w:ascii="Times New Roman" w:hAnsi="Times New Roman" w:eastAsia="宋体"/>
          <w:b/>
          <w:bCs/>
          <w:color w:val="auto"/>
          <w:sz w:val="32"/>
          <w:szCs w:val="32"/>
          <w:highlight w:val="none"/>
        </w:rPr>
        <w:t>附录</w:t>
      </w:r>
      <w:r>
        <w:rPr>
          <w:rFonts w:hint="eastAsia" w:ascii="Times New Roman" w:hAnsi="Times New Roman" w:eastAsia="宋体"/>
          <w:b/>
          <w:bCs/>
          <w:color w:val="auto"/>
          <w:sz w:val="32"/>
          <w:szCs w:val="32"/>
          <w:highlight w:val="none"/>
          <w:lang w:val="en-US" w:eastAsia="zh-CN"/>
        </w:rPr>
        <w:t>E</w:t>
      </w:r>
      <w:r>
        <w:rPr>
          <w:rFonts w:ascii="Times New Roman" w:hAnsi="Times New Roman" w:eastAsia="宋体"/>
          <w:b/>
          <w:bCs/>
          <w:color w:val="auto"/>
          <w:sz w:val="32"/>
          <w:szCs w:val="32"/>
          <w:highlight w:val="none"/>
        </w:rPr>
        <w:t xml:space="preserve"> </w:t>
      </w:r>
      <w:r>
        <w:rPr>
          <w:rFonts w:hint="eastAsia"/>
          <w:b/>
          <w:bCs/>
          <w:color w:val="auto"/>
          <w:sz w:val="32"/>
          <w:szCs w:val="32"/>
          <w:highlight w:val="none"/>
          <w:lang w:val="en-US" w:eastAsia="zh-CN"/>
        </w:rPr>
        <w:t xml:space="preserve"> </w:t>
      </w:r>
      <w:r>
        <w:rPr>
          <w:rFonts w:ascii="Times New Roman" w:hAnsi="Times New Roman" w:eastAsia="宋体"/>
          <w:b/>
          <w:bCs/>
          <w:color w:val="auto"/>
          <w:sz w:val="32"/>
          <w:szCs w:val="32"/>
          <w:highlight w:val="none"/>
        </w:rPr>
        <w:t>路基干湿状态</w:t>
      </w:r>
      <w:bookmarkEnd w:id="490"/>
      <w:bookmarkEnd w:id="491"/>
      <w:bookmarkEnd w:id="492"/>
    </w:p>
    <w:bookmarkEnd w:id="493"/>
    <w:p>
      <w:pPr>
        <w:spacing w:line="360" w:lineRule="auto"/>
        <w:ind w:firstLine="420" w:firstLineChars="200"/>
        <w:jc w:val="left"/>
        <w:rPr>
          <w:rFonts w:ascii="Times New Roman" w:hAnsi="Times New Roman" w:eastAsia="宋体"/>
          <w:color w:val="auto"/>
          <w:szCs w:val="21"/>
          <w:highlight w:val="none"/>
        </w:rPr>
      </w:pPr>
      <w:r>
        <w:rPr>
          <w:rFonts w:ascii="Times New Roman" w:hAnsi="Times New Roman" w:eastAsia="宋体"/>
          <w:color w:val="auto"/>
          <w:szCs w:val="21"/>
          <w:highlight w:val="none"/>
        </w:rPr>
        <w:t>表</w:t>
      </w:r>
      <w:r>
        <w:rPr>
          <w:rFonts w:hint="eastAsia" w:ascii="Times New Roman" w:hAnsi="Times New Roman" w:eastAsia="宋体"/>
          <w:color w:val="auto"/>
          <w:szCs w:val="21"/>
          <w:highlight w:val="none"/>
          <w:lang w:val="en-US" w:eastAsia="zh-CN"/>
        </w:rPr>
        <w:t>E.0.1-1、E.0.1-2</w:t>
      </w:r>
      <w:r>
        <w:rPr>
          <w:rFonts w:ascii="Times New Roman" w:hAnsi="Times New Roman" w:eastAsia="宋体"/>
          <w:color w:val="auto"/>
          <w:szCs w:val="21"/>
          <w:highlight w:val="none"/>
        </w:rPr>
        <w:t>引用自《城市道路路基设计规范》CJJ 194-2013 表4.2.1。</w:t>
      </w:r>
    </w:p>
    <w:p>
      <w:pPr>
        <w:spacing w:line="360" w:lineRule="auto"/>
        <w:ind w:firstLine="420" w:firstLineChars="200"/>
        <w:jc w:val="left"/>
        <w:rPr>
          <w:rFonts w:ascii="Times New Roman" w:hAnsi="Times New Roman" w:eastAsia="宋体"/>
          <w:color w:val="auto"/>
          <w:szCs w:val="21"/>
          <w:highlight w:val="none"/>
        </w:rPr>
      </w:pPr>
      <w:r>
        <w:rPr>
          <w:rFonts w:hint="eastAsia" w:ascii="Times New Roman" w:hAnsi="Times New Roman" w:eastAsia="宋体"/>
          <w:color w:val="auto"/>
          <w:szCs w:val="21"/>
          <w:highlight w:val="none"/>
          <w:lang w:val="en-US" w:eastAsia="zh-CN"/>
        </w:rPr>
        <w:t>与本规范5.4.6的条文说明中表5-2一致，依照4.3“土的分类”，本</w:t>
      </w:r>
      <w:r>
        <w:rPr>
          <w:rFonts w:ascii="Times New Roman" w:hAnsi="Times New Roman" w:eastAsia="宋体"/>
          <w:color w:val="auto"/>
          <w:szCs w:val="21"/>
          <w:highlight w:val="none"/>
        </w:rPr>
        <w:t>规范</w:t>
      </w:r>
      <w:r>
        <w:rPr>
          <w:rFonts w:hint="eastAsia" w:ascii="Times New Roman" w:hAnsi="Times New Roman" w:eastAsia="宋体"/>
          <w:color w:val="auto"/>
          <w:szCs w:val="21"/>
          <w:highlight w:val="none"/>
          <w:lang w:val="en-US" w:eastAsia="zh-CN"/>
        </w:rPr>
        <w:t>将原表中的</w:t>
      </w:r>
      <w:r>
        <w:rPr>
          <w:rFonts w:ascii="Times New Roman" w:hAnsi="Times New Roman" w:eastAsia="宋体"/>
          <w:color w:val="auto"/>
          <w:szCs w:val="21"/>
          <w:highlight w:val="none"/>
        </w:rPr>
        <w:t>土质砂、黏质土和粉质土三类土</w:t>
      </w:r>
      <w:r>
        <w:rPr>
          <w:rFonts w:hint="eastAsia" w:ascii="Times New Roman" w:hAnsi="Times New Roman" w:eastAsia="宋体"/>
          <w:color w:val="auto"/>
          <w:szCs w:val="21"/>
          <w:highlight w:val="none"/>
          <w:lang w:val="en-US" w:eastAsia="zh-CN"/>
        </w:rPr>
        <w:t>相应</w:t>
      </w:r>
      <w:r>
        <w:rPr>
          <w:rFonts w:ascii="Times New Roman" w:hAnsi="Times New Roman" w:eastAsia="宋体"/>
          <w:color w:val="auto"/>
          <w:szCs w:val="21"/>
          <w:highlight w:val="none"/>
        </w:rPr>
        <w:t>改为了砂土、黏性土和粉土。</w:t>
      </w:r>
    </w:p>
    <w:p>
      <w:pPr>
        <w:spacing w:line="360" w:lineRule="auto"/>
        <w:ind w:firstLine="420" w:firstLineChars="200"/>
        <w:jc w:val="left"/>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用于判定路基干湿状态的路基相对高度</w:t>
      </w:r>
      <w:r>
        <w:rPr>
          <w:rFonts w:hint="eastAsia" w:ascii="Times New Roman" w:hAnsi="Times New Roman" w:eastAsia="宋体"/>
          <w:i/>
          <w:iCs/>
          <w:color w:val="auto"/>
          <w:szCs w:val="21"/>
          <w:highlight w:val="none"/>
          <w:lang w:val="en-US" w:eastAsia="zh-CN"/>
        </w:rPr>
        <w:t>H</w:t>
      </w:r>
      <w:r>
        <w:rPr>
          <w:rFonts w:hint="eastAsia" w:ascii="Times New Roman" w:hAnsi="Times New Roman" w:eastAsia="宋体"/>
          <w:color w:val="auto"/>
          <w:szCs w:val="21"/>
          <w:highlight w:val="none"/>
          <w:lang w:val="en-US" w:eastAsia="zh-CN"/>
        </w:rPr>
        <w:t>，是指路基底面与水位面之间的相对高度。根据《公路沥青路面设计规范》JTG D50-2006附录F，地下水毛细作用影响区高度，对于砂土一般为0.9~1.6m，对于黏性土一般为0.8~2.2m，而对于粉土一般为0.8~3.0m；长期积水毛细作用影响区高度，对于砂土一般为0.6~1.2m，对于黏性土一般为0.75~1.7m，而对于粉土一般为0.9~1.9m；临时积水毛细作用影响区高度，对于砂土一般为0.4~0.9m，对于黏性土一般为0.45~1.3m，而对于粉土一般为0.5~1.6m。在此影响区范围，处于上面半段可定为潮湿，处于下面半段可定为过湿。</w:t>
      </w:r>
    </w:p>
    <w:p>
      <w:pPr>
        <w:widowControl/>
        <w:jc w:val="left"/>
        <w:rPr>
          <w:rFonts w:ascii="Times New Roman" w:hAnsi="Times New Roman" w:eastAsia="宋体"/>
          <w:color w:val="auto"/>
          <w:szCs w:val="21"/>
          <w:highlight w:val="none"/>
        </w:rPr>
      </w:pPr>
      <w:r>
        <w:rPr>
          <w:rFonts w:ascii="Times New Roman" w:hAnsi="Times New Roman" w:eastAsia="宋体"/>
          <w:color w:val="auto"/>
          <w:szCs w:val="21"/>
          <w:highlight w:val="none"/>
        </w:rPr>
        <w:br w:type="page"/>
      </w:r>
    </w:p>
    <w:p>
      <w:pPr>
        <w:rPr>
          <w:rFonts w:ascii="Times New Roman" w:hAnsi="Times New Roman" w:eastAsia="宋体"/>
          <w:color w:val="auto"/>
          <w:sz w:val="10"/>
          <w:szCs w:val="10"/>
          <w:highlight w:val="none"/>
        </w:rPr>
      </w:pPr>
    </w:p>
    <w:p>
      <w:pPr>
        <w:pStyle w:val="2"/>
        <w:rPr>
          <w:rFonts w:ascii="Times New Roman" w:hAnsi="Times New Roman" w:eastAsia="宋体"/>
          <w:b/>
          <w:bCs/>
          <w:color w:val="auto"/>
          <w:sz w:val="32"/>
          <w:szCs w:val="32"/>
          <w:highlight w:val="none"/>
        </w:rPr>
      </w:pPr>
      <w:bookmarkStart w:id="494" w:name="_Toc76998351"/>
      <w:bookmarkStart w:id="495" w:name="_Toc18586"/>
      <w:bookmarkStart w:id="496" w:name="_Toc30802"/>
      <w:bookmarkStart w:id="497" w:name="_附录F  隧道围岩分级"/>
      <w:r>
        <w:rPr>
          <w:rFonts w:ascii="Times New Roman" w:hAnsi="Times New Roman" w:eastAsia="宋体"/>
          <w:b/>
          <w:bCs/>
          <w:color w:val="auto"/>
          <w:sz w:val="32"/>
          <w:szCs w:val="32"/>
          <w:highlight w:val="none"/>
        </w:rPr>
        <w:t>附录</w:t>
      </w:r>
      <w:r>
        <w:rPr>
          <w:rFonts w:hint="eastAsia" w:ascii="Times New Roman" w:hAnsi="Times New Roman" w:eastAsia="宋体"/>
          <w:b/>
          <w:bCs/>
          <w:color w:val="auto"/>
          <w:sz w:val="32"/>
          <w:szCs w:val="32"/>
          <w:highlight w:val="none"/>
          <w:lang w:val="en-US" w:eastAsia="zh-CN"/>
        </w:rPr>
        <w:t>F</w:t>
      </w:r>
      <w:r>
        <w:rPr>
          <w:rFonts w:hint="eastAsia"/>
          <w:b/>
          <w:bCs/>
          <w:color w:val="auto"/>
          <w:sz w:val="32"/>
          <w:szCs w:val="32"/>
          <w:highlight w:val="none"/>
          <w:lang w:val="en-US" w:eastAsia="zh-CN"/>
        </w:rPr>
        <w:t xml:space="preserve"> </w:t>
      </w:r>
      <w:r>
        <w:rPr>
          <w:rFonts w:ascii="Times New Roman" w:hAnsi="Times New Roman" w:eastAsia="宋体"/>
          <w:b/>
          <w:bCs/>
          <w:color w:val="auto"/>
          <w:sz w:val="32"/>
          <w:szCs w:val="32"/>
          <w:highlight w:val="none"/>
        </w:rPr>
        <w:t xml:space="preserve"> 隧道围岩分级</w:t>
      </w:r>
      <w:bookmarkEnd w:id="494"/>
      <w:bookmarkEnd w:id="495"/>
      <w:bookmarkEnd w:id="496"/>
    </w:p>
    <w:bookmarkEnd w:id="497"/>
    <w:p>
      <w:pPr>
        <w:tabs>
          <w:tab w:val="center" w:pos="4410"/>
          <w:tab w:val="right" w:pos="9240"/>
        </w:tabs>
        <w:autoSpaceDE w:val="0"/>
        <w:autoSpaceDN w:val="0"/>
        <w:adjustRightInd w:val="0"/>
        <w:spacing w:line="360" w:lineRule="auto"/>
        <w:jc w:val="left"/>
        <w:rPr>
          <w:rFonts w:ascii="Times New Roman" w:hAnsi="Times New Roman" w:eastAsia="宋体"/>
          <w:color w:val="auto"/>
          <w:szCs w:val="21"/>
          <w:highlight w:val="none"/>
        </w:rPr>
      </w:pPr>
      <w:r>
        <w:rPr>
          <w:rFonts w:hint="eastAsia" w:ascii="Times New Roman" w:hAnsi="Times New Roman" w:eastAsia="宋体"/>
          <w:b/>
          <w:bCs/>
          <w:color w:val="auto"/>
          <w:szCs w:val="21"/>
          <w:highlight w:val="none"/>
          <w:lang w:val="en-US" w:eastAsia="zh-CN"/>
        </w:rPr>
        <w:t>F.0.1</w:t>
      </w:r>
      <w:r>
        <w:rPr>
          <w:rFonts w:hint="eastAsia" w:ascii="Times New Roman" w:hAnsi="Times New Roman" w:eastAsia="宋体"/>
          <w:color w:val="auto"/>
          <w:szCs w:val="21"/>
          <w:highlight w:val="none"/>
          <w:lang w:val="en-US" w:eastAsia="zh-CN"/>
        </w:rPr>
        <w:t xml:space="preserve"> </w:t>
      </w:r>
      <w:r>
        <w:rPr>
          <w:rFonts w:hint="eastAsia"/>
          <w:color w:val="auto"/>
          <w:szCs w:val="21"/>
          <w:highlight w:val="none"/>
          <w:lang w:val="en-US" w:eastAsia="zh-CN"/>
        </w:rPr>
        <w:t xml:space="preserve"> </w:t>
      </w:r>
      <w:r>
        <w:rPr>
          <w:rFonts w:ascii="Times New Roman" w:hAnsi="Times New Roman" w:eastAsia="宋体"/>
          <w:color w:val="auto"/>
          <w:szCs w:val="21"/>
          <w:highlight w:val="none"/>
        </w:rPr>
        <w:t>表</w:t>
      </w:r>
      <w:r>
        <w:rPr>
          <w:rFonts w:hint="eastAsia" w:ascii="Times New Roman" w:hAnsi="Times New Roman" w:eastAsia="宋体"/>
          <w:color w:val="auto"/>
          <w:szCs w:val="21"/>
          <w:highlight w:val="none"/>
          <w:lang w:val="en-US" w:eastAsia="zh-CN"/>
        </w:rPr>
        <w:t>F.0.1</w:t>
      </w:r>
      <w:r>
        <w:rPr>
          <w:rFonts w:ascii="Times New Roman" w:hAnsi="Times New Roman" w:eastAsia="宋体"/>
          <w:color w:val="auto"/>
          <w:szCs w:val="21"/>
          <w:highlight w:val="none"/>
        </w:rPr>
        <w:t>主要引用《市政工程勘察规范》CJJ 56-2012及《城市轨道交通岩土工程勘察规范》GB 50307-2012，并参考《铁路隧道设计规范》TB 0003-20</w:t>
      </w:r>
      <w:r>
        <w:rPr>
          <w:rFonts w:hint="eastAsia" w:ascii="Times New Roman" w:hAnsi="Times New Roman" w:eastAsia="宋体"/>
          <w:color w:val="auto"/>
          <w:szCs w:val="21"/>
          <w:highlight w:val="none"/>
        </w:rPr>
        <w:t>16</w:t>
      </w:r>
      <w:r>
        <w:rPr>
          <w:rFonts w:ascii="Times New Roman" w:hAnsi="Times New Roman" w:eastAsia="宋体"/>
          <w:color w:val="auto"/>
          <w:szCs w:val="21"/>
          <w:highlight w:val="none"/>
        </w:rPr>
        <w:t>。其中，《市政工程勘察规范》和《城市轨道交通岩土工程勘察规范》关于Ⅲ、Ⅳ类围岩的主要工程地质特征的描述均有明显错误，包括岩体受地质构造影响的严重程度和节理发育情况有误，两者错得一模一样，因此，在此参照《铁路隧道设计规范》进行了修订。</w:t>
      </w:r>
    </w:p>
    <w:p>
      <w:pPr>
        <w:keepNext w:val="0"/>
        <w:keepLines w:val="0"/>
        <w:pageBreakBefore w:val="0"/>
        <w:widowControl w:val="0"/>
        <w:tabs>
          <w:tab w:val="center" w:pos="4410"/>
          <w:tab w:val="right" w:pos="9240"/>
        </w:tabs>
        <w:kinsoku/>
        <w:wordWrap/>
        <w:overflowPunct/>
        <w:topLinePunct w:val="0"/>
        <w:autoSpaceDE w:val="0"/>
        <w:autoSpaceDN w:val="0"/>
        <w:bidi w:val="0"/>
        <w:adjustRightInd w:val="0"/>
        <w:snapToGrid/>
        <w:spacing w:line="360" w:lineRule="auto"/>
        <w:ind w:left="0" w:leftChars="0" w:firstLine="420" w:firstLineChars="200"/>
        <w:jc w:val="left"/>
        <w:textAlignment w:val="auto"/>
        <w:rPr>
          <w:rFonts w:ascii="Times New Roman" w:hAnsi="Times New Roman" w:eastAsia="宋体"/>
          <w:color w:val="auto"/>
          <w:szCs w:val="21"/>
          <w:highlight w:val="none"/>
        </w:rPr>
      </w:pPr>
      <w:r>
        <w:rPr>
          <w:rFonts w:ascii="Times New Roman" w:hAnsi="Times New Roman" w:eastAsia="宋体"/>
          <w:color w:val="auto"/>
          <w:szCs w:val="21"/>
          <w:highlight w:val="none"/>
        </w:rPr>
        <w:t>此外，由于广东省没有黄土，表中将相应内容删除。所谓卵石土、粗圆砾土、粗角砾土、大块石土、圆砾土、角砾土，按照</w:t>
      </w:r>
      <w:r>
        <w:rPr>
          <w:rFonts w:ascii="Times New Roman" w:hAnsi="Times New Roman" w:eastAsia="宋体"/>
          <w:color w:val="auto"/>
          <w:highlight w:val="none"/>
        </w:rPr>
        <w:t>《岩土工程勘察规范》（2009年版）GB 50021-2001都属于碎石土，因此将其删去。</w:t>
      </w:r>
    </w:p>
    <w:p>
      <w:pPr>
        <w:tabs>
          <w:tab w:val="center" w:pos="4410"/>
          <w:tab w:val="right" w:pos="9240"/>
        </w:tabs>
        <w:autoSpaceDE w:val="0"/>
        <w:autoSpaceDN w:val="0"/>
        <w:adjustRightInd w:val="0"/>
        <w:spacing w:line="360" w:lineRule="auto"/>
        <w:jc w:val="left"/>
        <w:rPr>
          <w:rFonts w:hint="default" w:ascii="Times New Roman" w:hAnsi="Times New Roman" w:eastAsia="宋体"/>
          <w:color w:val="auto"/>
          <w:szCs w:val="21"/>
          <w:highlight w:val="none"/>
          <w:lang w:val="en-US" w:eastAsia="zh-CN"/>
        </w:rPr>
      </w:pPr>
      <w:r>
        <w:rPr>
          <w:rFonts w:hint="eastAsia" w:ascii="Times New Roman" w:hAnsi="Times New Roman" w:eastAsia="宋体"/>
          <w:b/>
          <w:bCs/>
          <w:color w:val="auto"/>
          <w:szCs w:val="21"/>
          <w:highlight w:val="none"/>
          <w:lang w:val="en-US" w:eastAsia="zh-CN"/>
        </w:rPr>
        <w:t>F.0.2</w:t>
      </w:r>
      <w:r>
        <w:rPr>
          <w:rFonts w:hint="eastAsia" w:ascii="Times New Roman" w:hAnsi="Times New Roman" w:eastAsia="宋体"/>
          <w:color w:val="auto"/>
          <w:szCs w:val="21"/>
          <w:highlight w:val="none"/>
          <w:lang w:val="en-US" w:eastAsia="zh-CN"/>
        </w:rPr>
        <w:t xml:space="preserve"> </w:t>
      </w:r>
      <w:r>
        <w:rPr>
          <w:rFonts w:hint="eastAsia"/>
          <w:color w:val="auto"/>
          <w:szCs w:val="21"/>
          <w:highlight w:val="none"/>
          <w:lang w:val="en-US" w:eastAsia="zh-CN"/>
        </w:rPr>
        <w:t xml:space="preserve"> </w:t>
      </w:r>
      <w:r>
        <w:rPr>
          <w:rFonts w:hint="eastAsia" w:ascii="Times New Roman" w:hAnsi="Times New Roman" w:eastAsia="宋体"/>
          <w:color w:val="auto"/>
          <w:szCs w:val="21"/>
          <w:highlight w:val="none"/>
          <w:lang w:val="en-US" w:eastAsia="zh-CN"/>
        </w:rPr>
        <w:t>本条主要</w:t>
      </w:r>
      <w:r>
        <w:rPr>
          <w:rFonts w:ascii="Times New Roman" w:hAnsi="Times New Roman" w:eastAsia="宋体"/>
          <w:color w:val="auto"/>
          <w:szCs w:val="21"/>
          <w:highlight w:val="none"/>
        </w:rPr>
        <w:t>根据《公路隧道设计规范》JTG 3370.1-2018第3.6.</w:t>
      </w:r>
      <w:r>
        <w:rPr>
          <w:rFonts w:hint="eastAsia" w:ascii="Times New Roman" w:hAnsi="Times New Roman" w:eastAsia="宋体"/>
          <w:color w:val="auto"/>
          <w:szCs w:val="21"/>
          <w:highlight w:val="none"/>
          <w:lang w:val="en-US" w:eastAsia="zh-CN"/>
        </w:rPr>
        <w:t>2~</w:t>
      </w:r>
      <w:r>
        <w:rPr>
          <w:rFonts w:ascii="Times New Roman" w:hAnsi="Times New Roman" w:eastAsia="宋体"/>
          <w:color w:val="auto"/>
          <w:szCs w:val="21"/>
          <w:highlight w:val="none"/>
        </w:rPr>
        <w:t>3.6.</w:t>
      </w:r>
      <w:r>
        <w:rPr>
          <w:rFonts w:hint="eastAsia" w:ascii="Times New Roman" w:hAnsi="Times New Roman" w:eastAsia="宋体"/>
          <w:color w:val="auto"/>
          <w:szCs w:val="21"/>
          <w:highlight w:val="none"/>
          <w:lang w:val="en-US" w:eastAsia="zh-CN"/>
        </w:rPr>
        <w:t>4</w:t>
      </w:r>
      <w:r>
        <w:rPr>
          <w:rFonts w:ascii="Times New Roman" w:hAnsi="Times New Roman" w:eastAsia="宋体"/>
          <w:color w:val="auto"/>
          <w:szCs w:val="21"/>
          <w:highlight w:val="none"/>
        </w:rPr>
        <w:t>条</w:t>
      </w:r>
      <w:r>
        <w:rPr>
          <w:rFonts w:hint="eastAsia" w:ascii="Times New Roman" w:hAnsi="Times New Roman" w:eastAsia="宋体"/>
          <w:color w:val="auto"/>
          <w:szCs w:val="21"/>
          <w:highlight w:val="none"/>
          <w:lang w:val="en-US" w:eastAsia="zh-CN"/>
        </w:rPr>
        <w:t>及附录A</w:t>
      </w:r>
      <w:r>
        <w:rPr>
          <w:rFonts w:ascii="Times New Roman" w:hAnsi="Times New Roman" w:eastAsia="宋体"/>
          <w:color w:val="auto"/>
          <w:szCs w:val="21"/>
          <w:highlight w:val="none"/>
        </w:rPr>
        <w:t>编制</w:t>
      </w:r>
      <w:r>
        <w:rPr>
          <w:rFonts w:hint="eastAsia" w:ascii="Times New Roman" w:hAnsi="Times New Roman" w:eastAsia="宋体"/>
          <w:color w:val="auto"/>
          <w:szCs w:val="21"/>
          <w:highlight w:val="none"/>
          <w:lang w:eastAsia="zh-CN"/>
        </w:rPr>
        <w:t>，</w:t>
      </w:r>
      <w:r>
        <w:rPr>
          <w:rFonts w:hint="eastAsia" w:ascii="Times New Roman" w:hAnsi="Times New Roman" w:eastAsia="宋体"/>
          <w:color w:val="auto"/>
          <w:szCs w:val="21"/>
          <w:highlight w:val="none"/>
          <w:lang w:val="en-US" w:eastAsia="zh-CN"/>
        </w:rPr>
        <w:t>并对照了</w:t>
      </w:r>
      <w:r>
        <w:rPr>
          <w:rFonts w:ascii="Times New Roman" w:hAnsi="Times New Roman" w:eastAsia="宋体"/>
          <w:color w:val="auto"/>
          <w:szCs w:val="21"/>
          <w:highlight w:val="none"/>
        </w:rPr>
        <w:t>《铁路隧道设计规范》TB 0003-20</w:t>
      </w:r>
      <w:r>
        <w:rPr>
          <w:rFonts w:hint="eastAsia" w:ascii="Times New Roman" w:hAnsi="Times New Roman" w:eastAsia="宋体"/>
          <w:color w:val="auto"/>
          <w:szCs w:val="21"/>
          <w:highlight w:val="none"/>
        </w:rPr>
        <w:t>16</w:t>
      </w:r>
      <w:r>
        <w:rPr>
          <w:rFonts w:ascii="Times New Roman" w:hAnsi="Times New Roman" w:eastAsia="宋体"/>
          <w:color w:val="auto"/>
          <w:szCs w:val="21"/>
          <w:highlight w:val="none"/>
        </w:rPr>
        <w:t>。</w:t>
      </w:r>
    </w:p>
    <w:p>
      <w:pPr>
        <w:keepNext w:val="0"/>
        <w:keepLines w:val="0"/>
        <w:pageBreakBefore w:val="0"/>
        <w:widowControl w:val="0"/>
        <w:tabs>
          <w:tab w:val="center" w:pos="4410"/>
          <w:tab w:val="right" w:pos="9240"/>
        </w:tabs>
        <w:kinsoku/>
        <w:wordWrap/>
        <w:overflowPunct/>
        <w:topLinePunct w:val="0"/>
        <w:autoSpaceDE w:val="0"/>
        <w:autoSpaceDN w:val="0"/>
        <w:bidi w:val="0"/>
        <w:adjustRightInd w:val="0"/>
        <w:snapToGrid/>
        <w:spacing w:line="360" w:lineRule="auto"/>
        <w:ind w:left="0" w:leftChars="0" w:firstLine="420" w:firstLineChars="200"/>
        <w:jc w:val="left"/>
        <w:textAlignment w:val="auto"/>
        <w:rPr>
          <w:rFonts w:ascii="Times New Roman" w:hAnsi="Times New Roman" w:eastAsia="宋体"/>
          <w:color w:val="auto"/>
          <w:szCs w:val="21"/>
          <w:highlight w:val="none"/>
        </w:rPr>
      </w:pPr>
      <w:r>
        <w:rPr>
          <w:rFonts w:hint="eastAsia" w:ascii="Times New Roman" w:hAnsi="Times New Roman" w:eastAsia="宋体"/>
          <w:color w:val="auto"/>
          <w:szCs w:val="21"/>
          <w:highlight w:val="none"/>
          <w:lang w:val="en-US" w:eastAsia="zh-CN"/>
        </w:rPr>
        <w:t>对比可见，</w:t>
      </w:r>
      <w:r>
        <w:rPr>
          <w:rFonts w:ascii="Times New Roman" w:hAnsi="Times New Roman" w:eastAsia="宋体"/>
          <w:color w:val="auto"/>
          <w:szCs w:val="21"/>
          <w:highlight w:val="none"/>
        </w:rPr>
        <w:t>表</w:t>
      </w:r>
      <w:r>
        <w:rPr>
          <w:rFonts w:hint="eastAsia" w:ascii="Times New Roman" w:hAnsi="Times New Roman" w:eastAsia="宋体"/>
          <w:color w:val="auto"/>
          <w:szCs w:val="21"/>
          <w:highlight w:val="none"/>
          <w:lang w:val="en-US" w:eastAsia="zh-CN"/>
        </w:rPr>
        <w:t>F.0.1</w:t>
      </w:r>
      <w:r>
        <w:rPr>
          <w:rFonts w:ascii="Times New Roman" w:hAnsi="Times New Roman" w:eastAsia="宋体"/>
          <w:color w:val="auto"/>
          <w:szCs w:val="21"/>
          <w:highlight w:val="none"/>
        </w:rPr>
        <w:t>的</w:t>
      </w:r>
      <w:r>
        <w:rPr>
          <w:rFonts w:hint="eastAsia" w:ascii="Times New Roman" w:hAnsi="Times New Roman" w:eastAsia="宋体"/>
          <w:color w:val="auto"/>
          <w:szCs w:val="21"/>
          <w:highlight w:val="none"/>
          <w:lang w:val="en-US" w:eastAsia="zh-CN"/>
        </w:rPr>
        <w:t>围岩分级</w:t>
      </w:r>
      <w:r>
        <w:rPr>
          <w:rFonts w:ascii="Times New Roman" w:hAnsi="Times New Roman" w:eastAsia="宋体"/>
          <w:color w:val="auto"/>
          <w:szCs w:val="21"/>
          <w:highlight w:val="none"/>
        </w:rPr>
        <w:t>和表</w:t>
      </w:r>
      <w:r>
        <w:rPr>
          <w:rFonts w:hint="eastAsia" w:ascii="Times New Roman" w:hAnsi="Times New Roman" w:eastAsia="宋体"/>
          <w:color w:val="auto"/>
          <w:szCs w:val="21"/>
          <w:highlight w:val="none"/>
          <w:lang w:val="en-US" w:eastAsia="zh-CN"/>
        </w:rPr>
        <w:t>F.0.</w:t>
      </w:r>
      <w:r>
        <w:rPr>
          <w:rFonts w:ascii="Times New Roman" w:hAnsi="Times New Roman" w:eastAsia="宋体"/>
          <w:color w:val="auto"/>
          <w:szCs w:val="21"/>
          <w:highlight w:val="none"/>
        </w:rPr>
        <w:t>2的</w:t>
      </w:r>
      <w:r>
        <w:rPr>
          <w:rFonts w:hint="eastAsia" w:ascii="Times New Roman" w:hAnsi="Times New Roman" w:eastAsia="宋体"/>
          <w:color w:val="auto"/>
          <w:szCs w:val="21"/>
          <w:highlight w:val="none"/>
          <w:lang w:val="en-US" w:eastAsia="zh-CN"/>
        </w:rPr>
        <w:t>围岩分级</w:t>
      </w:r>
      <w:r>
        <w:rPr>
          <w:rFonts w:ascii="Times New Roman" w:hAnsi="Times New Roman" w:eastAsia="宋体"/>
          <w:color w:val="auto"/>
          <w:szCs w:val="21"/>
          <w:highlight w:val="none"/>
        </w:rPr>
        <w:t>不完全一致，其差异如图</w:t>
      </w:r>
      <w:r>
        <w:rPr>
          <w:rFonts w:hint="eastAsia"/>
          <w:color w:val="auto"/>
          <w:szCs w:val="21"/>
          <w:highlight w:val="none"/>
          <w:lang w:val="en-US" w:eastAsia="zh-CN"/>
        </w:rPr>
        <w:t>F</w:t>
      </w:r>
      <w:r>
        <w:rPr>
          <w:rFonts w:ascii="Times New Roman" w:hAnsi="Times New Roman" w:eastAsia="宋体"/>
          <w:color w:val="auto"/>
          <w:szCs w:val="21"/>
          <w:highlight w:val="none"/>
        </w:rPr>
        <w:t>。对于Ⅰ、Ⅱ类围岩，以</w:t>
      </w:r>
      <w:r>
        <w:rPr>
          <w:rFonts w:ascii="Times New Roman" w:hAnsi="Times New Roman" w:eastAsia="宋体"/>
          <w:i/>
          <w:iCs/>
          <w:color w:val="auto"/>
          <w:szCs w:val="21"/>
          <w:highlight w:val="none"/>
        </w:rPr>
        <w:t>BQ</w:t>
      </w:r>
      <w:r>
        <w:rPr>
          <w:rFonts w:ascii="Times New Roman" w:hAnsi="Times New Roman" w:eastAsia="宋体"/>
          <w:color w:val="auto"/>
          <w:szCs w:val="21"/>
          <w:highlight w:val="none"/>
        </w:rPr>
        <w:t>指标为准的定量分级比定性分级更为保守，Ⅲ~Ⅴ类围岩的差异较小。</w:t>
      </w:r>
    </w:p>
    <w:p>
      <w:pPr>
        <w:tabs>
          <w:tab w:val="left" w:pos="357"/>
        </w:tabs>
        <w:jc w:val="center"/>
        <w:rPr>
          <w:rFonts w:ascii="Times New Roman" w:hAnsi="Times New Roman" w:eastAsia="宋体"/>
          <w:color w:val="auto"/>
          <w:sz w:val="18"/>
          <w:szCs w:val="18"/>
          <w:highlight w:val="none"/>
        </w:rPr>
      </w:pPr>
      <w:r>
        <w:rPr>
          <w:color w:val="auto"/>
          <w:highlight w:val="none"/>
        </w:rPr>
        <mc:AlternateContent>
          <mc:Choice Requires="wpg">
            <w:drawing>
              <wp:anchor distT="0" distB="0" distL="114300" distR="114300" simplePos="0" relativeHeight="251716608" behindDoc="0" locked="0" layoutInCell="1" allowOverlap="1">
                <wp:simplePos x="0" y="0"/>
                <wp:positionH relativeFrom="column">
                  <wp:posOffset>790575</wp:posOffset>
                </wp:positionH>
                <wp:positionV relativeFrom="paragraph">
                  <wp:posOffset>123825</wp:posOffset>
                </wp:positionV>
                <wp:extent cx="3382010" cy="2200910"/>
                <wp:effectExtent l="0" t="0" r="8890" b="8890"/>
                <wp:wrapTopAndBottom/>
                <wp:docPr id="19" name="组合 26"/>
                <wp:cNvGraphicFramePr/>
                <a:graphic xmlns:a="http://schemas.openxmlformats.org/drawingml/2006/main">
                  <a:graphicData uri="http://schemas.microsoft.com/office/word/2010/wordprocessingGroup">
                    <wpg:wgp>
                      <wpg:cNvGrpSpPr/>
                      <wpg:grpSpPr>
                        <a:xfrm>
                          <a:off x="0" y="0"/>
                          <a:ext cx="3382010" cy="2200910"/>
                          <a:chOff x="10965" y="6495"/>
                          <a:chExt cx="5326" cy="3466"/>
                        </a:xfrm>
                      </wpg:grpSpPr>
                      <wpg:grpSp>
                        <wpg:cNvPr id="20" name="组合 22"/>
                        <wpg:cNvGrpSpPr/>
                        <wpg:grpSpPr>
                          <a:xfrm>
                            <a:off x="10965" y="6495"/>
                            <a:ext cx="5327" cy="3467"/>
                            <a:chOff x="3465" y="11685"/>
                            <a:chExt cx="4457" cy="3242"/>
                          </a:xfrm>
                        </wpg:grpSpPr>
                        <wpg:graphicFrame>
                          <wpg:cNvPr id="12" name="图表 11"/>
                          <wpg:cNvFrPr/>
                          <wpg:xfrm>
                            <a:off x="3465" y="11685"/>
                            <a:ext cx="4457" cy="3242"/>
                          </wpg:xfrm>
                          <a:graphic>
                            <a:graphicData uri="http://schemas.openxmlformats.org/drawingml/2006/chart">
                              <c:chart xmlns:c="http://schemas.openxmlformats.org/drawingml/2006/chart" xmlns:r="http://schemas.openxmlformats.org/officeDocument/2006/relationships" r:id="rId94"/>
                            </a:graphicData>
                          </a:graphic>
                        </wpg:graphicFrame>
                        <wps:wsp>
                          <wps:cNvPr id="13" name="文本框 12"/>
                          <wps:cNvSpPr txBox="1"/>
                          <wps:spPr>
                            <a:xfrm>
                              <a:off x="5220" y="12989"/>
                              <a:ext cx="539" cy="420"/>
                            </a:xfrm>
                            <a:prstGeom prst="rect">
                              <a:avLst/>
                            </a:prstGeom>
                          </wps:spPr>
                          <wps:txbx>
                            <w:txbxContent>
                              <w:p>
                                <w:pPr>
                                  <w:pStyle w:val="20"/>
                                  <w:kinsoku/>
                                  <w:ind w:left="0"/>
                                  <w:jc w:val="left"/>
                                </w:pPr>
                                <w:r>
                                  <w:rPr>
                                    <w:rFonts w:asciiTheme="minorAscii" w:hAnsiTheme="minorBidi" w:eastAsiaTheme="minorEastAsia"/>
                                    <w:b/>
                                    <w:color w:val="A6A6A6" w:themeColor="background1" w:themeShade="A6"/>
                                    <w:kern w:val="24"/>
                                    <w:sz w:val="22"/>
                                    <w:szCs w:val="22"/>
                                  </w:rPr>
                                  <w:t>Ⅳ</w:t>
                                </w:r>
                              </w:p>
                            </w:txbxContent>
                          </wps:txbx>
                          <wps:bodyPr vertOverflow="clip" horzOverflow="clip" wrap="square" rtlCol="0" anchor="t"/>
                        </wps:wsp>
                        <wps:wsp>
                          <wps:cNvPr id="14" name="文本框 13"/>
                          <wps:cNvSpPr txBox="1"/>
                          <wps:spPr>
                            <a:xfrm>
                              <a:off x="4485" y="13650"/>
                              <a:ext cx="539" cy="420"/>
                            </a:xfrm>
                            <a:prstGeom prst="rect">
                              <a:avLst/>
                            </a:prstGeom>
                          </wps:spPr>
                          <wps:txbx>
                            <w:txbxContent>
                              <w:p>
                                <w:pPr>
                                  <w:pStyle w:val="20"/>
                                  <w:kinsoku/>
                                  <w:ind w:left="0"/>
                                  <w:jc w:val="left"/>
                                </w:pPr>
                                <w:r>
                                  <w:rPr>
                                    <w:rFonts w:asciiTheme="minorAscii" w:hAnsiTheme="minorBidi" w:eastAsiaTheme="minorEastAsia"/>
                                    <w:b/>
                                    <w:color w:val="A6A6A6" w:themeColor="background1" w:themeShade="A6"/>
                                    <w:kern w:val="24"/>
                                    <w:sz w:val="22"/>
                                    <w:szCs w:val="22"/>
                                  </w:rPr>
                                  <w:t>Ⅴ</w:t>
                                </w:r>
                              </w:p>
                            </w:txbxContent>
                          </wps:txbx>
                          <wps:bodyPr vertOverflow="clip" horzOverflow="clip" wrap="square" rtlCol="0" anchor="t"/>
                        </wps:wsp>
                        <wps:wsp>
                          <wps:cNvPr id="15" name="文本框 14"/>
                          <wps:cNvSpPr txBox="1"/>
                          <wps:spPr>
                            <a:xfrm>
                              <a:off x="4740" y="11910"/>
                              <a:ext cx="539" cy="420"/>
                            </a:xfrm>
                            <a:prstGeom prst="rect">
                              <a:avLst/>
                            </a:prstGeom>
                          </wps:spPr>
                          <wps:txbx>
                            <w:txbxContent>
                              <w:p>
                                <w:pPr>
                                  <w:pStyle w:val="20"/>
                                  <w:kinsoku/>
                                  <w:ind w:left="0"/>
                                  <w:jc w:val="left"/>
                                </w:pPr>
                                <w:r>
                                  <w:rPr>
                                    <w:rFonts w:asciiTheme="minorAscii" w:hAnsiTheme="minorBidi" w:eastAsiaTheme="minorEastAsia"/>
                                    <w:b/>
                                    <w:kern w:val="24"/>
                                    <w:sz w:val="22"/>
                                    <w:szCs w:val="22"/>
                                  </w:rPr>
                                  <w:t>Ⅲ</w:t>
                                </w:r>
                              </w:p>
                            </w:txbxContent>
                          </wps:txbx>
                          <wps:bodyPr vertOverflow="clip" horzOverflow="clip" wrap="square" rtlCol="0" anchor="t"/>
                        </wps:wsp>
                        <wps:wsp>
                          <wps:cNvPr id="16" name="文本框 15"/>
                          <wps:cNvSpPr txBox="1"/>
                          <wps:spPr>
                            <a:xfrm>
                              <a:off x="5565" y="12465"/>
                              <a:ext cx="539" cy="420"/>
                            </a:xfrm>
                            <a:prstGeom prst="rect">
                              <a:avLst/>
                            </a:prstGeom>
                          </wps:spPr>
                          <wps:txbx>
                            <w:txbxContent>
                              <w:p>
                                <w:pPr>
                                  <w:pStyle w:val="20"/>
                                  <w:kinsoku/>
                                  <w:ind w:left="0"/>
                                  <w:jc w:val="left"/>
                                </w:pPr>
                                <w:r>
                                  <w:rPr>
                                    <w:rFonts w:asciiTheme="minorAscii" w:hAnsiTheme="minorBidi" w:eastAsiaTheme="minorEastAsia"/>
                                    <w:b/>
                                    <w:kern w:val="24"/>
                                    <w:sz w:val="22"/>
                                    <w:szCs w:val="22"/>
                                  </w:rPr>
                                  <w:t>Ⅲ</w:t>
                                </w:r>
                              </w:p>
                            </w:txbxContent>
                          </wps:txbx>
                          <wps:bodyPr vertOverflow="clip" horzOverflow="clip" wrap="square" rtlCol="0" anchor="t"/>
                        </wps:wsp>
                        <wps:wsp>
                          <wps:cNvPr id="7" name="文本框 16"/>
                          <wps:cNvSpPr txBox="1"/>
                          <wps:spPr>
                            <a:xfrm>
                              <a:off x="6780" y="12945"/>
                              <a:ext cx="539" cy="420"/>
                            </a:xfrm>
                            <a:prstGeom prst="rect">
                              <a:avLst/>
                            </a:prstGeom>
                          </wps:spPr>
                          <wps:txbx>
                            <w:txbxContent>
                              <w:p>
                                <w:pPr>
                                  <w:pStyle w:val="20"/>
                                  <w:kinsoku/>
                                  <w:ind w:left="0"/>
                                  <w:jc w:val="left"/>
                                </w:pPr>
                                <w:r>
                                  <w:rPr>
                                    <w:rFonts w:asciiTheme="minorAscii" w:hAnsiTheme="minorBidi" w:eastAsiaTheme="minorEastAsia"/>
                                    <w:b/>
                                    <w:kern w:val="24"/>
                                    <w:sz w:val="22"/>
                                    <w:szCs w:val="22"/>
                                  </w:rPr>
                                  <w:t>Ⅲ</w:t>
                                </w:r>
                              </w:p>
                            </w:txbxContent>
                          </wps:txbx>
                          <wps:bodyPr vertOverflow="clip" horzOverflow="clip" wrap="square" rtlCol="0" anchor="t"/>
                        </wps:wsp>
                        <wps:wsp>
                          <wps:cNvPr id="8" name="文本框 18"/>
                          <wps:cNvSpPr txBox="1"/>
                          <wps:spPr>
                            <a:xfrm>
                              <a:off x="5550" y="11910"/>
                              <a:ext cx="539" cy="420"/>
                            </a:xfrm>
                            <a:prstGeom prst="rect">
                              <a:avLst/>
                            </a:prstGeom>
                          </wps:spPr>
                          <wps:txbx>
                            <w:txbxContent>
                              <w:p>
                                <w:pPr>
                                  <w:pStyle w:val="20"/>
                                  <w:kinsoku/>
                                  <w:ind w:left="0"/>
                                  <w:jc w:val="left"/>
                                </w:pPr>
                                <w:r>
                                  <w:rPr>
                                    <w:rFonts w:asciiTheme="minorAscii" w:hAnsiTheme="minorBidi" w:eastAsiaTheme="minorEastAsia"/>
                                    <w:b/>
                                    <w:kern w:val="24"/>
                                    <w:sz w:val="22"/>
                                    <w:szCs w:val="22"/>
                                  </w:rPr>
                                  <w:t>Ⅱ</w:t>
                                </w:r>
                              </w:p>
                            </w:txbxContent>
                          </wps:txbx>
                          <wps:bodyPr vertOverflow="clip" horzOverflow="clip" wrap="square" rtlCol="0" anchor="t"/>
                        </wps:wsp>
                        <wps:wsp>
                          <wps:cNvPr id="9" name="文本框 19"/>
                          <wps:cNvSpPr txBox="1"/>
                          <wps:spPr>
                            <a:xfrm>
                              <a:off x="6750" y="12450"/>
                              <a:ext cx="539" cy="420"/>
                            </a:xfrm>
                            <a:prstGeom prst="rect">
                              <a:avLst/>
                            </a:prstGeom>
                          </wps:spPr>
                          <wps:txbx>
                            <w:txbxContent>
                              <w:p>
                                <w:pPr>
                                  <w:pStyle w:val="20"/>
                                  <w:kinsoku/>
                                  <w:ind w:left="0"/>
                                  <w:jc w:val="left"/>
                                </w:pPr>
                                <w:r>
                                  <w:rPr>
                                    <w:rFonts w:asciiTheme="minorAscii" w:hAnsiTheme="minorBidi" w:eastAsiaTheme="minorEastAsia"/>
                                    <w:b/>
                                    <w:kern w:val="24"/>
                                    <w:sz w:val="22"/>
                                    <w:szCs w:val="22"/>
                                  </w:rPr>
                                  <w:t>Ⅱ</w:t>
                                </w:r>
                              </w:p>
                            </w:txbxContent>
                          </wps:txbx>
                          <wps:bodyPr vertOverflow="clip" horzOverflow="clip" wrap="square" rtlCol="0" anchor="t"/>
                        </wps:wsp>
                        <wps:wsp>
                          <wps:cNvPr id="10" name="文本框 21"/>
                          <wps:cNvSpPr txBox="1"/>
                          <wps:spPr>
                            <a:xfrm>
                              <a:off x="6765" y="11895"/>
                              <a:ext cx="539" cy="420"/>
                            </a:xfrm>
                            <a:prstGeom prst="rect">
                              <a:avLst/>
                            </a:prstGeom>
                          </wps:spPr>
                          <wps:txbx>
                            <w:txbxContent>
                              <w:p>
                                <w:pPr>
                                  <w:pStyle w:val="20"/>
                                  <w:kinsoku/>
                                  <w:ind w:left="0"/>
                                  <w:jc w:val="left"/>
                                </w:pPr>
                                <w:r>
                                  <w:rPr>
                                    <w:rFonts w:asciiTheme="minorAscii" w:hAnsiTheme="minorBidi" w:eastAsiaTheme="minorEastAsia"/>
                                    <w:b/>
                                    <w:kern w:val="24"/>
                                    <w:sz w:val="22"/>
                                    <w:szCs w:val="22"/>
                                  </w:rPr>
                                  <w:t>Ⅰ</w:t>
                                </w:r>
                              </w:p>
                            </w:txbxContent>
                          </wps:txbx>
                          <wps:bodyPr vertOverflow="clip" horzOverflow="clip" wrap="square" rtlCol="0" anchor="t"/>
                        </wps:wsp>
                      </wpg:grpSp>
                      <wps:wsp>
                        <wps:cNvPr id="11" name="文本框 10"/>
                        <wps:cNvSpPr txBox="1"/>
                        <wps:spPr>
                          <a:xfrm>
                            <a:off x="12839" y="7845"/>
                            <a:ext cx="644" cy="449"/>
                          </a:xfrm>
                          <a:prstGeom prst="rect">
                            <a:avLst/>
                          </a:prstGeom>
                        </wps:spPr>
                        <wps:txbx>
                          <w:txbxContent>
                            <w:p>
                              <w:pPr>
                                <w:pStyle w:val="20"/>
                                <w:kinsoku/>
                                <w:ind w:left="0"/>
                                <w:jc w:val="left"/>
                              </w:pPr>
                              <w:r>
                                <w:rPr>
                                  <w:rFonts w:asciiTheme="minorAscii" w:hAnsiTheme="minorBidi" w:eastAsiaTheme="minorEastAsia"/>
                                  <w:b/>
                                  <w:kern w:val="24"/>
                                  <w:sz w:val="22"/>
                                  <w:szCs w:val="22"/>
                                </w:rPr>
                                <w:t>Ⅳ</w:t>
                              </w:r>
                            </w:p>
                          </w:txbxContent>
                        </wps:txbx>
                        <wps:bodyPr vertOverflow="clip" horzOverflow="clip" wrap="square" rtlCol="0" anchor="t"/>
                      </wps:wsp>
                      <wps:wsp>
                        <wps:cNvPr id="91" name="文本框 17"/>
                        <wps:cNvSpPr txBox="1"/>
                        <wps:spPr>
                          <a:xfrm>
                            <a:off x="11954" y="8534"/>
                            <a:ext cx="644" cy="449"/>
                          </a:xfrm>
                          <a:prstGeom prst="rect">
                            <a:avLst/>
                          </a:prstGeom>
                        </wps:spPr>
                        <wps:txbx>
                          <w:txbxContent>
                            <w:p>
                              <w:pPr>
                                <w:pStyle w:val="20"/>
                                <w:kinsoku/>
                                <w:ind w:left="0"/>
                                <w:jc w:val="left"/>
                              </w:pPr>
                              <w:r>
                                <w:rPr>
                                  <w:rFonts w:asciiTheme="minorAscii" w:hAnsiTheme="minorBidi" w:eastAsiaTheme="minorEastAsia"/>
                                  <w:b/>
                                  <w:kern w:val="24"/>
                                  <w:sz w:val="22"/>
                                  <w:szCs w:val="22"/>
                                </w:rPr>
                                <w:t>Ⅴ</w:t>
                              </w:r>
                            </w:p>
                          </w:txbxContent>
                        </wps:txbx>
                        <wps:bodyPr vertOverflow="clip" horzOverflow="clip" wrap="square" rtlCol="0" anchor="t"/>
                      </wps:wsp>
                      <wps:wsp>
                        <wps:cNvPr id="102" name="文本框 20"/>
                        <wps:cNvSpPr txBox="1"/>
                        <wps:spPr>
                          <a:xfrm>
                            <a:off x="15344" y="6749"/>
                            <a:ext cx="644" cy="449"/>
                          </a:xfrm>
                          <a:prstGeom prst="rect">
                            <a:avLst/>
                          </a:prstGeom>
                        </wps:spPr>
                        <wps:txbx>
                          <w:txbxContent>
                            <w:p>
                              <w:pPr>
                                <w:pStyle w:val="20"/>
                                <w:kinsoku/>
                                <w:ind w:left="0"/>
                                <w:jc w:val="left"/>
                              </w:pPr>
                              <w:r>
                                <w:rPr>
                                  <w:rFonts w:asciiTheme="minorAscii" w:hAnsiTheme="minorBidi" w:eastAsiaTheme="minorEastAsia"/>
                                  <w:b/>
                                  <w:color w:val="A6A6A6" w:themeColor="background1" w:themeShade="A6"/>
                                  <w:kern w:val="24"/>
                                  <w:sz w:val="22"/>
                                  <w:szCs w:val="22"/>
                                </w:rPr>
                                <w:t>Ⅰ</w:t>
                              </w:r>
                            </w:p>
                          </w:txbxContent>
                        </wps:txbx>
                        <wps:bodyPr vertOverflow="clip" horzOverflow="clip" wrap="square" rtlCol="0" anchor="t"/>
                      </wps:wsp>
                      <wps:wsp>
                        <wps:cNvPr id="103" name="文本框 24"/>
                        <wps:cNvSpPr txBox="1"/>
                        <wps:spPr>
                          <a:xfrm>
                            <a:off x="14519" y="6960"/>
                            <a:ext cx="644" cy="449"/>
                          </a:xfrm>
                          <a:prstGeom prst="rect">
                            <a:avLst/>
                          </a:prstGeom>
                        </wps:spPr>
                        <wps:txbx>
                          <w:txbxContent>
                            <w:p>
                              <w:pPr>
                                <w:pStyle w:val="20"/>
                                <w:kinsoku/>
                                <w:ind w:left="0"/>
                                <w:jc w:val="left"/>
                              </w:pPr>
                              <w:r>
                                <w:rPr>
                                  <w:rFonts w:asciiTheme="minorAscii" w:hAnsiTheme="minorBidi" w:eastAsiaTheme="minorEastAsia"/>
                                  <w:b/>
                                  <w:color w:val="A6A6A6" w:themeColor="background1" w:themeShade="A6"/>
                                  <w:kern w:val="24"/>
                                  <w:sz w:val="22"/>
                                  <w:szCs w:val="22"/>
                                </w:rPr>
                                <w:t>Ⅱ</w:t>
                              </w:r>
                            </w:p>
                          </w:txbxContent>
                        </wps:txbx>
                        <wps:bodyPr vertOverflow="clip" horzOverflow="clip" wrap="square" rtlCol="0" anchor="t"/>
                      </wps:wsp>
                      <wps:wsp>
                        <wps:cNvPr id="108" name="文本框 25"/>
                        <wps:cNvSpPr txBox="1"/>
                        <wps:spPr>
                          <a:xfrm>
                            <a:off x="13709" y="7379"/>
                            <a:ext cx="644" cy="449"/>
                          </a:xfrm>
                          <a:prstGeom prst="rect">
                            <a:avLst/>
                          </a:prstGeom>
                        </wps:spPr>
                        <wps:txbx>
                          <w:txbxContent>
                            <w:p>
                              <w:pPr>
                                <w:pStyle w:val="20"/>
                                <w:kinsoku/>
                                <w:ind w:left="0"/>
                                <w:jc w:val="left"/>
                              </w:pPr>
                              <w:r>
                                <w:rPr>
                                  <w:rFonts w:asciiTheme="minorAscii" w:hAnsiTheme="minorBidi" w:eastAsiaTheme="minorEastAsia"/>
                                  <w:b/>
                                  <w:color w:val="A6A6A6" w:themeColor="background1" w:themeShade="A6"/>
                                  <w:kern w:val="24"/>
                                  <w:sz w:val="22"/>
                                  <w:szCs w:val="22"/>
                                </w:rPr>
                                <w:t>Ⅲ</w:t>
                              </w:r>
                            </w:p>
                          </w:txbxContent>
                        </wps:txbx>
                        <wps:bodyPr vertOverflow="clip" horzOverflow="clip" wrap="square" rtlCol="0" anchor="t"/>
                      </wps:wsp>
                    </wpg:wgp>
                  </a:graphicData>
                </a:graphic>
              </wp:anchor>
            </w:drawing>
          </mc:Choice>
          <mc:Fallback>
            <w:pict>
              <v:group id="组合 26" o:spid="_x0000_s1026" o:spt="203" style="position:absolute;left:0pt;margin-left:62.25pt;margin-top:9.75pt;height:173.3pt;width:266.3pt;mso-wrap-distance-bottom:0pt;mso-wrap-distance-top:0pt;z-index:251716608;mso-width-relative:page;mso-height-relative:page;" coordorigin="10965,6495" coordsize="5326,3466" o:gfxdata="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">
                <o:lock v:ext="edit" aspectratio="f"/>
                <v:group id="组合 22" o:spid="_x0000_s1026" o:spt="203" style="position:absolute;left:10965;top:6495;height:3467;width:5327;" coordorigin="3465,11685" coordsize="4457,3242"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rect id="图表 11" o:spid="_x0000_s1026" o:spt="75" style="position:absolute;left:3465;top:11685;height:3242;width:4457;" coordsize="21600,21600" o:gfxdata="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DkNugAAANsA&#10;AAAPAAAAAAAAAAEAIAAAACIAAABkcnMvZG93bnJldi54bWxQSwECFAAUAAAACACHTuJAMy8FnjsA&#10;AAA5AAAAEAAAAAAAAAABACAAAAAJAQAAZHJzL3NoYXBleG1sLnhtbFBLBQYAAAAABgAGAFsBAACz&#10;AwAAAAA=&#10;">
                    <v:imagedata r:id="rId95" o:title=""/>
                    <o:lock v:ext="edit"/>
                  </v:rect>
                  <v:shape id="文本框 12" o:spid="_x0000_s1026" o:spt="202" type="#_x0000_t202" style="position:absolute;left:5220;top:12989;height:420;width:539;"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20"/>
                            <w:kinsoku/>
                            <w:ind w:left="0"/>
                            <w:jc w:val="left"/>
                          </w:pPr>
                          <w:r>
                            <w:rPr>
                              <w:rFonts w:asciiTheme="minorAscii" w:hAnsiTheme="minorBidi" w:eastAsiaTheme="minorEastAsia"/>
                              <w:b/>
                              <w:color w:val="A6A6A6" w:themeColor="background1" w:themeShade="A6"/>
                              <w:kern w:val="24"/>
                              <w:sz w:val="22"/>
                              <w:szCs w:val="22"/>
                            </w:rPr>
                            <w:t>Ⅳ</w:t>
                          </w:r>
                        </w:p>
                      </w:txbxContent>
                    </v:textbox>
                  </v:shape>
                  <v:shape id="文本框 13" o:spid="_x0000_s1026" o:spt="202" type="#_x0000_t202" style="position:absolute;left:4485;top:13650;height:420;width:539;" filled="f" stroked="f" coordsize="21600,21600" o:gfxdata="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IgPW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20"/>
                            <w:kinsoku/>
                            <w:ind w:left="0"/>
                            <w:jc w:val="left"/>
                          </w:pPr>
                          <w:r>
                            <w:rPr>
                              <w:rFonts w:asciiTheme="minorAscii" w:hAnsiTheme="minorBidi" w:eastAsiaTheme="minorEastAsia"/>
                              <w:b/>
                              <w:color w:val="A6A6A6" w:themeColor="background1" w:themeShade="A6"/>
                              <w:kern w:val="24"/>
                              <w:sz w:val="22"/>
                              <w:szCs w:val="22"/>
                            </w:rPr>
                            <w:t>Ⅴ</w:t>
                          </w:r>
                        </w:p>
                      </w:txbxContent>
                    </v:textbox>
                  </v:shape>
                  <v:shape id="文本框 14" o:spid="_x0000_s1026" o:spt="202" type="#_x0000_t202" style="position:absolute;left:4740;top:11910;height:420;width:539;" filled="f" stroked="f" coordsize="21600,21600" o:gfxdata="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EJW6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20"/>
                            <w:kinsoku/>
                            <w:ind w:left="0"/>
                            <w:jc w:val="left"/>
                          </w:pPr>
                          <w:r>
                            <w:rPr>
                              <w:rFonts w:asciiTheme="minorAscii" w:hAnsiTheme="minorBidi" w:eastAsiaTheme="minorEastAsia"/>
                              <w:b/>
                              <w:kern w:val="24"/>
                              <w:sz w:val="22"/>
                              <w:szCs w:val="22"/>
                            </w:rPr>
                            <w:t>Ⅲ</w:t>
                          </w:r>
                        </w:p>
                      </w:txbxContent>
                    </v:textbox>
                  </v:shape>
                  <v:shape id="文本框 15" o:spid="_x0000_s1026" o:spt="202" type="#_x0000_t202" style="position:absolute;left:5565;top:12465;height:420;width:539;" filled="f" stroked="f" coordsize="21600,21600" o:gfxdata="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Wuxm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20"/>
                            <w:kinsoku/>
                            <w:ind w:left="0"/>
                            <w:jc w:val="left"/>
                          </w:pPr>
                          <w:r>
                            <w:rPr>
                              <w:rFonts w:asciiTheme="minorAscii" w:hAnsiTheme="minorBidi" w:eastAsiaTheme="minorEastAsia"/>
                              <w:b/>
                              <w:kern w:val="24"/>
                              <w:sz w:val="22"/>
                              <w:szCs w:val="22"/>
                            </w:rPr>
                            <w:t>Ⅲ</w:t>
                          </w:r>
                        </w:p>
                      </w:txbxContent>
                    </v:textbox>
                  </v:shape>
                  <v:shape id="文本框 16" o:spid="_x0000_s1026" o:spt="202" type="#_x0000_t202" style="position:absolute;left:6780;top:12945;height:420;width:539;" filled="f" stroked="f" coordsize="21600,21600" o:gfxdata="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z8TjugAAANo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pStyle w:val="20"/>
                            <w:kinsoku/>
                            <w:ind w:left="0"/>
                            <w:jc w:val="left"/>
                          </w:pPr>
                          <w:r>
                            <w:rPr>
                              <w:rFonts w:asciiTheme="minorAscii" w:hAnsiTheme="minorBidi" w:eastAsiaTheme="minorEastAsia"/>
                              <w:b/>
                              <w:kern w:val="24"/>
                              <w:sz w:val="22"/>
                              <w:szCs w:val="22"/>
                            </w:rPr>
                            <w:t>Ⅲ</w:t>
                          </w:r>
                        </w:p>
                      </w:txbxContent>
                    </v:textbox>
                  </v:shape>
                  <v:shape id="文本框 18" o:spid="_x0000_s1026" o:spt="202" type="#_x0000_t202" style="position:absolute;left:5550;top:11910;height:420;width:539;" filled="f" stroked="f" coordsize="21600,21600" o:gfxdata="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lBQkbgAAADa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20"/>
                            <w:kinsoku/>
                            <w:ind w:left="0"/>
                            <w:jc w:val="left"/>
                          </w:pPr>
                          <w:r>
                            <w:rPr>
                              <w:rFonts w:asciiTheme="minorAscii" w:hAnsiTheme="minorBidi" w:eastAsiaTheme="minorEastAsia"/>
                              <w:b/>
                              <w:kern w:val="24"/>
                              <w:sz w:val="22"/>
                              <w:szCs w:val="22"/>
                            </w:rPr>
                            <w:t>Ⅱ</w:t>
                          </w:r>
                        </w:p>
                      </w:txbxContent>
                    </v:textbox>
                  </v:shape>
                  <v:shape id="文本框 19" o:spid="_x0000_s1026" o:spt="202" type="#_x0000_t202" style="position:absolute;left:6750;top:12450;height:420;width:539;" filled="f" stroked="f" coordsize="21600,21600" o:gfxdata="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c9Qq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20"/>
                            <w:kinsoku/>
                            <w:ind w:left="0"/>
                            <w:jc w:val="left"/>
                          </w:pPr>
                          <w:r>
                            <w:rPr>
                              <w:rFonts w:asciiTheme="minorAscii" w:hAnsiTheme="minorBidi" w:eastAsiaTheme="minorEastAsia"/>
                              <w:b/>
                              <w:kern w:val="24"/>
                              <w:sz w:val="22"/>
                              <w:szCs w:val="22"/>
                            </w:rPr>
                            <w:t>Ⅱ</w:t>
                          </w:r>
                        </w:p>
                      </w:txbxContent>
                    </v:textbox>
                  </v:shape>
                  <v:shape id="文本框 21" o:spid="_x0000_s1026" o:spt="202" type="#_x0000_t202" style="position:absolute;left:6765;top:11895;height:420;width:539;" filled="f" stroked="f" coordsize="21600,21600" o:gfxdata="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4b2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20"/>
                            <w:kinsoku/>
                            <w:ind w:left="0"/>
                            <w:jc w:val="left"/>
                          </w:pPr>
                          <w:r>
                            <w:rPr>
                              <w:rFonts w:asciiTheme="minorAscii" w:hAnsiTheme="minorBidi" w:eastAsiaTheme="minorEastAsia"/>
                              <w:b/>
                              <w:kern w:val="24"/>
                              <w:sz w:val="22"/>
                              <w:szCs w:val="22"/>
                            </w:rPr>
                            <w:t>Ⅰ</w:t>
                          </w:r>
                        </w:p>
                      </w:txbxContent>
                    </v:textbox>
                  </v:shape>
                </v:group>
                <v:shape id="文本框 10" o:spid="_x0000_s1026" o:spt="202" type="#_x0000_t202" style="position:absolute;left:12839;top:7845;height:449;width:644;" filled="f" stroked="f" coordsize="21600,21600" o:gfxdata="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yNt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pStyle w:val="20"/>
                          <w:kinsoku/>
                          <w:ind w:left="0"/>
                          <w:jc w:val="left"/>
                        </w:pPr>
                        <w:r>
                          <w:rPr>
                            <w:rFonts w:asciiTheme="minorAscii" w:hAnsiTheme="minorBidi" w:eastAsiaTheme="minorEastAsia"/>
                            <w:b/>
                            <w:kern w:val="24"/>
                            <w:sz w:val="22"/>
                            <w:szCs w:val="22"/>
                          </w:rPr>
                          <w:t>Ⅳ</w:t>
                        </w:r>
                      </w:p>
                    </w:txbxContent>
                  </v:textbox>
                </v:shape>
                <v:shape id="文本框 17" o:spid="_x0000_s1026" o:spt="202" type="#_x0000_t202" style="position:absolute;left:11954;top:8534;height:449;width:644;"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20"/>
                          <w:kinsoku/>
                          <w:ind w:left="0"/>
                          <w:jc w:val="left"/>
                        </w:pPr>
                        <w:r>
                          <w:rPr>
                            <w:rFonts w:asciiTheme="minorAscii" w:hAnsiTheme="minorBidi" w:eastAsiaTheme="minorEastAsia"/>
                            <w:b/>
                            <w:kern w:val="24"/>
                            <w:sz w:val="22"/>
                            <w:szCs w:val="22"/>
                          </w:rPr>
                          <w:t>Ⅴ</w:t>
                        </w:r>
                      </w:p>
                    </w:txbxContent>
                  </v:textbox>
                </v:shape>
                <v:shape id="文本框 20" o:spid="_x0000_s1026" o:spt="202" type="#_x0000_t202" style="position:absolute;left:15344;top:6749;height:449;width:644;" filled="f" stroked="f" coordsize="21600,21600" o:gfxdata="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kCOB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pStyle w:val="20"/>
                          <w:kinsoku/>
                          <w:ind w:left="0"/>
                          <w:jc w:val="left"/>
                        </w:pPr>
                        <w:r>
                          <w:rPr>
                            <w:rFonts w:asciiTheme="minorAscii" w:hAnsiTheme="minorBidi" w:eastAsiaTheme="minorEastAsia"/>
                            <w:b/>
                            <w:color w:val="A6A6A6" w:themeColor="background1" w:themeShade="A6"/>
                            <w:kern w:val="24"/>
                            <w:sz w:val="22"/>
                            <w:szCs w:val="22"/>
                          </w:rPr>
                          <w:t>Ⅰ</w:t>
                        </w:r>
                      </w:p>
                    </w:txbxContent>
                  </v:textbox>
                </v:shape>
                <v:shape id="文本框 24" o:spid="_x0000_s1026" o:spt="202" type="#_x0000_t202" style="position:absolute;left:14519;top:6960;height:449;width:644;" filled="f" stroked="f" coordsize="21600,21600" o:gfxdata="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rchhq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20"/>
                          <w:kinsoku/>
                          <w:ind w:left="0"/>
                          <w:jc w:val="left"/>
                        </w:pPr>
                        <w:r>
                          <w:rPr>
                            <w:rFonts w:asciiTheme="minorAscii" w:hAnsiTheme="minorBidi" w:eastAsiaTheme="minorEastAsia"/>
                            <w:b/>
                            <w:color w:val="A6A6A6" w:themeColor="background1" w:themeShade="A6"/>
                            <w:kern w:val="24"/>
                            <w:sz w:val="22"/>
                            <w:szCs w:val="22"/>
                          </w:rPr>
                          <w:t>Ⅱ</w:t>
                        </w:r>
                      </w:p>
                    </w:txbxContent>
                  </v:textbox>
                </v:shape>
                <v:shape id="文本框 25" o:spid="_x0000_s1026" o:spt="202" type="#_x0000_t202" style="position:absolute;left:13709;top:7379;height:449;width:644;" filled="f" stroked="f" coordsize="21600,21600" o:gfxdata="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BR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20"/>
                          <w:kinsoku/>
                          <w:ind w:left="0"/>
                          <w:jc w:val="left"/>
                        </w:pPr>
                        <w:r>
                          <w:rPr>
                            <w:rFonts w:asciiTheme="minorAscii" w:hAnsiTheme="minorBidi" w:eastAsiaTheme="minorEastAsia"/>
                            <w:b/>
                            <w:color w:val="A6A6A6" w:themeColor="background1" w:themeShade="A6"/>
                            <w:kern w:val="24"/>
                            <w:sz w:val="22"/>
                            <w:szCs w:val="22"/>
                          </w:rPr>
                          <w:t>Ⅲ</w:t>
                        </w:r>
                      </w:p>
                    </w:txbxContent>
                  </v:textbox>
                </v:shape>
                <w10:wrap type="topAndBottom"/>
              </v:group>
            </w:pict>
          </mc:Fallback>
        </mc:AlternateContent>
      </w:r>
      <w:r>
        <w:rPr>
          <w:rFonts w:ascii="Times New Roman" w:hAnsi="Times New Roman" w:eastAsia="宋体"/>
          <w:color w:val="auto"/>
          <w:sz w:val="18"/>
          <w:szCs w:val="18"/>
          <w:highlight w:val="none"/>
        </w:rPr>
        <w:t>注：实线及黑色字体</w:t>
      </w:r>
      <w:r>
        <w:rPr>
          <w:rFonts w:hint="eastAsia" w:ascii="Times New Roman" w:hAnsi="Times New Roman" w:eastAsia="宋体"/>
          <w:color w:val="auto"/>
          <w:sz w:val="18"/>
          <w:szCs w:val="18"/>
          <w:highlight w:val="none"/>
          <w:lang w:val="en-US" w:eastAsia="zh-CN"/>
        </w:rPr>
        <w:t>对应表F.0.1的分级</w:t>
      </w:r>
      <w:r>
        <w:rPr>
          <w:rFonts w:ascii="Times New Roman" w:hAnsi="Times New Roman" w:eastAsia="宋体"/>
          <w:color w:val="auto"/>
          <w:sz w:val="18"/>
          <w:szCs w:val="18"/>
          <w:highlight w:val="none"/>
        </w:rPr>
        <w:t>；虚线及灰色字体</w:t>
      </w:r>
      <w:r>
        <w:rPr>
          <w:rFonts w:hint="eastAsia" w:ascii="Times New Roman" w:hAnsi="Times New Roman" w:eastAsia="宋体"/>
          <w:color w:val="auto"/>
          <w:sz w:val="18"/>
          <w:szCs w:val="18"/>
          <w:highlight w:val="none"/>
          <w:lang w:val="en-US" w:eastAsia="zh-CN"/>
        </w:rPr>
        <w:t>对应表F.0.2的分级</w:t>
      </w:r>
    </w:p>
    <w:p>
      <w:pPr>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图</w:t>
      </w:r>
      <w:r>
        <w:rPr>
          <w:rFonts w:hint="eastAsia" w:ascii="Times New Roman" w:hAnsi="Times New Roman" w:eastAsia="宋体"/>
          <w:b/>
          <w:bCs/>
          <w:color w:val="auto"/>
          <w:szCs w:val="21"/>
          <w:highlight w:val="none"/>
          <w:lang w:val="en-US" w:eastAsia="zh-CN"/>
        </w:rPr>
        <w:t>F</w:t>
      </w:r>
      <w:r>
        <w:rPr>
          <w:rFonts w:ascii="Times New Roman" w:hAnsi="Times New Roman" w:eastAsia="宋体"/>
          <w:b/>
          <w:bCs/>
          <w:color w:val="auto"/>
          <w:szCs w:val="21"/>
          <w:highlight w:val="none"/>
        </w:rPr>
        <w:t xml:space="preserve"> 岩质围岩分级示意图</w:t>
      </w:r>
    </w:p>
    <w:p>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eastAsia" w:ascii="Times New Roman" w:hAnsi="Times New Roman" w:eastAsia="宋体"/>
          <w:color w:val="auto"/>
          <w:szCs w:val="21"/>
          <w:highlight w:val="none"/>
          <w:lang w:val="en-US" w:eastAsia="zh-CN"/>
        </w:rPr>
      </w:pPr>
      <w:r>
        <w:rPr>
          <w:rFonts w:hint="eastAsia" w:ascii="Times New Roman" w:hAnsi="Times New Roman" w:eastAsia="宋体"/>
          <w:b/>
          <w:bCs/>
          <w:color w:val="auto"/>
          <w:szCs w:val="21"/>
          <w:highlight w:val="none"/>
          <w:lang w:val="en-US" w:eastAsia="zh-CN"/>
        </w:rPr>
        <w:t>F.0.3</w:t>
      </w:r>
      <w:r>
        <w:rPr>
          <w:rFonts w:hint="eastAsia" w:ascii="Times New Roman" w:hAnsi="Times New Roman" w:eastAsia="宋体"/>
          <w:color w:val="auto"/>
          <w:szCs w:val="21"/>
          <w:highlight w:val="none"/>
          <w:lang w:val="en-US" w:eastAsia="zh-CN"/>
        </w:rPr>
        <w:t xml:space="preserve"> </w:t>
      </w:r>
      <w:r>
        <w:rPr>
          <w:rFonts w:hint="eastAsia"/>
          <w:color w:val="auto"/>
          <w:szCs w:val="21"/>
          <w:highlight w:val="none"/>
          <w:lang w:val="en-US" w:eastAsia="zh-CN"/>
        </w:rPr>
        <w:t xml:space="preserve"> </w:t>
      </w:r>
      <w:r>
        <w:rPr>
          <w:rFonts w:hint="eastAsia" w:ascii="Times New Roman" w:hAnsi="Times New Roman" w:eastAsia="宋体"/>
          <w:color w:val="auto"/>
          <w:szCs w:val="21"/>
          <w:highlight w:val="none"/>
          <w:lang w:val="en-US" w:eastAsia="zh-CN"/>
        </w:rPr>
        <w:t>本条表F.0.3引用了</w:t>
      </w:r>
      <w:r>
        <w:rPr>
          <w:rFonts w:ascii="Times New Roman" w:hAnsi="Times New Roman" w:eastAsia="宋体"/>
          <w:color w:val="auto"/>
          <w:szCs w:val="21"/>
          <w:highlight w:val="none"/>
        </w:rPr>
        <w:t>《铁路隧道设计规范》TB 0003-20</w:t>
      </w:r>
      <w:r>
        <w:rPr>
          <w:rFonts w:hint="eastAsia" w:ascii="Times New Roman" w:hAnsi="Times New Roman" w:eastAsia="宋体"/>
          <w:color w:val="auto"/>
          <w:szCs w:val="21"/>
          <w:highlight w:val="none"/>
        </w:rPr>
        <w:t>16</w:t>
      </w:r>
      <w:r>
        <w:rPr>
          <w:rFonts w:hint="eastAsia" w:ascii="Times New Roman" w:hAnsi="Times New Roman" w:eastAsia="宋体"/>
          <w:color w:val="auto"/>
          <w:szCs w:val="21"/>
          <w:highlight w:val="none"/>
          <w:lang w:val="en-US" w:eastAsia="zh-CN"/>
        </w:rPr>
        <w:t>表B.2.2-3。</w:t>
      </w:r>
    </w:p>
    <w:p>
      <w:pPr>
        <w:tabs>
          <w:tab w:val="center" w:pos="4410"/>
          <w:tab w:val="right" w:pos="9240"/>
        </w:tabs>
        <w:autoSpaceDE w:val="0"/>
        <w:autoSpaceDN w:val="0"/>
        <w:adjustRightInd w:val="0"/>
        <w:spacing w:line="360" w:lineRule="auto"/>
        <w:jc w:val="left"/>
        <w:rPr>
          <w:rFonts w:hint="eastAsia" w:ascii="Times New Roman" w:hAnsi="Times New Roman" w:eastAsia="宋体"/>
          <w:b/>
          <w:bCs/>
          <w:color w:val="auto"/>
          <w:szCs w:val="21"/>
          <w:highlight w:val="none"/>
          <w:lang w:val="en-US" w:eastAsia="zh-CN"/>
        </w:rPr>
      </w:pPr>
      <w:r>
        <w:rPr>
          <w:rFonts w:hint="eastAsia" w:ascii="Times New Roman" w:hAnsi="Times New Roman" w:eastAsia="宋体"/>
          <w:b/>
          <w:bCs/>
          <w:color w:val="auto"/>
          <w:szCs w:val="21"/>
          <w:highlight w:val="none"/>
          <w:lang w:val="en-US" w:eastAsia="zh-CN"/>
        </w:rPr>
        <w:t>F.0.</w:t>
      </w:r>
      <w:r>
        <w:rPr>
          <w:rFonts w:hint="eastAsia"/>
          <w:b/>
          <w:bCs/>
          <w:color w:val="auto"/>
          <w:szCs w:val="21"/>
          <w:highlight w:val="none"/>
          <w:lang w:val="en-US" w:eastAsia="zh-CN"/>
        </w:rPr>
        <w:t>4</w:t>
      </w:r>
      <w:r>
        <w:rPr>
          <w:rFonts w:hint="eastAsia" w:ascii="Times New Roman" w:hAnsi="Times New Roman" w:eastAsia="宋体"/>
          <w:color w:val="auto"/>
          <w:szCs w:val="21"/>
          <w:highlight w:val="none"/>
          <w:lang w:val="en-US" w:eastAsia="zh-CN"/>
        </w:rPr>
        <w:t xml:space="preserve"> </w:t>
      </w:r>
      <w:r>
        <w:rPr>
          <w:rFonts w:hint="eastAsia"/>
          <w:color w:val="auto"/>
          <w:szCs w:val="21"/>
          <w:highlight w:val="none"/>
          <w:lang w:val="en-US" w:eastAsia="zh-CN"/>
        </w:rPr>
        <w:t xml:space="preserve"> </w:t>
      </w:r>
      <w:r>
        <w:rPr>
          <w:rFonts w:hint="eastAsia" w:ascii="Times New Roman" w:hAnsi="Times New Roman" w:eastAsia="宋体"/>
          <w:color w:val="auto"/>
          <w:szCs w:val="21"/>
          <w:highlight w:val="none"/>
          <w:lang w:val="en-US" w:eastAsia="zh-CN"/>
        </w:rPr>
        <w:t>表F.0.</w:t>
      </w:r>
      <w:r>
        <w:rPr>
          <w:rFonts w:hint="eastAsia"/>
          <w:color w:val="auto"/>
          <w:szCs w:val="21"/>
          <w:highlight w:val="none"/>
          <w:lang w:val="en-US" w:eastAsia="zh-CN"/>
        </w:rPr>
        <w:t>4</w:t>
      </w:r>
      <w:r>
        <w:rPr>
          <w:rFonts w:hint="eastAsia" w:ascii="Times New Roman" w:hAnsi="Times New Roman" w:eastAsia="宋体"/>
          <w:color w:val="auto"/>
          <w:szCs w:val="21"/>
          <w:highlight w:val="none"/>
          <w:lang w:val="en-US" w:eastAsia="zh-CN"/>
        </w:rPr>
        <w:t>-</w:t>
      </w:r>
      <w:r>
        <w:rPr>
          <w:rFonts w:hint="eastAsia"/>
          <w:color w:val="auto"/>
          <w:szCs w:val="21"/>
          <w:highlight w:val="none"/>
          <w:lang w:val="en-US" w:eastAsia="zh-CN"/>
        </w:rPr>
        <w:t>1</w:t>
      </w:r>
      <w:r>
        <w:rPr>
          <w:rFonts w:hint="eastAsia" w:ascii="Times New Roman" w:hAnsi="Times New Roman" w:eastAsia="宋体"/>
          <w:color w:val="auto"/>
          <w:szCs w:val="21"/>
          <w:highlight w:val="none"/>
          <w:lang w:val="en-US" w:eastAsia="zh-CN"/>
        </w:rPr>
        <w:t>引用了</w:t>
      </w:r>
      <w:r>
        <w:rPr>
          <w:rFonts w:ascii="Times New Roman" w:hAnsi="Times New Roman" w:eastAsia="宋体"/>
          <w:color w:val="auto"/>
          <w:szCs w:val="21"/>
          <w:highlight w:val="none"/>
        </w:rPr>
        <w:t>《铁路隧道设计规范》TB 0003-20</w:t>
      </w:r>
      <w:r>
        <w:rPr>
          <w:rFonts w:hint="eastAsia" w:ascii="Times New Roman" w:hAnsi="Times New Roman" w:eastAsia="宋体"/>
          <w:color w:val="auto"/>
          <w:szCs w:val="21"/>
          <w:highlight w:val="none"/>
        </w:rPr>
        <w:t>16</w:t>
      </w:r>
      <w:r>
        <w:rPr>
          <w:rFonts w:hint="eastAsia" w:ascii="Times New Roman" w:hAnsi="Times New Roman" w:eastAsia="宋体"/>
          <w:color w:val="auto"/>
          <w:szCs w:val="21"/>
          <w:highlight w:val="none"/>
          <w:lang w:val="en-US" w:eastAsia="zh-CN"/>
        </w:rPr>
        <w:t>表B.2.3-1，而非</w:t>
      </w:r>
      <w:r>
        <w:rPr>
          <w:rFonts w:ascii="Times New Roman" w:hAnsi="Times New Roman" w:eastAsia="宋体"/>
          <w:color w:val="auto"/>
          <w:szCs w:val="21"/>
          <w:highlight w:val="none"/>
        </w:rPr>
        <w:t>《公路隧道设计规范》JTG 3370.1-2018</w:t>
      </w:r>
      <w:r>
        <w:rPr>
          <w:rFonts w:hint="eastAsia" w:ascii="Times New Roman" w:hAnsi="Times New Roman" w:eastAsia="宋体"/>
          <w:color w:val="auto"/>
          <w:szCs w:val="21"/>
          <w:highlight w:val="none"/>
          <w:lang w:val="en-US" w:eastAsia="zh-CN"/>
        </w:rPr>
        <w:t>表A.0.3-1，因后者明显有误。表F.0.</w:t>
      </w:r>
      <w:r>
        <w:rPr>
          <w:rFonts w:hint="eastAsia"/>
          <w:color w:val="auto"/>
          <w:szCs w:val="21"/>
          <w:highlight w:val="none"/>
          <w:lang w:val="en-US" w:eastAsia="zh-CN"/>
        </w:rPr>
        <w:t>4</w:t>
      </w:r>
      <w:r>
        <w:rPr>
          <w:rFonts w:hint="eastAsia" w:ascii="Times New Roman" w:hAnsi="Times New Roman" w:eastAsia="宋体"/>
          <w:color w:val="auto"/>
          <w:szCs w:val="21"/>
          <w:highlight w:val="none"/>
          <w:lang w:val="en-US" w:eastAsia="zh-CN"/>
        </w:rPr>
        <w:t>-</w:t>
      </w:r>
      <w:r>
        <w:rPr>
          <w:rFonts w:hint="eastAsia"/>
          <w:color w:val="auto"/>
          <w:szCs w:val="21"/>
          <w:highlight w:val="none"/>
          <w:lang w:val="en-US" w:eastAsia="zh-CN"/>
        </w:rPr>
        <w:t>2</w:t>
      </w:r>
      <w:r>
        <w:rPr>
          <w:rFonts w:hint="eastAsia" w:ascii="Times New Roman" w:hAnsi="Times New Roman" w:eastAsia="宋体"/>
          <w:color w:val="auto"/>
          <w:szCs w:val="21"/>
          <w:highlight w:val="none"/>
          <w:lang w:val="en-US" w:eastAsia="zh-CN"/>
        </w:rPr>
        <w:t>、表F.0.</w:t>
      </w:r>
      <w:r>
        <w:rPr>
          <w:rFonts w:hint="eastAsia"/>
          <w:color w:val="auto"/>
          <w:szCs w:val="21"/>
          <w:highlight w:val="none"/>
          <w:lang w:val="en-US" w:eastAsia="zh-CN"/>
        </w:rPr>
        <w:t>4</w:t>
      </w:r>
      <w:r>
        <w:rPr>
          <w:rFonts w:hint="eastAsia" w:ascii="Times New Roman" w:hAnsi="Times New Roman" w:eastAsia="宋体"/>
          <w:color w:val="auto"/>
          <w:szCs w:val="21"/>
          <w:highlight w:val="none"/>
          <w:lang w:val="en-US" w:eastAsia="zh-CN"/>
        </w:rPr>
        <w:t>-</w:t>
      </w:r>
      <w:r>
        <w:rPr>
          <w:rFonts w:hint="eastAsia"/>
          <w:color w:val="auto"/>
          <w:szCs w:val="21"/>
          <w:highlight w:val="none"/>
          <w:lang w:val="en-US" w:eastAsia="zh-CN"/>
        </w:rPr>
        <w:t>3</w:t>
      </w:r>
      <w:r>
        <w:rPr>
          <w:rFonts w:hint="eastAsia" w:ascii="Times New Roman" w:hAnsi="Times New Roman" w:eastAsia="宋体"/>
          <w:color w:val="auto"/>
          <w:szCs w:val="21"/>
          <w:highlight w:val="none"/>
          <w:lang w:val="en-US" w:eastAsia="zh-CN"/>
        </w:rPr>
        <w:t>也分别引用了</w:t>
      </w:r>
      <w:r>
        <w:rPr>
          <w:rFonts w:ascii="Times New Roman" w:hAnsi="Times New Roman" w:eastAsia="宋体"/>
          <w:color w:val="auto"/>
          <w:szCs w:val="21"/>
          <w:highlight w:val="none"/>
        </w:rPr>
        <w:t>《铁路隧道设计规范》TB 0003-20</w:t>
      </w:r>
      <w:r>
        <w:rPr>
          <w:rFonts w:hint="eastAsia" w:ascii="Times New Roman" w:hAnsi="Times New Roman" w:eastAsia="宋体"/>
          <w:color w:val="auto"/>
          <w:szCs w:val="21"/>
          <w:highlight w:val="none"/>
        </w:rPr>
        <w:t>16</w:t>
      </w:r>
      <w:r>
        <w:rPr>
          <w:rFonts w:hint="eastAsia" w:ascii="Times New Roman" w:hAnsi="Times New Roman" w:eastAsia="宋体"/>
          <w:color w:val="auto"/>
          <w:szCs w:val="21"/>
          <w:highlight w:val="none"/>
          <w:lang w:val="en-US" w:eastAsia="zh-CN"/>
        </w:rPr>
        <w:t>表B.2.3-2、表B.2.3-3。</w:t>
      </w:r>
      <w:r>
        <w:rPr>
          <w:rFonts w:hint="eastAsia" w:ascii="Times New Roman" w:hAnsi="Times New Roman" w:eastAsia="宋体"/>
          <w:b/>
          <w:bCs/>
          <w:color w:val="auto"/>
          <w:szCs w:val="21"/>
          <w:highlight w:val="none"/>
          <w:lang w:val="en-US" w:eastAsia="zh-CN"/>
        </w:rPr>
        <w:br w:type="page"/>
      </w:r>
    </w:p>
    <w:p>
      <w:pPr>
        <w:rPr>
          <w:rFonts w:ascii="Times New Roman" w:hAnsi="Times New Roman" w:eastAsia="宋体"/>
          <w:color w:val="auto"/>
          <w:sz w:val="10"/>
          <w:szCs w:val="10"/>
          <w:highlight w:val="none"/>
        </w:rPr>
      </w:pPr>
    </w:p>
    <w:p>
      <w:pPr>
        <w:pStyle w:val="2"/>
        <w:rPr>
          <w:rFonts w:ascii="Times New Roman" w:hAnsi="Times New Roman" w:eastAsia="宋体"/>
          <w:b/>
          <w:bCs/>
          <w:color w:val="auto"/>
          <w:sz w:val="32"/>
          <w:szCs w:val="32"/>
          <w:highlight w:val="none"/>
        </w:rPr>
      </w:pPr>
      <w:bookmarkStart w:id="498" w:name="_Toc4346"/>
      <w:bookmarkStart w:id="499" w:name="_Toc15392"/>
      <w:bookmarkStart w:id="500" w:name="_附录G  土石工程分级"/>
      <w:r>
        <w:rPr>
          <w:rFonts w:ascii="Times New Roman" w:hAnsi="Times New Roman" w:eastAsia="宋体"/>
          <w:b/>
          <w:bCs/>
          <w:color w:val="auto"/>
          <w:sz w:val="32"/>
          <w:szCs w:val="32"/>
          <w:highlight w:val="none"/>
        </w:rPr>
        <w:t>附录</w:t>
      </w:r>
      <w:r>
        <w:rPr>
          <w:rFonts w:hint="eastAsia" w:ascii="Times New Roman" w:hAnsi="Times New Roman" w:eastAsia="宋体"/>
          <w:b/>
          <w:bCs/>
          <w:color w:val="auto"/>
          <w:sz w:val="32"/>
          <w:szCs w:val="32"/>
          <w:highlight w:val="none"/>
          <w:lang w:val="en-US" w:eastAsia="zh-CN"/>
        </w:rPr>
        <w:t>G</w:t>
      </w:r>
      <w:r>
        <w:rPr>
          <w:rFonts w:ascii="Times New Roman" w:hAnsi="Times New Roman" w:eastAsia="宋体"/>
          <w:b/>
          <w:bCs/>
          <w:color w:val="auto"/>
          <w:sz w:val="32"/>
          <w:szCs w:val="32"/>
          <w:highlight w:val="none"/>
        </w:rPr>
        <w:t xml:space="preserve"> </w:t>
      </w:r>
      <w:r>
        <w:rPr>
          <w:rFonts w:hint="eastAsia"/>
          <w:b/>
          <w:bCs/>
          <w:color w:val="auto"/>
          <w:sz w:val="32"/>
          <w:szCs w:val="32"/>
          <w:highlight w:val="none"/>
          <w:lang w:val="en-US" w:eastAsia="zh-CN"/>
        </w:rPr>
        <w:t xml:space="preserve"> </w:t>
      </w:r>
      <w:r>
        <w:rPr>
          <w:rFonts w:ascii="Times New Roman" w:hAnsi="Times New Roman" w:eastAsia="宋体"/>
          <w:b/>
          <w:bCs/>
          <w:color w:val="auto"/>
          <w:sz w:val="32"/>
          <w:szCs w:val="32"/>
          <w:highlight w:val="none"/>
        </w:rPr>
        <w:t>土石工程分级</w:t>
      </w:r>
      <w:bookmarkEnd w:id="498"/>
      <w:bookmarkEnd w:id="499"/>
    </w:p>
    <w:bookmarkEnd w:id="500"/>
    <w:p>
      <w:pPr>
        <w:spacing w:line="360" w:lineRule="auto"/>
        <w:rPr>
          <w:rFonts w:ascii="Times New Roman" w:hAnsi="Times New Roman" w:eastAsia="宋体"/>
          <w:color w:val="auto"/>
          <w:highlight w:val="none"/>
        </w:rPr>
      </w:pPr>
      <w:r>
        <w:rPr>
          <w:rFonts w:hint="eastAsia" w:ascii="Times New Roman" w:hAnsi="Times New Roman" w:eastAsia="宋体"/>
          <w:b/>
          <w:bCs/>
          <w:color w:val="auto"/>
          <w:highlight w:val="none"/>
          <w:lang w:val="en-US" w:eastAsia="zh-CN"/>
        </w:rPr>
        <w:t>G</w:t>
      </w:r>
      <w:r>
        <w:rPr>
          <w:rFonts w:ascii="Times New Roman" w:hAnsi="Times New Roman" w:eastAsia="宋体"/>
          <w:b/>
          <w:bCs/>
          <w:color w:val="auto"/>
          <w:highlight w:val="none"/>
        </w:rPr>
        <w:t xml:space="preserve">.0.1 </w:t>
      </w:r>
      <w:r>
        <w:rPr>
          <w:rFonts w:hint="eastAsia"/>
          <w:b/>
          <w:bCs/>
          <w:color w:val="auto"/>
          <w:highlight w:val="none"/>
          <w:lang w:val="en-US" w:eastAsia="zh-CN"/>
        </w:rPr>
        <w:t xml:space="preserve"> </w:t>
      </w:r>
      <w:r>
        <w:rPr>
          <w:rFonts w:ascii="Times New Roman" w:hAnsi="Times New Roman" w:eastAsia="宋体"/>
          <w:color w:val="auto"/>
          <w:highlight w:val="none"/>
        </w:rPr>
        <w:t>在市政工程项目中，一方面需要进行土</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石工程分级，以确定采用的开挖机械和工艺；一方面需要进行岩土分类，以根据定额进行概预算计量。</w:t>
      </w:r>
    </w:p>
    <w:p>
      <w:pPr>
        <w:spacing w:line="360" w:lineRule="auto"/>
        <w:ind w:firstLine="420" w:firstLineChars="200"/>
        <w:rPr>
          <w:rFonts w:hint="default" w:ascii="Times New Roman" w:hAnsi="Times New Roman" w:eastAsia="宋体"/>
          <w:color w:val="auto"/>
          <w:highlight w:val="none"/>
          <w:lang w:val="en-US" w:eastAsia="zh-CN"/>
        </w:rPr>
      </w:pPr>
      <w:r>
        <w:rPr>
          <w:rFonts w:ascii="Times New Roman" w:hAnsi="Times New Roman" w:eastAsia="宋体"/>
          <w:color w:val="auto"/>
          <w:highlight w:val="none"/>
        </w:rPr>
        <w:t>土</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石工程分级主要依据《公路工程地质勘察规范》JTG C20-2011附录J；而岩土分类则主要依据《广东省市政工程综合定额（2018版）》，同时参考国标《市政工程工程量计算规范》GB 50857-2013表A.1-1、表A.2-1和《建设工程工程量清单计价规范》GB 50500-2008表A.1.4-1。土</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石工程分级</w:t>
      </w:r>
      <w:r>
        <w:rPr>
          <w:rFonts w:hint="eastAsia" w:ascii="Times New Roman" w:hAnsi="Times New Roman" w:eastAsia="宋体"/>
          <w:color w:val="auto"/>
          <w:highlight w:val="none"/>
          <w:lang w:val="en-US" w:eastAsia="zh-CN"/>
        </w:rPr>
        <w:t>和岩土分类之间并非一一对应，</w:t>
      </w:r>
      <w:r>
        <w:rPr>
          <w:rFonts w:ascii="Times New Roman" w:hAnsi="Times New Roman" w:eastAsia="宋体"/>
          <w:color w:val="auto"/>
          <w:highlight w:val="none"/>
        </w:rPr>
        <w:t>两套标准的规定存在一定出入</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经梳理，两者之间可按表G对应。</w:t>
      </w:r>
    </w:p>
    <w:p>
      <w:pPr>
        <w:spacing w:line="360" w:lineRule="auto"/>
        <w:jc w:val="center"/>
        <w:rPr>
          <w:rFonts w:hint="eastAsia" w:ascii="Times New Roman" w:hAnsi="Times New Roman" w:eastAsia="宋体"/>
          <w:color w:val="auto"/>
          <w:szCs w:val="21"/>
          <w:highlight w:val="none"/>
          <w:lang w:val="en-US" w:eastAsia="zh-CN"/>
        </w:rPr>
      </w:pPr>
      <w:r>
        <w:rPr>
          <w:rFonts w:ascii="Times New Roman" w:hAnsi="Times New Roman" w:eastAsia="宋体"/>
          <w:color w:val="auto"/>
          <w:szCs w:val="21"/>
          <w:highlight w:val="none"/>
        </w:rPr>
        <w:t>表</w:t>
      </w:r>
      <w:r>
        <w:rPr>
          <w:rFonts w:hint="eastAsia" w:ascii="Times New Roman" w:hAnsi="Times New Roman" w:eastAsia="宋体"/>
          <w:color w:val="auto"/>
          <w:szCs w:val="21"/>
          <w:highlight w:val="none"/>
          <w:lang w:val="en-US" w:eastAsia="zh-CN"/>
        </w:rPr>
        <w:t>G</w:t>
      </w:r>
      <w:r>
        <w:rPr>
          <w:rFonts w:ascii="Times New Roman" w:hAnsi="Times New Roman" w:eastAsia="宋体"/>
          <w:color w:val="auto"/>
          <w:szCs w:val="21"/>
          <w:highlight w:val="none"/>
        </w:rPr>
        <w:t xml:space="preserve"> 土、石工程分级与岩土分类</w:t>
      </w:r>
      <w:r>
        <w:rPr>
          <w:rFonts w:hint="eastAsia" w:ascii="Times New Roman" w:hAnsi="Times New Roman" w:eastAsia="宋体"/>
          <w:color w:val="auto"/>
          <w:szCs w:val="21"/>
          <w:highlight w:val="none"/>
          <w:lang w:val="en-US" w:eastAsia="zh-CN"/>
        </w:rPr>
        <w:t>的对应关系</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6"/>
        <w:gridCol w:w="415"/>
        <w:gridCol w:w="416"/>
        <w:gridCol w:w="808"/>
        <w:gridCol w:w="380"/>
        <w:gridCol w:w="1672"/>
        <w:gridCol w:w="5"/>
        <w:gridCol w:w="1969"/>
        <w:gridCol w:w="380"/>
        <w:gridCol w:w="410"/>
        <w:gridCol w:w="410"/>
        <w:gridCol w:w="6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5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ascii="Times New Roman" w:hAnsi="Times New Roman" w:eastAsia="宋体"/>
                <w:color w:val="auto"/>
                <w:kern w:val="0"/>
                <w:sz w:val="18"/>
                <w:szCs w:val="18"/>
                <w:highlight w:val="none"/>
              </w:rPr>
              <w:t>土石</w:t>
            </w:r>
            <w:r>
              <w:rPr>
                <w:rFonts w:hint="eastAsia" w:ascii="Times New Roman" w:hAnsi="Times New Roman" w:eastAsia="宋体"/>
                <w:color w:val="auto"/>
                <w:kern w:val="0"/>
                <w:sz w:val="18"/>
                <w:szCs w:val="18"/>
                <w:highlight w:val="none"/>
                <w:lang w:val="en-US" w:eastAsia="zh-CN"/>
              </w:rPr>
              <w:t>等</w:t>
            </w:r>
            <w:r>
              <w:rPr>
                <w:rFonts w:ascii="Times New Roman" w:hAnsi="Times New Roman" w:eastAsia="宋体"/>
                <w:color w:val="auto"/>
                <w:kern w:val="0"/>
                <w:sz w:val="18"/>
                <w:szCs w:val="18"/>
                <w:highlight w:val="none"/>
              </w:rPr>
              <w:t>级</w:t>
            </w:r>
          </w:p>
        </w:tc>
        <w:tc>
          <w:tcPr>
            <w:tcW w:w="831"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olor w:val="auto"/>
                <w:szCs w:val="21"/>
                <w:highlight w:val="none"/>
                <w:vertAlign w:val="baseline"/>
                <w:lang w:val="en-US" w:eastAsia="zh-CN"/>
              </w:rPr>
            </w:pPr>
            <w:r>
              <w:rPr>
                <w:rFonts w:ascii="Times New Roman" w:hAnsi="Times New Roman" w:eastAsia="宋体"/>
                <w:color w:val="auto"/>
                <w:kern w:val="0"/>
                <w:sz w:val="18"/>
                <w:szCs w:val="18"/>
                <w:highlight w:val="none"/>
              </w:rPr>
              <w:t>Ⅰ</w:t>
            </w:r>
          </w:p>
        </w:tc>
        <w:tc>
          <w:tcPr>
            <w:tcW w:w="80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ascii="Times New Roman" w:hAnsi="Times New Roman" w:eastAsia="宋体"/>
                <w:color w:val="auto"/>
                <w:kern w:val="0"/>
                <w:sz w:val="18"/>
                <w:szCs w:val="18"/>
                <w:highlight w:val="none"/>
              </w:rPr>
              <w:t>Ⅱ</w:t>
            </w:r>
          </w:p>
        </w:tc>
        <w:tc>
          <w:tcPr>
            <w:tcW w:w="2052"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olor w:val="auto"/>
                <w:szCs w:val="21"/>
                <w:highlight w:val="none"/>
                <w:vertAlign w:val="baseline"/>
                <w:lang w:val="en-US" w:eastAsia="zh-CN"/>
              </w:rPr>
            </w:pPr>
            <w:r>
              <w:rPr>
                <w:rFonts w:ascii="Times New Roman" w:hAnsi="Times New Roman" w:eastAsia="宋体"/>
                <w:color w:val="auto"/>
                <w:kern w:val="0"/>
                <w:sz w:val="18"/>
                <w:szCs w:val="18"/>
                <w:highlight w:val="none"/>
              </w:rPr>
              <w:t>Ⅲ</w:t>
            </w:r>
          </w:p>
        </w:tc>
        <w:tc>
          <w:tcPr>
            <w:tcW w:w="2354" w:type="dxa"/>
            <w:gridSpan w:val="3"/>
            <w:tcBorders>
              <w:tl2br w:val="nil"/>
              <w:tr2bl w:val="nil"/>
            </w:tcBorders>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olor w:val="auto"/>
                <w:szCs w:val="21"/>
                <w:highlight w:val="none"/>
                <w:vertAlign w:val="baseline"/>
                <w:lang w:val="en-US" w:eastAsia="zh-CN"/>
              </w:rPr>
            </w:pPr>
            <w:r>
              <w:rPr>
                <w:rFonts w:ascii="Times New Roman" w:hAnsi="Times New Roman" w:eastAsia="宋体"/>
                <w:color w:val="auto"/>
                <w:kern w:val="0"/>
                <w:sz w:val="18"/>
                <w:szCs w:val="18"/>
                <w:highlight w:val="none"/>
              </w:rPr>
              <w:t>Ⅳ</w:t>
            </w:r>
          </w:p>
        </w:tc>
        <w:tc>
          <w:tcPr>
            <w:tcW w:w="820"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olor w:val="auto"/>
                <w:szCs w:val="21"/>
                <w:highlight w:val="none"/>
                <w:vertAlign w:val="baseline"/>
                <w:lang w:val="en-US" w:eastAsia="zh-CN"/>
              </w:rPr>
            </w:pPr>
            <w:r>
              <w:rPr>
                <w:rFonts w:ascii="Times New Roman" w:hAnsi="Times New Roman" w:eastAsia="宋体"/>
                <w:color w:val="auto"/>
                <w:kern w:val="0"/>
                <w:sz w:val="18"/>
                <w:szCs w:val="18"/>
                <w:highlight w:val="none"/>
              </w:rPr>
              <w:t>Ⅴ</w:t>
            </w:r>
          </w:p>
        </w:tc>
        <w:tc>
          <w:tcPr>
            <w:tcW w:w="64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olor w:val="auto"/>
                <w:szCs w:val="21"/>
                <w:highlight w:val="none"/>
                <w:vertAlign w:val="baseline"/>
                <w:lang w:val="en-US" w:eastAsia="zh-CN"/>
              </w:rPr>
            </w:pPr>
            <w:r>
              <w:rPr>
                <w:rFonts w:ascii="Times New Roman" w:hAnsi="Times New Roman" w:eastAsia="宋体"/>
                <w:color w:val="auto"/>
                <w:kern w:val="0"/>
                <w:sz w:val="18"/>
                <w:szCs w:val="18"/>
                <w:highlight w:val="none"/>
              </w:rPr>
              <w:t>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ascii="Times New Roman" w:hAnsi="Times New Roman" w:eastAsia="宋体"/>
                <w:color w:val="auto"/>
                <w:kern w:val="0"/>
                <w:sz w:val="18"/>
                <w:szCs w:val="18"/>
                <w:highlight w:val="none"/>
              </w:rPr>
              <w:t>土石</w:t>
            </w:r>
            <w:r>
              <w:rPr>
                <w:rFonts w:hint="eastAsia" w:ascii="Times New Roman" w:hAnsi="Times New Roman" w:eastAsia="宋体"/>
                <w:color w:val="auto"/>
                <w:kern w:val="0"/>
                <w:sz w:val="18"/>
                <w:szCs w:val="18"/>
                <w:highlight w:val="none"/>
                <w:lang w:val="en-US" w:eastAsia="zh-CN"/>
              </w:rPr>
              <w:t>类别</w:t>
            </w:r>
          </w:p>
        </w:tc>
        <w:tc>
          <w:tcPr>
            <w:tcW w:w="831"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松土</w:t>
            </w:r>
          </w:p>
        </w:tc>
        <w:tc>
          <w:tcPr>
            <w:tcW w:w="80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普通土</w:t>
            </w:r>
          </w:p>
        </w:tc>
        <w:tc>
          <w:tcPr>
            <w:tcW w:w="2052"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硬土</w:t>
            </w:r>
          </w:p>
        </w:tc>
        <w:tc>
          <w:tcPr>
            <w:tcW w:w="2354" w:type="dxa"/>
            <w:gridSpan w:val="3"/>
            <w:tcBorders>
              <w:tl2br w:val="nil"/>
              <w:tr2bl w:val="nil"/>
            </w:tcBorders>
            <w:vAlign w:val="center"/>
          </w:tcPr>
          <w:p>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软石</w:t>
            </w:r>
          </w:p>
        </w:tc>
        <w:tc>
          <w:tcPr>
            <w:tcW w:w="820"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次坚石</w:t>
            </w:r>
          </w:p>
        </w:tc>
        <w:tc>
          <w:tcPr>
            <w:tcW w:w="64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坚石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ascii="Times New Roman" w:hAnsi="Times New Roman" w:eastAsia="宋体"/>
                <w:color w:val="auto"/>
                <w:kern w:val="0"/>
                <w:sz w:val="18"/>
                <w:szCs w:val="18"/>
                <w:highlight w:val="none"/>
              </w:rPr>
              <w:t>岩土分类</w:t>
            </w:r>
          </w:p>
        </w:tc>
        <w:tc>
          <w:tcPr>
            <w:tcW w:w="41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ascii="Times New Roman" w:hAnsi="Times New Roman" w:eastAsia="宋体"/>
                <w:color w:val="auto"/>
                <w:kern w:val="0"/>
                <w:sz w:val="18"/>
                <w:szCs w:val="18"/>
                <w:highlight w:val="none"/>
              </w:rPr>
              <w:t>一类土壤</w:t>
            </w:r>
          </w:p>
        </w:tc>
        <w:tc>
          <w:tcPr>
            <w:tcW w:w="41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ascii="Times New Roman" w:hAnsi="Times New Roman" w:eastAsia="宋体"/>
                <w:color w:val="auto"/>
                <w:kern w:val="0"/>
                <w:sz w:val="18"/>
                <w:szCs w:val="18"/>
                <w:highlight w:val="none"/>
              </w:rPr>
              <w:t>二类土壤</w:t>
            </w:r>
          </w:p>
        </w:tc>
        <w:tc>
          <w:tcPr>
            <w:tcW w:w="80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ascii="Times New Roman" w:hAnsi="Times New Roman" w:eastAsia="宋体"/>
                <w:color w:val="auto"/>
                <w:kern w:val="0"/>
                <w:sz w:val="18"/>
                <w:szCs w:val="18"/>
                <w:highlight w:val="none"/>
              </w:rPr>
              <w:t>三类土壤</w:t>
            </w:r>
          </w:p>
        </w:tc>
        <w:tc>
          <w:tcPr>
            <w:tcW w:w="38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ascii="Times New Roman" w:hAnsi="Times New Roman" w:eastAsia="宋体"/>
                <w:color w:val="auto"/>
                <w:kern w:val="0"/>
                <w:sz w:val="18"/>
                <w:szCs w:val="18"/>
                <w:highlight w:val="none"/>
              </w:rPr>
              <w:t>四类土壤</w:t>
            </w:r>
          </w:p>
        </w:tc>
        <w:tc>
          <w:tcPr>
            <w:tcW w:w="167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olor w:val="auto"/>
                <w:szCs w:val="21"/>
                <w:highlight w:val="none"/>
                <w:vertAlign w:val="baseline"/>
                <w:lang w:val="en-US" w:eastAsia="zh-CN"/>
              </w:rPr>
            </w:pPr>
            <w:r>
              <w:rPr>
                <w:rFonts w:hint="eastAsia" w:ascii="Arial" w:hAnsi="Arial" w:eastAsia="宋体" w:cs="Arial"/>
                <w:color w:val="auto"/>
                <w:kern w:val="0"/>
                <w:sz w:val="18"/>
                <w:szCs w:val="18"/>
                <w:highlight w:val="none"/>
              </w:rPr>
              <w:t xml:space="preserve">全风化岩；岩芯呈土状或半岩半土状的强风化岩 </w:t>
            </w:r>
          </w:p>
        </w:tc>
        <w:tc>
          <w:tcPr>
            <w:tcW w:w="19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olor w:val="auto"/>
                <w:szCs w:val="21"/>
                <w:highlight w:val="none"/>
                <w:vertAlign w:val="baseline"/>
                <w:lang w:val="en-US" w:eastAsia="zh-CN"/>
              </w:rPr>
            </w:pPr>
            <w:r>
              <w:rPr>
                <w:rFonts w:hint="eastAsia" w:ascii="Arial" w:hAnsi="Arial" w:eastAsia="宋体" w:cs="Arial"/>
                <w:color w:val="auto"/>
                <w:kern w:val="0"/>
                <w:sz w:val="18"/>
                <w:szCs w:val="18"/>
                <w:highlight w:val="none"/>
              </w:rPr>
              <w:t>碎块状强风化岩；单轴抗压强度</w:t>
            </w:r>
            <w:r>
              <w:rPr>
                <w:rFonts w:hint="eastAsia" w:ascii="仿宋" w:hAnsi="仿宋" w:eastAsia="仿宋" w:cs="Arial"/>
                <w:color w:val="auto"/>
                <w:kern w:val="0"/>
                <w:sz w:val="18"/>
                <w:szCs w:val="18"/>
                <w:highlight w:val="none"/>
              </w:rPr>
              <w:t>≤</w:t>
            </w:r>
            <w:r>
              <w:rPr>
                <w:rFonts w:hint="eastAsia" w:ascii="Arial" w:hAnsi="Arial" w:eastAsia="宋体" w:cs="Arial"/>
                <w:color w:val="auto"/>
                <w:kern w:val="0"/>
                <w:sz w:val="18"/>
                <w:szCs w:val="18"/>
                <w:highlight w:val="none"/>
              </w:rPr>
              <w:t>5MPa的岩；各种半成岩；石膏</w:t>
            </w:r>
          </w:p>
        </w:tc>
        <w:tc>
          <w:tcPr>
            <w:tcW w:w="38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ascii="Times New Roman" w:hAnsi="Times New Roman" w:eastAsia="宋体"/>
                <w:color w:val="auto"/>
                <w:kern w:val="0"/>
                <w:sz w:val="18"/>
                <w:szCs w:val="18"/>
                <w:highlight w:val="none"/>
              </w:rPr>
              <w:t>软岩</w:t>
            </w:r>
          </w:p>
        </w:tc>
        <w:tc>
          <w:tcPr>
            <w:tcW w:w="41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olor w:val="auto"/>
                <w:szCs w:val="21"/>
                <w:highlight w:val="none"/>
                <w:vertAlign w:val="baseline"/>
                <w:lang w:val="en-US" w:eastAsia="zh-CN"/>
              </w:rPr>
            </w:pPr>
            <w:r>
              <w:rPr>
                <w:rFonts w:ascii="Times New Roman" w:hAnsi="Times New Roman" w:eastAsia="宋体"/>
                <w:color w:val="auto"/>
                <w:kern w:val="0"/>
                <w:sz w:val="18"/>
                <w:szCs w:val="18"/>
                <w:highlight w:val="none"/>
              </w:rPr>
              <w:t>较软岩</w:t>
            </w:r>
          </w:p>
        </w:tc>
        <w:tc>
          <w:tcPr>
            <w:tcW w:w="41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ascii="Times New Roman" w:hAnsi="Times New Roman" w:eastAsia="宋体"/>
                <w:color w:val="auto"/>
                <w:kern w:val="0"/>
                <w:sz w:val="18"/>
                <w:szCs w:val="18"/>
                <w:highlight w:val="none"/>
              </w:rPr>
              <w:t>较硬岩</w:t>
            </w:r>
          </w:p>
        </w:tc>
        <w:tc>
          <w:tcPr>
            <w:tcW w:w="64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ascii="Times New Roman" w:hAnsi="Times New Roman" w:eastAsia="宋体"/>
                <w:color w:val="auto"/>
                <w:kern w:val="0"/>
                <w:sz w:val="18"/>
                <w:szCs w:val="18"/>
                <w:highlight w:val="none"/>
              </w:rPr>
              <w:t>坚硬岩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95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olor w:val="auto"/>
                <w:kern w:val="0"/>
                <w:sz w:val="18"/>
                <w:szCs w:val="18"/>
                <w:highlight w:val="none"/>
              </w:rPr>
            </w:pPr>
          </w:p>
        </w:tc>
        <w:tc>
          <w:tcPr>
            <w:tcW w:w="41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olor w:val="auto"/>
                <w:kern w:val="0"/>
                <w:sz w:val="18"/>
                <w:szCs w:val="18"/>
                <w:highlight w:val="none"/>
              </w:rPr>
            </w:pPr>
          </w:p>
        </w:tc>
        <w:tc>
          <w:tcPr>
            <w:tcW w:w="41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olor w:val="auto"/>
                <w:kern w:val="0"/>
                <w:sz w:val="18"/>
                <w:szCs w:val="18"/>
                <w:highlight w:val="none"/>
              </w:rPr>
            </w:pPr>
          </w:p>
        </w:tc>
        <w:tc>
          <w:tcPr>
            <w:tcW w:w="80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olor w:val="auto"/>
                <w:kern w:val="0"/>
                <w:sz w:val="18"/>
                <w:szCs w:val="18"/>
                <w:highlight w:val="none"/>
              </w:rPr>
            </w:pPr>
          </w:p>
        </w:tc>
        <w:tc>
          <w:tcPr>
            <w:tcW w:w="38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olor w:val="auto"/>
                <w:kern w:val="0"/>
                <w:sz w:val="18"/>
                <w:szCs w:val="18"/>
                <w:highlight w:val="none"/>
              </w:rPr>
            </w:pPr>
          </w:p>
        </w:tc>
        <w:tc>
          <w:tcPr>
            <w:tcW w:w="3646" w:type="dxa"/>
            <w:gridSpan w:val="3"/>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ascii="Times New Roman" w:hAnsi="Times New Roman" w:eastAsia="宋体"/>
                <w:color w:val="auto"/>
                <w:kern w:val="0"/>
                <w:sz w:val="18"/>
                <w:szCs w:val="18"/>
                <w:highlight w:val="none"/>
              </w:rPr>
              <w:t>极软岩</w:t>
            </w:r>
          </w:p>
        </w:tc>
        <w:tc>
          <w:tcPr>
            <w:tcW w:w="38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olor w:val="auto"/>
                <w:kern w:val="0"/>
                <w:sz w:val="18"/>
                <w:szCs w:val="18"/>
                <w:highlight w:val="none"/>
              </w:rPr>
            </w:pPr>
          </w:p>
        </w:tc>
        <w:tc>
          <w:tcPr>
            <w:tcW w:w="410"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rPr>
                <w:rFonts w:ascii="Times New Roman" w:hAnsi="Times New Roman" w:eastAsia="宋体"/>
                <w:color w:val="auto"/>
                <w:kern w:val="0"/>
                <w:sz w:val="18"/>
                <w:szCs w:val="18"/>
                <w:highlight w:val="none"/>
              </w:rPr>
            </w:pPr>
          </w:p>
        </w:tc>
        <w:tc>
          <w:tcPr>
            <w:tcW w:w="41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olor w:val="auto"/>
                <w:kern w:val="0"/>
                <w:sz w:val="18"/>
                <w:szCs w:val="18"/>
                <w:highlight w:val="none"/>
              </w:rPr>
            </w:pPr>
          </w:p>
        </w:tc>
        <w:tc>
          <w:tcPr>
            <w:tcW w:w="6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ascii="Times New Roman" w:hAnsi="Times New Roman" w:eastAsia="宋体"/>
                <w:color w:val="auto"/>
                <w:kern w:val="0"/>
                <w:sz w:val="18"/>
                <w:szCs w:val="18"/>
                <w:highlight w:val="none"/>
              </w:rPr>
            </w:pPr>
          </w:p>
        </w:tc>
      </w:tr>
    </w:tbl>
    <w:p>
      <w:pPr>
        <w:spacing w:line="360" w:lineRule="auto"/>
        <w:ind w:firstLine="420" w:firstLineChars="200"/>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原规范中，</w:t>
      </w:r>
      <w:r>
        <w:rPr>
          <w:rFonts w:ascii="Times New Roman" w:hAnsi="Times New Roman" w:eastAsia="宋体"/>
          <w:color w:val="auto"/>
          <w:highlight w:val="none"/>
        </w:rPr>
        <w:t>土</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石工程分级</w:t>
      </w:r>
      <w:r>
        <w:rPr>
          <w:rFonts w:hint="eastAsia" w:ascii="Times New Roman" w:hAnsi="Times New Roman" w:eastAsia="宋体"/>
          <w:color w:val="auto"/>
          <w:highlight w:val="none"/>
          <w:lang w:val="en-US" w:eastAsia="zh-CN"/>
        </w:rPr>
        <w:t>和岩土分类</w:t>
      </w:r>
      <w:r>
        <w:rPr>
          <w:rFonts w:ascii="Times New Roman" w:hAnsi="Times New Roman" w:eastAsia="宋体"/>
          <w:color w:val="auto"/>
          <w:highlight w:val="none"/>
        </w:rPr>
        <w:t>两套标准的规定都是一些定性指标，在应用过程中不太方便，且各方理解可能产生偏差。为此，</w:t>
      </w:r>
      <w:r>
        <w:rPr>
          <w:rFonts w:hint="eastAsia" w:ascii="Times New Roman" w:hAnsi="Times New Roman" w:eastAsia="宋体"/>
          <w:color w:val="auto"/>
          <w:highlight w:val="none"/>
          <w:lang w:val="en-US" w:eastAsia="zh-CN"/>
        </w:rPr>
        <w:t>本规范</w:t>
      </w:r>
      <w:r>
        <w:rPr>
          <w:rFonts w:ascii="Times New Roman" w:hAnsi="Times New Roman" w:eastAsia="宋体"/>
          <w:color w:val="auto"/>
          <w:highlight w:val="none"/>
        </w:rPr>
        <w:t>作了一定的修改，其中岩改为主要以强度划分，在不偏离原规范基础上，趋于定量化</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以</w:t>
      </w:r>
      <w:r>
        <w:rPr>
          <w:rFonts w:ascii="Times New Roman" w:hAnsi="Times New Roman" w:eastAsia="宋体"/>
          <w:color w:val="auto"/>
          <w:highlight w:val="none"/>
        </w:rPr>
        <w:t>消除纯粹定性描述的模糊性，勘察设计人员更易于把握，使得岩土工程勘察和工程概预算不易产生分歧，有利于建设上下游专业的共识，以及避免各种纠纷和协调工作。</w:t>
      </w:r>
    </w:p>
    <w:p>
      <w:pPr>
        <w:spacing w:line="360" w:lineRule="auto"/>
        <w:ind w:firstLine="420" w:firstLineChars="200"/>
        <w:rPr>
          <w:rFonts w:ascii="Times New Roman" w:hAnsi="Times New Roman" w:eastAsia="宋体"/>
          <w:color w:val="auto"/>
          <w:highlight w:val="none"/>
        </w:rPr>
      </w:pPr>
      <w:r>
        <w:rPr>
          <w:rFonts w:ascii="Times New Roman" w:hAnsi="Times New Roman" w:eastAsia="宋体"/>
          <w:color w:val="auto"/>
          <w:highlight w:val="none"/>
        </w:rPr>
        <w:t>需要补充说明的是，近年来，随着沉管隧道项目的增多，水下开挖越来越受到关注，其挖掘机械和工艺的选用与陆上存在一定的差异，尤其对于部分硬土~软石的水下开挖，更多需要采用爆破方法。本规范作了相关规定，概预算人员宜根据具体地质条件适当考虑一定的爆破量。</w:t>
      </w:r>
    </w:p>
    <w:p>
      <w:pPr>
        <w:spacing w:line="360" w:lineRule="auto"/>
        <w:ind w:firstLine="420" w:firstLineChars="20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此外，对于场地平整或边坡工程，其土石方的开挖方式一般是从高处往低处剥落岩土体，而非从地表以下向上挖掘，可以充分利用土、石的重力作用是其散开。因此，在其土石开挖中往往只区分土石比，仅石方计爆破费用。</w:t>
      </w:r>
    </w:p>
    <w:p>
      <w:pPr>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br w:type="page"/>
      </w:r>
    </w:p>
    <w:p>
      <w:pPr>
        <w:rPr>
          <w:rFonts w:hint="eastAsia" w:ascii="Times New Roman" w:hAnsi="Times New Roman" w:eastAsia="宋体"/>
          <w:color w:val="auto"/>
          <w:highlight w:val="none"/>
          <w:lang w:val="en-US" w:eastAsia="zh-CN"/>
        </w:rPr>
      </w:pPr>
    </w:p>
    <w:p>
      <w:pPr>
        <w:pStyle w:val="2"/>
        <w:rPr>
          <w:rFonts w:hint="default" w:ascii="Times New Roman" w:hAnsi="Times New Roman" w:eastAsia="宋体"/>
          <w:b/>
          <w:bCs/>
          <w:color w:val="auto"/>
          <w:sz w:val="32"/>
          <w:szCs w:val="32"/>
          <w:highlight w:val="none"/>
          <w:lang w:val="en-US" w:eastAsia="zh-CN"/>
        </w:rPr>
      </w:pPr>
      <w:bookmarkStart w:id="501" w:name="_Toc24564"/>
      <w:bookmarkStart w:id="502" w:name="_Toc23344"/>
      <w:bookmarkStart w:id="503" w:name="_附录H  回填封孔"/>
      <w:r>
        <w:rPr>
          <w:rFonts w:ascii="Times New Roman" w:hAnsi="Times New Roman" w:eastAsia="宋体"/>
          <w:b/>
          <w:bCs/>
          <w:color w:val="auto"/>
          <w:sz w:val="32"/>
          <w:szCs w:val="32"/>
          <w:highlight w:val="none"/>
        </w:rPr>
        <w:t>附录</w:t>
      </w:r>
      <w:r>
        <w:rPr>
          <w:rFonts w:hint="eastAsia" w:ascii="Times New Roman" w:hAnsi="Times New Roman" w:eastAsia="宋体"/>
          <w:b/>
          <w:bCs/>
          <w:color w:val="auto"/>
          <w:sz w:val="32"/>
          <w:szCs w:val="32"/>
          <w:highlight w:val="none"/>
          <w:lang w:val="en-US" w:eastAsia="zh-CN"/>
        </w:rPr>
        <w:t>H</w:t>
      </w:r>
      <w:r>
        <w:rPr>
          <w:rFonts w:ascii="Times New Roman" w:hAnsi="Times New Roman" w:eastAsia="宋体"/>
          <w:b/>
          <w:bCs/>
          <w:color w:val="auto"/>
          <w:sz w:val="32"/>
          <w:szCs w:val="32"/>
          <w:highlight w:val="none"/>
        </w:rPr>
        <w:t xml:space="preserve"> </w:t>
      </w:r>
      <w:r>
        <w:rPr>
          <w:rFonts w:hint="eastAsia"/>
          <w:b/>
          <w:bCs/>
          <w:color w:val="auto"/>
          <w:sz w:val="32"/>
          <w:szCs w:val="32"/>
          <w:highlight w:val="none"/>
          <w:lang w:val="en-US" w:eastAsia="zh-CN"/>
        </w:rPr>
        <w:t xml:space="preserve"> </w:t>
      </w:r>
      <w:r>
        <w:rPr>
          <w:rFonts w:hint="eastAsia" w:ascii="Times New Roman" w:hAnsi="Times New Roman" w:eastAsia="宋体"/>
          <w:b/>
          <w:bCs/>
          <w:color w:val="auto"/>
          <w:sz w:val="32"/>
          <w:szCs w:val="32"/>
          <w:highlight w:val="none"/>
          <w:lang w:val="en-US" w:eastAsia="zh-CN"/>
        </w:rPr>
        <w:t>回填封孔</w:t>
      </w:r>
      <w:bookmarkEnd w:id="501"/>
      <w:bookmarkEnd w:id="502"/>
    </w:p>
    <w:bookmarkEnd w:id="503"/>
    <w:p>
      <w:pPr>
        <w:spacing w:line="360" w:lineRule="auto"/>
        <w:jc w:val="left"/>
        <w:rPr>
          <w:rFonts w:hint="eastAsia"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H.0.2~H.0.3</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综合参考了《建筑工程地质勘探与取样技术规程》JGJ/T 87-2012第13章、《铁路工程地质钻探规程》TB 10014-2012第14.9节以及堤防工程的封孔方法，并对岩溶强发育区隧道或深基坑钻孔的回填封孔作了规定。</w:t>
      </w:r>
    </w:p>
    <w:p>
      <w:pPr>
        <w:spacing w:line="360" w:lineRule="auto"/>
        <w:jc w:val="left"/>
        <w:rPr>
          <w:rFonts w:hint="default" w:ascii="Times New Roman" w:hAnsi="Times New Roman" w:eastAsia="宋体"/>
          <w:color w:val="auto"/>
          <w:highlight w:val="none"/>
          <w:lang w:val="en-US" w:eastAsia="zh-CN"/>
        </w:rPr>
      </w:pPr>
      <w:r>
        <w:rPr>
          <w:rFonts w:hint="eastAsia" w:ascii="Times New Roman" w:hAnsi="Times New Roman" w:eastAsia="宋体"/>
          <w:b/>
          <w:bCs/>
          <w:color w:val="auto"/>
          <w:highlight w:val="none"/>
          <w:lang w:val="en-US" w:eastAsia="zh-CN"/>
        </w:rPr>
        <w:t>H.0.4</w:t>
      </w:r>
      <w:r>
        <w:rPr>
          <w:rFonts w:hint="eastAsia" w:ascii="Times New Roman" w:hAnsi="Times New Roman" w:eastAsia="宋体"/>
          <w:color w:val="auto"/>
          <w:highlight w:val="none"/>
          <w:lang w:val="en-US" w:eastAsia="zh-CN"/>
        </w:rPr>
        <w:t xml:space="preserve"> </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对于市政工程，钻孔回填封孔的质量尤为重要，故本规范作了验收规定。</w:t>
      </w:r>
    </w:p>
    <w:p>
      <w:pPr>
        <w:rPr>
          <w:rFonts w:hint="eastAsia" w:ascii="Times New Roman" w:hAnsi="Times New Roman" w:eastAsia="宋体"/>
          <w:b/>
          <w:bCs/>
          <w:color w:val="auto"/>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Style w:val="73"/>
          <w:rFonts w:hint="eastAsia" w:ascii="Times New Roman" w:hAnsi="Times New Roman" w:eastAsia="宋体" w:cs="Times New Roman"/>
          <w:color w:val="auto"/>
          <w:sz w:val="24"/>
          <w:szCs w:val="24"/>
          <w:highlight w:val="none"/>
          <w:lang w:val="zh-CN" w:eastAsia="zh-CN" w:bidi="ar"/>
        </w:rPr>
      </w:pPr>
    </w:p>
    <w:sectPr>
      <w:pgSz w:w="11906" w:h="16838"/>
      <w:pgMar w:top="1440" w:right="1800" w:bottom="1440" w:left="1800" w:header="851" w:footer="992" w:gutter="0"/>
      <w:pgBorders>
        <w:top w:val="none" w:sz="0" w:space="0"/>
        <w:left w:val="none" w:sz="0" w:space="0"/>
        <w:bottom w:val="none" w:sz="0" w:space="0"/>
        <w:right w:val="none" w:sz="0" w:space="0"/>
      </w:pgBorders>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Helvetica">
    <w:altName w:val="Arial"/>
    <w:panose1 w:val="020B0604020202020204"/>
    <w:charset w:val="00"/>
    <w:family w:val="swiss"/>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cmsicon">
    <w:altName w:val="Segoe Print"/>
    <w:panose1 w:val="00000000000000000000"/>
    <w:charset w:val="00"/>
    <w:family w:val="auto"/>
    <w:pitch w:val="default"/>
    <w:sig w:usb0="00000000" w:usb1="00000000" w:usb2="00000000" w:usb3="00000000" w:csb0="00000000" w:csb1="00000000"/>
  </w:font>
  <w:font w:name="方正小标宋简体">
    <w:panose1 w:val="02000000000000000000"/>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 MERGEFORMAT</w:instrText>
    </w:r>
    <w:r>
      <w:fldChar w:fldCharType="separate"/>
    </w:r>
    <w:r>
      <w:rPr>
        <w:lang w:val="zh-CN"/>
      </w:rPr>
      <w:t>95</w:t>
    </w:r>
    <w:r>
      <w:fldChar w:fldCharType="end"/>
    </w: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PAGE   \* MERGEFORMAT</w:instrText>
    </w:r>
    <w:r>
      <w:fldChar w:fldCharType="separate"/>
    </w:r>
    <w:r>
      <w:rPr>
        <w:lang w:val="zh-CN"/>
      </w:rPr>
      <w:t>94</w:t>
    </w:r>
    <w: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 MERGEFORMAT</w:instrText>
    </w:r>
    <w:r>
      <w:fldChar w:fldCharType="separate"/>
    </w:r>
    <w:r>
      <w:rPr>
        <w:lang w:val="zh-CN"/>
      </w:rPr>
      <w:t>95</w:t>
    </w:r>
    <w: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PAGE   \* MERGEFORMAT</w:instrText>
    </w:r>
    <w:r>
      <w:fldChar w:fldCharType="separate"/>
    </w:r>
    <w:r>
      <w:rPr>
        <w:lang w:val="zh-CN"/>
      </w:rPr>
      <w:t>94</w:t>
    </w:r>
    <w:r>
      <w:fldChar w:fldCharType="end"/>
    </w:r>
  </w:p>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0171465"/>
    </w:sdtPr>
    <w:sdtContent>
      <w:p>
        <w:pPr>
          <w:pStyle w:val="11"/>
        </w:pPr>
        <w:r>
          <w:fldChar w:fldCharType="begin"/>
        </w:r>
        <w:r>
          <w:instrText xml:space="preserve">PAGE   \* MERGEFORMAT</w:instrText>
        </w:r>
        <w:r>
          <w:fldChar w:fldCharType="separate"/>
        </w:r>
        <w:r>
          <w:rPr>
            <w:lang w:val="zh-CN"/>
          </w:rPr>
          <w:t>2</w:t>
        </w:r>
        <w:r>
          <w:fldChar w:fldCharType="end"/>
        </w:r>
      </w:p>
    </w:sdtContent>
  </w:sdt>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43FA93"/>
    <w:multiLevelType w:val="singleLevel"/>
    <w:tmpl w:val="B443FA93"/>
    <w:lvl w:ilvl="0" w:tentative="0">
      <w:start w:val="1"/>
      <w:numFmt w:val="decimal"/>
      <w:suff w:val="nothing"/>
      <w:lvlText w:val="%1）"/>
      <w:lvlJc w:val="left"/>
      <w:rPr>
        <w:rFonts w:hint="default" w:ascii="Times New Roman" w:hAnsi="Times New Roman" w:cs="Times New Roman"/>
        <w:b/>
        <w:bCs/>
      </w:rPr>
    </w:lvl>
  </w:abstractNum>
  <w:abstractNum w:abstractNumId="1">
    <w:nsid w:val="E508698E"/>
    <w:multiLevelType w:val="singleLevel"/>
    <w:tmpl w:val="E508698E"/>
    <w:lvl w:ilvl="0" w:tentative="0">
      <w:start w:val="1"/>
      <w:numFmt w:val="decimal"/>
      <w:suff w:val="nothing"/>
      <w:lvlText w:val="%1）"/>
      <w:lvlJc w:val="left"/>
      <w:rPr>
        <w:rFonts w:hint="default" w:ascii="Times New Roman" w:hAnsi="Times New Roman" w:cs="Times New Roman"/>
        <w:b/>
        <w:bCs/>
      </w:rPr>
    </w:lvl>
  </w:abstractNum>
  <w:abstractNum w:abstractNumId="2">
    <w:nsid w:val="F0E63E66"/>
    <w:multiLevelType w:val="singleLevel"/>
    <w:tmpl w:val="F0E63E66"/>
    <w:lvl w:ilvl="0" w:tentative="0">
      <w:start w:val="1"/>
      <w:numFmt w:val="decimal"/>
      <w:lvlText w:val="%1"/>
      <w:lvlJc w:val="left"/>
      <w:pPr>
        <w:tabs>
          <w:tab w:val="left" w:pos="420"/>
        </w:tabs>
        <w:ind w:left="425" w:leftChars="0" w:hanging="425" w:firstLineChars="0"/>
      </w:pPr>
      <w:rPr>
        <w:rFonts w:hint="default" w:ascii="Times New Roman" w:hAnsi="Times New Roman" w:cs="Times New Roman"/>
        <w:b/>
        <w:bCs/>
        <w:sz w:val="24"/>
        <w:szCs w:val="24"/>
      </w:rPr>
    </w:lvl>
  </w:abstractNum>
  <w:abstractNum w:abstractNumId="3">
    <w:nsid w:val="0DDDB51E"/>
    <w:multiLevelType w:val="singleLevel"/>
    <w:tmpl w:val="0DDDB51E"/>
    <w:lvl w:ilvl="0" w:tentative="0">
      <w:start w:val="1"/>
      <w:numFmt w:val="decimal"/>
      <w:suff w:val="space"/>
      <w:lvlText w:val="%1."/>
      <w:lvlJc w:val="left"/>
    </w:lvl>
  </w:abstractNum>
  <w:abstractNum w:abstractNumId="4">
    <w:nsid w:val="18A4B5FF"/>
    <w:multiLevelType w:val="singleLevel"/>
    <w:tmpl w:val="18A4B5FF"/>
    <w:lvl w:ilvl="0" w:tentative="0">
      <w:start w:val="1"/>
      <w:numFmt w:val="decimal"/>
      <w:suff w:val="nothing"/>
      <w:lvlText w:val="%1）"/>
      <w:lvlJc w:val="left"/>
      <w:rPr>
        <w:rFonts w:hint="default"/>
        <w:b/>
        <w:bCs/>
      </w:rPr>
    </w:lvl>
  </w:abstractNum>
  <w:abstractNum w:abstractNumId="5">
    <w:nsid w:val="47B540B1"/>
    <w:multiLevelType w:val="singleLevel"/>
    <w:tmpl w:val="47B540B1"/>
    <w:lvl w:ilvl="0" w:tentative="0">
      <w:start w:val="1"/>
      <w:numFmt w:val="lowerLetter"/>
      <w:suff w:val="space"/>
      <w:lvlText w:val="(%1)"/>
      <w:lvlJc w:val="left"/>
      <w:pPr>
        <w:ind w:left="12" w:leftChars="0" w:firstLine="0" w:firstLineChars="0"/>
      </w:pPr>
    </w:lvl>
  </w:abstractNum>
  <w:abstractNum w:abstractNumId="6">
    <w:nsid w:val="7412A38C"/>
    <w:multiLevelType w:val="singleLevel"/>
    <w:tmpl w:val="7412A38C"/>
    <w:lvl w:ilvl="0" w:tentative="0">
      <w:start w:val="1"/>
      <w:numFmt w:val="decimal"/>
      <w:suff w:val="nothing"/>
      <w:lvlText w:val="%1）"/>
      <w:lvlJc w:val="left"/>
      <w:rPr>
        <w:rFonts w:hint="default" w:ascii="Times New Roman" w:hAnsi="Times New Roman" w:cs="Times New Roman"/>
        <w:b/>
        <w:bCs/>
      </w:rPr>
    </w:lvl>
  </w:abstractNum>
  <w:abstractNum w:abstractNumId="7">
    <w:nsid w:val="748D16CD"/>
    <w:multiLevelType w:val="multilevel"/>
    <w:tmpl w:val="748D16CD"/>
    <w:lvl w:ilvl="0" w:tentative="0">
      <w:start w:val="1"/>
      <w:numFmt w:val="decimal"/>
      <w:pStyle w:val="31"/>
      <w:lvlText w:val="（%1）"/>
      <w:lvlJc w:val="left"/>
      <w:pPr>
        <w:tabs>
          <w:tab w:val="left" w:pos="1200"/>
        </w:tabs>
        <w:ind w:left="2120" w:hanging="720"/>
      </w:pPr>
      <w:rPr>
        <w:rFonts w:hint="default"/>
      </w:rPr>
    </w:lvl>
    <w:lvl w:ilvl="1" w:tentative="0">
      <w:start w:val="1"/>
      <w:numFmt w:val="lowerLetter"/>
      <w:lvlText w:val="%2)"/>
      <w:lvlJc w:val="left"/>
      <w:pPr>
        <w:tabs>
          <w:tab w:val="left" w:pos="1320"/>
        </w:tabs>
        <w:ind w:left="2240" w:hanging="420"/>
      </w:pPr>
    </w:lvl>
    <w:lvl w:ilvl="2" w:tentative="0">
      <w:start w:val="1"/>
      <w:numFmt w:val="lowerRoman"/>
      <w:lvlText w:val="%3."/>
      <w:lvlJc w:val="right"/>
      <w:pPr>
        <w:tabs>
          <w:tab w:val="left" w:pos="1740"/>
        </w:tabs>
        <w:ind w:left="2660" w:hanging="420"/>
      </w:pPr>
    </w:lvl>
    <w:lvl w:ilvl="3" w:tentative="0">
      <w:start w:val="1"/>
      <w:numFmt w:val="decimal"/>
      <w:lvlText w:val="%4."/>
      <w:lvlJc w:val="left"/>
      <w:pPr>
        <w:tabs>
          <w:tab w:val="left" w:pos="2160"/>
        </w:tabs>
        <w:ind w:left="3080" w:hanging="420"/>
      </w:pPr>
    </w:lvl>
    <w:lvl w:ilvl="4" w:tentative="0">
      <w:start w:val="1"/>
      <w:numFmt w:val="lowerLetter"/>
      <w:lvlText w:val="%5)"/>
      <w:lvlJc w:val="left"/>
      <w:pPr>
        <w:tabs>
          <w:tab w:val="left" w:pos="2580"/>
        </w:tabs>
        <w:ind w:left="3500" w:hanging="420"/>
      </w:pPr>
    </w:lvl>
    <w:lvl w:ilvl="5" w:tentative="0">
      <w:start w:val="1"/>
      <w:numFmt w:val="lowerRoman"/>
      <w:lvlText w:val="%6."/>
      <w:lvlJc w:val="right"/>
      <w:pPr>
        <w:tabs>
          <w:tab w:val="left" w:pos="3000"/>
        </w:tabs>
        <w:ind w:left="3920" w:hanging="420"/>
      </w:pPr>
    </w:lvl>
    <w:lvl w:ilvl="6" w:tentative="0">
      <w:start w:val="1"/>
      <w:numFmt w:val="decimal"/>
      <w:lvlText w:val="%7."/>
      <w:lvlJc w:val="left"/>
      <w:pPr>
        <w:tabs>
          <w:tab w:val="left" w:pos="3420"/>
        </w:tabs>
        <w:ind w:left="4340" w:hanging="420"/>
      </w:pPr>
    </w:lvl>
    <w:lvl w:ilvl="7" w:tentative="0">
      <w:start w:val="1"/>
      <w:numFmt w:val="lowerLetter"/>
      <w:lvlText w:val="%8)"/>
      <w:lvlJc w:val="left"/>
      <w:pPr>
        <w:tabs>
          <w:tab w:val="left" w:pos="3840"/>
        </w:tabs>
        <w:ind w:left="4760" w:hanging="420"/>
      </w:pPr>
    </w:lvl>
    <w:lvl w:ilvl="8" w:tentative="0">
      <w:start w:val="1"/>
      <w:numFmt w:val="lowerRoman"/>
      <w:lvlText w:val="%9."/>
      <w:lvlJc w:val="right"/>
      <w:pPr>
        <w:tabs>
          <w:tab w:val="left" w:pos="4260"/>
        </w:tabs>
        <w:ind w:left="5180" w:hanging="420"/>
      </w:pPr>
    </w:lvl>
  </w:abstractNum>
  <w:abstractNum w:abstractNumId="8">
    <w:nsid w:val="794C98F0"/>
    <w:multiLevelType w:val="singleLevel"/>
    <w:tmpl w:val="794C98F0"/>
    <w:lvl w:ilvl="0" w:tentative="0">
      <w:start w:val="1"/>
      <w:numFmt w:val="decimal"/>
      <w:suff w:val="nothing"/>
      <w:lvlText w:val="%1）"/>
      <w:lvlJc w:val="left"/>
      <w:rPr>
        <w:rFonts w:hint="default" w:ascii="Times New Roman" w:hAnsi="Times New Roman" w:cs="Times New Roman"/>
        <w:b/>
        <w:bCs/>
      </w:rPr>
    </w:lvl>
  </w:abstractNum>
  <w:num w:numId="1">
    <w:abstractNumId w:val="7"/>
  </w:num>
  <w:num w:numId="2">
    <w:abstractNumId w:val="3"/>
  </w:num>
  <w:num w:numId="3">
    <w:abstractNumId w:val="8"/>
  </w:num>
  <w:num w:numId="4">
    <w:abstractNumId w:val="0"/>
  </w:num>
  <w:num w:numId="5">
    <w:abstractNumId w:val="4"/>
  </w:num>
  <w:num w:numId="6">
    <w:abstractNumId w:val="1"/>
  </w:num>
  <w:num w:numId="7">
    <w:abstractNumId w:val="6"/>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evenAndOddHeaders w:val="1"/>
  <w:displayHorizontalDrawingGridEvery w:val="1"/>
  <w:displayVerticalDrawingGridEvery w:val="1"/>
  <w:noPunctuationKerning w:val="1"/>
  <w:characterSpacingControl w:val="doNotCompress"/>
  <w:compat>
    <w:balanceSingleByteDoubleByteWidth/>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QyZDYzZjBiMmU3NWRjZWExODk4YjZlZWQ5MTZlODYifQ=="/>
  </w:docVars>
  <w:rsids>
    <w:rsidRoot w:val="00172A27"/>
    <w:rsid w:val="0000079E"/>
    <w:rsid w:val="00003497"/>
    <w:rsid w:val="00007850"/>
    <w:rsid w:val="00021F28"/>
    <w:rsid w:val="000230E1"/>
    <w:rsid w:val="000314D7"/>
    <w:rsid w:val="000337E3"/>
    <w:rsid w:val="00034801"/>
    <w:rsid w:val="00043FB4"/>
    <w:rsid w:val="00045D7C"/>
    <w:rsid w:val="00046D52"/>
    <w:rsid w:val="00047741"/>
    <w:rsid w:val="000506BE"/>
    <w:rsid w:val="0006031C"/>
    <w:rsid w:val="000610EE"/>
    <w:rsid w:val="0006597C"/>
    <w:rsid w:val="000662FE"/>
    <w:rsid w:val="000679B2"/>
    <w:rsid w:val="00075F3A"/>
    <w:rsid w:val="000825FE"/>
    <w:rsid w:val="00082701"/>
    <w:rsid w:val="00086227"/>
    <w:rsid w:val="00086E2A"/>
    <w:rsid w:val="00090A04"/>
    <w:rsid w:val="00090A76"/>
    <w:rsid w:val="0009341B"/>
    <w:rsid w:val="00093555"/>
    <w:rsid w:val="00093A13"/>
    <w:rsid w:val="00096C08"/>
    <w:rsid w:val="000A294F"/>
    <w:rsid w:val="000A4A61"/>
    <w:rsid w:val="000A7578"/>
    <w:rsid w:val="000A7B63"/>
    <w:rsid w:val="000B02C5"/>
    <w:rsid w:val="000B2CA2"/>
    <w:rsid w:val="000B2F05"/>
    <w:rsid w:val="000B40D6"/>
    <w:rsid w:val="000C771B"/>
    <w:rsid w:val="000D119D"/>
    <w:rsid w:val="000D7C2E"/>
    <w:rsid w:val="000E4067"/>
    <w:rsid w:val="000E5220"/>
    <w:rsid w:val="000F070E"/>
    <w:rsid w:val="000F1901"/>
    <w:rsid w:val="00105186"/>
    <w:rsid w:val="00112E85"/>
    <w:rsid w:val="0011582A"/>
    <w:rsid w:val="00117B4D"/>
    <w:rsid w:val="001218E3"/>
    <w:rsid w:val="00124339"/>
    <w:rsid w:val="001308E9"/>
    <w:rsid w:val="0013148B"/>
    <w:rsid w:val="001343EE"/>
    <w:rsid w:val="00134461"/>
    <w:rsid w:val="00142A22"/>
    <w:rsid w:val="00142BAC"/>
    <w:rsid w:val="0014405E"/>
    <w:rsid w:val="00144241"/>
    <w:rsid w:val="00151F36"/>
    <w:rsid w:val="001525C6"/>
    <w:rsid w:val="001528B7"/>
    <w:rsid w:val="001528F6"/>
    <w:rsid w:val="00154EE9"/>
    <w:rsid w:val="001556B5"/>
    <w:rsid w:val="00155F4E"/>
    <w:rsid w:val="00157033"/>
    <w:rsid w:val="001651D5"/>
    <w:rsid w:val="00172A27"/>
    <w:rsid w:val="00173BBB"/>
    <w:rsid w:val="001741B1"/>
    <w:rsid w:val="00180573"/>
    <w:rsid w:val="00181FBD"/>
    <w:rsid w:val="00185E3C"/>
    <w:rsid w:val="00190B35"/>
    <w:rsid w:val="0019161C"/>
    <w:rsid w:val="001971C4"/>
    <w:rsid w:val="001A0BF2"/>
    <w:rsid w:val="001A1C49"/>
    <w:rsid w:val="001A1C5C"/>
    <w:rsid w:val="001A5B52"/>
    <w:rsid w:val="001B648D"/>
    <w:rsid w:val="001C0A29"/>
    <w:rsid w:val="001C23E5"/>
    <w:rsid w:val="001C24F4"/>
    <w:rsid w:val="001C4810"/>
    <w:rsid w:val="001C6BFE"/>
    <w:rsid w:val="001D2BDD"/>
    <w:rsid w:val="001D4A84"/>
    <w:rsid w:val="001D7786"/>
    <w:rsid w:val="001E20F2"/>
    <w:rsid w:val="001E3237"/>
    <w:rsid w:val="001E3AAD"/>
    <w:rsid w:val="001E5900"/>
    <w:rsid w:val="001E7C1A"/>
    <w:rsid w:val="001F5903"/>
    <w:rsid w:val="001F641A"/>
    <w:rsid w:val="0020044F"/>
    <w:rsid w:val="002047EF"/>
    <w:rsid w:val="00217CDF"/>
    <w:rsid w:val="00230C51"/>
    <w:rsid w:val="00232E73"/>
    <w:rsid w:val="002333C6"/>
    <w:rsid w:val="0023587E"/>
    <w:rsid w:val="00237683"/>
    <w:rsid w:val="002413D5"/>
    <w:rsid w:val="0024208B"/>
    <w:rsid w:val="002442A3"/>
    <w:rsid w:val="0024578A"/>
    <w:rsid w:val="00246DA8"/>
    <w:rsid w:val="00247048"/>
    <w:rsid w:val="00250951"/>
    <w:rsid w:val="0025287F"/>
    <w:rsid w:val="00254E06"/>
    <w:rsid w:val="0025536F"/>
    <w:rsid w:val="002555FF"/>
    <w:rsid w:val="002572E8"/>
    <w:rsid w:val="002611A8"/>
    <w:rsid w:val="0026658A"/>
    <w:rsid w:val="002674F4"/>
    <w:rsid w:val="00277F56"/>
    <w:rsid w:val="0028053C"/>
    <w:rsid w:val="0028194C"/>
    <w:rsid w:val="002852B9"/>
    <w:rsid w:val="00285788"/>
    <w:rsid w:val="0029062B"/>
    <w:rsid w:val="00293528"/>
    <w:rsid w:val="00294357"/>
    <w:rsid w:val="00296040"/>
    <w:rsid w:val="00296B9D"/>
    <w:rsid w:val="002A0268"/>
    <w:rsid w:val="002A1B7A"/>
    <w:rsid w:val="002B194B"/>
    <w:rsid w:val="002B23B4"/>
    <w:rsid w:val="002B36FC"/>
    <w:rsid w:val="002B387C"/>
    <w:rsid w:val="002B3E2D"/>
    <w:rsid w:val="002B47CE"/>
    <w:rsid w:val="002B7748"/>
    <w:rsid w:val="002C2A73"/>
    <w:rsid w:val="002D2625"/>
    <w:rsid w:val="002D3058"/>
    <w:rsid w:val="002D4D82"/>
    <w:rsid w:val="002E7825"/>
    <w:rsid w:val="002F016D"/>
    <w:rsid w:val="002F0498"/>
    <w:rsid w:val="002F24C0"/>
    <w:rsid w:val="002F33B9"/>
    <w:rsid w:val="002F3850"/>
    <w:rsid w:val="002F3D65"/>
    <w:rsid w:val="002F3F9E"/>
    <w:rsid w:val="003051F3"/>
    <w:rsid w:val="003076FB"/>
    <w:rsid w:val="00310EE5"/>
    <w:rsid w:val="0031400F"/>
    <w:rsid w:val="0031420E"/>
    <w:rsid w:val="0031426D"/>
    <w:rsid w:val="0031493A"/>
    <w:rsid w:val="003265FD"/>
    <w:rsid w:val="00330D5B"/>
    <w:rsid w:val="00331600"/>
    <w:rsid w:val="003351D1"/>
    <w:rsid w:val="00346F7A"/>
    <w:rsid w:val="00354083"/>
    <w:rsid w:val="003540EE"/>
    <w:rsid w:val="003561B8"/>
    <w:rsid w:val="00356BE2"/>
    <w:rsid w:val="00357D4B"/>
    <w:rsid w:val="003606A8"/>
    <w:rsid w:val="003608AB"/>
    <w:rsid w:val="00361656"/>
    <w:rsid w:val="003617B4"/>
    <w:rsid w:val="00361B7B"/>
    <w:rsid w:val="003703C6"/>
    <w:rsid w:val="003849BA"/>
    <w:rsid w:val="003858A7"/>
    <w:rsid w:val="00394070"/>
    <w:rsid w:val="003A065E"/>
    <w:rsid w:val="003A1B58"/>
    <w:rsid w:val="003A38FB"/>
    <w:rsid w:val="003A71A4"/>
    <w:rsid w:val="003A7BCC"/>
    <w:rsid w:val="003B08F2"/>
    <w:rsid w:val="003B1E2C"/>
    <w:rsid w:val="003B437F"/>
    <w:rsid w:val="003B75CB"/>
    <w:rsid w:val="003C01E1"/>
    <w:rsid w:val="003C2109"/>
    <w:rsid w:val="003C3F21"/>
    <w:rsid w:val="003C5039"/>
    <w:rsid w:val="003D08C4"/>
    <w:rsid w:val="003D571C"/>
    <w:rsid w:val="003D632D"/>
    <w:rsid w:val="003E5251"/>
    <w:rsid w:val="003E70FC"/>
    <w:rsid w:val="003E77AD"/>
    <w:rsid w:val="003E7CF7"/>
    <w:rsid w:val="003F3C82"/>
    <w:rsid w:val="003F5AB9"/>
    <w:rsid w:val="003F73F3"/>
    <w:rsid w:val="00402489"/>
    <w:rsid w:val="004035F3"/>
    <w:rsid w:val="00407677"/>
    <w:rsid w:val="0041364A"/>
    <w:rsid w:val="00424A72"/>
    <w:rsid w:val="004253BA"/>
    <w:rsid w:val="004263F2"/>
    <w:rsid w:val="00426CC2"/>
    <w:rsid w:val="00427B74"/>
    <w:rsid w:val="00427C0F"/>
    <w:rsid w:val="00430FF4"/>
    <w:rsid w:val="0043516B"/>
    <w:rsid w:val="0044323F"/>
    <w:rsid w:val="00443325"/>
    <w:rsid w:val="00443553"/>
    <w:rsid w:val="00443ACF"/>
    <w:rsid w:val="00446198"/>
    <w:rsid w:val="00451507"/>
    <w:rsid w:val="00457580"/>
    <w:rsid w:val="00461D37"/>
    <w:rsid w:val="00465C90"/>
    <w:rsid w:val="004677BE"/>
    <w:rsid w:val="00470E06"/>
    <w:rsid w:val="00471EAB"/>
    <w:rsid w:val="0047691A"/>
    <w:rsid w:val="004805A1"/>
    <w:rsid w:val="00482E77"/>
    <w:rsid w:val="004856D5"/>
    <w:rsid w:val="00486D5A"/>
    <w:rsid w:val="0048723C"/>
    <w:rsid w:val="0049295A"/>
    <w:rsid w:val="004A1D95"/>
    <w:rsid w:val="004A7A5C"/>
    <w:rsid w:val="004B2A77"/>
    <w:rsid w:val="004B53F0"/>
    <w:rsid w:val="004C1146"/>
    <w:rsid w:val="004C33BE"/>
    <w:rsid w:val="004C4301"/>
    <w:rsid w:val="004C595D"/>
    <w:rsid w:val="004C7991"/>
    <w:rsid w:val="004C7AD0"/>
    <w:rsid w:val="004D2AFF"/>
    <w:rsid w:val="004D4CB2"/>
    <w:rsid w:val="004E0F59"/>
    <w:rsid w:val="004E1427"/>
    <w:rsid w:val="004E2A7A"/>
    <w:rsid w:val="004E2F39"/>
    <w:rsid w:val="004E7F83"/>
    <w:rsid w:val="004F2153"/>
    <w:rsid w:val="004F254E"/>
    <w:rsid w:val="004F3BA2"/>
    <w:rsid w:val="005028F9"/>
    <w:rsid w:val="00503E4F"/>
    <w:rsid w:val="00514337"/>
    <w:rsid w:val="00517090"/>
    <w:rsid w:val="00517781"/>
    <w:rsid w:val="00517B40"/>
    <w:rsid w:val="00520C83"/>
    <w:rsid w:val="005300CC"/>
    <w:rsid w:val="005306D5"/>
    <w:rsid w:val="005314E8"/>
    <w:rsid w:val="005322FA"/>
    <w:rsid w:val="005351C3"/>
    <w:rsid w:val="00536CD7"/>
    <w:rsid w:val="00541A9A"/>
    <w:rsid w:val="005451AF"/>
    <w:rsid w:val="005453B1"/>
    <w:rsid w:val="00552EA9"/>
    <w:rsid w:val="005534D3"/>
    <w:rsid w:val="005540D5"/>
    <w:rsid w:val="0055732E"/>
    <w:rsid w:val="00560D25"/>
    <w:rsid w:val="00567C72"/>
    <w:rsid w:val="005773A3"/>
    <w:rsid w:val="00580EAA"/>
    <w:rsid w:val="00581B71"/>
    <w:rsid w:val="00587C7D"/>
    <w:rsid w:val="005954EE"/>
    <w:rsid w:val="00596084"/>
    <w:rsid w:val="00596F0F"/>
    <w:rsid w:val="00596F59"/>
    <w:rsid w:val="005971E0"/>
    <w:rsid w:val="005972A6"/>
    <w:rsid w:val="005A0C00"/>
    <w:rsid w:val="005A0FC6"/>
    <w:rsid w:val="005A31DF"/>
    <w:rsid w:val="005A5AF1"/>
    <w:rsid w:val="005A6659"/>
    <w:rsid w:val="005A7ADD"/>
    <w:rsid w:val="005B2803"/>
    <w:rsid w:val="005B46D2"/>
    <w:rsid w:val="005B6B6E"/>
    <w:rsid w:val="005C3A63"/>
    <w:rsid w:val="005C5559"/>
    <w:rsid w:val="005C5EE8"/>
    <w:rsid w:val="005C6D45"/>
    <w:rsid w:val="005C7F86"/>
    <w:rsid w:val="005D0508"/>
    <w:rsid w:val="005D67DB"/>
    <w:rsid w:val="005E1985"/>
    <w:rsid w:val="005F175D"/>
    <w:rsid w:val="005F1F0F"/>
    <w:rsid w:val="005F1F7F"/>
    <w:rsid w:val="005F3D55"/>
    <w:rsid w:val="005F71EF"/>
    <w:rsid w:val="00601FCB"/>
    <w:rsid w:val="006054E1"/>
    <w:rsid w:val="0060650D"/>
    <w:rsid w:val="0061383D"/>
    <w:rsid w:val="00622051"/>
    <w:rsid w:val="0062222C"/>
    <w:rsid w:val="0062223D"/>
    <w:rsid w:val="006235EC"/>
    <w:rsid w:val="00623691"/>
    <w:rsid w:val="00625D31"/>
    <w:rsid w:val="00627082"/>
    <w:rsid w:val="00632AEF"/>
    <w:rsid w:val="00633470"/>
    <w:rsid w:val="006349A3"/>
    <w:rsid w:val="00635A77"/>
    <w:rsid w:val="00641710"/>
    <w:rsid w:val="00642899"/>
    <w:rsid w:val="006449AA"/>
    <w:rsid w:val="006465B8"/>
    <w:rsid w:val="00647F0D"/>
    <w:rsid w:val="006524AF"/>
    <w:rsid w:val="006532E5"/>
    <w:rsid w:val="00660523"/>
    <w:rsid w:val="00663C52"/>
    <w:rsid w:val="0067056B"/>
    <w:rsid w:val="0067072C"/>
    <w:rsid w:val="00674051"/>
    <w:rsid w:val="00676469"/>
    <w:rsid w:val="006769BB"/>
    <w:rsid w:val="006850BA"/>
    <w:rsid w:val="00686421"/>
    <w:rsid w:val="00690C97"/>
    <w:rsid w:val="00692073"/>
    <w:rsid w:val="00695785"/>
    <w:rsid w:val="00695C83"/>
    <w:rsid w:val="00697ECF"/>
    <w:rsid w:val="006A220D"/>
    <w:rsid w:val="006A3745"/>
    <w:rsid w:val="006B15D1"/>
    <w:rsid w:val="006C03DE"/>
    <w:rsid w:val="006C6249"/>
    <w:rsid w:val="006C6640"/>
    <w:rsid w:val="006C73A3"/>
    <w:rsid w:val="006D2ABB"/>
    <w:rsid w:val="006E178E"/>
    <w:rsid w:val="006E1797"/>
    <w:rsid w:val="006E3A2F"/>
    <w:rsid w:val="006E5617"/>
    <w:rsid w:val="006E5FC7"/>
    <w:rsid w:val="006E6627"/>
    <w:rsid w:val="006F4170"/>
    <w:rsid w:val="006F476A"/>
    <w:rsid w:val="006F5B4D"/>
    <w:rsid w:val="006F66B8"/>
    <w:rsid w:val="00703DB8"/>
    <w:rsid w:val="00704946"/>
    <w:rsid w:val="007061C9"/>
    <w:rsid w:val="0070620F"/>
    <w:rsid w:val="00711D0C"/>
    <w:rsid w:val="00713A78"/>
    <w:rsid w:val="00714435"/>
    <w:rsid w:val="0071662D"/>
    <w:rsid w:val="0071741C"/>
    <w:rsid w:val="00717D25"/>
    <w:rsid w:val="00722EBF"/>
    <w:rsid w:val="00726A5F"/>
    <w:rsid w:val="0073129A"/>
    <w:rsid w:val="00731F94"/>
    <w:rsid w:val="00735CDC"/>
    <w:rsid w:val="007372A8"/>
    <w:rsid w:val="00737536"/>
    <w:rsid w:val="007414B8"/>
    <w:rsid w:val="0074315A"/>
    <w:rsid w:val="00750876"/>
    <w:rsid w:val="00751661"/>
    <w:rsid w:val="00756718"/>
    <w:rsid w:val="007568BF"/>
    <w:rsid w:val="00764BD8"/>
    <w:rsid w:val="00770565"/>
    <w:rsid w:val="007717B9"/>
    <w:rsid w:val="0077660D"/>
    <w:rsid w:val="00780EA8"/>
    <w:rsid w:val="00781063"/>
    <w:rsid w:val="00785215"/>
    <w:rsid w:val="00790EE0"/>
    <w:rsid w:val="0079249B"/>
    <w:rsid w:val="00794522"/>
    <w:rsid w:val="007A1440"/>
    <w:rsid w:val="007A3F3B"/>
    <w:rsid w:val="007A6346"/>
    <w:rsid w:val="007B62C2"/>
    <w:rsid w:val="007B7522"/>
    <w:rsid w:val="007C4255"/>
    <w:rsid w:val="007C4DA4"/>
    <w:rsid w:val="007C78C6"/>
    <w:rsid w:val="007D11DB"/>
    <w:rsid w:val="007D3C67"/>
    <w:rsid w:val="007E0D89"/>
    <w:rsid w:val="007E181B"/>
    <w:rsid w:val="007E2AE4"/>
    <w:rsid w:val="008049A6"/>
    <w:rsid w:val="008054FC"/>
    <w:rsid w:val="00807230"/>
    <w:rsid w:val="00807D6B"/>
    <w:rsid w:val="00814C9F"/>
    <w:rsid w:val="00815605"/>
    <w:rsid w:val="00825A01"/>
    <w:rsid w:val="00826DBC"/>
    <w:rsid w:val="00831AF2"/>
    <w:rsid w:val="00832407"/>
    <w:rsid w:val="0083331A"/>
    <w:rsid w:val="00833B63"/>
    <w:rsid w:val="00833D26"/>
    <w:rsid w:val="00837F4C"/>
    <w:rsid w:val="00843C86"/>
    <w:rsid w:val="008453F3"/>
    <w:rsid w:val="0085467B"/>
    <w:rsid w:val="008561AA"/>
    <w:rsid w:val="008561D1"/>
    <w:rsid w:val="008565B3"/>
    <w:rsid w:val="00857D5F"/>
    <w:rsid w:val="008647FF"/>
    <w:rsid w:val="00865D41"/>
    <w:rsid w:val="00870EC3"/>
    <w:rsid w:val="00870F16"/>
    <w:rsid w:val="0087136F"/>
    <w:rsid w:val="0087357C"/>
    <w:rsid w:val="00874E7F"/>
    <w:rsid w:val="008758EC"/>
    <w:rsid w:val="00880785"/>
    <w:rsid w:val="00884725"/>
    <w:rsid w:val="00890410"/>
    <w:rsid w:val="00891FD2"/>
    <w:rsid w:val="00893A89"/>
    <w:rsid w:val="008A03F4"/>
    <w:rsid w:val="008A153B"/>
    <w:rsid w:val="008A3D6B"/>
    <w:rsid w:val="008A437A"/>
    <w:rsid w:val="008A534C"/>
    <w:rsid w:val="008A617C"/>
    <w:rsid w:val="008A62E2"/>
    <w:rsid w:val="008B06AF"/>
    <w:rsid w:val="008B5059"/>
    <w:rsid w:val="008B76BA"/>
    <w:rsid w:val="008C250F"/>
    <w:rsid w:val="008C2CBE"/>
    <w:rsid w:val="008C38BA"/>
    <w:rsid w:val="008D1681"/>
    <w:rsid w:val="008D4AA1"/>
    <w:rsid w:val="008E2956"/>
    <w:rsid w:val="008E4E8E"/>
    <w:rsid w:val="008E6EA8"/>
    <w:rsid w:val="008F0BCD"/>
    <w:rsid w:val="008F21AC"/>
    <w:rsid w:val="008F2A7D"/>
    <w:rsid w:val="008F34F3"/>
    <w:rsid w:val="0090004C"/>
    <w:rsid w:val="00901E53"/>
    <w:rsid w:val="00903575"/>
    <w:rsid w:val="00903758"/>
    <w:rsid w:val="009049D1"/>
    <w:rsid w:val="00907675"/>
    <w:rsid w:val="00907FA8"/>
    <w:rsid w:val="00911339"/>
    <w:rsid w:val="00912637"/>
    <w:rsid w:val="009217AD"/>
    <w:rsid w:val="00922EAF"/>
    <w:rsid w:val="009242C3"/>
    <w:rsid w:val="0092484C"/>
    <w:rsid w:val="00925189"/>
    <w:rsid w:val="00936F57"/>
    <w:rsid w:val="00936FB4"/>
    <w:rsid w:val="009371B9"/>
    <w:rsid w:val="0094156F"/>
    <w:rsid w:val="00941C62"/>
    <w:rsid w:val="00945A00"/>
    <w:rsid w:val="00945CF6"/>
    <w:rsid w:val="00947FEF"/>
    <w:rsid w:val="0095505D"/>
    <w:rsid w:val="009564B5"/>
    <w:rsid w:val="009665E6"/>
    <w:rsid w:val="0096661B"/>
    <w:rsid w:val="00966704"/>
    <w:rsid w:val="009678F4"/>
    <w:rsid w:val="00973D43"/>
    <w:rsid w:val="009766B7"/>
    <w:rsid w:val="00981BD3"/>
    <w:rsid w:val="009825C5"/>
    <w:rsid w:val="00982DEB"/>
    <w:rsid w:val="00985681"/>
    <w:rsid w:val="0098734E"/>
    <w:rsid w:val="00987D48"/>
    <w:rsid w:val="00992D54"/>
    <w:rsid w:val="0099468B"/>
    <w:rsid w:val="0099595F"/>
    <w:rsid w:val="00997E12"/>
    <w:rsid w:val="009A1861"/>
    <w:rsid w:val="009A21AB"/>
    <w:rsid w:val="009A79A7"/>
    <w:rsid w:val="009B3FFF"/>
    <w:rsid w:val="009C1B91"/>
    <w:rsid w:val="009C29E1"/>
    <w:rsid w:val="009C7A37"/>
    <w:rsid w:val="009D2301"/>
    <w:rsid w:val="009D44F7"/>
    <w:rsid w:val="009D50D7"/>
    <w:rsid w:val="009D632E"/>
    <w:rsid w:val="009E12BF"/>
    <w:rsid w:val="009E3844"/>
    <w:rsid w:val="009E4FF7"/>
    <w:rsid w:val="009E5487"/>
    <w:rsid w:val="009E6278"/>
    <w:rsid w:val="009E6EA0"/>
    <w:rsid w:val="009F47FF"/>
    <w:rsid w:val="009F57C3"/>
    <w:rsid w:val="009F60D2"/>
    <w:rsid w:val="00A005FB"/>
    <w:rsid w:val="00A01E68"/>
    <w:rsid w:val="00A05296"/>
    <w:rsid w:val="00A07B37"/>
    <w:rsid w:val="00A1036D"/>
    <w:rsid w:val="00A10E01"/>
    <w:rsid w:val="00A10FA8"/>
    <w:rsid w:val="00A11A60"/>
    <w:rsid w:val="00A120F0"/>
    <w:rsid w:val="00A12F08"/>
    <w:rsid w:val="00A170E9"/>
    <w:rsid w:val="00A21EEA"/>
    <w:rsid w:val="00A23970"/>
    <w:rsid w:val="00A27548"/>
    <w:rsid w:val="00A33F1D"/>
    <w:rsid w:val="00A40B18"/>
    <w:rsid w:val="00A41FA1"/>
    <w:rsid w:val="00A42BC2"/>
    <w:rsid w:val="00A46E77"/>
    <w:rsid w:val="00A502F4"/>
    <w:rsid w:val="00A5329A"/>
    <w:rsid w:val="00A61AF9"/>
    <w:rsid w:val="00A65F87"/>
    <w:rsid w:val="00A719D6"/>
    <w:rsid w:val="00A81850"/>
    <w:rsid w:val="00A81C66"/>
    <w:rsid w:val="00A8476C"/>
    <w:rsid w:val="00A92E7C"/>
    <w:rsid w:val="00A973A8"/>
    <w:rsid w:val="00AA0FAE"/>
    <w:rsid w:val="00AA2AB4"/>
    <w:rsid w:val="00AA5B88"/>
    <w:rsid w:val="00AB08FF"/>
    <w:rsid w:val="00AB331F"/>
    <w:rsid w:val="00AB4060"/>
    <w:rsid w:val="00AB4608"/>
    <w:rsid w:val="00AB4F0E"/>
    <w:rsid w:val="00AC3EAA"/>
    <w:rsid w:val="00AC426E"/>
    <w:rsid w:val="00AC480A"/>
    <w:rsid w:val="00AD7961"/>
    <w:rsid w:val="00AE5CE1"/>
    <w:rsid w:val="00AE67BC"/>
    <w:rsid w:val="00AE6B1D"/>
    <w:rsid w:val="00AF0077"/>
    <w:rsid w:val="00AF2F90"/>
    <w:rsid w:val="00AF3308"/>
    <w:rsid w:val="00AF3FFE"/>
    <w:rsid w:val="00AF726B"/>
    <w:rsid w:val="00B062C9"/>
    <w:rsid w:val="00B06F70"/>
    <w:rsid w:val="00B13BFF"/>
    <w:rsid w:val="00B21085"/>
    <w:rsid w:val="00B21CD2"/>
    <w:rsid w:val="00B22315"/>
    <w:rsid w:val="00B23316"/>
    <w:rsid w:val="00B24E90"/>
    <w:rsid w:val="00B2568E"/>
    <w:rsid w:val="00B3046F"/>
    <w:rsid w:val="00B3162B"/>
    <w:rsid w:val="00B326D3"/>
    <w:rsid w:val="00B37F54"/>
    <w:rsid w:val="00B421E1"/>
    <w:rsid w:val="00B43A95"/>
    <w:rsid w:val="00B44044"/>
    <w:rsid w:val="00B441ED"/>
    <w:rsid w:val="00B46C01"/>
    <w:rsid w:val="00B52430"/>
    <w:rsid w:val="00B5286D"/>
    <w:rsid w:val="00B55BB9"/>
    <w:rsid w:val="00B568F7"/>
    <w:rsid w:val="00B606B8"/>
    <w:rsid w:val="00B60DB9"/>
    <w:rsid w:val="00B64621"/>
    <w:rsid w:val="00B67A98"/>
    <w:rsid w:val="00B72D7C"/>
    <w:rsid w:val="00B73406"/>
    <w:rsid w:val="00B7648F"/>
    <w:rsid w:val="00B80C8E"/>
    <w:rsid w:val="00B82524"/>
    <w:rsid w:val="00B8490C"/>
    <w:rsid w:val="00B90FFD"/>
    <w:rsid w:val="00BA22C7"/>
    <w:rsid w:val="00BA756B"/>
    <w:rsid w:val="00BB1F39"/>
    <w:rsid w:val="00BB333B"/>
    <w:rsid w:val="00BC14D5"/>
    <w:rsid w:val="00BC4128"/>
    <w:rsid w:val="00BC5FDB"/>
    <w:rsid w:val="00BC71C7"/>
    <w:rsid w:val="00BD4A27"/>
    <w:rsid w:val="00BD7757"/>
    <w:rsid w:val="00BD7A3C"/>
    <w:rsid w:val="00BE11A7"/>
    <w:rsid w:val="00BE3E31"/>
    <w:rsid w:val="00BE7C66"/>
    <w:rsid w:val="00BF3AB1"/>
    <w:rsid w:val="00BF73DD"/>
    <w:rsid w:val="00C00BE6"/>
    <w:rsid w:val="00C021CC"/>
    <w:rsid w:val="00C02C71"/>
    <w:rsid w:val="00C02F5C"/>
    <w:rsid w:val="00C04978"/>
    <w:rsid w:val="00C04998"/>
    <w:rsid w:val="00C16A29"/>
    <w:rsid w:val="00C24EF7"/>
    <w:rsid w:val="00C3063E"/>
    <w:rsid w:val="00C31D21"/>
    <w:rsid w:val="00C35885"/>
    <w:rsid w:val="00C36590"/>
    <w:rsid w:val="00C37422"/>
    <w:rsid w:val="00C42780"/>
    <w:rsid w:val="00C553AC"/>
    <w:rsid w:val="00C61082"/>
    <w:rsid w:val="00C61458"/>
    <w:rsid w:val="00C63F6B"/>
    <w:rsid w:val="00C7276A"/>
    <w:rsid w:val="00C77854"/>
    <w:rsid w:val="00C83D7A"/>
    <w:rsid w:val="00C90F53"/>
    <w:rsid w:val="00C94C01"/>
    <w:rsid w:val="00CA11E8"/>
    <w:rsid w:val="00CA42BF"/>
    <w:rsid w:val="00CA43C2"/>
    <w:rsid w:val="00CA4755"/>
    <w:rsid w:val="00CA56FA"/>
    <w:rsid w:val="00CA5737"/>
    <w:rsid w:val="00CA7E87"/>
    <w:rsid w:val="00CB04C0"/>
    <w:rsid w:val="00CB3522"/>
    <w:rsid w:val="00CB56C3"/>
    <w:rsid w:val="00CB6DF1"/>
    <w:rsid w:val="00CB7836"/>
    <w:rsid w:val="00CC2A59"/>
    <w:rsid w:val="00CE204B"/>
    <w:rsid w:val="00CE20AA"/>
    <w:rsid w:val="00CE621A"/>
    <w:rsid w:val="00CE78F2"/>
    <w:rsid w:val="00CF19BC"/>
    <w:rsid w:val="00CF24BA"/>
    <w:rsid w:val="00CF2ACA"/>
    <w:rsid w:val="00CF5950"/>
    <w:rsid w:val="00D03B0D"/>
    <w:rsid w:val="00D060AF"/>
    <w:rsid w:val="00D077DE"/>
    <w:rsid w:val="00D12F45"/>
    <w:rsid w:val="00D149D0"/>
    <w:rsid w:val="00D14C13"/>
    <w:rsid w:val="00D21E3C"/>
    <w:rsid w:val="00D26E94"/>
    <w:rsid w:val="00D32DD1"/>
    <w:rsid w:val="00D32EC1"/>
    <w:rsid w:val="00D33289"/>
    <w:rsid w:val="00D4165D"/>
    <w:rsid w:val="00D43D75"/>
    <w:rsid w:val="00D44EEE"/>
    <w:rsid w:val="00D4748D"/>
    <w:rsid w:val="00D47ACE"/>
    <w:rsid w:val="00D56E0A"/>
    <w:rsid w:val="00D577C2"/>
    <w:rsid w:val="00D60A17"/>
    <w:rsid w:val="00D64243"/>
    <w:rsid w:val="00D67200"/>
    <w:rsid w:val="00D67C86"/>
    <w:rsid w:val="00D70AC2"/>
    <w:rsid w:val="00D728B6"/>
    <w:rsid w:val="00D735EE"/>
    <w:rsid w:val="00D81956"/>
    <w:rsid w:val="00D859EE"/>
    <w:rsid w:val="00D87721"/>
    <w:rsid w:val="00DA0772"/>
    <w:rsid w:val="00DA28A5"/>
    <w:rsid w:val="00DA3D8F"/>
    <w:rsid w:val="00DB097D"/>
    <w:rsid w:val="00DB2B39"/>
    <w:rsid w:val="00DB6285"/>
    <w:rsid w:val="00DB70D1"/>
    <w:rsid w:val="00DC01FD"/>
    <w:rsid w:val="00DC4637"/>
    <w:rsid w:val="00DC5F7B"/>
    <w:rsid w:val="00DE0050"/>
    <w:rsid w:val="00DE3BD6"/>
    <w:rsid w:val="00DF3022"/>
    <w:rsid w:val="00DF790D"/>
    <w:rsid w:val="00E075D6"/>
    <w:rsid w:val="00E1070E"/>
    <w:rsid w:val="00E10854"/>
    <w:rsid w:val="00E12DC1"/>
    <w:rsid w:val="00E13841"/>
    <w:rsid w:val="00E15D9C"/>
    <w:rsid w:val="00E21624"/>
    <w:rsid w:val="00E22A50"/>
    <w:rsid w:val="00E26850"/>
    <w:rsid w:val="00E30A23"/>
    <w:rsid w:val="00E31DDE"/>
    <w:rsid w:val="00E32C2B"/>
    <w:rsid w:val="00E32E35"/>
    <w:rsid w:val="00E3364D"/>
    <w:rsid w:val="00E43847"/>
    <w:rsid w:val="00E50499"/>
    <w:rsid w:val="00E50E9C"/>
    <w:rsid w:val="00E577AF"/>
    <w:rsid w:val="00E60ECF"/>
    <w:rsid w:val="00E653AC"/>
    <w:rsid w:val="00E710B3"/>
    <w:rsid w:val="00E7441B"/>
    <w:rsid w:val="00E81DDC"/>
    <w:rsid w:val="00E83CC0"/>
    <w:rsid w:val="00E851B4"/>
    <w:rsid w:val="00E94195"/>
    <w:rsid w:val="00E941F4"/>
    <w:rsid w:val="00EA1FDE"/>
    <w:rsid w:val="00EA42DA"/>
    <w:rsid w:val="00EA5778"/>
    <w:rsid w:val="00EA7494"/>
    <w:rsid w:val="00EB25FC"/>
    <w:rsid w:val="00EB4FE7"/>
    <w:rsid w:val="00EC0C56"/>
    <w:rsid w:val="00EC174E"/>
    <w:rsid w:val="00EC30E9"/>
    <w:rsid w:val="00EC52C6"/>
    <w:rsid w:val="00ED084E"/>
    <w:rsid w:val="00ED1A4B"/>
    <w:rsid w:val="00ED4E9A"/>
    <w:rsid w:val="00EE4E87"/>
    <w:rsid w:val="00EF51DC"/>
    <w:rsid w:val="00F01606"/>
    <w:rsid w:val="00F0598D"/>
    <w:rsid w:val="00F05A93"/>
    <w:rsid w:val="00F07F19"/>
    <w:rsid w:val="00F13089"/>
    <w:rsid w:val="00F207EF"/>
    <w:rsid w:val="00F20B96"/>
    <w:rsid w:val="00F20F9E"/>
    <w:rsid w:val="00F21F0B"/>
    <w:rsid w:val="00F21F56"/>
    <w:rsid w:val="00F23C52"/>
    <w:rsid w:val="00F27BF9"/>
    <w:rsid w:val="00F358E8"/>
    <w:rsid w:val="00F362CB"/>
    <w:rsid w:val="00F37CF7"/>
    <w:rsid w:val="00F4203A"/>
    <w:rsid w:val="00F4359C"/>
    <w:rsid w:val="00F459C6"/>
    <w:rsid w:val="00F462CC"/>
    <w:rsid w:val="00F515AF"/>
    <w:rsid w:val="00F53578"/>
    <w:rsid w:val="00F53DAD"/>
    <w:rsid w:val="00F5678F"/>
    <w:rsid w:val="00F6053C"/>
    <w:rsid w:val="00F65574"/>
    <w:rsid w:val="00F7198E"/>
    <w:rsid w:val="00F71C0C"/>
    <w:rsid w:val="00F7379B"/>
    <w:rsid w:val="00F75B01"/>
    <w:rsid w:val="00F7675F"/>
    <w:rsid w:val="00F7785A"/>
    <w:rsid w:val="00F83540"/>
    <w:rsid w:val="00F84C7D"/>
    <w:rsid w:val="00F85667"/>
    <w:rsid w:val="00FA3059"/>
    <w:rsid w:val="00FA37F5"/>
    <w:rsid w:val="00FA6A80"/>
    <w:rsid w:val="00FB5D27"/>
    <w:rsid w:val="00FB7811"/>
    <w:rsid w:val="00FC28D8"/>
    <w:rsid w:val="00FC535A"/>
    <w:rsid w:val="00FC6DB1"/>
    <w:rsid w:val="00FC7D17"/>
    <w:rsid w:val="00FD0C26"/>
    <w:rsid w:val="00FD0CE5"/>
    <w:rsid w:val="00FD7D85"/>
    <w:rsid w:val="00FE17CE"/>
    <w:rsid w:val="00FE3148"/>
    <w:rsid w:val="00FE376C"/>
    <w:rsid w:val="00FE7397"/>
    <w:rsid w:val="00FE7DE2"/>
    <w:rsid w:val="00FF4830"/>
    <w:rsid w:val="00FF4897"/>
    <w:rsid w:val="00FF5158"/>
    <w:rsid w:val="01064739"/>
    <w:rsid w:val="01285BB2"/>
    <w:rsid w:val="013B06B4"/>
    <w:rsid w:val="01550431"/>
    <w:rsid w:val="016F0E60"/>
    <w:rsid w:val="01715954"/>
    <w:rsid w:val="017912C7"/>
    <w:rsid w:val="017B6B88"/>
    <w:rsid w:val="01944B8D"/>
    <w:rsid w:val="01A00132"/>
    <w:rsid w:val="01A4661C"/>
    <w:rsid w:val="01AA3863"/>
    <w:rsid w:val="01B74031"/>
    <w:rsid w:val="01EB090D"/>
    <w:rsid w:val="01F12EEF"/>
    <w:rsid w:val="01F47061"/>
    <w:rsid w:val="020009C9"/>
    <w:rsid w:val="02111C4D"/>
    <w:rsid w:val="0227797F"/>
    <w:rsid w:val="022F45E2"/>
    <w:rsid w:val="02304A9B"/>
    <w:rsid w:val="024624F5"/>
    <w:rsid w:val="026E05BE"/>
    <w:rsid w:val="026E1B3B"/>
    <w:rsid w:val="027B71C9"/>
    <w:rsid w:val="02967746"/>
    <w:rsid w:val="029B16F8"/>
    <w:rsid w:val="029D6711"/>
    <w:rsid w:val="02BD27D6"/>
    <w:rsid w:val="02C40267"/>
    <w:rsid w:val="02C57A52"/>
    <w:rsid w:val="02D74F94"/>
    <w:rsid w:val="02D84E1D"/>
    <w:rsid w:val="02E456AC"/>
    <w:rsid w:val="03162C1E"/>
    <w:rsid w:val="03167AA5"/>
    <w:rsid w:val="031B3361"/>
    <w:rsid w:val="03246B2C"/>
    <w:rsid w:val="035C42CC"/>
    <w:rsid w:val="03A61CB2"/>
    <w:rsid w:val="03B15AD3"/>
    <w:rsid w:val="03C318A6"/>
    <w:rsid w:val="03D12DDB"/>
    <w:rsid w:val="03DF3E31"/>
    <w:rsid w:val="03E91D1F"/>
    <w:rsid w:val="03EE3B19"/>
    <w:rsid w:val="040D7E26"/>
    <w:rsid w:val="04182517"/>
    <w:rsid w:val="04232F16"/>
    <w:rsid w:val="0464585F"/>
    <w:rsid w:val="04695076"/>
    <w:rsid w:val="04723C2B"/>
    <w:rsid w:val="04750260"/>
    <w:rsid w:val="04AD281F"/>
    <w:rsid w:val="04B64041"/>
    <w:rsid w:val="04CD0075"/>
    <w:rsid w:val="04CE665A"/>
    <w:rsid w:val="04E822B5"/>
    <w:rsid w:val="04F07350"/>
    <w:rsid w:val="04F90F16"/>
    <w:rsid w:val="04FE0751"/>
    <w:rsid w:val="050B047B"/>
    <w:rsid w:val="051E15A1"/>
    <w:rsid w:val="052550C8"/>
    <w:rsid w:val="052A6789"/>
    <w:rsid w:val="052B44E0"/>
    <w:rsid w:val="05406751"/>
    <w:rsid w:val="054744E3"/>
    <w:rsid w:val="05526DC4"/>
    <w:rsid w:val="055A0443"/>
    <w:rsid w:val="055E71FC"/>
    <w:rsid w:val="05605D8C"/>
    <w:rsid w:val="056241B8"/>
    <w:rsid w:val="0564414E"/>
    <w:rsid w:val="05822A51"/>
    <w:rsid w:val="0582766A"/>
    <w:rsid w:val="0598721B"/>
    <w:rsid w:val="05AD0938"/>
    <w:rsid w:val="05B4446E"/>
    <w:rsid w:val="05D27AC6"/>
    <w:rsid w:val="05D54483"/>
    <w:rsid w:val="05DB373B"/>
    <w:rsid w:val="05DE2E8E"/>
    <w:rsid w:val="05E474DD"/>
    <w:rsid w:val="05E6532D"/>
    <w:rsid w:val="05F45604"/>
    <w:rsid w:val="05F72AF9"/>
    <w:rsid w:val="06037D08"/>
    <w:rsid w:val="060A4E31"/>
    <w:rsid w:val="060C6281"/>
    <w:rsid w:val="06391676"/>
    <w:rsid w:val="06403FF6"/>
    <w:rsid w:val="066C2C36"/>
    <w:rsid w:val="068E7802"/>
    <w:rsid w:val="06B8121A"/>
    <w:rsid w:val="06C3447E"/>
    <w:rsid w:val="06DD5F3B"/>
    <w:rsid w:val="07661D56"/>
    <w:rsid w:val="077C1FF3"/>
    <w:rsid w:val="077C6028"/>
    <w:rsid w:val="078D10AE"/>
    <w:rsid w:val="07934EC2"/>
    <w:rsid w:val="079A7596"/>
    <w:rsid w:val="07B55655"/>
    <w:rsid w:val="07C54C78"/>
    <w:rsid w:val="07C85954"/>
    <w:rsid w:val="07D216F3"/>
    <w:rsid w:val="07D62D7F"/>
    <w:rsid w:val="07D831E4"/>
    <w:rsid w:val="07E96DFD"/>
    <w:rsid w:val="07FD70AE"/>
    <w:rsid w:val="080E6F32"/>
    <w:rsid w:val="08144074"/>
    <w:rsid w:val="082A5C90"/>
    <w:rsid w:val="08592FEB"/>
    <w:rsid w:val="0869681F"/>
    <w:rsid w:val="086E232C"/>
    <w:rsid w:val="08875C09"/>
    <w:rsid w:val="08A63C28"/>
    <w:rsid w:val="08AF05D9"/>
    <w:rsid w:val="08CD26A1"/>
    <w:rsid w:val="08D96755"/>
    <w:rsid w:val="08E92034"/>
    <w:rsid w:val="09042CC3"/>
    <w:rsid w:val="09277D38"/>
    <w:rsid w:val="09344435"/>
    <w:rsid w:val="09384FC7"/>
    <w:rsid w:val="093D2FB8"/>
    <w:rsid w:val="094D7572"/>
    <w:rsid w:val="095539CB"/>
    <w:rsid w:val="097150BB"/>
    <w:rsid w:val="097F4E2F"/>
    <w:rsid w:val="09862518"/>
    <w:rsid w:val="099455D6"/>
    <w:rsid w:val="0995276D"/>
    <w:rsid w:val="09954CFF"/>
    <w:rsid w:val="09993F1A"/>
    <w:rsid w:val="099E45D6"/>
    <w:rsid w:val="09A96859"/>
    <w:rsid w:val="09B93800"/>
    <w:rsid w:val="09C7508E"/>
    <w:rsid w:val="09CA60AE"/>
    <w:rsid w:val="09E22EE2"/>
    <w:rsid w:val="09E8061A"/>
    <w:rsid w:val="09FC4F9C"/>
    <w:rsid w:val="0A020839"/>
    <w:rsid w:val="0A2E2BBF"/>
    <w:rsid w:val="0A483E47"/>
    <w:rsid w:val="0A9B677C"/>
    <w:rsid w:val="0ABA5687"/>
    <w:rsid w:val="0AE61B22"/>
    <w:rsid w:val="0AF94687"/>
    <w:rsid w:val="0AFE3792"/>
    <w:rsid w:val="0B235B9C"/>
    <w:rsid w:val="0B2A60D5"/>
    <w:rsid w:val="0B2E1363"/>
    <w:rsid w:val="0B3A2AF0"/>
    <w:rsid w:val="0B5A738A"/>
    <w:rsid w:val="0B617281"/>
    <w:rsid w:val="0B632200"/>
    <w:rsid w:val="0B8906D7"/>
    <w:rsid w:val="0B974A1B"/>
    <w:rsid w:val="0BA7098D"/>
    <w:rsid w:val="0BCB5D2B"/>
    <w:rsid w:val="0BD157C2"/>
    <w:rsid w:val="0BEC1E32"/>
    <w:rsid w:val="0C043A62"/>
    <w:rsid w:val="0C047C90"/>
    <w:rsid w:val="0C065918"/>
    <w:rsid w:val="0C220D25"/>
    <w:rsid w:val="0C2F3B2B"/>
    <w:rsid w:val="0C334142"/>
    <w:rsid w:val="0C596428"/>
    <w:rsid w:val="0C8D7269"/>
    <w:rsid w:val="0CA10D0A"/>
    <w:rsid w:val="0CB563AD"/>
    <w:rsid w:val="0CE356C0"/>
    <w:rsid w:val="0CE60E4E"/>
    <w:rsid w:val="0CEE3B76"/>
    <w:rsid w:val="0CF8617C"/>
    <w:rsid w:val="0D031177"/>
    <w:rsid w:val="0D112B22"/>
    <w:rsid w:val="0D113E2E"/>
    <w:rsid w:val="0D305745"/>
    <w:rsid w:val="0D4D0E5A"/>
    <w:rsid w:val="0D4F72C4"/>
    <w:rsid w:val="0D560DA9"/>
    <w:rsid w:val="0D570F89"/>
    <w:rsid w:val="0D6332AD"/>
    <w:rsid w:val="0D69737F"/>
    <w:rsid w:val="0D897C45"/>
    <w:rsid w:val="0D922864"/>
    <w:rsid w:val="0DC13ACE"/>
    <w:rsid w:val="0DDE1533"/>
    <w:rsid w:val="0DE013AD"/>
    <w:rsid w:val="0E340E3C"/>
    <w:rsid w:val="0E3E1348"/>
    <w:rsid w:val="0E575C6F"/>
    <w:rsid w:val="0E774594"/>
    <w:rsid w:val="0E8B091E"/>
    <w:rsid w:val="0E9164B4"/>
    <w:rsid w:val="0EB95B3C"/>
    <w:rsid w:val="0EC358E6"/>
    <w:rsid w:val="0EC63D2F"/>
    <w:rsid w:val="0EDA206F"/>
    <w:rsid w:val="0F044549"/>
    <w:rsid w:val="0F0E653A"/>
    <w:rsid w:val="0F39360E"/>
    <w:rsid w:val="0F53216A"/>
    <w:rsid w:val="0F5B71D8"/>
    <w:rsid w:val="0F6A5CA4"/>
    <w:rsid w:val="0F78434B"/>
    <w:rsid w:val="0F915D66"/>
    <w:rsid w:val="0FA40E5D"/>
    <w:rsid w:val="0FA76E58"/>
    <w:rsid w:val="100573D8"/>
    <w:rsid w:val="10160FC3"/>
    <w:rsid w:val="101C27A6"/>
    <w:rsid w:val="10203FA3"/>
    <w:rsid w:val="10300400"/>
    <w:rsid w:val="105D4761"/>
    <w:rsid w:val="10654063"/>
    <w:rsid w:val="107F0063"/>
    <w:rsid w:val="10862147"/>
    <w:rsid w:val="10871CDC"/>
    <w:rsid w:val="10A26AE8"/>
    <w:rsid w:val="10C15933"/>
    <w:rsid w:val="10C64D92"/>
    <w:rsid w:val="10C74746"/>
    <w:rsid w:val="10D45673"/>
    <w:rsid w:val="10E208AD"/>
    <w:rsid w:val="10E64DF6"/>
    <w:rsid w:val="10F60173"/>
    <w:rsid w:val="10FD3C9B"/>
    <w:rsid w:val="11110F27"/>
    <w:rsid w:val="1113306F"/>
    <w:rsid w:val="111D7F6C"/>
    <w:rsid w:val="1124415E"/>
    <w:rsid w:val="112D29F4"/>
    <w:rsid w:val="114C4066"/>
    <w:rsid w:val="115A2997"/>
    <w:rsid w:val="11744B6F"/>
    <w:rsid w:val="1176362B"/>
    <w:rsid w:val="117B2528"/>
    <w:rsid w:val="117C0F4E"/>
    <w:rsid w:val="11895CCF"/>
    <w:rsid w:val="118F1A45"/>
    <w:rsid w:val="11CB3808"/>
    <w:rsid w:val="11D1733E"/>
    <w:rsid w:val="11D870C9"/>
    <w:rsid w:val="11ED34BE"/>
    <w:rsid w:val="11F62909"/>
    <w:rsid w:val="12083279"/>
    <w:rsid w:val="120B54DE"/>
    <w:rsid w:val="12121656"/>
    <w:rsid w:val="12270B1A"/>
    <w:rsid w:val="12413074"/>
    <w:rsid w:val="12424AC3"/>
    <w:rsid w:val="1255332E"/>
    <w:rsid w:val="12592817"/>
    <w:rsid w:val="12603228"/>
    <w:rsid w:val="127667B6"/>
    <w:rsid w:val="127700BE"/>
    <w:rsid w:val="127B11B3"/>
    <w:rsid w:val="12A7518C"/>
    <w:rsid w:val="12A7537F"/>
    <w:rsid w:val="12C618B5"/>
    <w:rsid w:val="12C8786B"/>
    <w:rsid w:val="12D42F9D"/>
    <w:rsid w:val="12DA3F32"/>
    <w:rsid w:val="12F36F24"/>
    <w:rsid w:val="12F4643C"/>
    <w:rsid w:val="130F12F8"/>
    <w:rsid w:val="13176EE4"/>
    <w:rsid w:val="131A1DEF"/>
    <w:rsid w:val="135D5CCD"/>
    <w:rsid w:val="13614865"/>
    <w:rsid w:val="136D25BD"/>
    <w:rsid w:val="137506A6"/>
    <w:rsid w:val="137A0B18"/>
    <w:rsid w:val="139F669D"/>
    <w:rsid w:val="13AC3DA4"/>
    <w:rsid w:val="13EE69FA"/>
    <w:rsid w:val="140244C4"/>
    <w:rsid w:val="141665E7"/>
    <w:rsid w:val="141B19E8"/>
    <w:rsid w:val="14234CC4"/>
    <w:rsid w:val="14272FD3"/>
    <w:rsid w:val="142937F1"/>
    <w:rsid w:val="14302BC2"/>
    <w:rsid w:val="146100C6"/>
    <w:rsid w:val="1463210C"/>
    <w:rsid w:val="146F799F"/>
    <w:rsid w:val="147708ED"/>
    <w:rsid w:val="148068CE"/>
    <w:rsid w:val="1489642B"/>
    <w:rsid w:val="148D0455"/>
    <w:rsid w:val="148F78C7"/>
    <w:rsid w:val="149A0037"/>
    <w:rsid w:val="14A547F4"/>
    <w:rsid w:val="14A73412"/>
    <w:rsid w:val="14A8130C"/>
    <w:rsid w:val="14B4020F"/>
    <w:rsid w:val="14E42E43"/>
    <w:rsid w:val="14EC17F4"/>
    <w:rsid w:val="14F20F8D"/>
    <w:rsid w:val="14F44312"/>
    <w:rsid w:val="14F917B7"/>
    <w:rsid w:val="150065DB"/>
    <w:rsid w:val="15255389"/>
    <w:rsid w:val="153505E4"/>
    <w:rsid w:val="153C0BBF"/>
    <w:rsid w:val="156B5427"/>
    <w:rsid w:val="15750D89"/>
    <w:rsid w:val="15984150"/>
    <w:rsid w:val="15B117E5"/>
    <w:rsid w:val="15BC278C"/>
    <w:rsid w:val="15CB40F0"/>
    <w:rsid w:val="15FD3271"/>
    <w:rsid w:val="16026DD6"/>
    <w:rsid w:val="16072554"/>
    <w:rsid w:val="160D0B9A"/>
    <w:rsid w:val="16535B80"/>
    <w:rsid w:val="16597C56"/>
    <w:rsid w:val="167011DE"/>
    <w:rsid w:val="167C1BFD"/>
    <w:rsid w:val="169522E1"/>
    <w:rsid w:val="169F2CC5"/>
    <w:rsid w:val="16C85CC2"/>
    <w:rsid w:val="16DE1304"/>
    <w:rsid w:val="16E27D75"/>
    <w:rsid w:val="16F249DE"/>
    <w:rsid w:val="16FB372B"/>
    <w:rsid w:val="171F5158"/>
    <w:rsid w:val="1729451A"/>
    <w:rsid w:val="1735494A"/>
    <w:rsid w:val="173804DF"/>
    <w:rsid w:val="17530580"/>
    <w:rsid w:val="17630BD9"/>
    <w:rsid w:val="177047AD"/>
    <w:rsid w:val="17902D78"/>
    <w:rsid w:val="17965FEF"/>
    <w:rsid w:val="17AA61AE"/>
    <w:rsid w:val="17B235D4"/>
    <w:rsid w:val="17C54EEC"/>
    <w:rsid w:val="17D92715"/>
    <w:rsid w:val="17DF3DA9"/>
    <w:rsid w:val="17E35DE0"/>
    <w:rsid w:val="17EA6038"/>
    <w:rsid w:val="17F11C26"/>
    <w:rsid w:val="181C7C3F"/>
    <w:rsid w:val="18236CA9"/>
    <w:rsid w:val="182E1589"/>
    <w:rsid w:val="18326E0F"/>
    <w:rsid w:val="18441E75"/>
    <w:rsid w:val="18523F00"/>
    <w:rsid w:val="187677A2"/>
    <w:rsid w:val="1877171F"/>
    <w:rsid w:val="189911C3"/>
    <w:rsid w:val="18C53ED3"/>
    <w:rsid w:val="18E92976"/>
    <w:rsid w:val="19000D49"/>
    <w:rsid w:val="190B2A0C"/>
    <w:rsid w:val="190C500B"/>
    <w:rsid w:val="19495B71"/>
    <w:rsid w:val="195009D1"/>
    <w:rsid w:val="1960607D"/>
    <w:rsid w:val="196947BD"/>
    <w:rsid w:val="199273C2"/>
    <w:rsid w:val="199F4A23"/>
    <w:rsid w:val="19AB3AF5"/>
    <w:rsid w:val="19B71881"/>
    <w:rsid w:val="19CB5E0B"/>
    <w:rsid w:val="19D04FD1"/>
    <w:rsid w:val="19E04789"/>
    <w:rsid w:val="19F47CB0"/>
    <w:rsid w:val="1A071B93"/>
    <w:rsid w:val="1A080EB7"/>
    <w:rsid w:val="1A145894"/>
    <w:rsid w:val="1A1E20EF"/>
    <w:rsid w:val="1A1F5AB8"/>
    <w:rsid w:val="1A343CB1"/>
    <w:rsid w:val="1A35149F"/>
    <w:rsid w:val="1A421123"/>
    <w:rsid w:val="1A5111E5"/>
    <w:rsid w:val="1A5A4A3C"/>
    <w:rsid w:val="1A73042C"/>
    <w:rsid w:val="1A7A52F2"/>
    <w:rsid w:val="1A7B6144"/>
    <w:rsid w:val="1A7D62F5"/>
    <w:rsid w:val="1A95479B"/>
    <w:rsid w:val="1A9C5FB9"/>
    <w:rsid w:val="1A9F6208"/>
    <w:rsid w:val="1AC17F72"/>
    <w:rsid w:val="1ADF598F"/>
    <w:rsid w:val="1AF17569"/>
    <w:rsid w:val="1AF3119A"/>
    <w:rsid w:val="1B0E76BB"/>
    <w:rsid w:val="1B160B2F"/>
    <w:rsid w:val="1B3B217A"/>
    <w:rsid w:val="1B586F9E"/>
    <w:rsid w:val="1B5979EB"/>
    <w:rsid w:val="1B6446E7"/>
    <w:rsid w:val="1B744367"/>
    <w:rsid w:val="1B85712C"/>
    <w:rsid w:val="1B942816"/>
    <w:rsid w:val="1BA656FB"/>
    <w:rsid w:val="1BE75080"/>
    <w:rsid w:val="1BF3068C"/>
    <w:rsid w:val="1BFA70EC"/>
    <w:rsid w:val="1C081DE3"/>
    <w:rsid w:val="1C293F3E"/>
    <w:rsid w:val="1C2E1437"/>
    <w:rsid w:val="1C346A5D"/>
    <w:rsid w:val="1C476343"/>
    <w:rsid w:val="1C53330D"/>
    <w:rsid w:val="1C64478C"/>
    <w:rsid w:val="1C891802"/>
    <w:rsid w:val="1C8D00FC"/>
    <w:rsid w:val="1C931D1A"/>
    <w:rsid w:val="1C9B16E7"/>
    <w:rsid w:val="1CB16598"/>
    <w:rsid w:val="1CBE4325"/>
    <w:rsid w:val="1CCE2B62"/>
    <w:rsid w:val="1CCE5364"/>
    <w:rsid w:val="1CD36726"/>
    <w:rsid w:val="1CE555E8"/>
    <w:rsid w:val="1CF02B31"/>
    <w:rsid w:val="1D0338C9"/>
    <w:rsid w:val="1D0556C9"/>
    <w:rsid w:val="1D0E4E3A"/>
    <w:rsid w:val="1D2B55AD"/>
    <w:rsid w:val="1D35131D"/>
    <w:rsid w:val="1D380A37"/>
    <w:rsid w:val="1D3D0CE6"/>
    <w:rsid w:val="1D5026CC"/>
    <w:rsid w:val="1D5B5970"/>
    <w:rsid w:val="1D6C549F"/>
    <w:rsid w:val="1D7A51E1"/>
    <w:rsid w:val="1D7F7237"/>
    <w:rsid w:val="1D8D2556"/>
    <w:rsid w:val="1DA54DD3"/>
    <w:rsid w:val="1DAB53FC"/>
    <w:rsid w:val="1DC1290A"/>
    <w:rsid w:val="1DC84267"/>
    <w:rsid w:val="1DDB5534"/>
    <w:rsid w:val="1DF67C16"/>
    <w:rsid w:val="1E1B3C1F"/>
    <w:rsid w:val="1E1F2FFB"/>
    <w:rsid w:val="1E522E6F"/>
    <w:rsid w:val="1E7218B8"/>
    <w:rsid w:val="1E760FA0"/>
    <w:rsid w:val="1E800047"/>
    <w:rsid w:val="1EAE327F"/>
    <w:rsid w:val="1EAE4750"/>
    <w:rsid w:val="1EB33EC0"/>
    <w:rsid w:val="1EC27EB0"/>
    <w:rsid w:val="1EDF20D2"/>
    <w:rsid w:val="1EE75D09"/>
    <w:rsid w:val="1EEC27BF"/>
    <w:rsid w:val="1EF5591A"/>
    <w:rsid w:val="1F092E8C"/>
    <w:rsid w:val="1F0C24BD"/>
    <w:rsid w:val="1F114371"/>
    <w:rsid w:val="1F363AF7"/>
    <w:rsid w:val="1F56556D"/>
    <w:rsid w:val="1F6D3654"/>
    <w:rsid w:val="1F7D73C2"/>
    <w:rsid w:val="1F7E6718"/>
    <w:rsid w:val="1FA94C8D"/>
    <w:rsid w:val="1FAD1318"/>
    <w:rsid w:val="1FC61CBC"/>
    <w:rsid w:val="1FE9413F"/>
    <w:rsid w:val="1FFD3908"/>
    <w:rsid w:val="20345A4F"/>
    <w:rsid w:val="203A4CA8"/>
    <w:rsid w:val="206762D3"/>
    <w:rsid w:val="2077470A"/>
    <w:rsid w:val="20947537"/>
    <w:rsid w:val="20A66536"/>
    <w:rsid w:val="20B719F2"/>
    <w:rsid w:val="20BB5275"/>
    <w:rsid w:val="20F33A6A"/>
    <w:rsid w:val="21005E4C"/>
    <w:rsid w:val="21141885"/>
    <w:rsid w:val="211C41F2"/>
    <w:rsid w:val="21244616"/>
    <w:rsid w:val="213D7002"/>
    <w:rsid w:val="214F57CE"/>
    <w:rsid w:val="216E11A9"/>
    <w:rsid w:val="21776EA2"/>
    <w:rsid w:val="21844EB1"/>
    <w:rsid w:val="2196193E"/>
    <w:rsid w:val="219C79D7"/>
    <w:rsid w:val="219E1854"/>
    <w:rsid w:val="21A019FC"/>
    <w:rsid w:val="21A33235"/>
    <w:rsid w:val="21AD4CA5"/>
    <w:rsid w:val="21B921B2"/>
    <w:rsid w:val="21C21F66"/>
    <w:rsid w:val="21FA336C"/>
    <w:rsid w:val="223270EC"/>
    <w:rsid w:val="22346B03"/>
    <w:rsid w:val="224C2908"/>
    <w:rsid w:val="226E20BD"/>
    <w:rsid w:val="22895884"/>
    <w:rsid w:val="229368CE"/>
    <w:rsid w:val="22A26825"/>
    <w:rsid w:val="22A6736E"/>
    <w:rsid w:val="22A85760"/>
    <w:rsid w:val="22AF4AC4"/>
    <w:rsid w:val="22C21B76"/>
    <w:rsid w:val="22DB43CE"/>
    <w:rsid w:val="22E6339B"/>
    <w:rsid w:val="230D782D"/>
    <w:rsid w:val="23605543"/>
    <w:rsid w:val="23606921"/>
    <w:rsid w:val="23723857"/>
    <w:rsid w:val="23AC1F23"/>
    <w:rsid w:val="23B451B7"/>
    <w:rsid w:val="23D07295"/>
    <w:rsid w:val="243B64F6"/>
    <w:rsid w:val="243B7606"/>
    <w:rsid w:val="24505030"/>
    <w:rsid w:val="24522071"/>
    <w:rsid w:val="247740C0"/>
    <w:rsid w:val="2478258F"/>
    <w:rsid w:val="249501E2"/>
    <w:rsid w:val="24990D97"/>
    <w:rsid w:val="24A06356"/>
    <w:rsid w:val="24A95DDD"/>
    <w:rsid w:val="24AB1641"/>
    <w:rsid w:val="24D64D06"/>
    <w:rsid w:val="24E87D8E"/>
    <w:rsid w:val="24FD3BB5"/>
    <w:rsid w:val="25105D16"/>
    <w:rsid w:val="25144586"/>
    <w:rsid w:val="251B5764"/>
    <w:rsid w:val="2562395D"/>
    <w:rsid w:val="256A1E05"/>
    <w:rsid w:val="25787942"/>
    <w:rsid w:val="258E2708"/>
    <w:rsid w:val="25D4608D"/>
    <w:rsid w:val="25DF56EA"/>
    <w:rsid w:val="25E1258E"/>
    <w:rsid w:val="260D3023"/>
    <w:rsid w:val="26282BFB"/>
    <w:rsid w:val="263561A8"/>
    <w:rsid w:val="264147F0"/>
    <w:rsid w:val="264F4214"/>
    <w:rsid w:val="265646FB"/>
    <w:rsid w:val="266A63F9"/>
    <w:rsid w:val="26761DA4"/>
    <w:rsid w:val="2680069B"/>
    <w:rsid w:val="268E2BBF"/>
    <w:rsid w:val="26BD00C1"/>
    <w:rsid w:val="26C629C8"/>
    <w:rsid w:val="26D670BB"/>
    <w:rsid w:val="26DC5A70"/>
    <w:rsid w:val="26DE12D7"/>
    <w:rsid w:val="26F85545"/>
    <w:rsid w:val="270100FC"/>
    <w:rsid w:val="27012E34"/>
    <w:rsid w:val="27050ABD"/>
    <w:rsid w:val="2707236B"/>
    <w:rsid w:val="270E4388"/>
    <w:rsid w:val="2712243B"/>
    <w:rsid w:val="27180F08"/>
    <w:rsid w:val="272A60FC"/>
    <w:rsid w:val="27354D49"/>
    <w:rsid w:val="273D2246"/>
    <w:rsid w:val="27455B34"/>
    <w:rsid w:val="275A7F6F"/>
    <w:rsid w:val="275E4651"/>
    <w:rsid w:val="27BB4491"/>
    <w:rsid w:val="27BF5ED8"/>
    <w:rsid w:val="27C60AC7"/>
    <w:rsid w:val="27CF1F8D"/>
    <w:rsid w:val="281D604C"/>
    <w:rsid w:val="28202310"/>
    <w:rsid w:val="283E0E1B"/>
    <w:rsid w:val="2842306C"/>
    <w:rsid w:val="284806AC"/>
    <w:rsid w:val="285D6BEB"/>
    <w:rsid w:val="2869429A"/>
    <w:rsid w:val="28732F7D"/>
    <w:rsid w:val="28804B12"/>
    <w:rsid w:val="28952630"/>
    <w:rsid w:val="28B061FD"/>
    <w:rsid w:val="28B43CCC"/>
    <w:rsid w:val="28B6599C"/>
    <w:rsid w:val="28DB3DE0"/>
    <w:rsid w:val="28E11F3A"/>
    <w:rsid w:val="28E74B9E"/>
    <w:rsid w:val="28EC0506"/>
    <w:rsid w:val="28EC21C4"/>
    <w:rsid w:val="29163091"/>
    <w:rsid w:val="29177593"/>
    <w:rsid w:val="291B17A4"/>
    <w:rsid w:val="291D1764"/>
    <w:rsid w:val="293B1B64"/>
    <w:rsid w:val="294063F2"/>
    <w:rsid w:val="29422F26"/>
    <w:rsid w:val="295750A8"/>
    <w:rsid w:val="295D48C9"/>
    <w:rsid w:val="2965311D"/>
    <w:rsid w:val="296A2771"/>
    <w:rsid w:val="297D3EC1"/>
    <w:rsid w:val="29887097"/>
    <w:rsid w:val="298C1C7F"/>
    <w:rsid w:val="29CB1709"/>
    <w:rsid w:val="29DB2C11"/>
    <w:rsid w:val="2A001FAF"/>
    <w:rsid w:val="2A2C1364"/>
    <w:rsid w:val="2A30470B"/>
    <w:rsid w:val="2A6B725D"/>
    <w:rsid w:val="2ABE3CA5"/>
    <w:rsid w:val="2ACB4731"/>
    <w:rsid w:val="2AD17134"/>
    <w:rsid w:val="2AD60EFD"/>
    <w:rsid w:val="2B3F315F"/>
    <w:rsid w:val="2B612A01"/>
    <w:rsid w:val="2B730ADD"/>
    <w:rsid w:val="2B871DDC"/>
    <w:rsid w:val="2BB613EE"/>
    <w:rsid w:val="2BBE6791"/>
    <w:rsid w:val="2BC203B5"/>
    <w:rsid w:val="2BE25A2B"/>
    <w:rsid w:val="2BF23168"/>
    <w:rsid w:val="2C10551E"/>
    <w:rsid w:val="2C235CCD"/>
    <w:rsid w:val="2C2467FB"/>
    <w:rsid w:val="2C2C7815"/>
    <w:rsid w:val="2C360434"/>
    <w:rsid w:val="2C472CD6"/>
    <w:rsid w:val="2C4A7F43"/>
    <w:rsid w:val="2C8B3F9F"/>
    <w:rsid w:val="2C9460B0"/>
    <w:rsid w:val="2CD53CED"/>
    <w:rsid w:val="2CD83B3F"/>
    <w:rsid w:val="2CD903A4"/>
    <w:rsid w:val="2CF648ED"/>
    <w:rsid w:val="2CF71171"/>
    <w:rsid w:val="2D1C2917"/>
    <w:rsid w:val="2D744CA7"/>
    <w:rsid w:val="2D825154"/>
    <w:rsid w:val="2D845F3C"/>
    <w:rsid w:val="2D9C3CDB"/>
    <w:rsid w:val="2DAA4915"/>
    <w:rsid w:val="2DB268BA"/>
    <w:rsid w:val="2DCA539A"/>
    <w:rsid w:val="2DCC5695"/>
    <w:rsid w:val="2DCD4E96"/>
    <w:rsid w:val="2DDF7758"/>
    <w:rsid w:val="2DF13194"/>
    <w:rsid w:val="2DF22419"/>
    <w:rsid w:val="2DFB0A90"/>
    <w:rsid w:val="2DFF5D6A"/>
    <w:rsid w:val="2E1E6774"/>
    <w:rsid w:val="2E5927B2"/>
    <w:rsid w:val="2E681C6F"/>
    <w:rsid w:val="2E731383"/>
    <w:rsid w:val="2E771D79"/>
    <w:rsid w:val="2E7C0593"/>
    <w:rsid w:val="2E823C54"/>
    <w:rsid w:val="2E9C28BC"/>
    <w:rsid w:val="2EA52053"/>
    <w:rsid w:val="2ED34165"/>
    <w:rsid w:val="2EED1450"/>
    <w:rsid w:val="2F0362AA"/>
    <w:rsid w:val="2F18172C"/>
    <w:rsid w:val="2F437DA2"/>
    <w:rsid w:val="2F5235B2"/>
    <w:rsid w:val="2F570A74"/>
    <w:rsid w:val="2F63690D"/>
    <w:rsid w:val="2F8C1C3C"/>
    <w:rsid w:val="2F990682"/>
    <w:rsid w:val="2FA82A50"/>
    <w:rsid w:val="2FE96674"/>
    <w:rsid w:val="2FF36F72"/>
    <w:rsid w:val="2FF55D44"/>
    <w:rsid w:val="30250F8E"/>
    <w:rsid w:val="30270BF9"/>
    <w:rsid w:val="302B2FAF"/>
    <w:rsid w:val="303074D1"/>
    <w:rsid w:val="304A2C36"/>
    <w:rsid w:val="30715A41"/>
    <w:rsid w:val="30761141"/>
    <w:rsid w:val="307C0A5D"/>
    <w:rsid w:val="307E4818"/>
    <w:rsid w:val="30AD3EA0"/>
    <w:rsid w:val="30B1600B"/>
    <w:rsid w:val="30CA48C2"/>
    <w:rsid w:val="30D44974"/>
    <w:rsid w:val="30DB0F85"/>
    <w:rsid w:val="30F857BE"/>
    <w:rsid w:val="31053CDD"/>
    <w:rsid w:val="31127EA5"/>
    <w:rsid w:val="31274785"/>
    <w:rsid w:val="316E2388"/>
    <w:rsid w:val="31952D4B"/>
    <w:rsid w:val="3196573E"/>
    <w:rsid w:val="31A86B48"/>
    <w:rsid w:val="31CC5851"/>
    <w:rsid w:val="31CD0F14"/>
    <w:rsid w:val="31D932CC"/>
    <w:rsid w:val="31F1224E"/>
    <w:rsid w:val="323F2B69"/>
    <w:rsid w:val="3257059D"/>
    <w:rsid w:val="32620B25"/>
    <w:rsid w:val="3264747C"/>
    <w:rsid w:val="326D608B"/>
    <w:rsid w:val="328C536F"/>
    <w:rsid w:val="329A4175"/>
    <w:rsid w:val="329B22EF"/>
    <w:rsid w:val="32C40AB4"/>
    <w:rsid w:val="32FD0E33"/>
    <w:rsid w:val="3308365B"/>
    <w:rsid w:val="33145709"/>
    <w:rsid w:val="331B7023"/>
    <w:rsid w:val="33277C2B"/>
    <w:rsid w:val="33364B17"/>
    <w:rsid w:val="33456EE0"/>
    <w:rsid w:val="334B33E6"/>
    <w:rsid w:val="33580881"/>
    <w:rsid w:val="337C53FA"/>
    <w:rsid w:val="33800B80"/>
    <w:rsid w:val="339331FA"/>
    <w:rsid w:val="33AA2D85"/>
    <w:rsid w:val="33B9446D"/>
    <w:rsid w:val="33C87E17"/>
    <w:rsid w:val="33CC7CA8"/>
    <w:rsid w:val="33E601A0"/>
    <w:rsid w:val="33E754B5"/>
    <w:rsid w:val="33F620BC"/>
    <w:rsid w:val="33FC6676"/>
    <w:rsid w:val="34005F29"/>
    <w:rsid w:val="34157B5E"/>
    <w:rsid w:val="34245085"/>
    <w:rsid w:val="3442312E"/>
    <w:rsid w:val="34460368"/>
    <w:rsid w:val="34582A4A"/>
    <w:rsid w:val="348416CF"/>
    <w:rsid w:val="34A26BEA"/>
    <w:rsid w:val="34C510C2"/>
    <w:rsid w:val="34D561C2"/>
    <w:rsid w:val="34E861A1"/>
    <w:rsid w:val="34F37408"/>
    <w:rsid w:val="34F539F2"/>
    <w:rsid w:val="35161701"/>
    <w:rsid w:val="352844CC"/>
    <w:rsid w:val="35330984"/>
    <w:rsid w:val="354F29C4"/>
    <w:rsid w:val="355A0F2A"/>
    <w:rsid w:val="355A235D"/>
    <w:rsid w:val="355E3388"/>
    <w:rsid w:val="356523D2"/>
    <w:rsid w:val="3579705E"/>
    <w:rsid w:val="359206F0"/>
    <w:rsid w:val="359A147A"/>
    <w:rsid w:val="35A61064"/>
    <w:rsid w:val="35B76EAE"/>
    <w:rsid w:val="35BD1D0B"/>
    <w:rsid w:val="35C14670"/>
    <w:rsid w:val="35E93247"/>
    <w:rsid w:val="35EC3D75"/>
    <w:rsid w:val="35EE5D85"/>
    <w:rsid w:val="361F0170"/>
    <w:rsid w:val="362C5F23"/>
    <w:rsid w:val="364578DA"/>
    <w:rsid w:val="365077D1"/>
    <w:rsid w:val="36863190"/>
    <w:rsid w:val="36AB61AF"/>
    <w:rsid w:val="36EE0BC7"/>
    <w:rsid w:val="36F84AD2"/>
    <w:rsid w:val="37273E47"/>
    <w:rsid w:val="374D09CB"/>
    <w:rsid w:val="375035E8"/>
    <w:rsid w:val="376C30AE"/>
    <w:rsid w:val="376D3734"/>
    <w:rsid w:val="378C548A"/>
    <w:rsid w:val="37A47201"/>
    <w:rsid w:val="37AA02D9"/>
    <w:rsid w:val="37B94563"/>
    <w:rsid w:val="37BB0B50"/>
    <w:rsid w:val="37BD1CB2"/>
    <w:rsid w:val="37C82B31"/>
    <w:rsid w:val="37D37B6B"/>
    <w:rsid w:val="37DA4FA1"/>
    <w:rsid w:val="37DC0035"/>
    <w:rsid w:val="37ED75CC"/>
    <w:rsid w:val="37F45F78"/>
    <w:rsid w:val="38050F0A"/>
    <w:rsid w:val="381508BC"/>
    <w:rsid w:val="3846267C"/>
    <w:rsid w:val="38462974"/>
    <w:rsid w:val="384D4AEF"/>
    <w:rsid w:val="3886032A"/>
    <w:rsid w:val="38A14528"/>
    <w:rsid w:val="38A93975"/>
    <w:rsid w:val="38B339E1"/>
    <w:rsid w:val="38B50967"/>
    <w:rsid w:val="38D111AD"/>
    <w:rsid w:val="38E669E3"/>
    <w:rsid w:val="38F401EC"/>
    <w:rsid w:val="390B7242"/>
    <w:rsid w:val="391E095A"/>
    <w:rsid w:val="393426D2"/>
    <w:rsid w:val="39492E22"/>
    <w:rsid w:val="398E3CAC"/>
    <w:rsid w:val="3991782D"/>
    <w:rsid w:val="399503B1"/>
    <w:rsid w:val="39A50391"/>
    <w:rsid w:val="39B42641"/>
    <w:rsid w:val="39B72AFB"/>
    <w:rsid w:val="39C929ED"/>
    <w:rsid w:val="39CE638F"/>
    <w:rsid w:val="39D46EFA"/>
    <w:rsid w:val="39E35A24"/>
    <w:rsid w:val="39FB067F"/>
    <w:rsid w:val="3A136648"/>
    <w:rsid w:val="3A1533AB"/>
    <w:rsid w:val="3A17550E"/>
    <w:rsid w:val="3A19153D"/>
    <w:rsid w:val="3A197E54"/>
    <w:rsid w:val="3A1C1018"/>
    <w:rsid w:val="3A1E602A"/>
    <w:rsid w:val="3A294F78"/>
    <w:rsid w:val="3A5A65CC"/>
    <w:rsid w:val="3A721A0F"/>
    <w:rsid w:val="3A8F2702"/>
    <w:rsid w:val="3AB43D0B"/>
    <w:rsid w:val="3ABE1EFD"/>
    <w:rsid w:val="3AC90A3D"/>
    <w:rsid w:val="3ADE1818"/>
    <w:rsid w:val="3AE208AD"/>
    <w:rsid w:val="3AE260E1"/>
    <w:rsid w:val="3AE50515"/>
    <w:rsid w:val="3B072DE5"/>
    <w:rsid w:val="3B187F16"/>
    <w:rsid w:val="3B2042AF"/>
    <w:rsid w:val="3B427C74"/>
    <w:rsid w:val="3B445CA1"/>
    <w:rsid w:val="3B5E49F9"/>
    <w:rsid w:val="3B64146A"/>
    <w:rsid w:val="3B7344DB"/>
    <w:rsid w:val="3B7C49A8"/>
    <w:rsid w:val="3B9E6286"/>
    <w:rsid w:val="3BA04614"/>
    <w:rsid w:val="3BAF526D"/>
    <w:rsid w:val="3BCD0685"/>
    <w:rsid w:val="3BCE4209"/>
    <w:rsid w:val="3BFF46C7"/>
    <w:rsid w:val="3C0755AA"/>
    <w:rsid w:val="3C1257B0"/>
    <w:rsid w:val="3C4716ED"/>
    <w:rsid w:val="3C496FD8"/>
    <w:rsid w:val="3C521FF0"/>
    <w:rsid w:val="3C695946"/>
    <w:rsid w:val="3C6C5D3B"/>
    <w:rsid w:val="3C757C10"/>
    <w:rsid w:val="3C777FB6"/>
    <w:rsid w:val="3C857A2B"/>
    <w:rsid w:val="3C985FC7"/>
    <w:rsid w:val="3CB6396E"/>
    <w:rsid w:val="3CC32A2F"/>
    <w:rsid w:val="3CE719E6"/>
    <w:rsid w:val="3CF44AEB"/>
    <w:rsid w:val="3CFD7640"/>
    <w:rsid w:val="3D150F01"/>
    <w:rsid w:val="3D3F460F"/>
    <w:rsid w:val="3D43308F"/>
    <w:rsid w:val="3D4E1C52"/>
    <w:rsid w:val="3D5306A9"/>
    <w:rsid w:val="3D7049C7"/>
    <w:rsid w:val="3D95339F"/>
    <w:rsid w:val="3D9E433D"/>
    <w:rsid w:val="3DAC63F6"/>
    <w:rsid w:val="3DC81E13"/>
    <w:rsid w:val="3E0A562E"/>
    <w:rsid w:val="3E100286"/>
    <w:rsid w:val="3E1807CB"/>
    <w:rsid w:val="3E1A178C"/>
    <w:rsid w:val="3E1A4A6A"/>
    <w:rsid w:val="3E4F084E"/>
    <w:rsid w:val="3E5E6F9E"/>
    <w:rsid w:val="3E894C93"/>
    <w:rsid w:val="3E895F3B"/>
    <w:rsid w:val="3E9E1727"/>
    <w:rsid w:val="3EA8318E"/>
    <w:rsid w:val="3EB23418"/>
    <w:rsid w:val="3EB274D2"/>
    <w:rsid w:val="3EDE3D82"/>
    <w:rsid w:val="3EFD7000"/>
    <w:rsid w:val="3F120397"/>
    <w:rsid w:val="3F1C2BD8"/>
    <w:rsid w:val="3F3840F2"/>
    <w:rsid w:val="3F6C6BAE"/>
    <w:rsid w:val="3F763B1D"/>
    <w:rsid w:val="3F7E6E01"/>
    <w:rsid w:val="3F974708"/>
    <w:rsid w:val="3F996199"/>
    <w:rsid w:val="3F9B1F1A"/>
    <w:rsid w:val="3FA71811"/>
    <w:rsid w:val="3FB62572"/>
    <w:rsid w:val="3FC42953"/>
    <w:rsid w:val="3FD40530"/>
    <w:rsid w:val="3FE0164A"/>
    <w:rsid w:val="3FE87E39"/>
    <w:rsid w:val="400B54B9"/>
    <w:rsid w:val="400C674D"/>
    <w:rsid w:val="40150AE4"/>
    <w:rsid w:val="402A7836"/>
    <w:rsid w:val="40340033"/>
    <w:rsid w:val="40373EA8"/>
    <w:rsid w:val="403C1539"/>
    <w:rsid w:val="405B6FB7"/>
    <w:rsid w:val="40A65751"/>
    <w:rsid w:val="40AE0727"/>
    <w:rsid w:val="40B1174C"/>
    <w:rsid w:val="40CD0E6D"/>
    <w:rsid w:val="40DA42E2"/>
    <w:rsid w:val="40EE1A94"/>
    <w:rsid w:val="410252AF"/>
    <w:rsid w:val="4121358F"/>
    <w:rsid w:val="413A4CB0"/>
    <w:rsid w:val="415B14F1"/>
    <w:rsid w:val="416F07DB"/>
    <w:rsid w:val="41D64D64"/>
    <w:rsid w:val="41EC6179"/>
    <w:rsid w:val="41EF0725"/>
    <w:rsid w:val="42034B0C"/>
    <w:rsid w:val="420B0063"/>
    <w:rsid w:val="421B296F"/>
    <w:rsid w:val="42221BB3"/>
    <w:rsid w:val="42225462"/>
    <w:rsid w:val="422360B9"/>
    <w:rsid w:val="424E4DB2"/>
    <w:rsid w:val="42505396"/>
    <w:rsid w:val="42580F5E"/>
    <w:rsid w:val="428F6B1D"/>
    <w:rsid w:val="42944340"/>
    <w:rsid w:val="42A339DB"/>
    <w:rsid w:val="42BE030A"/>
    <w:rsid w:val="42C17869"/>
    <w:rsid w:val="42CE410E"/>
    <w:rsid w:val="42CE60C4"/>
    <w:rsid w:val="42D81B9F"/>
    <w:rsid w:val="42DA68EF"/>
    <w:rsid w:val="42E31130"/>
    <w:rsid w:val="43064357"/>
    <w:rsid w:val="43100B20"/>
    <w:rsid w:val="431B58A8"/>
    <w:rsid w:val="43255AE8"/>
    <w:rsid w:val="433658FC"/>
    <w:rsid w:val="435A4855"/>
    <w:rsid w:val="436C2451"/>
    <w:rsid w:val="43966951"/>
    <w:rsid w:val="439E6F2C"/>
    <w:rsid w:val="43AB2DD0"/>
    <w:rsid w:val="43DD0797"/>
    <w:rsid w:val="43F10AF6"/>
    <w:rsid w:val="43F62DE6"/>
    <w:rsid w:val="44004FED"/>
    <w:rsid w:val="4412602D"/>
    <w:rsid w:val="44147BAC"/>
    <w:rsid w:val="441E7320"/>
    <w:rsid w:val="44211907"/>
    <w:rsid w:val="442A1AA8"/>
    <w:rsid w:val="44326F69"/>
    <w:rsid w:val="4432708B"/>
    <w:rsid w:val="44436A5E"/>
    <w:rsid w:val="444450DE"/>
    <w:rsid w:val="447708C5"/>
    <w:rsid w:val="4482015A"/>
    <w:rsid w:val="4499584A"/>
    <w:rsid w:val="44B40C03"/>
    <w:rsid w:val="44BF315F"/>
    <w:rsid w:val="44C52406"/>
    <w:rsid w:val="44CA6B1C"/>
    <w:rsid w:val="44D36F1A"/>
    <w:rsid w:val="44DE3901"/>
    <w:rsid w:val="452740E4"/>
    <w:rsid w:val="454F1AD1"/>
    <w:rsid w:val="455942DE"/>
    <w:rsid w:val="456D4560"/>
    <w:rsid w:val="457654BF"/>
    <w:rsid w:val="458665ED"/>
    <w:rsid w:val="459B058E"/>
    <w:rsid w:val="45B6552F"/>
    <w:rsid w:val="45B759F0"/>
    <w:rsid w:val="45B91C81"/>
    <w:rsid w:val="45C952CF"/>
    <w:rsid w:val="45E14394"/>
    <w:rsid w:val="45EA46F3"/>
    <w:rsid w:val="46016FC0"/>
    <w:rsid w:val="4653014A"/>
    <w:rsid w:val="465570F3"/>
    <w:rsid w:val="46655E3B"/>
    <w:rsid w:val="46712F88"/>
    <w:rsid w:val="4673244B"/>
    <w:rsid w:val="467657AF"/>
    <w:rsid w:val="467C76C4"/>
    <w:rsid w:val="46AC749A"/>
    <w:rsid w:val="46BE64A1"/>
    <w:rsid w:val="46E25088"/>
    <w:rsid w:val="46F05C87"/>
    <w:rsid w:val="47392AEF"/>
    <w:rsid w:val="475F7B0C"/>
    <w:rsid w:val="4772434A"/>
    <w:rsid w:val="479B3AD1"/>
    <w:rsid w:val="47C115E3"/>
    <w:rsid w:val="47C24D41"/>
    <w:rsid w:val="47E068C7"/>
    <w:rsid w:val="47E23A2F"/>
    <w:rsid w:val="47E95008"/>
    <w:rsid w:val="48076ED6"/>
    <w:rsid w:val="4809273B"/>
    <w:rsid w:val="48300C8E"/>
    <w:rsid w:val="483B5EBC"/>
    <w:rsid w:val="48457FD2"/>
    <w:rsid w:val="485B4E6A"/>
    <w:rsid w:val="486F3A40"/>
    <w:rsid w:val="487D4538"/>
    <w:rsid w:val="48945F42"/>
    <w:rsid w:val="489B0A95"/>
    <w:rsid w:val="489C7A50"/>
    <w:rsid w:val="48A05899"/>
    <w:rsid w:val="48A36725"/>
    <w:rsid w:val="48B60299"/>
    <w:rsid w:val="48C35F9B"/>
    <w:rsid w:val="48CD0757"/>
    <w:rsid w:val="48CE7D53"/>
    <w:rsid w:val="48D732D8"/>
    <w:rsid w:val="48D766D2"/>
    <w:rsid w:val="48DB72A7"/>
    <w:rsid w:val="491A240C"/>
    <w:rsid w:val="491B6C8A"/>
    <w:rsid w:val="492B2967"/>
    <w:rsid w:val="49355FD2"/>
    <w:rsid w:val="49372AAE"/>
    <w:rsid w:val="493F7956"/>
    <w:rsid w:val="49653BD4"/>
    <w:rsid w:val="498C3945"/>
    <w:rsid w:val="499077F5"/>
    <w:rsid w:val="499E45FC"/>
    <w:rsid w:val="49AE10A8"/>
    <w:rsid w:val="49BF4B72"/>
    <w:rsid w:val="49C72D96"/>
    <w:rsid w:val="4A1E609A"/>
    <w:rsid w:val="4A3B55B1"/>
    <w:rsid w:val="4A4523D1"/>
    <w:rsid w:val="4A556F21"/>
    <w:rsid w:val="4A626E56"/>
    <w:rsid w:val="4A8E5819"/>
    <w:rsid w:val="4A9F7775"/>
    <w:rsid w:val="4AC957BA"/>
    <w:rsid w:val="4AFB3E03"/>
    <w:rsid w:val="4B1C70AA"/>
    <w:rsid w:val="4B290ED3"/>
    <w:rsid w:val="4B342BB9"/>
    <w:rsid w:val="4B395D4F"/>
    <w:rsid w:val="4B3B5CC5"/>
    <w:rsid w:val="4B4A7A74"/>
    <w:rsid w:val="4B712041"/>
    <w:rsid w:val="4B733385"/>
    <w:rsid w:val="4B7F5E26"/>
    <w:rsid w:val="4B8453F3"/>
    <w:rsid w:val="4BBB0BA8"/>
    <w:rsid w:val="4BBB495A"/>
    <w:rsid w:val="4BCA4980"/>
    <w:rsid w:val="4BE21816"/>
    <w:rsid w:val="4BFA3C30"/>
    <w:rsid w:val="4C235E6E"/>
    <w:rsid w:val="4C2A459A"/>
    <w:rsid w:val="4C3B5B16"/>
    <w:rsid w:val="4C4748CE"/>
    <w:rsid w:val="4C4C07BB"/>
    <w:rsid w:val="4CB131A1"/>
    <w:rsid w:val="4CDF6F0D"/>
    <w:rsid w:val="4CE9169F"/>
    <w:rsid w:val="4D1C4D43"/>
    <w:rsid w:val="4D3A64FB"/>
    <w:rsid w:val="4D5B6FBE"/>
    <w:rsid w:val="4D656E71"/>
    <w:rsid w:val="4DAC35F6"/>
    <w:rsid w:val="4DB36E8A"/>
    <w:rsid w:val="4DB56D66"/>
    <w:rsid w:val="4DD062F3"/>
    <w:rsid w:val="4DDD5361"/>
    <w:rsid w:val="4DFB6014"/>
    <w:rsid w:val="4E073BA2"/>
    <w:rsid w:val="4E114F1F"/>
    <w:rsid w:val="4E1A2F92"/>
    <w:rsid w:val="4E2A2AD9"/>
    <w:rsid w:val="4E472C3D"/>
    <w:rsid w:val="4E5D140A"/>
    <w:rsid w:val="4E8F0AF4"/>
    <w:rsid w:val="4EB01519"/>
    <w:rsid w:val="4EB3477D"/>
    <w:rsid w:val="4EBE3550"/>
    <w:rsid w:val="4ED30198"/>
    <w:rsid w:val="4EE40E88"/>
    <w:rsid w:val="4EEE53DB"/>
    <w:rsid w:val="4F40029E"/>
    <w:rsid w:val="4F4D0FC8"/>
    <w:rsid w:val="4F501928"/>
    <w:rsid w:val="4F532C1E"/>
    <w:rsid w:val="4F547B4D"/>
    <w:rsid w:val="4F693CEE"/>
    <w:rsid w:val="4F886963"/>
    <w:rsid w:val="4F8A2AFA"/>
    <w:rsid w:val="4FA2304F"/>
    <w:rsid w:val="4FB27D1E"/>
    <w:rsid w:val="4FCD6EF2"/>
    <w:rsid w:val="4FF72D73"/>
    <w:rsid w:val="4FFB26F6"/>
    <w:rsid w:val="5000080F"/>
    <w:rsid w:val="501B5959"/>
    <w:rsid w:val="502845EC"/>
    <w:rsid w:val="503A13F3"/>
    <w:rsid w:val="50422AB6"/>
    <w:rsid w:val="50765114"/>
    <w:rsid w:val="509D1AC9"/>
    <w:rsid w:val="50AA2390"/>
    <w:rsid w:val="50B8684F"/>
    <w:rsid w:val="50D61E0D"/>
    <w:rsid w:val="50F73A31"/>
    <w:rsid w:val="51146FC4"/>
    <w:rsid w:val="51253B3F"/>
    <w:rsid w:val="51304D44"/>
    <w:rsid w:val="514B165E"/>
    <w:rsid w:val="514E19E7"/>
    <w:rsid w:val="5174195D"/>
    <w:rsid w:val="51CB30B9"/>
    <w:rsid w:val="51CF4A70"/>
    <w:rsid w:val="51DD24F1"/>
    <w:rsid w:val="51F43D81"/>
    <w:rsid w:val="51F7412F"/>
    <w:rsid w:val="521122B5"/>
    <w:rsid w:val="52246D72"/>
    <w:rsid w:val="5231578B"/>
    <w:rsid w:val="52377C2B"/>
    <w:rsid w:val="525D6155"/>
    <w:rsid w:val="526356B6"/>
    <w:rsid w:val="526C3946"/>
    <w:rsid w:val="52723C1D"/>
    <w:rsid w:val="529931D8"/>
    <w:rsid w:val="52B14C5B"/>
    <w:rsid w:val="52B42608"/>
    <w:rsid w:val="52C01A23"/>
    <w:rsid w:val="52E004A3"/>
    <w:rsid w:val="52E959F1"/>
    <w:rsid w:val="52F626AA"/>
    <w:rsid w:val="53133A30"/>
    <w:rsid w:val="533B0274"/>
    <w:rsid w:val="5354754F"/>
    <w:rsid w:val="53640321"/>
    <w:rsid w:val="536D6848"/>
    <w:rsid w:val="539E20B9"/>
    <w:rsid w:val="539E37DC"/>
    <w:rsid w:val="53B038A6"/>
    <w:rsid w:val="53CF7DC2"/>
    <w:rsid w:val="53D80969"/>
    <w:rsid w:val="53FF2EB6"/>
    <w:rsid w:val="54094544"/>
    <w:rsid w:val="540D54E0"/>
    <w:rsid w:val="541A3FBA"/>
    <w:rsid w:val="541D6A72"/>
    <w:rsid w:val="54377F29"/>
    <w:rsid w:val="543B277D"/>
    <w:rsid w:val="544167C9"/>
    <w:rsid w:val="544E250C"/>
    <w:rsid w:val="547605FD"/>
    <w:rsid w:val="54813D61"/>
    <w:rsid w:val="548675A0"/>
    <w:rsid w:val="548A20F0"/>
    <w:rsid w:val="54BE0321"/>
    <w:rsid w:val="54C615E2"/>
    <w:rsid w:val="54F449FE"/>
    <w:rsid w:val="55010E38"/>
    <w:rsid w:val="550F3120"/>
    <w:rsid w:val="55297510"/>
    <w:rsid w:val="553077EF"/>
    <w:rsid w:val="5538004F"/>
    <w:rsid w:val="554C5D9A"/>
    <w:rsid w:val="55521081"/>
    <w:rsid w:val="5556438E"/>
    <w:rsid w:val="5562597B"/>
    <w:rsid w:val="55743915"/>
    <w:rsid w:val="5583444B"/>
    <w:rsid w:val="559934A2"/>
    <w:rsid w:val="55BB5616"/>
    <w:rsid w:val="55BC4C84"/>
    <w:rsid w:val="55BF78EE"/>
    <w:rsid w:val="55ED5EA6"/>
    <w:rsid w:val="55EE019E"/>
    <w:rsid w:val="5619535A"/>
    <w:rsid w:val="5620105C"/>
    <w:rsid w:val="56201F51"/>
    <w:rsid w:val="562148CE"/>
    <w:rsid w:val="56266533"/>
    <w:rsid w:val="562E4974"/>
    <w:rsid w:val="563E5E3A"/>
    <w:rsid w:val="56530F60"/>
    <w:rsid w:val="56B52054"/>
    <w:rsid w:val="56D533F3"/>
    <w:rsid w:val="56FA7924"/>
    <w:rsid w:val="57060781"/>
    <w:rsid w:val="571743B4"/>
    <w:rsid w:val="57803C0A"/>
    <w:rsid w:val="578F3589"/>
    <w:rsid w:val="5793553F"/>
    <w:rsid w:val="57A139D6"/>
    <w:rsid w:val="57A92D9D"/>
    <w:rsid w:val="57C01DF7"/>
    <w:rsid w:val="57C70479"/>
    <w:rsid w:val="57D149D6"/>
    <w:rsid w:val="57D6037F"/>
    <w:rsid w:val="57DA1380"/>
    <w:rsid w:val="57F6650E"/>
    <w:rsid w:val="58011195"/>
    <w:rsid w:val="5868760C"/>
    <w:rsid w:val="586A0DFE"/>
    <w:rsid w:val="587429D2"/>
    <w:rsid w:val="58A51EA3"/>
    <w:rsid w:val="58C208D9"/>
    <w:rsid w:val="58CE7B0E"/>
    <w:rsid w:val="58D228D5"/>
    <w:rsid w:val="58D830DF"/>
    <w:rsid w:val="59006367"/>
    <w:rsid w:val="590752DD"/>
    <w:rsid w:val="592379BF"/>
    <w:rsid w:val="59335C6F"/>
    <w:rsid w:val="59587762"/>
    <w:rsid w:val="59590AC8"/>
    <w:rsid w:val="59BC3F8D"/>
    <w:rsid w:val="59C212A0"/>
    <w:rsid w:val="59C835E2"/>
    <w:rsid w:val="59E74449"/>
    <w:rsid w:val="59E974B7"/>
    <w:rsid w:val="5A0A7199"/>
    <w:rsid w:val="5A1B4B8D"/>
    <w:rsid w:val="5A4516D3"/>
    <w:rsid w:val="5A54213B"/>
    <w:rsid w:val="5A705832"/>
    <w:rsid w:val="5A890235"/>
    <w:rsid w:val="5A930717"/>
    <w:rsid w:val="5A934E01"/>
    <w:rsid w:val="5AA1591B"/>
    <w:rsid w:val="5AB00950"/>
    <w:rsid w:val="5AC234B9"/>
    <w:rsid w:val="5ACA777A"/>
    <w:rsid w:val="5ACC35CC"/>
    <w:rsid w:val="5B092681"/>
    <w:rsid w:val="5B0C4061"/>
    <w:rsid w:val="5B1B7CEC"/>
    <w:rsid w:val="5B1D5AA4"/>
    <w:rsid w:val="5B5D6940"/>
    <w:rsid w:val="5B724F1E"/>
    <w:rsid w:val="5B7E5CF0"/>
    <w:rsid w:val="5B7E7339"/>
    <w:rsid w:val="5BA12B33"/>
    <w:rsid w:val="5BBF4CE1"/>
    <w:rsid w:val="5BC32310"/>
    <w:rsid w:val="5BC76A10"/>
    <w:rsid w:val="5BD44458"/>
    <w:rsid w:val="5BD7356C"/>
    <w:rsid w:val="5BE17198"/>
    <w:rsid w:val="5C0E7F37"/>
    <w:rsid w:val="5C1F7F0A"/>
    <w:rsid w:val="5C344473"/>
    <w:rsid w:val="5C3D60D2"/>
    <w:rsid w:val="5C6E36EB"/>
    <w:rsid w:val="5C8058F2"/>
    <w:rsid w:val="5C816618"/>
    <w:rsid w:val="5CA40D50"/>
    <w:rsid w:val="5CBC1A4C"/>
    <w:rsid w:val="5CD104DC"/>
    <w:rsid w:val="5CE95EE6"/>
    <w:rsid w:val="5CF85779"/>
    <w:rsid w:val="5CFC23A6"/>
    <w:rsid w:val="5D0A69B9"/>
    <w:rsid w:val="5D1C41C8"/>
    <w:rsid w:val="5D2018DC"/>
    <w:rsid w:val="5D384BF6"/>
    <w:rsid w:val="5D5C15ED"/>
    <w:rsid w:val="5D612819"/>
    <w:rsid w:val="5D6A5F05"/>
    <w:rsid w:val="5D73631A"/>
    <w:rsid w:val="5D8826DD"/>
    <w:rsid w:val="5D97127B"/>
    <w:rsid w:val="5DB80C46"/>
    <w:rsid w:val="5DBC7DEE"/>
    <w:rsid w:val="5DC35F4C"/>
    <w:rsid w:val="5DC54301"/>
    <w:rsid w:val="5DD14269"/>
    <w:rsid w:val="5DD97C20"/>
    <w:rsid w:val="5DEA2379"/>
    <w:rsid w:val="5E1134E5"/>
    <w:rsid w:val="5E11690B"/>
    <w:rsid w:val="5E2B36F8"/>
    <w:rsid w:val="5E355C8C"/>
    <w:rsid w:val="5E3E35B3"/>
    <w:rsid w:val="5E4141B0"/>
    <w:rsid w:val="5E4339F4"/>
    <w:rsid w:val="5E48771C"/>
    <w:rsid w:val="5E555AD9"/>
    <w:rsid w:val="5E5F2A18"/>
    <w:rsid w:val="5E6E5544"/>
    <w:rsid w:val="5EAE128B"/>
    <w:rsid w:val="5EBC0A36"/>
    <w:rsid w:val="5EBE608A"/>
    <w:rsid w:val="5EBF22C0"/>
    <w:rsid w:val="5EC83543"/>
    <w:rsid w:val="5ED33D1C"/>
    <w:rsid w:val="5EFE2894"/>
    <w:rsid w:val="5F3D2E7B"/>
    <w:rsid w:val="5F5C05D4"/>
    <w:rsid w:val="5F5D70AE"/>
    <w:rsid w:val="5F602447"/>
    <w:rsid w:val="5F652BD2"/>
    <w:rsid w:val="5F872290"/>
    <w:rsid w:val="5FA52CEC"/>
    <w:rsid w:val="5FA533B2"/>
    <w:rsid w:val="5FA55823"/>
    <w:rsid w:val="5FC435E5"/>
    <w:rsid w:val="5FD30245"/>
    <w:rsid w:val="5FF83C09"/>
    <w:rsid w:val="5FFE6F5E"/>
    <w:rsid w:val="60146038"/>
    <w:rsid w:val="6015099B"/>
    <w:rsid w:val="601A3D84"/>
    <w:rsid w:val="60223D38"/>
    <w:rsid w:val="6065161A"/>
    <w:rsid w:val="606C206F"/>
    <w:rsid w:val="608F07A1"/>
    <w:rsid w:val="60BD4A7D"/>
    <w:rsid w:val="60C6260A"/>
    <w:rsid w:val="60CF4549"/>
    <w:rsid w:val="60F25FF6"/>
    <w:rsid w:val="60F37989"/>
    <w:rsid w:val="610E6A6A"/>
    <w:rsid w:val="611014BC"/>
    <w:rsid w:val="61361890"/>
    <w:rsid w:val="614E677D"/>
    <w:rsid w:val="61950361"/>
    <w:rsid w:val="619D31C6"/>
    <w:rsid w:val="619F322E"/>
    <w:rsid w:val="61B618F0"/>
    <w:rsid w:val="61B90EF0"/>
    <w:rsid w:val="61FE6B35"/>
    <w:rsid w:val="620D0506"/>
    <w:rsid w:val="621C3B07"/>
    <w:rsid w:val="623712F4"/>
    <w:rsid w:val="624127AE"/>
    <w:rsid w:val="62421F4D"/>
    <w:rsid w:val="624E27A1"/>
    <w:rsid w:val="62561C9C"/>
    <w:rsid w:val="626D0AB1"/>
    <w:rsid w:val="628934C0"/>
    <w:rsid w:val="62982393"/>
    <w:rsid w:val="62987FF0"/>
    <w:rsid w:val="62B13F80"/>
    <w:rsid w:val="62F53FD7"/>
    <w:rsid w:val="62F66654"/>
    <w:rsid w:val="63062A65"/>
    <w:rsid w:val="630D331B"/>
    <w:rsid w:val="631C2AE3"/>
    <w:rsid w:val="631F76A4"/>
    <w:rsid w:val="632B53C1"/>
    <w:rsid w:val="633F61F0"/>
    <w:rsid w:val="63401C3E"/>
    <w:rsid w:val="635457D0"/>
    <w:rsid w:val="635C548D"/>
    <w:rsid w:val="6374554D"/>
    <w:rsid w:val="637D2F0D"/>
    <w:rsid w:val="63851148"/>
    <w:rsid w:val="63AE1F29"/>
    <w:rsid w:val="63B9488B"/>
    <w:rsid w:val="644768C2"/>
    <w:rsid w:val="644A62C5"/>
    <w:rsid w:val="644D3593"/>
    <w:rsid w:val="64600CCA"/>
    <w:rsid w:val="646539BB"/>
    <w:rsid w:val="647901BA"/>
    <w:rsid w:val="647C3BE4"/>
    <w:rsid w:val="6486491C"/>
    <w:rsid w:val="648C2C9C"/>
    <w:rsid w:val="64A02392"/>
    <w:rsid w:val="64BD5BDB"/>
    <w:rsid w:val="64BF7799"/>
    <w:rsid w:val="64DD704D"/>
    <w:rsid w:val="650E6C4B"/>
    <w:rsid w:val="6556109C"/>
    <w:rsid w:val="6558298C"/>
    <w:rsid w:val="656970BB"/>
    <w:rsid w:val="657F46FB"/>
    <w:rsid w:val="65AB527B"/>
    <w:rsid w:val="65B55193"/>
    <w:rsid w:val="65D969F1"/>
    <w:rsid w:val="660047DA"/>
    <w:rsid w:val="66035D02"/>
    <w:rsid w:val="6619319C"/>
    <w:rsid w:val="66386C3D"/>
    <w:rsid w:val="66496618"/>
    <w:rsid w:val="66531AF9"/>
    <w:rsid w:val="66703127"/>
    <w:rsid w:val="66801DCE"/>
    <w:rsid w:val="66954176"/>
    <w:rsid w:val="66A54EB2"/>
    <w:rsid w:val="66A64896"/>
    <w:rsid w:val="66BB229E"/>
    <w:rsid w:val="66BC496F"/>
    <w:rsid w:val="66C21CAA"/>
    <w:rsid w:val="66CE0F0B"/>
    <w:rsid w:val="66DA7617"/>
    <w:rsid w:val="66DD5F73"/>
    <w:rsid w:val="66E91585"/>
    <w:rsid w:val="67123060"/>
    <w:rsid w:val="673069C0"/>
    <w:rsid w:val="67311CC3"/>
    <w:rsid w:val="674A5FAF"/>
    <w:rsid w:val="67843126"/>
    <w:rsid w:val="67914DA1"/>
    <w:rsid w:val="67974DFE"/>
    <w:rsid w:val="679E3C75"/>
    <w:rsid w:val="67AE4D8B"/>
    <w:rsid w:val="67BA5F78"/>
    <w:rsid w:val="67BD340D"/>
    <w:rsid w:val="68077695"/>
    <w:rsid w:val="6808267A"/>
    <w:rsid w:val="68085054"/>
    <w:rsid w:val="68331035"/>
    <w:rsid w:val="683D27D1"/>
    <w:rsid w:val="68431BBD"/>
    <w:rsid w:val="68554AEC"/>
    <w:rsid w:val="6857443B"/>
    <w:rsid w:val="68645442"/>
    <w:rsid w:val="686A5359"/>
    <w:rsid w:val="687449EF"/>
    <w:rsid w:val="6893361B"/>
    <w:rsid w:val="68DD469F"/>
    <w:rsid w:val="69021915"/>
    <w:rsid w:val="690659AB"/>
    <w:rsid w:val="69216B71"/>
    <w:rsid w:val="69881BCE"/>
    <w:rsid w:val="69A07EF5"/>
    <w:rsid w:val="69A978D8"/>
    <w:rsid w:val="69BF02F1"/>
    <w:rsid w:val="69C002F3"/>
    <w:rsid w:val="69E3766B"/>
    <w:rsid w:val="69E8687F"/>
    <w:rsid w:val="69ED279E"/>
    <w:rsid w:val="6A0D0376"/>
    <w:rsid w:val="6A3D19D3"/>
    <w:rsid w:val="6A413DAD"/>
    <w:rsid w:val="6A49217E"/>
    <w:rsid w:val="6A531748"/>
    <w:rsid w:val="6A59631F"/>
    <w:rsid w:val="6A6807FA"/>
    <w:rsid w:val="6A6E1D8D"/>
    <w:rsid w:val="6A744FF7"/>
    <w:rsid w:val="6A7F79A7"/>
    <w:rsid w:val="6A832091"/>
    <w:rsid w:val="6A9410BA"/>
    <w:rsid w:val="6A9C7B2A"/>
    <w:rsid w:val="6A9E4C52"/>
    <w:rsid w:val="6AD62BEB"/>
    <w:rsid w:val="6AE668A9"/>
    <w:rsid w:val="6B053787"/>
    <w:rsid w:val="6B064E6E"/>
    <w:rsid w:val="6B3B0B3D"/>
    <w:rsid w:val="6B4E3BAA"/>
    <w:rsid w:val="6B5D44A1"/>
    <w:rsid w:val="6B6F5E80"/>
    <w:rsid w:val="6BC43BD6"/>
    <w:rsid w:val="6BCD4AC6"/>
    <w:rsid w:val="6BE56498"/>
    <w:rsid w:val="6BEC4C91"/>
    <w:rsid w:val="6BFC352B"/>
    <w:rsid w:val="6C076A54"/>
    <w:rsid w:val="6C081B67"/>
    <w:rsid w:val="6C163417"/>
    <w:rsid w:val="6C305B70"/>
    <w:rsid w:val="6C410418"/>
    <w:rsid w:val="6C4C7DEE"/>
    <w:rsid w:val="6C634423"/>
    <w:rsid w:val="6C7E3C3E"/>
    <w:rsid w:val="6CBF1035"/>
    <w:rsid w:val="6CC06E83"/>
    <w:rsid w:val="6CE927DD"/>
    <w:rsid w:val="6D070244"/>
    <w:rsid w:val="6D111509"/>
    <w:rsid w:val="6D1638E3"/>
    <w:rsid w:val="6D210B84"/>
    <w:rsid w:val="6D3B0647"/>
    <w:rsid w:val="6D5B0368"/>
    <w:rsid w:val="6D712A6E"/>
    <w:rsid w:val="6D7D2619"/>
    <w:rsid w:val="6D8612B5"/>
    <w:rsid w:val="6D91278E"/>
    <w:rsid w:val="6DA23E18"/>
    <w:rsid w:val="6DD36C42"/>
    <w:rsid w:val="6DDE783D"/>
    <w:rsid w:val="6DEE18E9"/>
    <w:rsid w:val="6DF65E85"/>
    <w:rsid w:val="6E081934"/>
    <w:rsid w:val="6E0F21F7"/>
    <w:rsid w:val="6E113F17"/>
    <w:rsid w:val="6E1513EA"/>
    <w:rsid w:val="6E183598"/>
    <w:rsid w:val="6E186327"/>
    <w:rsid w:val="6E3835EB"/>
    <w:rsid w:val="6E3D7247"/>
    <w:rsid w:val="6E422466"/>
    <w:rsid w:val="6E4D3B5C"/>
    <w:rsid w:val="6E644694"/>
    <w:rsid w:val="6E6D5B66"/>
    <w:rsid w:val="6E6F5DCF"/>
    <w:rsid w:val="6E7C6F4B"/>
    <w:rsid w:val="6E866487"/>
    <w:rsid w:val="6E8B4842"/>
    <w:rsid w:val="6E997B2E"/>
    <w:rsid w:val="6EC84F12"/>
    <w:rsid w:val="6EDF05BD"/>
    <w:rsid w:val="6EF478AD"/>
    <w:rsid w:val="6F000003"/>
    <w:rsid w:val="6F0209CD"/>
    <w:rsid w:val="6F0B2FD2"/>
    <w:rsid w:val="6F1834A9"/>
    <w:rsid w:val="6F1D7FC2"/>
    <w:rsid w:val="6F2D3025"/>
    <w:rsid w:val="6F451CED"/>
    <w:rsid w:val="6F504F7A"/>
    <w:rsid w:val="6F86591D"/>
    <w:rsid w:val="6F895187"/>
    <w:rsid w:val="6F8A1DB4"/>
    <w:rsid w:val="6FA9210D"/>
    <w:rsid w:val="6FAA3959"/>
    <w:rsid w:val="6FB41958"/>
    <w:rsid w:val="6FC03F0E"/>
    <w:rsid w:val="6FDB6238"/>
    <w:rsid w:val="6FEF5CA5"/>
    <w:rsid w:val="6FF62FEA"/>
    <w:rsid w:val="70106659"/>
    <w:rsid w:val="70343192"/>
    <w:rsid w:val="70673F4D"/>
    <w:rsid w:val="706743D6"/>
    <w:rsid w:val="706F1124"/>
    <w:rsid w:val="7081087A"/>
    <w:rsid w:val="708C2BE8"/>
    <w:rsid w:val="70A550ED"/>
    <w:rsid w:val="70AA15B7"/>
    <w:rsid w:val="70BD10FB"/>
    <w:rsid w:val="70C93237"/>
    <w:rsid w:val="70DE2C5A"/>
    <w:rsid w:val="70E64865"/>
    <w:rsid w:val="70EC1993"/>
    <w:rsid w:val="70EE55CB"/>
    <w:rsid w:val="70F7390E"/>
    <w:rsid w:val="71007057"/>
    <w:rsid w:val="710523D0"/>
    <w:rsid w:val="71196332"/>
    <w:rsid w:val="71222AE0"/>
    <w:rsid w:val="712D2CF6"/>
    <w:rsid w:val="712F494C"/>
    <w:rsid w:val="713A43C8"/>
    <w:rsid w:val="71571462"/>
    <w:rsid w:val="717430F6"/>
    <w:rsid w:val="717710D2"/>
    <w:rsid w:val="717B1E9B"/>
    <w:rsid w:val="718A0E80"/>
    <w:rsid w:val="718B72D9"/>
    <w:rsid w:val="71962EF7"/>
    <w:rsid w:val="71993611"/>
    <w:rsid w:val="71B24F28"/>
    <w:rsid w:val="71BC6443"/>
    <w:rsid w:val="71BE1946"/>
    <w:rsid w:val="71C20DBA"/>
    <w:rsid w:val="71D30359"/>
    <w:rsid w:val="71DB2F7D"/>
    <w:rsid w:val="72110C76"/>
    <w:rsid w:val="72140F77"/>
    <w:rsid w:val="72545A09"/>
    <w:rsid w:val="726126A9"/>
    <w:rsid w:val="72751B02"/>
    <w:rsid w:val="72782E98"/>
    <w:rsid w:val="728A2F70"/>
    <w:rsid w:val="7294342C"/>
    <w:rsid w:val="72BB166F"/>
    <w:rsid w:val="72CD350E"/>
    <w:rsid w:val="72D13B2C"/>
    <w:rsid w:val="72E056D2"/>
    <w:rsid w:val="730D67B8"/>
    <w:rsid w:val="731B701A"/>
    <w:rsid w:val="732C1589"/>
    <w:rsid w:val="73322D0D"/>
    <w:rsid w:val="735E0C40"/>
    <w:rsid w:val="73A0462C"/>
    <w:rsid w:val="73C16AAE"/>
    <w:rsid w:val="73C362A6"/>
    <w:rsid w:val="73DD6814"/>
    <w:rsid w:val="73E22573"/>
    <w:rsid w:val="7400750E"/>
    <w:rsid w:val="74185E13"/>
    <w:rsid w:val="74265672"/>
    <w:rsid w:val="74295D8F"/>
    <w:rsid w:val="744B05B2"/>
    <w:rsid w:val="74576765"/>
    <w:rsid w:val="745E7C9E"/>
    <w:rsid w:val="74720AB7"/>
    <w:rsid w:val="74802085"/>
    <w:rsid w:val="748F5F35"/>
    <w:rsid w:val="74A90D7C"/>
    <w:rsid w:val="74B207D1"/>
    <w:rsid w:val="74BC4AC0"/>
    <w:rsid w:val="74D74571"/>
    <w:rsid w:val="74E60767"/>
    <w:rsid w:val="7526366C"/>
    <w:rsid w:val="753C4EDB"/>
    <w:rsid w:val="754531FB"/>
    <w:rsid w:val="75735C9D"/>
    <w:rsid w:val="757C2713"/>
    <w:rsid w:val="759D3D22"/>
    <w:rsid w:val="75AC148A"/>
    <w:rsid w:val="75D06D62"/>
    <w:rsid w:val="75F26E21"/>
    <w:rsid w:val="762959D6"/>
    <w:rsid w:val="762B594A"/>
    <w:rsid w:val="762F56A2"/>
    <w:rsid w:val="763D0AA6"/>
    <w:rsid w:val="765B300E"/>
    <w:rsid w:val="76612280"/>
    <w:rsid w:val="766277F8"/>
    <w:rsid w:val="7663536E"/>
    <w:rsid w:val="76765E8F"/>
    <w:rsid w:val="767F086E"/>
    <w:rsid w:val="768B2F36"/>
    <w:rsid w:val="76981EBD"/>
    <w:rsid w:val="76E6345F"/>
    <w:rsid w:val="76F32955"/>
    <w:rsid w:val="76FE229B"/>
    <w:rsid w:val="7707726E"/>
    <w:rsid w:val="771833A3"/>
    <w:rsid w:val="77337F00"/>
    <w:rsid w:val="77346280"/>
    <w:rsid w:val="77486691"/>
    <w:rsid w:val="7749194A"/>
    <w:rsid w:val="77522D36"/>
    <w:rsid w:val="775B620A"/>
    <w:rsid w:val="775E4F8B"/>
    <w:rsid w:val="775E55B5"/>
    <w:rsid w:val="77666EA7"/>
    <w:rsid w:val="776812E9"/>
    <w:rsid w:val="77997A0F"/>
    <w:rsid w:val="77AE5CF1"/>
    <w:rsid w:val="77CC3EB0"/>
    <w:rsid w:val="77D30C46"/>
    <w:rsid w:val="77D56EA4"/>
    <w:rsid w:val="781636F3"/>
    <w:rsid w:val="7818682D"/>
    <w:rsid w:val="78216818"/>
    <w:rsid w:val="78332920"/>
    <w:rsid w:val="78621413"/>
    <w:rsid w:val="786545EE"/>
    <w:rsid w:val="78A16D25"/>
    <w:rsid w:val="78A95EE2"/>
    <w:rsid w:val="78C222B9"/>
    <w:rsid w:val="78C60296"/>
    <w:rsid w:val="78D0090E"/>
    <w:rsid w:val="78D25A2D"/>
    <w:rsid w:val="78DA1E5D"/>
    <w:rsid w:val="78E63ED7"/>
    <w:rsid w:val="78F56FED"/>
    <w:rsid w:val="7937275F"/>
    <w:rsid w:val="79586C26"/>
    <w:rsid w:val="797C31C5"/>
    <w:rsid w:val="79B07B27"/>
    <w:rsid w:val="79F743C8"/>
    <w:rsid w:val="7A0D2576"/>
    <w:rsid w:val="7A164E83"/>
    <w:rsid w:val="7A302A82"/>
    <w:rsid w:val="7A360D79"/>
    <w:rsid w:val="7A582733"/>
    <w:rsid w:val="7A627272"/>
    <w:rsid w:val="7A691892"/>
    <w:rsid w:val="7A7D6E02"/>
    <w:rsid w:val="7A904A4E"/>
    <w:rsid w:val="7A905BA1"/>
    <w:rsid w:val="7AB470E9"/>
    <w:rsid w:val="7AC10317"/>
    <w:rsid w:val="7AC568CB"/>
    <w:rsid w:val="7AD30D51"/>
    <w:rsid w:val="7AE51F63"/>
    <w:rsid w:val="7AFD719C"/>
    <w:rsid w:val="7B0B2135"/>
    <w:rsid w:val="7B1C5915"/>
    <w:rsid w:val="7B472296"/>
    <w:rsid w:val="7B4D6B6B"/>
    <w:rsid w:val="7B5B4F43"/>
    <w:rsid w:val="7B9E495A"/>
    <w:rsid w:val="7BA24743"/>
    <w:rsid w:val="7BB00CB8"/>
    <w:rsid w:val="7BC20CA3"/>
    <w:rsid w:val="7BC97A09"/>
    <w:rsid w:val="7BDA45C9"/>
    <w:rsid w:val="7BE0496B"/>
    <w:rsid w:val="7BE9449F"/>
    <w:rsid w:val="7C2B4CDD"/>
    <w:rsid w:val="7C3D47D8"/>
    <w:rsid w:val="7C4C069F"/>
    <w:rsid w:val="7C4E0B18"/>
    <w:rsid w:val="7C5C3EE1"/>
    <w:rsid w:val="7C6A13EE"/>
    <w:rsid w:val="7C741CB9"/>
    <w:rsid w:val="7C802A17"/>
    <w:rsid w:val="7C822C87"/>
    <w:rsid w:val="7CBA53D4"/>
    <w:rsid w:val="7CCF2872"/>
    <w:rsid w:val="7CE55128"/>
    <w:rsid w:val="7D001C67"/>
    <w:rsid w:val="7D0F6863"/>
    <w:rsid w:val="7D121011"/>
    <w:rsid w:val="7D1224CC"/>
    <w:rsid w:val="7D174420"/>
    <w:rsid w:val="7D195343"/>
    <w:rsid w:val="7D2365E4"/>
    <w:rsid w:val="7D6726B8"/>
    <w:rsid w:val="7D6F4821"/>
    <w:rsid w:val="7D817B1A"/>
    <w:rsid w:val="7DD21359"/>
    <w:rsid w:val="7E1178E1"/>
    <w:rsid w:val="7E1E1376"/>
    <w:rsid w:val="7E1E4EAA"/>
    <w:rsid w:val="7E23008A"/>
    <w:rsid w:val="7E232EFC"/>
    <w:rsid w:val="7E2F4A35"/>
    <w:rsid w:val="7E59775C"/>
    <w:rsid w:val="7E66566F"/>
    <w:rsid w:val="7E686415"/>
    <w:rsid w:val="7E900C14"/>
    <w:rsid w:val="7E9C5708"/>
    <w:rsid w:val="7EAF2152"/>
    <w:rsid w:val="7EB94376"/>
    <w:rsid w:val="7EBA2E4F"/>
    <w:rsid w:val="7EDF3C45"/>
    <w:rsid w:val="7EE553BF"/>
    <w:rsid w:val="7EEC6D91"/>
    <w:rsid w:val="7F05263B"/>
    <w:rsid w:val="7F1400F4"/>
    <w:rsid w:val="7F2703CD"/>
    <w:rsid w:val="7F3B338C"/>
    <w:rsid w:val="7F4F3F8F"/>
    <w:rsid w:val="7F5512E1"/>
    <w:rsid w:val="7F7A22FB"/>
    <w:rsid w:val="7F7E1EDE"/>
    <w:rsid w:val="7FAA5272"/>
    <w:rsid w:val="7FC91120"/>
    <w:rsid w:val="7FD224FE"/>
    <w:rsid w:val="7FE04CE4"/>
    <w:rsid w:val="7FF54E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33"/>
    <w:qFormat/>
    <w:uiPriority w:val="9"/>
    <w:pPr>
      <w:keepNext/>
      <w:keepLines/>
      <w:spacing w:before="580" w:after="330" w:line="576" w:lineRule="auto"/>
      <w:jc w:val="center"/>
      <w:outlineLvl w:val="0"/>
    </w:pPr>
    <w:rPr>
      <w:kern w:val="44"/>
      <w:sz w:val="36"/>
    </w:rPr>
  </w:style>
  <w:style w:type="paragraph" w:styleId="3">
    <w:name w:val="heading 2"/>
    <w:basedOn w:val="1"/>
    <w:next w:val="1"/>
    <w:link w:val="34"/>
    <w:unhideWhenUsed/>
    <w:qFormat/>
    <w:uiPriority w:val="9"/>
    <w:pPr>
      <w:keepNext/>
      <w:keepLines/>
      <w:spacing w:before="260" w:after="260" w:line="416" w:lineRule="auto"/>
      <w:jc w:val="center"/>
      <w:outlineLvl w:val="1"/>
    </w:pPr>
    <w:rPr>
      <w:rFonts w:ascii="等线 Light" w:hAnsi="等线 Light" w:eastAsia="等线 Light"/>
      <w:b/>
      <w:bCs/>
      <w:sz w:val="24"/>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unhideWhenUsed/>
    <w:qFormat/>
    <w:uiPriority w:val="39"/>
    <w:pPr>
      <w:ind w:left="2520" w:leftChars="1200"/>
    </w:pPr>
  </w:style>
  <w:style w:type="paragraph" w:styleId="5">
    <w:name w:val="annotation text"/>
    <w:basedOn w:val="1"/>
    <w:link w:val="35"/>
    <w:unhideWhenUsed/>
    <w:qFormat/>
    <w:uiPriority w:val="99"/>
    <w:pPr>
      <w:jc w:val="left"/>
    </w:pPr>
  </w:style>
  <w:style w:type="paragraph" w:styleId="6">
    <w:name w:val="toc 5"/>
    <w:basedOn w:val="1"/>
    <w:next w:val="1"/>
    <w:unhideWhenUsed/>
    <w:qFormat/>
    <w:uiPriority w:val="39"/>
    <w:pPr>
      <w:ind w:left="1680" w:leftChars="800"/>
    </w:pPr>
  </w:style>
  <w:style w:type="paragraph" w:styleId="7">
    <w:name w:val="toc 3"/>
    <w:basedOn w:val="1"/>
    <w:next w:val="1"/>
    <w:unhideWhenUsed/>
    <w:qFormat/>
    <w:uiPriority w:val="39"/>
    <w:pPr>
      <w:ind w:left="840" w:leftChars="400"/>
    </w:pPr>
  </w:style>
  <w:style w:type="paragraph" w:styleId="8">
    <w:name w:val="toc 8"/>
    <w:basedOn w:val="1"/>
    <w:next w:val="1"/>
    <w:unhideWhenUsed/>
    <w:qFormat/>
    <w:uiPriority w:val="39"/>
    <w:pPr>
      <w:ind w:left="2940" w:leftChars="1400"/>
    </w:pPr>
  </w:style>
  <w:style w:type="paragraph" w:styleId="9">
    <w:name w:val="Date"/>
    <w:basedOn w:val="1"/>
    <w:next w:val="1"/>
    <w:link w:val="36"/>
    <w:semiHidden/>
    <w:unhideWhenUsed/>
    <w:qFormat/>
    <w:uiPriority w:val="99"/>
    <w:pPr>
      <w:ind w:left="100" w:leftChars="2500"/>
    </w:pPr>
  </w:style>
  <w:style w:type="paragraph" w:styleId="10">
    <w:name w:val="Balloon Text"/>
    <w:basedOn w:val="1"/>
    <w:link w:val="37"/>
    <w:unhideWhenUsed/>
    <w:qFormat/>
    <w:uiPriority w:val="99"/>
    <w:rPr>
      <w:sz w:val="18"/>
      <w:szCs w:val="18"/>
    </w:rPr>
  </w:style>
  <w:style w:type="paragraph" w:styleId="11">
    <w:name w:val="footer"/>
    <w:basedOn w:val="1"/>
    <w:link w:val="38"/>
    <w:unhideWhenUsed/>
    <w:qFormat/>
    <w:uiPriority w:val="99"/>
    <w:pPr>
      <w:tabs>
        <w:tab w:val="center" w:pos="4153"/>
        <w:tab w:val="right" w:pos="8306"/>
      </w:tabs>
      <w:snapToGrid w:val="0"/>
      <w:jc w:val="left"/>
    </w:pPr>
    <w:rPr>
      <w:sz w:val="18"/>
      <w:szCs w:val="18"/>
    </w:rPr>
  </w:style>
  <w:style w:type="paragraph" w:styleId="12">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tabs>
        <w:tab w:val="left" w:pos="420"/>
        <w:tab w:val="right" w:leader="dot" w:pos="9523"/>
      </w:tabs>
      <w:spacing w:line="312" w:lineRule="auto"/>
    </w:pPr>
    <w:rPr>
      <w:rFonts w:ascii="Times New Roman" w:hAnsi="Times New Roman"/>
    </w:rPr>
  </w:style>
  <w:style w:type="paragraph" w:styleId="14">
    <w:name w:val="toc 4"/>
    <w:basedOn w:val="1"/>
    <w:next w:val="1"/>
    <w:unhideWhenUsed/>
    <w:qFormat/>
    <w:uiPriority w:val="39"/>
    <w:pPr>
      <w:ind w:left="1260" w:leftChars="600"/>
    </w:pPr>
  </w:style>
  <w:style w:type="paragraph" w:styleId="15">
    <w:name w:val="footnote text"/>
    <w:basedOn w:val="1"/>
    <w:link w:val="40"/>
    <w:semiHidden/>
    <w:unhideWhenUsed/>
    <w:qFormat/>
    <w:uiPriority w:val="99"/>
    <w:pPr>
      <w:snapToGrid w:val="0"/>
      <w:jc w:val="left"/>
    </w:pPr>
    <w:rPr>
      <w:sz w:val="18"/>
      <w:szCs w:val="18"/>
    </w:rPr>
  </w:style>
  <w:style w:type="paragraph" w:styleId="16">
    <w:name w:val="toc 6"/>
    <w:basedOn w:val="1"/>
    <w:next w:val="1"/>
    <w:unhideWhenUsed/>
    <w:qFormat/>
    <w:uiPriority w:val="39"/>
    <w:pPr>
      <w:ind w:left="2100" w:leftChars="1000"/>
    </w:pPr>
  </w:style>
  <w:style w:type="paragraph" w:styleId="17">
    <w:name w:val="toc 2"/>
    <w:basedOn w:val="1"/>
    <w:next w:val="1"/>
    <w:unhideWhenUsed/>
    <w:qFormat/>
    <w:uiPriority w:val="39"/>
    <w:pPr>
      <w:spacing w:line="312" w:lineRule="auto"/>
      <w:ind w:left="420" w:leftChars="200"/>
    </w:pPr>
    <w:rPr>
      <w:rFonts w:ascii="Times New Roman" w:hAnsi="Times New Roman"/>
    </w:rPr>
  </w:style>
  <w:style w:type="paragraph" w:styleId="18">
    <w:name w:val="toc 9"/>
    <w:basedOn w:val="1"/>
    <w:next w:val="1"/>
    <w:autoRedefine/>
    <w:unhideWhenUsed/>
    <w:qFormat/>
    <w:uiPriority w:val="39"/>
    <w:pPr>
      <w:ind w:left="3360" w:leftChars="1600"/>
    </w:pPr>
  </w:style>
  <w:style w:type="paragraph" w:styleId="19">
    <w:name w:val="HTML Preformatted"/>
    <w:basedOn w:val="1"/>
    <w:link w:val="70"/>
    <w:autoRedefine/>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0">
    <w:name w:val="Normal (Web)"/>
    <w:basedOn w:val="1"/>
    <w:semiHidden/>
    <w:unhideWhenUsed/>
    <w:qFormat/>
    <w:uiPriority w:val="99"/>
    <w:rPr>
      <w:sz w:val="24"/>
    </w:rPr>
  </w:style>
  <w:style w:type="paragraph" w:styleId="21">
    <w:name w:val="annotation subject"/>
    <w:basedOn w:val="5"/>
    <w:next w:val="5"/>
    <w:link w:val="41"/>
    <w:autoRedefine/>
    <w:semiHidden/>
    <w:unhideWhenUsed/>
    <w:qFormat/>
    <w:uiPriority w:val="99"/>
    <w:rPr>
      <w:b/>
      <w:bCs/>
    </w:rPr>
  </w:style>
  <w:style w:type="table" w:styleId="23">
    <w:name w:val="Table Grid"/>
    <w:basedOn w:val="22"/>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5">
    <w:name w:val="Strong"/>
    <w:autoRedefine/>
    <w:qFormat/>
    <w:uiPriority w:val="22"/>
    <w:rPr>
      <w:b/>
      <w:bCs/>
    </w:rPr>
  </w:style>
  <w:style w:type="character" w:styleId="26">
    <w:name w:val="Emphasis"/>
    <w:qFormat/>
    <w:uiPriority w:val="20"/>
    <w:rPr>
      <w:i/>
      <w:iCs/>
    </w:rPr>
  </w:style>
  <w:style w:type="character" w:styleId="27">
    <w:name w:val="Hyperlink"/>
    <w:autoRedefine/>
    <w:unhideWhenUsed/>
    <w:qFormat/>
    <w:uiPriority w:val="99"/>
    <w:rPr>
      <w:color w:val="0563C1"/>
      <w:u w:val="single"/>
    </w:rPr>
  </w:style>
  <w:style w:type="character" w:styleId="28">
    <w:name w:val="annotation reference"/>
    <w:autoRedefine/>
    <w:unhideWhenUsed/>
    <w:qFormat/>
    <w:uiPriority w:val="99"/>
    <w:rPr>
      <w:sz w:val="21"/>
      <w:szCs w:val="21"/>
    </w:rPr>
  </w:style>
  <w:style w:type="character" w:styleId="29">
    <w:name w:val="footnote reference"/>
    <w:autoRedefine/>
    <w:semiHidden/>
    <w:unhideWhenUsed/>
    <w:qFormat/>
    <w:uiPriority w:val="99"/>
    <w:rPr>
      <w:vertAlign w:val="superscript"/>
    </w:rPr>
  </w:style>
  <w:style w:type="paragraph" w:customStyle="1" w:styleId="30">
    <w:name w:val="引言二级条标题"/>
    <w:basedOn w:val="31"/>
    <w:next w:val="32"/>
    <w:autoRedefine/>
    <w:qFormat/>
    <w:uiPriority w:val="0"/>
    <w:pPr>
      <w:tabs>
        <w:tab w:val="left" w:pos="360"/>
        <w:tab w:val="left" w:pos="1200"/>
      </w:tabs>
    </w:pPr>
  </w:style>
  <w:style w:type="paragraph" w:customStyle="1" w:styleId="31">
    <w:name w:val="引言一级条标题"/>
    <w:basedOn w:val="1"/>
    <w:next w:val="32"/>
    <w:autoRedefine/>
    <w:qFormat/>
    <w:uiPriority w:val="0"/>
    <w:pPr>
      <w:numPr>
        <w:ilvl w:val="0"/>
        <w:numId w:val="1"/>
      </w:numPr>
    </w:pPr>
    <w:rPr>
      <w:rFonts w:eastAsia="黑体"/>
      <w:b/>
    </w:rPr>
  </w:style>
  <w:style w:type="paragraph" w:customStyle="1" w:styleId="32">
    <w:name w:val="段"/>
    <w:autoRedefine/>
    <w:semiHidden/>
    <w:qFormat/>
    <w:uiPriority w:val="0"/>
    <w:pPr>
      <w:autoSpaceDE w:val="0"/>
      <w:autoSpaceDN w:val="0"/>
      <w:ind w:firstLine="200" w:firstLineChars="200"/>
      <w:jc w:val="both"/>
    </w:pPr>
    <w:rPr>
      <w:rFonts w:ascii="宋体" w:hAnsi="Calibri" w:eastAsia="宋体" w:cs="Times New Roman"/>
      <w:sz w:val="21"/>
      <w:szCs w:val="22"/>
      <w:lang w:val="en-US" w:eastAsia="zh-CN" w:bidi="ar-SA"/>
    </w:rPr>
  </w:style>
  <w:style w:type="character" w:customStyle="1" w:styleId="33">
    <w:name w:val="标题 1 字符"/>
    <w:link w:val="2"/>
    <w:autoRedefine/>
    <w:qFormat/>
    <w:uiPriority w:val="9"/>
    <w:rPr>
      <w:kern w:val="44"/>
      <w:sz w:val="36"/>
    </w:rPr>
  </w:style>
  <w:style w:type="character" w:customStyle="1" w:styleId="34">
    <w:name w:val="标题 2 字符"/>
    <w:link w:val="3"/>
    <w:autoRedefine/>
    <w:qFormat/>
    <w:uiPriority w:val="9"/>
    <w:rPr>
      <w:rFonts w:ascii="等线 Light" w:hAnsi="等线 Light" w:eastAsia="等线 Light" w:cs="Times New Roman"/>
      <w:b/>
      <w:bCs/>
      <w:sz w:val="24"/>
      <w:szCs w:val="32"/>
    </w:rPr>
  </w:style>
  <w:style w:type="character" w:customStyle="1" w:styleId="35">
    <w:name w:val="批注文字 字符"/>
    <w:basedOn w:val="24"/>
    <w:link w:val="5"/>
    <w:autoRedefine/>
    <w:qFormat/>
    <w:uiPriority w:val="99"/>
  </w:style>
  <w:style w:type="character" w:customStyle="1" w:styleId="36">
    <w:name w:val="日期 字符"/>
    <w:basedOn w:val="24"/>
    <w:link w:val="9"/>
    <w:semiHidden/>
    <w:qFormat/>
    <w:uiPriority w:val="99"/>
  </w:style>
  <w:style w:type="character" w:customStyle="1" w:styleId="37">
    <w:name w:val="批注框文本 字符"/>
    <w:link w:val="10"/>
    <w:semiHidden/>
    <w:qFormat/>
    <w:uiPriority w:val="99"/>
    <w:rPr>
      <w:sz w:val="18"/>
      <w:szCs w:val="18"/>
    </w:rPr>
  </w:style>
  <w:style w:type="character" w:customStyle="1" w:styleId="38">
    <w:name w:val="页脚 字符"/>
    <w:link w:val="11"/>
    <w:qFormat/>
    <w:uiPriority w:val="99"/>
    <w:rPr>
      <w:sz w:val="18"/>
      <w:szCs w:val="18"/>
    </w:rPr>
  </w:style>
  <w:style w:type="character" w:customStyle="1" w:styleId="39">
    <w:name w:val="页眉 字符"/>
    <w:link w:val="12"/>
    <w:autoRedefine/>
    <w:qFormat/>
    <w:uiPriority w:val="99"/>
    <w:rPr>
      <w:sz w:val="18"/>
      <w:szCs w:val="18"/>
    </w:rPr>
  </w:style>
  <w:style w:type="character" w:customStyle="1" w:styleId="40">
    <w:name w:val="脚注文本 字符"/>
    <w:link w:val="15"/>
    <w:autoRedefine/>
    <w:semiHidden/>
    <w:qFormat/>
    <w:uiPriority w:val="99"/>
    <w:rPr>
      <w:sz w:val="18"/>
      <w:szCs w:val="18"/>
    </w:rPr>
  </w:style>
  <w:style w:type="character" w:customStyle="1" w:styleId="41">
    <w:name w:val="批注主题 字符"/>
    <w:link w:val="21"/>
    <w:autoRedefine/>
    <w:semiHidden/>
    <w:qFormat/>
    <w:uiPriority w:val="99"/>
    <w:rPr>
      <w:b/>
      <w:bCs/>
    </w:rPr>
  </w:style>
  <w:style w:type="paragraph" w:customStyle="1" w:styleId="42">
    <w:name w:val="列出段落1"/>
    <w:basedOn w:val="1"/>
    <w:autoRedefine/>
    <w:qFormat/>
    <w:uiPriority w:val="34"/>
    <w:pPr>
      <w:ind w:firstLine="420" w:firstLineChars="200"/>
    </w:pPr>
  </w:style>
  <w:style w:type="character" w:customStyle="1" w:styleId="43">
    <w:name w:val="font01"/>
    <w:basedOn w:val="24"/>
    <w:autoRedefine/>
    <w:qFormat/>
    <w:uiPriority w:val="0"/>
    <w:rPr>
      <w:rFonts w:hint="eastAsia" w:ascii="宋体" w:hAnsi="宋体" w:eastAsia="宋体" w:cs="宋体"/>
      <w:color w:val="000000"/>
      <w:sz w:val="24"/>
      <w:szCs w:val="24"/>
      <w:u w:val="none"/>
    </w:rPr>
  </w:style>
  <w:style w:type="paragraph" w:styleId="44">
    <w:name w:val="List Paragraph"/>
    <w:basedOn w:val="1"/>
    <w:autoRedefine/>
    <w:qFormat/>
    <w:uiPriority w:val="34"/>
    <w:pPr>
      <w:ind w:firstLine="420" w:firstLineChars="200"/>
    </w:pPr>
  </w:style>
  <w:style w:type="paragraph" w:customStyle="1" w:styleId="45">
    <w:name w:val="TOC 标题1"/>
    <w:basedOn w:val="2"/>
    <w:next w:val="1"/>
    <w:unhideWhenUsed/>
    <w:qFormat/>
    <w:uiPriority w:val="39"/>
    <w:pPr>
      <w:widowControl/>
      <w:spacing w:before="240" w:after="0" w:line="259" w:lineRule="auto"/>
      <w:jc w:val="left"/>
      <w:outlineLvl w:val="9"/>
    </w:pPr>
    <w:rPr>
      <w:rFonts w:ascii="等线 Light" w:hAnsi="等线 Light" w:eastAsia="等线 Light"/>
      <w:color w:val="2F5496"/>
      <w:kern w:val="0"/>
      <w:sz w:val="32"/>
      <w:szCs w:val="32"/>
    </w:rPr>
  </w:style>
  <w:style w:type="character" w:styleId="46">
    <w:name w:val="Placeholder Text"/>
    <w:autoRedefine/>
    <w:semiHidden/>
    <w:qFormat/>
    <w:uiPriority w:val="99"/>
    <w:rPr>
      <w:color w:val="808080"/>
    </w:rPr>
  </w:style>
  <w:style w:type="character" w:customStyle="1" w:styleId="47">
    <w:name w:val="未处理的提及1"/>
    <w:semiHidden/>
    <w:unhideWhenUsed/>
    <w:qFormat/>
    <w:uiPriority w:val="99"/>
    <w:rPr>
      <w:color w:val="605E5C"/>
      <w:shd w:val="clear" w:color="auto" w:fill="E1DFDD"/>
    </w:rPr>
  </w:style>
  <w:style w:type="character" w:customStyle="1" w:styleId="48">
    <w:name w:val="未处理的提及2"/>
    <w:autoRedefine/>
    <w:semiHidden/>
    <w:unhideWhenUsed/>
    <w:qFormat/>
    <w:uiPriority w:val="99"/>
    <w:rPr>
      <w:color w:val="605E5C"/>
      <w:shd w:val="clear" w:color="auto" w:fill="E1DFDD"/>
    </w:rPr>
  </w:style>
  <w:style w:type="character" w:customStyle="1" w:styleId="49">
    <w:name w:val="u4pgdi1rtnc"/>
    <w:basedOn w:val="24"/>
    <w:autoRedefine/>
    <w:qFormat/>
    <w:uiPriority w:val="0"/>
  </w:style>
  <w:style w:type="character" w:customStyle="1" w:styleId="50">
    <w:name w:val="ct5shn66mo2"/>
    <w:basedOn w:val="24"/>
    <w:autoRedefine/>
    <w:qFormat/>
    <w:uiPriority w:val="0"/>
  </w:style>
  <w:style w:type="character" w:customStyle="1" w:styleId="51">
    <w:name w:val="ul8czct4mdj3"/>
    <w:basedOn w:val="24"/>
    <w:autoRedefine/>
    <w:qFormat/>
    <w:uiPriority w:val="0"/>
  </w:style>
  <w:style w:type="character" w:customStyle="1" w:styleId="52">
    <w:name w:val="fnxuls44um23"/>
    <w:basedOn w:val="24"/>
    <w:autoRedefine/>
    <w:qFormat/>
    <w:uiPriority w:val="0"/>
  </w:style>
  <w:style w:type="character" w:customStyle="1" w:styleId="53">
    <w:name w:val="o65csaa0vx9"/>
    <w:basedOn w:val="24"/>
    <w:autoRedefine/>
    <w:qFormat/>
    <w:uiPriority w:val="0"/>
  </w:style>
  <w:style w:type="character" w:customStyle="1" w:styleId="54">
    <w:name w:val="fs9xgk5wc0a3"/>
    <w:basedOn w:val="24"/>
    <w:autoRedefine/>
    <w:qFormat/>
    <w:uiPriority w:val="0"/>
  </w:style>
  <w:style w:type="character" w:customStyle="1" w:styleId="55">
    <w:name w:val="uh2oyyrsn7r"/>
    <w:basedOn w:val="24"/>
    <w:qFormat/>
    <w:uiPriority w:val="0"/>
  </w:style>
  <w:style w:type="character" w:customStyle="1" w:styleId="56">
    <w:name w:val="n9v2gqv39e3"/>
    <w:basedOn w:val="24"/>
    <w:autoRedefine/>
    <w:qFormat/>
    <w:uiPriority w:val="0"/>
  </w:style>
  <w:style w:type="character" w:customStyle="1" w:styleId="57">
    <w:name w:val="yhnw1lqv6ec"/>
    <w:basedOn w:val="24"/>
    <w:autoRedefine/>
    <w:qFormat/>
    <w:uiPriority w:val="0"/>
  </w:style>
  <w:style w:type="character" w:customStyle="1" w:styleId="58">
    <w:name w:val="未处理的提及21"/>
    <w:semiHidden/>
    <w:unhideWhenUsed/>
    <w:qFormat/>
    <w:uiPriority w:val="99"/>
    <w:rPr>
      <w:color w:val="605E5C"/>
      <w:shd w:val="clear" w:color="auto" w:fill="E1DFDD"/>
    </w:rPr>
  </w:style>
  <w:style w:type="character" w:customStyle="1" w:styleId="59">
    <w:name w:val="fontstyle01"/>
    <w:basedOn w:val="24"/>
    <w:autoRedefine/>
    <w:qFormat/>
    <w:uiPriority w:val="0"/>
    <w:rPr>
      <w:rFonts w:hint="eastAsia" w:ascii="宋体" w:hAnsi="宋体" w:eastAsia="宋体"/>
      <w:color w:val="000000"/>
      <w:sz w:val="24"/>
      <w:szCs w:val="24"/>
    </w:rPr>
  </w:style>
  <w:style w:type="paragraph" w:customStyle="1" w:styleId="60">
    <w:name w:val="normal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collect-box"/>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fa-content"/>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3">
    <w:name w:val="xl31"/>
    <w:basedOn w:val="1"/>
    <w:autoRedefine/>
    <w:qFormat/>
    <w:uiPriority w:val="99"/>
    <w:pPr>
      <w:widowControl/>
      <w:spacing w:before="100" w:beforeAutospacing="1" w:after="100" w:afterAutospacing="1"/>
      <w:jc w:val="center"/>
    </w:pPr>
    <w:rPr>
      <w:rFonts w:ascii="宋体" w:hAnsi="宋体"/>
      <w:kern w:val="0"/>
      <w:sz w:val="16"/>
      <w:szCs w:val="16"/>
    </w:rPr>
  </w:style>
  <w:style w:type="character" w:customStyle="1" w:styleId="64">
    <w:name w:val="Table caption|1_"/>
    <w:link w:val="65"/>
    <w:qFormat/>
    <w:uiPriority w:val="0"/>
    <w:rPr>
      <w:rFonts w:ascii="宋体" w:hAnsi="宋体" w:eastAsia="宋体" w:cs="宋体"/>
      <w:sz w:val="18"/>
      <w:szCs w:val="18"/>
      <w:lang w:val="zh-TW" w:eastAsia="zh-TW" w:bidi="zh-TW"/>
    </w:rPr>
  </w:style>
  <w:style w:type="paragraph" w:customStyle="1" w:styleId="65">
    <w:name w:val="Table caption|1"/>
    <w:basedOn w:val="1"/>
    <w:link w:val="64"/>
    <w:autoRedefine/>
    <w:qFormat/>
    <w:uiPriority w:val="0"/>
    <w:pPr>
      <w:jc w:val="left"/>
    </w:pPr>
    <w:rPr>
      <w:rFonts w:ascii="宋体" w:hAnsi="宋体" w:cs="宋体"/>
      <w:sz w:val="18"/>
      <w:szCs w:val="18"/>
      <w:lang w:val="zh-TW" w:eastAsia="zh-TW" w:bidi="zh-TW"/>
    </w:rPr>
  </w:style>
  <w:style w:type="character" w:customStyle="1" w:styleId="66">
    <w:name w:val="Other|1_"/>
    <w:link w:val="67"/>
    <w:autoRedefine/>
    <w:qFormat/>
    <w:uiPriority w:val="0"/>
    <w:rPr>
      <w:rFonts w:ascii="宋体" w:hAnsi="宋体" w:eastAsia="宋体" w:cs="宋体"/>
      <w:lang w:val="zh-TW" w:eastAsia="zh-TW" w:bidi="zh-TW"/>
    </w:rPr>
  </w:style>
  <w:style w:type="paragraph" w:customStyle="1" w:styleId="67">
    <w:name w:val="Other|1"/>
    <w:basedOn w:val="1"/>
    <w:link w:val="66"/>
    <w:autoRedefine/>
    <w:qFormat/>
    <w:uiPriority w:val="0"/>
    <w:pPr>
      <w:spacing w:line="338" w:lineRule="auto"/>
      <w:ind w:firstLine="400"/>
      <w:jc w:val="left"/>
    </w:pPr>
    <w:rPr>
      <w:rFonts w:ascii="宋体" w:hAnsi="宋体" w:cs="宋体"/>
      <w:lang w:val="zh-TW" w:eastAsia="zh-TW" w:bidi="zh-TW"/>
    </w:rPr>
  </w:style>
  <w:style w:type="character" w:customStyle="1" w:styleId="68">
    <w:name w:val="Body text|1_"/>
    <w:link w:val="69"/>
    <w:autoRedefine/>
    <w:qFormat/>
    <w:uiPriority w:val="0"/>
    <w:rPr>
      <w:rFonts w:ascii="宋体" w:hAnsi="宋体" w:eastAsia="宋体" w:cs="宋体"/>
      <w:lang w:val="zh-TW" w:eastAsia="zh-TW" w:bidi="zh-TW"/>
    </w:rPr>
  </w:style>
  <w:style w:type="paragraph" w:customStyle="1" w:styleId="69">
    <w:name w:val="Body text|1"/>
    <w:basedOn w:val="1"/>
    <w:link w:val="68"/>
    <w:qFormat/>
    <w:uiPriority w:val="0"/>
    <w:pPr>
      <w:spacing w:after="60" w:line="312" w:lineRule="auto"/>
      <w:ind w:firstLine="240"/>
      <w:jc w:val="left"/>
    </w:pPr>
    <w:rPr>
      <w:rFonts w:ascii="宋体" w:hAnsi="宋体" w:cs="宋体"/>
      <w:lang w:val="zh-TW" w:eastAsia="zh-TW" w:bidi="zh-TW"/>
    </w:rPr>
  </w:style>
  <w:style w:type="character" w:customStyle="1" w:styleId="70">
    <w:name w:val="HTML 预设格式 字符"/>
    <w:basedOn w:val="24"/>
    <w:link w:val="19"/>
    <w:autoRedefine/>
    <w:semiHidden/>
    <w:qFormat/>
    <w:uiPriority w:val="99"/>
    <w:rPr>
      <w:rFonts w:ascii="宋体" w:hAnsi="宋体" w:cs="宋体"/>
      <w:sz w:val="24"/>
      <w:szCs w:val="24"/>
    </w:rPr>
  </w:style>
  <w:style w:type="paragraph" w:customStyle="1" w:styleId="71">
    <w:name w:val="1标题1"/>
    <w:basedOn w:val="1"/>
    <w:qFormat/>
    <w:uiPriority w:val="0"/>
    <w:pPr>
      <w:keepNext/>
      <w:keepLines/>
      <w:adjustRightInd w:val="0"/>
      <w:spacing w:before="480" w:after="360"/>
      <w:jc w:val="center"/>
      <w:outlineLvl w:val="0"/>
    </w:pPr>
    <w:rPr>
      <w:b/>
      <w:bCs/>
      <w:sz w:val="28"/>
      <w:szCs w:val="24"/>
    </w:rPr>
  </w:style>
  <w:style w:type="paragraph" w:customStyle="1" w:styleId="72">
    <w:name w:val="图表名"/>
    <w:basedOn w:val="1"/>
    <w:autoRedefine/>
    <w:qFormat/>
    <w:uiPriority w:val="0"/>
    <w:pPr>
      <w:spacing w:before="120" w:after="120"/>
      <w:jc w:val="center"/>
    </w:pPr>
    <w:rPr>
      <w:b/>
      <w:shd w:val="clear" w:color="auto" w:fill="FFFFFF" w:themeFill="background1"/>
    </w:rPr>
  </w:style>
  <w:style w:type="character" w:customStyle="1" w:styleId="73">
    <w:name w:val="font41"/>
    <w:basedOn w:val="24"/>
    <w:autoRedefine/>
    <w:qFormat/>
    <w:uiPriority w:val="0"/>
    <w:rPr>
      <w:rFonts w:hint="eastAsia" w:ascii="宋体" w:hAnsi="宋体" w:eastAsia="宋体" w:cs="宋体"/>
      <w:color w:val="000000"/>
      <w:sz w:val="21"/>
      <w:szCs w:val="21"/>
      <w:u w:val="none"/>
    </w:rPr>
  </w:style>
  <w:style w:type="character" w:customStyle="1" w:styleId="74">
    <w:name w:val="font31"/>
    <w:basedOn w:val="24"/>
    <w:autoRedefine/>
    <w:qFormat/>
    <w:uiPriority w:val="0"/>
    <w:rPr>
      <w:rFonts w:hint="eastAsia" w:ascii="宋体" w:hAnsi="宋体" w:eastAsia="宋体" w:cs="宋体"/>
      <w:color w:val="000000"/>
      <w:sz w:val="21"/>
      <w:szCs w:val="21"/>
      <w:u w:val="none"/>
    </w:rPr>
  </w:style>
  <w:style w:type="character" w:customStyle="1" w:styleId="75">
    <w:name w:val="font11"/>
    <w:basedOn w:val="24"/>
    <w:qFormat/>
    <w:uiPriority w:val="0"/>
    <w:rPr>
      <w:rFonts w:hint="default" w:ascii="Arial" w:hAnsi="Arial" w:cs="Arial"/>
      <w:color w:val="000000"/>
      <w:sz w:val="24"/>
      <w:szCs w:val="24"/>
      <w:u w:val="none"/>
    </w:rPr>
  </w:style>
  <w:style w:type="character" w:customStyle="1" w:styleId="76">
    <w:name w:val="font21"/>
    <w:basedOn w:val="24"/>
    <w:autoRedefine/>
    <w:qFormat/>
    <w:uiPriority w:val="0"/>
    <w:rPr>
      <w:rFonts w:hint="eastAsia" w:ascii="宋体" w:hAnsi="宋体" w:eastAsia="宋体" w:cs="宋体"/>
      <w:color w:val="000000"/>
      <w:sz w:val="24"/>
      <w:szCs w:val="24"/>
      <w:u w:val="none"/>
    </w:rPr>
  </w:style>
  <w:style w:type="paragraph" w:customStyle="1" w:styleId="77">
    <w:name w:val="正文1"/>
    <w:autoRedefine/>
    <w:qFormat/>
    <w:uiPriority w:val="0"/>
    <w:pPr>
      <w:jc w:val="both"/>
    </w:pPr>
    <w:rPr>
      <w:rFonts w:ascii="Calibri" w:hAnsi="Calibri" w:eastAsia="宋体" w:cs="Calibri"/>
      <w:kern w:val="2"/>
      <w:sz w:val="21"/>
      <w:szCs w:val="21"/>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customXml" Target="../customXml/item2.xml"/><Relationship Id="rId97" Type="http://schemas.openxmlformats.org/officeDocument/2006/relationships/numbering" Target="numbering.xml"/><Relationship Id="rId96" Type="http://schemas.openxmlformats.org/officeDocument/2006/relationships/customXml" Target="../customXml/item1.xml"/><Relationship Id="rId95" Type="http://schemas.openxmlformats.org/officeDocument/2006/relationships/image" Target="media/image50.png"/><Relationship Id="rId94" Type="http://schemas.openxmlformats.org/officeDocument/2006/relationships/chart" Target="charts/chart2.xml"/><Relationship Id="rId93" Type="http://schemas.openxmlformats.org/officeDocument/2006/relationships/image" Target="media/image49.jpeg"/><Relationship Id="rId92" Type="http://schemas.openxmlformats.org/officeDocument/2006/relationships/image" Target="media/image48.jpeg"/><Relationship Id="rId91" Type="http://schemas.openxmlformats.org/officeDocument/2006/relationships/image" Target="media/image47.wmf"/><Relationship Id="rId90" Type="http://schemas.openxmlformats.org/officeDocument/2006/relationships/oleObject" Target="embeddings/oleObject33.bin"/><Relationship Id="rId9" Type="http://schemas.openxmlformats.org/officeDocument/2006/relationships/footer" Target="footer7.xml"/><Relationship Id="rId89" Type="http://schemas.openxmlformats.org/officeDocument/2006/relationships/image" Target="media/image46.wmf"/><Relationship Id="rId88" Type="http://schemas.openxmlformats.org/officeDocument/2006/relationships/oleObject" Target="embeddings/oleObject32.bin"/><Relationship Id="rId87" Type="http://schemas.openxmlformats.org/officeDocument/2006/relationships/image" Target="media/image45.wmf"/><Relationship Id="rId86" Type="http://schemas.openxmlformats.org/officeDocument/2006/relationships/oleObject" Target="embeddings/oleObject31.bin"/><Relationship Id="rId85" Type="http://schemas.openxmlformats.org/officeDocument/2006/relationships/image" Target="media/image44.wmf"/><Relationship Id="rId84" Type="http://schemas.openxmlformats.org/officeDocument/2006/relationships/oleObject" Target="embeddings/oleObject30.bin"/><Relationship Id="rId83" Type="http://schemas.openxmlformats.org/officeDocument/2006/relationships/image" Target="media/image43.wmf"/><Relationship Id="rId82" Type="http://schemas.openxmlformats.org/officeDocument/2006/relationships/oleObject" Target="embeddings/oleObject29.bin"/><Relationship Id="rId81" Type="http://schemas.openxmlformats.org/officeDocument/2006/relationships/image" Target="media/image42.png"/><Relationship Id="rId80" Type="http://schemas.openxmlformats.org/officeDocument/2006/relationships/image" Target="media/image41.wmf"/><Relationship Id="rId8" Type="http://schemas.openxmlformats.org/officeDocument/2006/relationships/footer" Target="footer6.xml"/><Relationship Id="rId79" Type="http://schemas.openxmlformats.org/officeDocument/2006/relationships/oleObject" Target="embeddings/oleObject28.bin"/><Relationship Id="rId78" Type="http://schemas.openxmlformats.org/officeDocument/2006/relationships/image" Target="media/image40.wmf"/><Relationship Id="rId77" Type="http://schemas.openxmlformats.org/officeDocument/2006/relationships/oleObject" Target="embeddings/oleObject27.bin"/><Relationship Id="rId76" Type="http://schemas.openxmlformats.org/officeDocument/2006/relationships/image" Target="media/image39.wmf"/><Relationship Id="rId75" Type="http://schemas.openxmlformats.org/officeDocument/2006/relationships/oleObject" Target="embeddings/oleObject26.bin"/><Relationship Id="rId74" Type="http://schemas.openxmlformats.org/officeDocument/2006/relationships/image" Target="media/image38.wmf"/><Relationship Id="rId73" Type="http://schemas.openxmlformats.org/officeDocument/2006/relationships/oleObject" Target="embeddings/oleObject25.bin"/><Relationship Id="rId72" Type="http://schemas.openxmlformats.org/officeDocument/2006/relationships/image" Target="media/image37.wmf"/><Relationship Id="rId71" Type="http://schemas.openxmlformats.org/officeDocument/2006/relationships/oleObject" Target="embeddings/oleObject24.bin"/><Relationship Id="rId70" Type="http://schemas.openxmlformats.org/officeDocument/2006/relationships/oleObject" Target="embeddings/oleObject23.bin"/><Relationship Id="rId7" Type="http://schemas.openxmlformats.org/officeDocument/2006/relationships/footer" Target="footer5.xml"/><Relationship Id="rId69" Type="http://schemas.openxmlformats.org/officeDocument/2006/relationships/image" Target="media/image36.bmp"/><Relationship Id="rId68" Type="http://schemas.openxmlformats.org/officeDocument/2006/relationships/image" Target="media/image35.wmf"/><Relationship Id="rId67" Type="http://schemas.openxmlformats.org/officeDocument/2006/relationships/oleObject" Target="embeddings/oleObject22.bin"/><Relationship Id="rId66" Type="http://schemas.openxmlformats.org/officeDocument/2006/relationships/image" Target="media/image34.wmf"/><Relationship Id="rId65" Type="http://schemas.openxmlformats.org/officeDocument/2006/relationships/oleObject" Target="embeddings/oleObject21.bin"/><Relationship Id="rId64" Type="http://schemas.openxmlformats.org/officeDocument/2006/relationships/image" Target="media/image33.png"/><Relationship Id="rId63" Type="http://schemas.openxmlformats.org/officeDocument/2006/relationships/image" Target="media/image32.png"/><Relationship Id="rId62" Type="http://schemas.openxmlformats.org/officeDocument/2006/relationships/image" Target="media/image31.png"/><Relationship Id="rId61" Type="http://schemas.openxmlformats.org/officeDocument/2006/relationships/image" Target="media/image30.png"/><Relationship Id="rId60" Type="http://schemas.openxmlformats.org/officeDocument/2006/relationships/image" Target="media/image29.png"/><Relationship Id="rId6" Type="http://schemas.openxmlformats.org/officeDocument/2006/relationships/footer" Target="footer4.xml"/><Relationship Id="rId59" Type="http://schemas.openxmlformats.org/officeDocument/2006/relationships/image" Target="media/image28.wmf"/><Relationship Id="rId58" Type="http://schemas.openxmlformats.org/officeDocument/2006/relationships/oleObject" Target="embeddings/oleObject20.bin"/><Relationship Id="rId57" Type="http://schemas.openxmlformats.org/officeDocument/2006/relationships/image" Target="media/image27.wmf"/><Relationship Id="rId56" Type="http://schemas.openxmlformats.org/officeDocument/2006/relationships/oleObject" Target="embeddings/oleObject19.bin"/><Relationship Id="rId55" Type="http://schemas.openxmlformats.org/officeDocument/2006/relationships/image" Target="media/image26.png"/><Relationship Id="rId54" Type="http://schemas.openxmlformats.org/officeDocument/2006/relationships/chart" Target="charts/chart1.xml"/><Relationship Id="rId53" Type="http://schemas.openxmlformats.org/officeDocument/2006/relationships/image" Target="media/image25.jpeg"/><Relationship Id="rId52" Type="http://schemas.openxmlformats.org/officeDocument/2006/relationships/image" Target="media/image24.jpeg"/><Relationship Id="rId51" Type="http://schemas.openxmlformats.org/officeDocument/2006/relationships/image" Target="media/image23.jpeg"/><Relationship Id="rId50" Type="http://schemas.openxmlformats.org/officeDocument/2006/relationships/image" Target="media/image22.wmf"/><Relationship Id="rId5" Type="http://schemas.openxmlformats.org/officeDocument/2006/relationships/footer" Target="footer3.xml"/><Relationship Id="rId49" Type="http://schemas.openxmlformats.org/officeDocument/2006/relationships/oleObject" Target="embeddings/oleObject18.bin"/><Relationship Id="rId48" Type="http://schemas.openxmlformats.org/officeDocument/2006/relationships/image" Target="media/image21.wmf"/><Relationship Id="rId47" Type="http://schemas.openxmlformats.org/officeDocument/2006/relationships/oleObject" Target="embeddings/oleObject17.bin"/><Relationship Id="rId46" Type="http://schemas.openxmlformats.org/officeDocument/2006/relationships/image" Target="media/image20.png"/><Relationship Id="rId45" Type="http://schemas.openxmlformats.org/officeDocument/2006/relationships/image" Target="media/image19.wmf"/><Relationship Id="rId44" Type="http://schemas.openxmlformats.org/officeDocument/2006/relationships/oleObject" Target="embeddings/oleObject16.bin"/><Relationship Id="rId43" Type="http://schemas.openxmlformats.org/officeDocument/2006/relationships/image" Target="media/image18.wmf"/><Relationship Id="rId42" Type="http://schemas.openxmlformats.org/officeDocument/2006/relationships/oleObject" Target="embeddings/oleObject15.bin"/><Relationship Id="rId41" Type="http://schemas.openxmlformats.org/officeDocument/2006/relationships/oleObject" Target="embeddings/oleObject14.bin"/><Relationship Id="rId40" Type="http://schemas.openxmlformats.org/officeDocument/2006/relationships/image" Target="media/image17.wmf"/><Relationship Id="rId4" Type="http://schemas.openxmlformats.org/officeDocument/2006/relationships/footer" Target="footer2.xml"/><Relationship Id="rId39" Type="http://schemas.openxmlformats.org/officeDocument/2006/relationships/oleObject" Target="embeddings/oleObject13.bin"/><Relationship Id="rId38" Type="http://schemas.openxmlformats.org/officeDocument/2006/relationships/image" Target="media/image16.wmf"/><Relationship Id="rId37" Type="http://schemas.openxmlformats.org/officeDocument/2006/relationships/oleObject" Target="embeddings/oleObject12.bin"/><Relationship Id="rId36" Type="http://schemas.openxmlformats.org/officeDocument/2006/relationships/image" Target="media/image15.wmf"/><Relationship Id="rId35" Type="http://schemas.openxmlformats.org/officeDocument/2006/relationships/oleObject" Target="embeddings/oleObject11.bin"/><Relationship Id="rId34" Type="http://schemas.openxmlformats.org/officeDocument/2006/relationships/image" Target="media/image14.wmf"/><Relationship Id="rId33" Type="http://schemas.openxmlformats.org/officeDocument/2006/relationships/oleObject" Target="embeddings/oleObject10.bin"/><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er" Target="footer1.xml"/><Relationship Id="rId29" Type="http://schemas.openxmlformats.org/officeDocument/2006/relationships/image" Target="media/image10.png"/><Relationship Id="rId28" Type="http://schemas.openxmlformats.org/officeDocument/2006/relationships/oleObject" Target="embeddings/oleObject9.bin"/><Relationship Id="rId27" Type="http://schemas.openxmlformats.org/officeDocument/2006/relationships/oleObject" Target="embeddings/oleObject8.bin"/><Relationship Id="rId26" Type="http://schemas.openxmlformats.org/officeDocument/2006/relationships/oleObject" Target="embeddings/oleObject7.bin"/><Relationship Id="rId25" Type="http://schemas.openxmlformats.org/officeDocument/2006/relationships/image" Target="media/image9.wmf"/><Relationship Id="rId24" Type="http://schemas.openxmlformats.org/officeDocument/2006/relationships/oleObject" Target="embeddings/oleObject6.bin"/><Relationship Id="rId23" Type="http://schemas.openxmlformats.org/officeDocument/2006/relationships/image" Target="media/image8.wmf"/><Relationship Id="rId22" Type="http://schemas.openxmlformats.org/officeDocument/2006/relationships/oleObject" Target="embeddings/oleObject5.bin"/><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4.bin"/><Relationship Id="rId17" Type="http://schemas.openxmlformats.org/officeDocument/2006/relationships/image" Target="media/image4.wmf"/><Relationship Id="rId16" Type="http://schemas.openxmlformats.org/officeDocument/2006/relationships/oleObject" Target="embeddings/oleObject3.bin"/><Relationship Id="rId15" Type="http://schemas.openxmlformats.org/officeDocument/2006/relationships/image" Target="media/image3.wmf"/><Relationship Id="rId14" Type="http://schemas.openxmlformats.org/officeDocument/2006/relationships/oleObject" Target="embeddings/oleObject2.bin"/><Relationship Id="rId13" Type="http://schemas.openxmlformats.org/officeDocument/2006/relationships/image" Target="media/image2.wmf"/><Relationship Id="rId12" Type="http://schemas.openxmlformats.org/officeDocument/2006/relationships/oleObject" Target="embeddings/oleObject1.bin"/><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G:\&#24635;&#24037;&#21150;\&#25216;&#26415;&#19982;&#30740;&#31350;\&#35268;&#33539;&#32534;&#21046;\&#24191;&#19996;&#30465;&#24066;&#25919;&#24037;&#31243;&#21208;&#23519;&#35268;&#33539;\&#30722;&#22303;&#22320;&#38663;&#28082;&#21270;Ncr&#35745;&#31639;&#3492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G:\&#24635;&#24037;&#21150;\&#25216;&#26415;&#19982;&#30740;&#31350;\&#23398;&#26415;&#35770;&#25991;\&#22260;&#23721;&#20998;&#32423;&#27973;&#35758;\&#23721;&#20307;&#23436;&#25972;&#24615;&#19982;&#38567;&#36947;&#22260;&#23721;&#20998;&#32423;&#27973;&#35758;&#22270;&#202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260337413166"/>
          <c:y val="0.138025295797634"/>
          <c:w val="0.825074429374793"/>
          <c:h val="0.761811505507956"/>
        </c:manualLayout>
      </c:layout>
      <c:scatterChart>
        <c:scatterStyle val="smooth"/>
        <c:varyColors val="0"/>
        <c:ser>
          <c:idx val="0"/>
          <c:order val="0"/>
          <c:tx>
            <c:strRef>
              <c:f>'Sheet1 (2)'!$B$4</c:f>
              <c:strCache>
                <c:ptCount val="1"/>
                <c:pt idx="0">
                  <c:v>建规0.10g(0.35s)</c:v>
                </c:pt>
              </c:strCache>
            </c:strRef>
          </c:tx>
          <c:spPr>
            <a:ln w="12700" cap="rnd">
              <a:solidFill>
                <a:schemeClr val="tx1"/>
              </a:solidFill>
              <a:round/>
            </a:ln>
            <a:effectLst/>
          </c:spPr>
          <c:marker>
            <c:symbol val="none"/>
          </c:marker>
          <c:dLbls>
            <c:delete val="1"/>
          </c:dLbls>
          <c:xVal>
            <c:numRef>
              <c:f>'Sheet1 (2)'!$B$5:$B$100</c:f>
              <c:numCache>
                <c:formatCode>0.0_ </c:formatCode>
                <c:ptCount val="96"/>
                <c:pt idx="0">
                  <c:v>3.59484913048451</c:v>
                </c:pt>
                <c:pt idx="1">
                  <c:v>3.90604029695145</c:v>
                </c:pt>
                <c:pt idx="2">
                  <c:v>4.20084520446982</c:v>
                </c:pt>
                <c:pt idx="3">
                  <c:v>4.48090355968792</c:v>
                </c:pt>
                <c:pt idx="4">
                  <c:v>4.74762063402775</c:v>
                </c:pt>
                <c:pt idx="5">
                  <c:v>5.00220992885759</c:v>
                </c:pt>
                <c:pt idx="6">
                  <c:v>5.24572655572013</c:v>
                </c:pt>
                <c:pt idx="7">
                  <c:v>5.47909365556331</c:v>
                </c:pt>
                <c:pt idx="8">
                  <c:v>5.70312352940002</c:v>
                </c:pt>
                <c:pt idx="9">
                  <c:v>5.91853470203568</c:v>
                </c:pt>
                <c:pt idx="10">
                  <c:v>6.12596582344563</c:v>
                </c:pt>
                <c:pt idx="11">
                  <c:v>6.32598708601728</c:v>
                </c:pt>
                <c:pt idx="12">
                  <c:v>6.51910967201583</c:v>
                </c:pt>
                <c:pt idx="13">
                  <c:v>6.70579362551434</c:v>
                </c:pt>
                <c:pt idx="14">
                  <c:v>6.88645445393638</c:v>
                </c:pt>
                <c:pt idx="15">
                  <c:v>7.06146869755936</c:v>
                </c:pt>
                <c:pt idx="16">
                  <c:v>7.23117865473321</c:v>
                </c:pt>
                <c:pt idx="17">
                  <c:v>7.39589641188845</c:v>
                </c:pt>
                <c:pt idx="18">
                  <c:v>7.55590729757516</c:v>
                </c:pt>
                <c:pt idx="19">
                  <c:v>7.71147285657479</c:v>
                </c:pt>
                <c:pt idx="20">
                  <c:v>7.86283342194714</c:v>
                </c:pt>
                <c:pt idx="21">
                  <c:v>8.01021034852443</c:v>
                </c:pt>
                <c:pt idx="22">
                  <c:v>8.15380795995912</c:v>
                </c:pt>
                <c:pt idx="23">
                  <c:v>8.29381525230945</c:v>
                </c:pt>
                <c:pt idx="24">
                  <c:v>8.43040738980475</c:v>
                </c:pt>
                <c:pt idx="25">
                  <c:v>8.56374702248957</c:v>
                </c:pt>
                <c:pt idx="26">
                  <c:v>8.69398545060947</c:v>
                </c:pt>
                <c:pt idx="27">
                  <c:v>8.82126365664378</c:v>
                </c:pt>
                <c:pt idx="28">
                  <c:v>8.94571322263816</c:v>
                </c:pt>
                <c:pt idx="29">
                  <c:v>9.06745714780203</c:v>
                </c:pt>
                <c:pt idx="30">
                  <c:v>9.18661057910683</c:v>
                </c:pt>
                <c:pt idx="31">
                  <c:v>9.30328146576274</c:v>
                </c:pt>
                <c:pt idx="32">
                  <c:v>9.4175711468975</c:v>
                </c:pt>
                <c:pt idx="33">
                  <c:v>9.52957488045485</c:v>
                </c:pt>
                <c:pt idx="34">
                  <c:v>9.63938232022976</c:v>
                </c:pt>
                <c:pt idx="35">
                  <c:v>9.74707794702593</c:v>
                </c:pt>
                <c:pt idx="36">
                  <c:v>9.85274145913047</c:v>
                </c:pt>
                <c:pt idx="37">
                  <c:v>9.956448126627</c:v>
                </c:pt>
                <c:pt idx="38">
                  <c:v>10.0582691134929</c:v>
                </c:pt>
                <c:pt idx="39">
                  <c:v>10.1582717709329</c:v>
                </c:pt>
                <c:pt idx="40">
                  <c:v>10.256519904978</c:v>
                </c:pt>
                <c:pt idx="41">
                  <c:v>10.3530740210112</c:v>
                </c:pt>
                <c:pt idx="42">
                  <c:v>10.4479915475684</c:v>
                </c:pt>
                <c:pt idx="43">
                  <c:v>10.5413270414855</c:v>
                </c:pt>
                <c:pt idx="44">
                  <c:v>10.6331323762293</c:v>
                </c:pt>
                <c:pt idx="45">
                  <c:v>10.7234569150367</c:v>
                </c:pt>
                <c:pt idx="46">
                  <c:v>10.8123476703119</c:v>
                </c:pt>
                <c:pt idx="47">
                  <c:v>10.8998494505692</c:v>
                </c:pt>
                <c:pt idx="48">
                  <c:v>10.9860049960702</c:v>
                </c:pt>
                <c:pt idx="49">
                  <c:v>11.0708551041856</c:v>
                </c:pt>
                <c:pt idx="50">
                  <c:v>11.154438745399</c:v>
                </c:pt>
                <c:pt idx="51">
                  <c:v>11.2367931707813</c:v>
                </c:pt>
                <c:pt idx="52">
                  <c:v>11.3179540116757</c:v>
                </c:pt>
                <c:pt idx="53">
                  <c:v>11.3979553722615</c:v>
                </c:pt>
                <c:pt idx="54">
                  <c:v>11.4768299155993</c:v>
                </c:pt>
                <c:pt idx="55">
                  <c:v>11.554608943699</c:v>
                </c:pt>
                <c:pt idx="56">
                  <c:v>11.6313224721047</c:v>
                </c:pt>
                <c:pt idx="57">
                  <c:v>11.7069992994384</c:v>
                </c:pt>
                <c:pt idx="58">
                  <c:v>11.7816670723074</c:v>
                </c:pt>
                <c:pt idx="59">
                  <c:v>11.8553523459414</c:v>
                </c:pt>
                <c:pt idx="60">
                  <c:v>11.9280806408916</c:v>
                </c:pt>
                <c:pt idx="61">
                  <c:v>11.9998764960943</c:v>
                </c:pt>
                <c:pt idx="62">
                  <c:v>12.0707635185771</c:v>
                </c:pt>
                <c:pt idx="63">
                  <c:v>12.1407644300568</c:v>
                </c:pt>
                <c:pt idx="64">
                  <c:v>12.2099011106617</c:v>
                </c:pt>
                <c:pt idx="65">
                  <c:v>12.278194639987</c:v>
                </c:pt>
                <c:pt idx="66">
                  <c:v>12.3456653356776</c:v>
                </c:pt>
                <c:pt idx="67">
                  <c:v>12.412332789713</c:v>
                </c:pt>
                <c:pt idx="68">
                  <c:v>12.4782159025587</c:v>
                </c:pt>
                <c:pt idx="69">
                  <c:v>12.5433329153314</c:v>
                </c:pt>
                <c:pt idx="70">
                  <c:v>12.6077014401155</c:v>
                </c:pt>
                <c:pt idx="71">
                  <c:v>12.6713384885572</c:v>
                </c:pt>
                <c:pt idx="72">
                  <c:v>12.734260498852</c:v>
                </c:pt>
                <c:pt idx="73">
                  <c:v>12.7964833612324</c:v>
                </c:pt>
                <c:pt idx="74">
                  <c:v>12.8580224420558</c:v>
                </c:pt>
                <c:pt idx="75">
                  <c:v>12.9188926065824</c:v>
                </c:pt>
                <c:pt idx="76">
                  <c:v>12.9791082405295</c:v>
                </c:pt>
                <c:pt idx="77">
                  <c:v>13.0386832704778</c:v>
                </c:pt>
                <c:pt idx="78">
                  <c:v>13.0976311832049</c:v>
                </c:pt>
                <c:pt idx="79">
                  <c:v>13.1559650440112</c:v>
                </c:pt>
                <c:pt idx="80">
                  <c:v>13.2136975141008</c:v>
                </c:pt>
                <c:pt idx="81">
                  <c:v>13.2708408670765</c:v>
                </c:pt>
                <c:pt idx="82">
                  <c:v>13.327407004601</c:v>
                </c:pt>
                <c:pt idx="83">
                  <c:v>13.3834074712746</c:v>
                </c:pt>
                <c:pt idx="84">
                  <c:v>13.4388534687778</c:v>
                </c:pt>
                <c:pt idx="85">
                  <c:v>13.4937558693189</c:v>
                </c:pt>
                <c:pt idx="86">
                  <c:v>13.5481252284299</c:v>
                </c:pt>
                <c:pt idx="87">
                  <c:v>13.6019717971467</c:v>
                </c:pt>
                <c:pt idx="88">
                  <c:v>13.6553055336098</c:v>
                </c:pt>
                <c:pt idx="89">
                  <c:v>13.7081361141166</c:v>
                </c:pt>
                <c:pt idx="90">
                  <c:v>13.7604729436587</c:v>
                </c:pt>
                <c:pt idx="91">
                  <c:v>13.8123251659704</c:v>
                </c:pt>
                <c:pt idx="92">
                  <c:v>13.8637016731162</c:v>
                </c:pt>
                <c:pt idx="93">
                  <c:v>13.9146111146432</c:v>
                </c:pt>
                <c:pt idx="94">
                  <c:v>13.9650619063205</c:v>
                </c:pt>
                <c:pt idx="95">
                  <c:v>14.0150622384886</c:v>
                </c:pt>
              </c:numCache>
            </c:numRef>
          </c:xVal>
          <c:yVal>
            <c:numRef>
              <c:f>'Sheet1 (2)'!$A$5:$A$100</c:f>
              <c:numCache>
                <c:formatCode>0.00_);[Red]\(0.00\)</c:formatCode>
                <c:ptCount val="96"/>
                <c:pt idx="0">
                  <c:v>1</c:v>
                </c:pt>
                <c:pt idx="1">
                  <c:v>1.2</c:v>
                </c:pt>
                <c:pt idx="2">
                  <c:v>1.4</c:v>
                </c:pt>
                <c:pt idx="3">
                  <c:v>1.6</c:v>
                </c:pt>
                <c:pt idx="4">
                  <c:v>1.8</c:v>
                </c:pt>
                <c:pt idx="5">
                  <c:v>2</c:v>
                </c:pt>
                <c:pt idx="6">
                  <c:v>2.2</c:v>
                </c:pt>
                <c:pt idx="7">
                  <c:v>2.4</c:v>
                </c:pt>
                <c:pt idx="8">
                  <c:v>2.6</c:v>
                </c:pt>
                <c:pt idx="9">
                  <c:v>2.8</c:v>
                </c:pt>
                <c:pt idx="10">
                  <c:v>3</c:v>
                </c:pt>
                <c:pt idx="11">
                  <c:v>3.2</c:v>
                </c:pt>
                <c:pt idx="12">
                  <c:v>3.4</c:v>
                </c:pt>
                <c:pt idx="13">
                  <c:v>3.6</c:v>
                </c:pt>
                <c:pt idx="14">
                  <c:v>3.8</c:v>
                </c:pt>
                <c:pt idx="15">
                  <c:v>4</c:v>
                </c:pt>
                <c:pt idx="16">
                  <c:v>4.2</c:v>
                </c:pt>
                <c:pt idx="17">
                  <c:v>4.4</c:v>
                </c:pt>
                <c:pt idx="18">
                  <c:v>4.6</c:v>
                </c:pt>
                <c:pt idx="19">
                  <c:v>4.8</c:v>
                </c:pt>
                <c:pt idx="20">
                  <c:v>5</c:v>
                </c:pt>
                <c:pt idx="21">
                  <c:v>5.2</c:v>
                </c:pt>
                <c:pt idx="22">
                  <c:v>5.4</c:v>
                </c:pt>
                <c:pt idx="23">
                  <c:v>5.6</c:v>
                </c:pt>
                <c:pt idx="24">
                  <c:v>5.8</c:v>
                </c:pt>
                <c:pt idx="25">
                  <c:v>6</c:v>
                </c:pt>
                <c:pt idx="26">
                  <c:v>6.2</c:v>
                </c:pt>
                <c:pt idx="27">
                  <c:v>6.4</c:v>
                </c:pt>
                <c:pt idx="28">
                  <c:v>6.6</c:v>
                </c:pt>
                <c:pt idx="29">
                  <c:v>6.8</c:v>
                </c:pt>
                <c:pt idx="30">
                  <c:v>7</c:v>
                </c:pt>
                <c:pt idx="31">
                  <c:v>7.2</c:v>
                </c:pt>
                <c:pt idx="32">
                  <c:v>7.4</c:v>
                </c:pt>
                <c:pt idx="33">
                  <c:v>7.6</c:v>
                </c:pt>
                <c:pt idx="34">
                  <c:v>7.8</c:v>
                </c:pt>
                <c:pt idx="35">
                  <c:v>8</c:v>
                </c:pt>
                <c:pt idx="36">
                  <c:v>8.2</c:v>
                </c:pt>
                <c:pt idx="37">
                  <c:v>8.4</c:v>
                </c:pt>
                <c:pt idx="38">
                  <c:v>8.6</c:v>
                </c:pt>
                <c:pt idx="39">
                  <c:v>8.8</c:v>
                </c:pt>
                <c:pt idx="40">
                  <c:v>9</c:v>
                </c:pt>
                <c:pt idx="41">
                  <c:v>9.2</c:v>
                </c:pt>
                <c:pt idx="42">
                  <c:v>9.4</c:v>
                </c:pt>
                <c:pt idx="43">
                  <c:v>9.6</c:v>
                </c:pt>
                <c:pt idx="44">
                  <c:v>9.8</c:v>
                </c:pt>
                <c:pt idx="45">
                  <c:v>10</c:v>
                </c:pt>
                <c:pt idx="46">
                  <c:v>10.2</c:v>
                </c:pt>
                <c:pt idx="47">
                  <c:v>10.4</c:v>
                </c:pt>
                <c:pt idx="48">
                  <c:v>10.6</c:v>
                </c:pt>
                <c:pt idx="49">
                  <c:v>10.8</c:v>
                </c:pt>
                <c:pt idx="50">
                  <c:v>11</c:v>
                </c:pt>
                <c:pt idx="51">
                  <c:v>11.2</c:v>
                </c:pt>
                <c:pt idx="52">
                  <c:v>11.4</c:v>
                </c:pt>
                <c:pt idx="53">
                  <c:v>11.6</c:v>
                </c:pt>
                <c:pt idx="54">
                  <c:v>11.8</c:v>
                </c:pt>
                <c:pt idx="55">
                  <c:v>12</c:v>
                </c:pt>
                <c:pt idx="56">
                  <c:v>12.2</c:v>
                </c:pt>
                <c:pt idx="57">
                  <c:v>12.4</c:v>
                </c:pt>
                <c:pt idx="58">
                  <c:v>12.6</c:v>
                </c:pt>
                <c:pt idx="59">
                  <c:v>12.8</c:v>
                </c:pt>
                <c:pt idx="60">
                  <c:v>13</c:v>
                </c:pt>
                <c:pt idx="61">
                  <c:v>13.2</c:v>
                </c:pt>
                <c:pt idx="62">
                  <c:v>13.4</c:v>
                </c:pt>
                <c:pt idx="63">
                  <c:v>13.6</c:v>
                </c:pt>
                <c:pt idx="64">
                  <c:v>13.8</c:v>
                </c:pt>
                <c:pt idx="65">
                  <c:v>14</c:v>
                </c:pt>
                <c:pt idx="66">
                  <c:v>14.2</c:v>
                </c:pt>
                <c:pt idx="67">
                  <c:v>14.4</c:v>
                </c:pt>
                <c:pt idx="68">
                  <c:v>14.6</c:v>
                </c:pt>
                <c:pt idx="69">
                  <c:v>14.8</c:v>
                </c:pt>
                <c:pt idx="70">
                  <c:v>15</c:v>
                </c:pt>
                <c:pt idx="71">
                  <c:v>15.2</c:v>
                </c:pt>
                <c:pt idx="72">
                  <c:v>15.4</c:v>
                </c:pt>
                <c:pt idx="73">
                  <c:v>15.6</c:v>
                </c:pt>
                <c:pt idx="74">
                  <c:v>15.8</c:v>
                </c:pt>
                <c:pt idx="75">
                  <c:v>16</c:v>
                </c:pt>
                <c:pt idx="76">
                  <c:v>16.2</c:v>
                </c:pt>
                <c:pt idx="77">
                  <c:v>16.4</c:v>
                </c:pt>
                <c:pt idx="78">
                  <c:v>16.6</c:v>
                </c:pt>
                <c:pt idx="79">
                  <c:v>16.8</c:v>
                </c:pt>
                <c:pt idx="80">
                  <c:v>17</c:v>
                </c:pt>
                <c:pt idx="81">
                  <c:v>17.2</c:v>
                </c:pt>
                <c:pt idx="82">
                  <c:v>17.4</c:v>
                </c:pt>
                <c:pt idx="83">
                  <c:v>17.6</c:v>
                </c:pt>
                <c:pt idx="84">
                  <c:v>17.8</c:v>
                </c:pt>
                <c:pt idx="85">
                  <c:v>18</c:v>
                </c:pt>
                <c:pt idx="86">
                  <c:v>18.2</c:v>
                </c:pt>
                <c:pt idx="87">
                  <c:v>18.4</c:v>
                </c:pt>
                <c:pt idx="88">
                  <c:v>18.6</c:v>
                </c:pt>
                <c:pt idx="89">
                  <c:v>18.8</c:v>
                </c:pt>
                <c:pt idx="90">
                  <c:v>19</c:v>
                </c:pt>
                <c:pt idx="91">
                  <c:v>19.2</c:v>
                </c:pt>
                <c:pt idx="92">
                  <c:v>19.4</c:v>
                </c:pt>
                <c:pt idx="93">
                  <c:v>19.6</c:v>
                </c:pt>
                <c:pt idx="94">
                  <c:v>19.8</c:v>
                </c:pt>
                <c:pt idx="95">
                  <c:v>20</c:v>
                </c:pt>
              </c:numCache>
            </c:numRef>
          </c:yVal>
          <c:smooth val="1"/>
        </c:ser>
        <c:ser>
          <c:idx val="3"/>
          <c:order val="1"/>
          <c:tx>
            <c:strRef>
              <c:f>'Sheet1 (2)'!$D$4</c:f>
              <c:strCache>
                <c:ptCount val="1"/>
                <c:pt idx="0">
                  <c:v>建0.10g三组（远）</c:v>
                </c:pt>
              </c:strCache>
            </c:strRef>
          </c:tx>
          <c:spPr>
            <a:ln w="19050" cap="rnd">
              <a:solidFill>
                <a:schemeClr val="accent4">
                  <a:lumMod val="75000"/>
                </a:schemeClr>
              </a:solidFill>
              <a:round/>
            </a:ln>
            <a:effectLst/>
          </c:spPr>
          <c:marker>
            <c:symbol val="none"/>
          </c:marker>
          <c:dLbls>
            <c:delete val="1"/>
          </c:dLbls>
          <c:xVal>
            <c:numRef>
              <c:f>'Sheet1 (2)'!$A$5:$A$100</c:f>
            </c:numRef>
          </c:xVal>
          <c:yVal>
            <c:numRef>
              <c:f>'Sheet1 (2)'!$D$5:$D$100</c:f>
            </c:numRef>
          </c:yVal>
          <c:smooth val="1"/>
        </c:ser>
        <c:ser>
          <c:idx val="6"/>
          <c:order val="2"/>
          <c:tx>
            <c:strRef>
              <c:f>'Sheet1 (2)'!$F$4</c:f>
              <c:strCache>
                <c:ptCount val="1"/>
                <c:pt idx="0">
                  <c:v>建规0.20g(0.40s)</c:v>
                </c:pt>
              </c:strCache>
            </c:strRef>
          </c:tx>
          <c:spPr>
            <a:ln w="34925" cap="rnd">
              <a:solidFill>
                <a:schemeClr val="tx1"/>
              </a:solidFill>
              <a:round/>
            </a:ln>
            <a:effectLst/>
          </c:spPr>
          <c:marker>
            <c:symbol val="none"/>
          </c:marker>
          <c:dLbls>
            <c:delete val="1"/>
          </c:dLbls>
          <c:xVal>
            <c:numRef>
              <c:f>'Sheet1 (2)'!$F$5:$F$100</c:f>
              <c:numCache>
                <c:formatCode>0.0_ </c:formatCode>
                <c:ptCount val="96"/>
                <c:pt idx="0">
                  <c:v>7.3180857299149</c:v>
                </c:pt>
                <c:pt idx="1">
                  <c:v>7.95158203307974</c:v>
                </c:pt>
                <c:pt idx="2">
                  <c:v>8.55172059481355</c:v>
                </c:pt>
                <c:pt idx="3">
                  <c:v>9.12183938936469</c:v>
                </c:pt>
                <c:pt idx="4">
                  <c:v>9.6647991478422</c:v>
                </c:pt>
                <c:pt idx="5">
                  <c:v>10.1830702123172</c:v>
                </c:pt>
                <c:pt idx="6">
                  <c:v>10.6788004884303</c:v>
                </c:pt>
                <c:pt idx="7">
                  <c:v>11.1538692273967</c:v>
                </c:pt>
                <c:pt idx="8">
                  <c:v>11.6099300419929</c:v>
                </c:pt>
                <c:pt idx="9">
                  <c:v>12.0484456434298</c:v>
                </c:pt>
                <c:pt idx="10">
                  <c:v>12.4707161405858</c:v>
                </c:pt>
                <c:pt idx="11">
                  <c:v>12.8779022822495</c:v>
                </c:pt>
                <c:pt idx="12">
                  <c:v>13.2710446894608</c:v>
                </c:pt>
                <c:pt idx="13">
                  <c:v>13.6510798805113</c:v>
                </c:pt>
                <c:pt idx="14">
                  <c:v>14.0188537097991</c:v>
                </c:pt>
                <c:pt idx="15">
                  <c:v>14.3751327057458</c:v>
                </c:pt>
                <c:pt idx="16">
                  <c:v>14.7206136899926</c:v>
                </c:pt>
                <c:pt idx="17">
                  <c:v>15.0559319813443</c:v>
                </c:pt>
                <c:pt idx="18">
                  <c:v>15.3816684272066</c:v>
                </c:pt>
                <c:pt idx="19">
                  <c:v>15.6983554580272</c:v>
                </c:pt>
                <c:pt idx="20">
                  <c:v>16.0064823232495</c:v>
                </c:pt>
                <c:pt idx="21">
                  <c:v>16.3064996380676</c:v>
                </c:pt>
                <c:pt idx="22">
                  <c:v>16.5988233470596</c:v>
                </c:pt>
                <c:pt idx="23">
                  <c:v>16.8838381922014</c:v>
                </c:pt>
                <c:pt idx="24">
                  <c:v>17.1619007578168</c:v>
                </c:pt>
                <c:pt idx="25">
                  <c:v>17.4333421529252</c:v>
                </c:pt>
                <c:pt idx="26">
                  <c:v>17.6984703815978</c:v>
                </c:pt>
                <c:pt idx="27">
                  <c:v>17.957572443882</c:v>
                </c:pt>
                <c:pt idx="28">
                  <c:v>18.2109162032277</c:v>
                </c:pt>
                <c:pt idx="29">
                  <c:v>18.4587520508827</c:v>
                </c:pt>
                <c:pt idx="30">
                  <c:v>18.7013143931818</c:v>
                </c:pt>
                <c:pt idx="31">
                  <c:v>18.9388229838741</c:v>
                </c:pt>
                <c:pt idx="32">
                  <c:v>19.1714841204699</c:v>
                </c:pt>
                <c:pt idx="33">
                  <c:v>19.3994917209259</c:v>
                </c:pt>
                <c:pt idx="34">
                  <c:v>19.6230282947534</c:v>
                </c:pt>
                <c:pt idx="35">
                  <c:v>19.8422658207313</c:v>
                </c:pt>
                <c:pt idx="36">
                  <c:v>20.0573665418013</c:v>
                </c:pt>
                <c:pt idx="37">
                  <c:v>20.2684836863478</c:v>
                </c:pt>
                <c:pt idx="38">
                  <c:v>20.4757621238962</c:v>
                </c:pt>
                <c:pt idx="39">
                  <c:v>20.6793389622563</c:v>
                </c:pt>
                <c:pt idx="40">
                  <c:v>20.8793440922766</c:v>
                </c:pt>
                <c:pt idx="41">
                  <c:v>21.07590068563</c:v>
                </c:pt>
                <c:pt idx="42">
                  <c:v>21.269125650407</c:v>
                </c:pt>
                <c:pt idx="43">
                  <c:v>21.4591300487384</c:v>
                </c:pt>
                <c:pt idx="44">
                  <c:v>21.6460194801811</c:v>
                </c:pt>
                <c:pt idx="45">
                  <c:v>21.8298944341818</c:v>
                </c:pt>
                <c:pt idx="46">
                  <c:v>22.0108506145635</c:v>
                </c:pt>
                <c:pt idx="47">
                  <c:v>22.1889792386586</c:v>
                </c:pt>
                <c:pt idx="48">
                  <c:v>22.3643673134287</c:v>
                </c:pt>
                <c:pt idx="49">
                  <c:v>22.5370978906636</c:v>
                </c:pt>
                <c:pt idx="50">
                  <c:v>22.7072503031337</c:v>
                </c:pt>
                <c:pt idx="51">
                  <c:v>22.8749003833762</c:v>
                </c:pt>
                <c:pt idx="52">
                  <c:v>23.0401206666255</c:v>
                </c:pt>
                <c:pt idx="53">
                  <c:v>23.2029805792467</c:v>
                </c:pt>
                <c:pt idx="54">
                  <c:v>23.3635466138985</c:v>
                </c:pt>
                <c:pt idx="55">
                  <c:v>23.5218824925301</c:v>
                </c:pt>
                <c:pt idx="56">
                  <c:v>23.6780493182132</c:v>
                </c:pt>
                <c:pt idx="57">
                  <c:v>23.8321057167138</c:v>
                </c:pt>
                <c:pt idx="58">
                  <c:v>23.9841079686257</c:v>
                </c:pt>
                <c:pt idx="59">
                  <c:v>24.1341101328093</c:v>
                </c:pt>
                <c:pt idx="60">
                  <c:v>24.282164161815</c:v>
                </c:pt>
                <c:pt idx="61">
                  <c:v>24.4283200099063</c:v>
                </c:pt>
                <c:pt idx="62">
                  <c:v>24.5726257342462</c:v>
                </c:pt>
                <c:pt idx="63">
                  <c:v>24.7151275897585</c:v>
                </c:pt>
                <c:pt idx="64">
                  <c:v>24.8558701181327</c:v>
                </c:pt>
                <c:pt idx="65">
                  <c:v>24.9948962314022</c:v>
                </c:pt>
                <c:pt idx="66">
                  <c:v>25.1322472904866</c:v>
                </c:pt>
                <c:pt idx="67">
                  <c:v>25.2679631790586</c:v>
                </c:pt>
                <c:pt idx="68">
                  <c:v>25.4020823730659</c:v>
                </c:pt>
                <c:pt idx="69">
                  <c:v>25.5346420062103</c:v>
                </c:pt>
                <c:pt idx="70">
                  <c:v>25.6656779316636</c:v>
                </c:pt>
                <c:pt idx="71">
                  <c:v>25.7952247802772</c:v>
                </c:pt>
                <c:pt idx="72">
                  <c:v>25.9233160155202</c:v>
                </c:pt>
                <c:pt idx="73">
                  <c:v>26.049983985366</c:v>
                </c:pt>
                <c:pt idx="74">
                  <c:v>26.1752599713278</c:v>
                </c:pt>
                <c:pt idx="75">
                  <c:v>26.2991742348285</c:v>
                </c:pt>
                <c:pt idx="76">
                  <c:v>26.4217560610779</c:v>
                </c:pt>
                <c:pt idx="77">
                  <c:v>26.5430338006155</c:v>
                </c:pt>
                <c:pt idx="78">
                  <c:v>26.6630349086672</c:v>
                </c:pt>
                <c:pt idx="79">
                  <c:v>26.7817859824513</c:v>
                </c:pt>
                <c:pt idx="80">
                  <c:v>26.8993127965623</c:v>
                </c:pt>
                <c:pt idx="81">
                  <c:v>27.0156403365486</c:v>
                </c:pt>
                <c:pt idx="82">
                  <c:v>27.1307928307948</c:v>
                </c:pt>
                <c:pt idx="83">
                  <c:v>27.244793780809</c:v>
                </c:pt>
                <c:pt idx="84">
                  <c:v>27.357665990012</c:v>
                </c:pt>
                <c:pt idx="85">
                  <c:v>27.4694315911134</c:v>
                </c:pt>
                <c:pt idx="86">
                  <c:v>27.5801120721608</c:v>
                </c:pt>
                <c:pt idx="87">
                  <c:v>27.6897283013344</c:v>
                </c:pt>
                <c:pt idx="88">
                  <c:v>27.7983005505627</c:v>
                </c:pt>
                <c:pt idx="89">
                  <c:v>27.905848518023</c:v>
                </c:pt>
                <c:pt idx="90">
                  <c:v>28.0123913495909</c:v>
                </c:pt>
                <c:pt idx="91">
                  <c:v>28.1179476592968</c:v>
                </c:pt>
                <c:pt idx="92">
                  <c:v>28.2225355488437</c:v>
                </c:pt>
                <c:pt idx="93">
                  <c:v>28.326172626238</c:v>
                </c:pt>
                <c:pt idx="94">
                  <c:v>28.4288760235809</c:v>
                </c:pt>
                <c:pt idx="95">
                  <c:v>28.530662414066</c:v>
                </c:pt>
              </c:numCache>
            </c:numRef>
          </c:xVal>
          <c:yVal>
            <c:numRef>
              <c:f>'Sheet1 (2)'!$A$5:$A$100</c:f>
              <c:numCache>
                <c:formatCode>0.00_);[Red]\(0.00\)</c:formatCode>
                <c:ptCount val="96"/>
                <c:pt idx="0">
                  <c:v>1</c:v>
                </c:pt>
                <c:pt idx="1">
                  <c:v>1.2</c:v>
                </c:pt>
                <c:pt idx="2">
                  <c:v>1.4</c:v>
                </c:pt>
                <c:pt idx="3">
                  <c:v>1.6</c:v>
                </c:pt>
                <c:pt idx="4">
                  <c:v>1.8</c:v>
                </c:pt>
                <c:pt idx="5">
                  <c:v>2</c:v>
                </c:pt>
                <c:pt idx="6">
                  <c:v>2.2</c:v>
                </c:pt>
                <c:pt idx="7">
                  <c:v>2.4</c:v>
                </c:pt>
                <c:pt idx="8">
                  <c:v>2.6</c:v>
                </c:pt>
                <c:pt idx="9">
                  <c:v>2.8</c:v>
                </c:pt>
                <c:pt idx="10">
                  <c:v>3</c:v>
                </c:pt>
                <c:pt idx="11">
                  <c:v>3.2</c:v>
                </c:pt>
                <c:pt idx="12">
                  <c:v>3.4</c:v>
                </c:pt>
                <c:pt idx="13">
                  <c:v>3.6</c:v>
                </c:pt>
                <c:pt idx="14">
                  <c:v>3.8</c:v>
                </c:pt>
                <c:pt idx="15">
                  <c:v>4</c:v>
                </c:pt>
                <c:pt idx="16">
                  <c:v>4.2</c:v>
                </c:pt>
                <c:pt idx="17">
                  <c:v>4.4</c:v>
                </c:pt>
                <c:pt idx="18">
                  <c:v>4.6</c:v>
                </c:pt>
                <c:pt idx="19">
                  <c:v>4.8</c:v>
                </c:pt>
                <c:pt idx="20">
                  <c:v>5</c:v>
                </c:pt>
                <c:pt idx="21">
                  <c:v>5.2</c:v>
                </c:pt>
                <c:pt idx="22">
                  <c:v>5.4</c:v>
                </c:pt>
                <c:pt idx="23">
                  <c:v>5.6</c:v>
                </c:pt>
                <c:pt idx="24">
                  <c:v>5.8</c:v>
                </c:pt>
                <c:pt idx="25">
                  <c:v>6</c:v>
                </c:pt>
                <c:pt idx="26">
                  <c:v>6.2</c:v>
                </c:pt>
                <c:pt idx="27">
                  <c:v>6.4</c:v>
                </c:pt>
                <c:pt idx="28">
                  <c:v>6.6</c:v>
                </c:pt>
                <c:pt idx="29">
                  <c:v>6.8</c:v>
                </c:pt>
                <c:pt idx="30">
                  <c:v>7</c:v>
                </c:pt>
                <c:pt idx="31">
                  <c:v>7.2</c:v>
                </c:pt>
                <c:pt idx="32">
                  <c:v>7.4</c:v>
                </c:pt>
                <c:pt idx="33">
                  <c:v>7.6</c:v>
                </c:pt>
                <c:pt idx="34">
                  <c:v>7.8</c:v>
                </c:pt>
                <c:pt idx="35">
                  <c:v>8</c:v>
                </c:pt>
                <c:pt idx="36">
                  <c:v>8.2</c:v>
                </c:pt>
                <c:pt idx="37">
                  <c:v>8.4</c:v>
                </c:pt>
                <c:pt idx="38">
                  <c:v>8.6</c:v>
                </c:pt>
                <c:pt idx="39">
                  <c:v>8.8</c:v>
                </c:pt>
                <c:pt idx="40">
                  <c:v>9</c:v>
                </c:pt>
                <c:pt idx="41">
                  <c:v>9.2</c:v>
                </c:pt>
                <c:pt idx="42">
                  <c:v>9.4</c:v>
                </c:pt>
                <c:pt idx="43">
                  <c:v>9.6</c:v>
                </c:pt>
                <c:pt idx="44">
                  <c:v>9.8</c:v>
                </c:pt>
                <c:pt idx="45">
                  <c:v>10</c:v>
                </c:pt>
                <c:pt idx="46">
                  <c:v>10.2</c:v>
                </c:pt>
                <c:pt idx="47">
                  <c:v>10.4</c:v>
                </c:pt>
                <c:pt idx="48">
                  <c:v>10.6</c:v>
                </c:pt>
                <c:pt idx="49">
                  <c:v>10.8</c:v>
                </c:pt>
                <c:pt idx="50">
                  <c:v>11</c:v>
                </c:pt>
                <c:pt idx="51">
                  <c:v>11.2</c:v>
                </c:pt>
                <c:pt idx="52">
                  <c:v>11.4</c:v>
                </c:pt>
                <c:pt idx="53">
                  <c:v>11.6</c:v>
                </c:pt>
                <c:pt idx="54">
                  <c:v>11.8</c:v>
                </c:pt>
                <c:pt idx="55">
                  <c:v>12</c:v>
                </c:pt>
                <c:pt idx="56">
                  <c:v>12.2</c:v>
                </c:pt>
                <c:pt idx="57">
                  <c:v>12.4</c:v>
                </c:pt>
                <c:pt idx="58">
                  <c:v>12.6</c:v>
                </c:pt>
                <c:pt idx="59">
                  <c:v>12.8</c:v>
                </c:pt>
                <c:pt idx="60">
                  <c:v>13</c:v>
                </c:pt>
                <c:pt idx="61">
                  <c:v>13.2</c:v>
                </c:pt>
                <c:pt idx="62">
                  <c:v>13.4</c:v>
                </c:pt>
                <c:pt idx="63">
                  <c:v>13.6</c:v>
                </c:pt>
                <c:pt idx="64">
                  <c:v>13.8</c:v>
                </c:pt>
                <c:pt idx="65">
                  <c:v>14</c:v>
                </c:pt>
                <c:pt idx="66">
                  <c:v>14.2</c:v>
                </c:pt>
                <c:pt idx="67">
                  <c:v>14.4</c:v>
                </c:pt>
                <c:pt idx="68">
                  <c:v>14.6</c:v>
                </c:pt>
                <c:pt idx="69">
                  <c:v>14.8</c:v>
                </c:pt>
                <c:pt idx="70">
                  <c:v>15</c:v>
                </c:pt>
                <c:pt idx="71">
                  <c:v>15.2</c:v>
                </c:pt>
                <c:pt idx="72">
                  <c:v>15.4</c:v>
                </c:pt>
                <c:pt idx="73">
                  <c:v>15.6</c:v>
                </c:pt>
                <c:pt idx="74">
                  <c:v>15.8</c:v>
                </c:pt>
                <c:pt idx="75">
                  <c:v>16</c:v>
                </c:pt>
                <c:pt idx="76">
                  <c:v>16.2</c:v>
                </c:pt>
                <c:pt idx="77">
                  <c:v>16.4</c:v>
                </c:pt>
                <c:pt idx="78">
                  <c:v>16.6</c:v>
                </c:pt>
                <c:pt idx="79">
                  <c:v>16.8</c:v>
                </c:pt>
                <c:pt idx="80">
                  <c:v>17</c:v>
                </c:pt>
                <c:pt idx="81">
                  <c:v>17.2</c:v>
                </c:pt>
                <c:pt idx="82">
                  <c:v>17.4</c:v>
                </c:pt>
                <c:pt idx="83">
                  <c:v>17.6</c:v>
                </c:pt>
                <c:pt idx="84">
                  <c:v>17.8</c:v>
                </c:pt>
                <c:pt idx="85">
                  <c:v>18</c:v>
                </c:pt>
                <c:pt idx="86">
                  <c:v>18.2</c:v>
                </c:pt>
                <c:pt idx="87">
                  <c:v>18.4</c:v>
                </c:pt>
                <c:pt idx="88">
                  <c:v>18.6</c:v>
                </c:pt>
                <c:pt idx="89">
                  <c:v>18.8</c:v>
                </c:pt>
                <c:pt idx="90">
                  <c:v>19</c:v>
                </c:pt>
                <c:pt idx="91">
                  <c:v>19.2</c:v>
                </c:pt>
                <c:pt idx="92">
                  <c:v>19.4</c:v>
                </c:pt>
                <c:pt idx="93">
                  <c:v>19.6</c:v>
                </c:pt>
                <c:pt idx="94">
                  <c:v>19.8</c:v>
                </c:pt>
                <c:pt idx="95">
                  <c:v>20</c:v>
                </c:pt>
              </c:numCache>
            </c:numRef>
          </c:yVal>
          <c:smooth val="1"/>
        </c:ser>
        <c:ser>
          <c:idx val="7"/>
          <c:order val="3"/>
          <c:tx>
            <c:strRef>
              <c:f>'Sheet1 (2)'!$G$4</c:f>
              <c:strCache>
                <c:ptCount val="1"/>
                <c:pt idx="0">
                  <c:v>建0.20g三组（远）</c:v>
                </c:pt>
              </c:strCache>
            </c:strRef>
          </c:tx>
          <c:spPr>
            <a:ln w="19050" cap="rnd">
              <a:solidFill>
                <a:schemeClr val="accent6">
                  <a:lumMod val="50000"/>
                </a:schemeClr>
              </a:solidFill>
              <a:round/>
            </a:ln>
            <a:effectLst/>
          </c:spPr>
          <c:marker>
            <c:symbol val="none"/>
          </c:marker>
          <c:dLbls>
            <c:delete val="1"/>
          </c:dLbls>
          <c:xVal>
            <c:numRef>
              <c:f>'Sheet1 (2)'!$A$5:$A$100</c:f>
            </c:numRef>
          </c:xVal>
          <c:yVal>
            <c:numRef>
              <c:f>'Sheet1 (2)'!$G$5:$G$100</c:f>
            </c:numRef>
          </c:yVal>
          <c:smooth val="1"/>
        </c:ser>
        <c:ser>
          <c:idx val="8"/>
          <c:order val="4"/>
          <c:tx>
            <c:strRef>
              <c:f>'Sheet1 (2)'!$H$4</c:f>
              <c:strCache>
                <c:ptCount val="1"/>
                <c:pt idx="0">
                  <c:v>折线0.10g(0.35s)</c:v>
                </c:pt>
              </c:strCache>
            </c:strRef>
          </c:tx>
          <c:spPr>
            <a:ln w="25400" cap="rnd">
              <a:solidFill>
                <a:schemeClr val="tx1"/>
              </a:solidFill>
              <a:prstDash val="sysDot"/>
              <a:round/>
            </a:ln>
            <a:effectLst/>
          </c:spPr>
          <c:marker>
            <c:symbol val="none"/>
          </c:marker>
          <c:dLbls>
            <c:delete val="1"/>
          </c:dLbls>
          <c:xVal>
            <c:numRef>
              <c:f>'Sheet1 (2)'!$H$5:$H$100</c:f>
              <c:numCache>
                <c:formatCode>0.0_ </c:formatCode>
                <c:ptCount val="96"/>
                <c:pt idx="0">
                  <c:v>5.4</c:v>
                </c:pt>
                <c:pt idx="1">
                  <c:v>5.52</c:v>
                </c:pt>
                <c:pt idx="2">
                  <c:v>5.64</c:v>
                </c:pt>
                <c:pt idx="3">
                  <c:v>5.76</c:v>
                </c:pt>
                <c:pt idx="4">
                  <c:v>5.88</c:v>
                </c:pt>
                <c:pt idx="5">
                  <c:v>6</c:v>
                </c:pt>
                <c:pt idx="6">
                  <c:v>6.12</c:v>
                </c:pt>
                <c:pt idx="7">
                  <c:v>6.24</c:v>
                </c:pt>
                <c:pt idx="8">
                  <c:v>6.36</c:v>
                </c:pt>
                <c:pt idx="9">
                  <c:v>6.48</c:v>
                </c:pt>
                <c:pt idx="10">
                  <c:v>6.6</c:v>
                </c:pt>
                <c:pt idx="11">
                  <c:v>6.72</c:v>
                </c:pt>
                <c:pt idx="12">
                  <c:v>6.84</c:v>
                </c:pt>
                <c:pt idx="13">
                  <c:v>6.96</c:v>
                </c:pt>
                <c:pt idx="14">
                  <c:v>7.08</c:v>
                </c:pt>
                <c:pt idx="15">
                  <c:v>7.2</c:v>
                </c:pt>
                <c:pt idx="16">
                  <c:v>7.32</c:v>
                </c:pt>
                <c:pt idx="17">
                  <c:v>7.44</c:v>
                </c:pt>
                <c:pt idx="18">
                  <c:v>7.56</c:v>
                </c:pt>
                <c:pt idx="19">
                  <c:v>7.68</c:v>
                </c:pt>
                <c:pt idx="20">
                  <c:v>7.8</c:v>
                </c:pt>
                <c:pt idx="21">
                  <c:v>7.92</c:v>
                </c:pt>
                <c:pt idx="22">
                  <c:v>8.04</c:v>
                </c:pt>
                <c:pt idx="23">
                  <c:v>8.16</c:v>
                </c:pt>
                <c:pt idx="24">
                  <c:v>8.28</c:v>
                </c:pt>
                <c:pt idx="25">
                  <c:v>8.4</c:v>
                </c:pt>
                <c:pt idx="26">
                  <c:v>8.52</c:v>
                </c:pt>
                <c:pt idx="27">
                  <c:v>8.64</c:v>
                </c:pt>
                <c:pt idx="28">
                  <c:v>8.76</c:v>
                </c:pt>
                <c:pt idx="29">
                  <c:v>8.88</c:v>
                </c:pt>
                <c:pt idx="30">
                  <c:v>9</c:v>
                </c:pt>
                <c:pt idx="31">
                  <c:v>9.12</c:v>
                </c:pt>
                <c:pt idx="32">
                  <c:v>9.24</c:v>
                </c:pt>
                <c:pt idx="33">
                  <c:v>9.36</c:v>
                </c:pt>
                <c:pt idx="34">
                  <c:v>9.48</c:v>
                </c:pt>
                <c:pt idx="35">
                  <c:v>9.6</c:v>
                </c:pt>
                <c:pt idx="36">
                  <c:v>9.72</c:v>
                </c:pt>
                <c:pt idx="37">
                  <c:v>9.84</c:v>
                </c:pt>
                <c:pt idx="38">
                  <c:v>9.96</c:v>
                </c:pt>
                <c:pt idx="39">
                  <c:v>10.08</c:v>
                </c:pt>
                <c:pt idx="40">
                  <c:v>10.2</c:v>
                </c:pt>
                <c:pt idx="41">
                  <c:v>10.32</c:v>
                </c:pt>
                <c:pt idx="42">
                  <c:v>10.44</c:v>
                </c:pt>
                <c:pt idx="43">
                  <c:v>10.56</c:v>
                </c:pt>
                <c:pt idx="44">
                  <c:v>10.68</c:v>
                </c:pt>
                <c:pt idx="45">
                  <c:v>10.8</c:v>
                </c:pt>
                <c:pt idx="46">
                  <c:v>10.92</c:v>
                </c:pt>
                <c:pt idx="47">
                  <c:v>11.04</c:v>
                </c:pt>
                <c:pt idx="48">
                  <c:v>11.16</c:v>
                </c:pt>
                <c:pt idx="49">
                  <c:v>11.28</c:v>
                </c:pt>
                <c:pt idx="50">
                  <c:v>11.4</c:v>
                </c:pt>
                <c:pt idx="51">
                  <c:v>11.52</c:v>
                </c:pt>
                <c:pt idx="52">
                  <c:v>11.64</c:v>
                </c:pt>
                <c:pt idx="53">
                  <c:v>11.76</c:v>
                </c:pt>
                <c:pt idx="54">
                  <c:v>11.88</c:v>
                </c:pt>
                <c:pt idx="55">
                  <c:v>12</c:v>
                </c:pt>
                <c:pt idx="56">
                  <c:v>12.12</c:v>
                </c:pt>
                <c:pt idx="57">
                  <c:v>12.24</c:v>
                </c:pt>
                <c:pt idx="58">
                  <c:v>12.36</c:v>
                </c:pt>
                <c:pt idx="59">
                  <c:v>12.48</c:v>
                </c:pt>
                <c:pt idx="60">
                  <c:v>12.6</c:v>
                </c:pt>
                <c:pt idx="61">
                  <c:v>12.72</c:v>
                </c:pt>
                <c:pt idx="62">
                  <c:v>12.84</c:v>
                </c:pt>
                <c:pt idx="63">
                  <c:v>12.96</c:v>
                </c:pt>
                <c:pt idx="64">
                  <c:v>13.08</c:v>
                </c:pt>
                <c:pt idx="65">
                  <c:v>13.2</c:v>
                </c:pt>
                <c:pt idx="66">
                  <c:v>13.32</c:v>
                </c:pt>
                <c:pt idx="67">
                  <c:v>13.44</c:v>
                </c:pt>
                <c:pt idx="68">
                  <c:v>13.56</c:v>
                </c:pt>
                <c:pt idx="69">
                  <c:v>13.68</c:v>
                </c:pt>
                <c:pt idx="70">
                  <c:v>13.8</c:v>
                </c:pt>
                <c:pt idx="71">
                  <c:v>13.8</c:v>
                </c:pt>
                <c:pt idx="72">
                  <c:v>13.8</c:v>
                </c:pt>
                <c:pt idx="73">
                  <c:v>13.8</c:v>
                </c:pt>
                <c:pt idx="74">
                  <c:v>13.8</c:v>
                </c:pt>
                <c:pt idx="75">
                  <c:v>13.8</c:v>
                </c:pt>
                <c:pt idx="76">
                  <c:v>13.8</c:v>
                </c:pt>
                <c:pt idx="77">
                  <c:v>13.8</c:v>
                </c:pt>
                <c:pt idx="78">
                  <c:v>13.8</c:v>
                </c:pt>
                <c:pt idx="79">
                  <c:v>13.8</c:v>
                </c:pt>
                <c:pt idx="80">
                  <c:v>13.8</c:v>
                </c:pt>
                <c:pt idx="81">
                  <c:v>13.8</c:v>
                </c:pt>
                <c:pt idx="82">
                  <c:v>13.8</c:v>
                </c:pt>
                <c:pt idx="83">
                  <c:v>13.8</c:v>
                </c:pt>
                <c:pt idx="84">
                  <c:v>13.8</c:v>
                </c:pt>
                <c:pt idx="85">
                  <c:v>13.8</c:v>
                </c:pt>
                <c:pt idx="86">
                  <c:v>13.8</c:v>
                </c:pt>
                <c:pt idx="87">
                  <c:v>13.8</c:v>
                </c:pt>
                <c:pt idx="88">
                  <c:v>13.8</c:v>
                </c:pt>
                <c:pt idx="89">
                  <c:v>13.8</c:v>
                </c:pt>
                <c:pt idx="90">
                  <c:v>13.8</c:v>
                </c:pt>
                <c:pt idx="91">
                  <c:v>13.8</c:v>
                </c:pt>
                <c:pt idx="92">
                  <c:v>13.8</c:v>
                </c:pt>
                <c:pt idx="93">
                  <c:v>13.8</c:v>
                </c:pt>
                <c:pt idx="94">
                  <c:v>13.8</c:v>
                </c:pt>
                <c:pt idx="95">
                  <c:v>13.8</c:v>
                </c:pt>
              </c:numCache>
            </c:numRef>
          </c:xVal>
          <c:yVal>
            <c:numRef>
              <c:f>'Sheet1 (2)'!$A$5:$A$100</c:f>
              <c:numCache>
                <c:formatCode>0.00_);[Red]\(0.00\)</c:formatCode>
                <c:ptCount val="96"/>
                <c:pt idx="0">
                  <c:v>1</c:v>
                </c:pt>
                <c:pt idx="1">
                  <c:v>1.2</c:v>
                </c:pt>
                <c:pt idx="2">
                  <c:v>1.4</c:v>
                </c:pt>
                <c:pt idx="3">
                  <c:v>1.6</c:v>
                </c:pt>
                <c:pt idx="4">
                  <c:v>1.8</c:v>
                </c:pt>
                <c:pt idx="5">
                  <c:v>2</c:v>
                </c:pt>
                <c:pt idx="6">
                  <c:v>2.2</c:v>
                </c:pt>
                <c:pt idx="7">
                  <c:v>2.4</c:v>
                </c:pt>
                <c:pt idx="8">
                  <c:v>2.6</c:v>
                </c:pt>
                <c:pt idx="9">
                  <c:v>2.8</c:v>
                </c:pt>
                <c:pt idx="10">
                  <c:v>3</c:v>
                </c:pt>
                <c:pt idx="11">
                  <c:v>3.2</c:v>
                </c:pt>
                <c:pt idx="12">
                  <c:v>3.4</c:v>
                </c:pt>
                <c:pt idx="13">
                  <c:v>3.6</c:v>
                </c:pt>
                <c:pt idx="14">
                  <c:v>3.8</c:v>
                </c:pt>
                <c:pt idx="15">
                  <c:v>4</c:v>
                </c:pt>
                <c:pt idx="16">
                  <c:v>4.2</c:v>
                </c:pt>
                <c:pt idx="17">
                  <c:v>4.4</c:v>
                </c:pt>
                <c:pt idx="18">
                  <c:v>4.6</c:v>
                </c:pt>
                <c:pt idx="19">
                  <c:v>4.8</c:v>
                </c:pt>
                <c:pt idx="20">
                  <c:v>5</c:v>
                </c:pt>
                <c:pt idx="21">
                  <c:v>5.2</c:v>
                </c:pt>
                <c:pt idx="22">
                  <c:v>5.4</c:v>
                </c:pt>
                <c:pt idx="23">
                  <c:v>5.6</c:v>
                </c:pt>
                <c:pt idx="24">
                  <c:v>5.8</c:v>
                </c:pt>
                <c:pt idx="25">
                  <c:v>6</c:v>
                </c:pt>
                <c:pt idx="26">
                  <c:v>6.2</c:v>
                </c:pt>
                <c:pt idx="27">
                  <c:v>6.4</c:v>
                </c:pt>
                <c:pt idx="28">
                  <c:v>6.6</c:v>
                </c:pt>
                <c:pt idx="29">
                  <c:v>6.8</c:v>
                </c:pt>
                <c:pt idx="30">
                  <c:v>7</c:v>
                </c:pt>
                <c:pt idx="31">
                  <c:v>7.2</c:v>
                </c:pt>
                <c:pt idx="32">
                  <c:v>7.4</c:v>
                </c:pt>
                <c:pt idx="33">
                  <c:v>7.6</c:v>
                </c:pt>
                <c:pt idx="34">
                  <c:v>7.8</c:v>
                </c:pt>
                <c:pt idx="35">
                  <c:v>8</c:v>
                </c:pt>
                <c:pt idx="36">
                  <c:v>8.2</c:v>
                </c:pt>
                <c:pt idx="37">
                  <c:v>8.4</c:v>
                </c:pt>
                <c:pt idx="38">
                  <c:v>8.6</c:v>
                </c:pt>
                <c:pt idx="39">
                  <c:v>8.8</c:v>
                </c:pt>
                <c:pt idx="40">
                  <c:v>9</c:v>
                </c:pt>
                <c:pt idx="41">
                  <c:v>9.2</c:v>
                </c:pt>
                <c:pt idx="42">
                  <c:v>9.4</c:v>
                </c:pt>
                <c:pt idx="43">
                  <c:v>9.6</c:v>
                </c:pt>
                <c:pt idx="44">
                  <c:v>9.8</c:v>
                </c:pt>
                <c:pt idx="45">
                  <c:v>10</c:v>
                </c:pt>
                <c:pt idx="46">
                  <c:v>10.2</c:v>
                </c:pt>
                <c:pt idx="47">
                  <c:v>10.4</c:v>
                </c:pt>
                <c:pt idx="48">
                  <c:v>10.6</c:v>
                </c:pt>
                <c:pt idx="49">
                  <c:v>10.8</c:v>
                </c:pt>
                <c:pt idx="50">
                  <c:v>11</c:v>
                </c:pt>
                <c:pt idx="51">
                  <c:v>11.2</c:v>
                </c:pt>
                <c:pt idx="52">
                  <c:v>11.4</c:v>
                </c:pt>
                <c:pt idx="53">
                  <c:v>11.6</c:v>
                </c:pt>
                <c:pt idx="54">
                  <c:v>11.8</c:v>
                </c:pt>
                <c:pt idx="55">
                  <c:v>12</c:v>
                </c:pt>
                <c:pt idx="56">
                  <c:v>12.2</c:v>
                </c:pt>
                <c:pt idx="57">
                  <c:v>12.4</c:v>
                </c:pt>
                <c:pt idx="58">
                  <c:v>12.6</c:v>
                </c:pt>
                <c:pt idx="59">
                  <c:v>12.8</c:v>
                </c:pt>
                <c:pt idx="60">
                  <c:v>13</c:v>
                </c:pt>
                <c:pt idx="61">
                  <c:v>13.2</c:v>
                </c:pt>
                <c:pt idx="62">
                  <c:v>13.4</c:v>
                </c:pt>
                <c:pt idx="63">
                  <c:v>13.6</c:v>
                </c:pt>
                <c:pt idx="64">
                  <c:v>13.8</c:v>
                </c:pt>
                <c:pt idx="65">
                  <c:v>14</c:v>
                </c:pt>
                <c:pt idx="66">
                  <c:v>14.2</c:v>
                </c:pt>
                <c:pt idx="67">
                  <c:v>14.4</c:v>
                </c:pt>
                <c:pt idx="68">
                  <c:v>14.6</c:v>
                </c:pt>
                <c:pt idx="69">
                  <c:v>14.8</c:v>
                </c:pt>
                <c:pt idx="70">
                  <c:v>15</c:v>
                </c:pt>
                <c:pt idx="71">
                  <c:v>15.2</c:v>
                </c:pt>
                <c:pt idx="72">
                  <c:v>15.4</c:v>
                </c:pt>
                <c:pt idx="73">
                  <c:v>15.6</c:v>
                </c:pt>
                <c:pt idx="74">
                  <c:v>15.8</c:v>
                </c:pt>
                <c:pt idx="75">
                  <c:v>16</c:v>
                </c:pt>
                <c:pt idx="76">
                  <c:v>16.2</c:v>
                </c:pt>
                <c:pt idx="77">
                  <c:v>16.4</c:v>
                </c:pt>
                <c:pt idx="78">
                  <c:v>16.6</c:v>
                </c:pt>
                <c:pt idx="79">
                  <c:v>16.8</c:v>
                </c:pt>
                <c:pt idx="80">
                  <c:v>17</c:v>
                </c:pt>
                <c:pt idx="81">
                  <c:v>17.2</c:v>
                </c:pt>
                <c:pt idx="82">
                  <c:v>17.4</c:v>
                </c:pt>
                <c:pt idx="83">
                  <c:v>17.6</c:v>
                </c:pt>
                <c:pt idx="84">
                  <c:v>17.8</c:v>
                </c:pt>
                <c:pt idx="85">
                  <c:v>18</c:v>
                </c:pt>
                <c:pt idx="86">
                  <c:v>18.2</c:v>
                </c:pt>
                <c:pt idx="87">
                  <c:v>18.4</c:v>
                </c:pt>
                <c:pt idx="88">
                  <c:v>18.6</c:v>
                </c:pt>
                <c:pt idx="89">
                  <c:v>18.8</c:v>
                </c:pt>
                <c:pt idx="90">
                  <c:v>19</c:v>
                </c:pt>
                <c:pt idx="91">
                  <c:v>19.2</c:v>
                </c:pt>
                <c:pt idx="92">
                  <c:v>19.4</c:v>
                </c:pt>
                <c:pt idx="93">
                  <c:v>19.6</c:v>
                </c:pt>
                <c:pt idx="94">
                  <c:v>19.8</c:v>
                </c:pt>
                <c:pt idx="95">
                  <c:v>20</c:v>
                </c:pt>
              </c:numCache>
            </c:numRef>
          </c:yVal>
          <c:smooth val="1"/>
        </c:ser>
        <c:ser>
          <c:idx val="11"/>
          <c:order val="5"/>
          <c:tx>
            <c:strRef>
              <c:f>'Sheet1 (2)'!$K$4</c:f>
              <c:strCache>
                <c:ptCount val="1"/>
                <c:pt idx="0">
                  <c:v>折线0.20g(0.40s)</c:v>
                </c:pt>
              </c:strCache>
            </c:strRef>
          </c:tx>
          <c:spPr>
            <a:ln w="25400" cap="rnd">
              <a:solidFill>
                <a:schemeClr val="tx1"/>
              </a:solidFill>
              <a:prstDash val="lgDashDotDot"/>
              <a:round/>
            </a:ln>
            <a:effectLst/>
          </c:spPr>
          <c:marker>
            <c:symbol val="none"/>
          </c:marker>
          <c:dLbls>
            <c:delete val="1"/>
          </c:dLbls>
          <c:xVal>
            <c:numRef>
              <c:f>'Sheet1 (2)'!$K$5:$K$100</c:f>
              <c:numCache>
                <c:formatCode>0.0_ </c:formatCode>
                <c:ptCount val="96"/>
                <c:pt idx="0">
                  <c:v>10.8</c:v>
                </c:pt>
                <c:pt idx="1">
                  <c:v>11.04</c:v>
                </c:pt>
                <c:pt idx="2">
                  <c:v>11.28</c:v>
                </c:pt>
                <c:pt idx="3">
                  <c:v>11.52</c:v>
                </c:pt>
                <c:pt idx="4">
                  <c:v>11.76</c:v>
                </c:pt>
                <c:pt idx="5">
                  <c:v>12</c:v>
                </c:pt>
                <c:pt idx="6">
                  <c:v>12.24</c:v>
                </c:pt>
                <c:pt idx="7">
                  <c:v>12.48</c:v>
                </c:pt>
                <c:pt idx="8">
                  <c:v>12.72</c:v>
                </c:pt>
                <c:pt idx="9">
                  <c:v>12.96</c:v>
                </c:pt>
                <c:pt idx="10">
                  <c:v>13.2</c:v>
                </c:pt>
                <c:pt idx="11">
                  <c:v>13.44</c:v>
                </c:pt>
                <c:pt idx="12">
                  <c:v>13.68</c:v>
                </c:pt>
                <c:pt idx="13">
                  <c:v>13.92</c:v>
                </c:pt>
                <c:pt idx="14">
                  <c:v>14.16</c:v>
                </c:pt>
                <c:pt idx="15">
                  <c:v>14.4</c:v>
                </c:pt>
                <c:pt idx="16">
                  <c:v>14.64</c:v>
                </c:pt>
                <c:pt idx="17">
                  <c:v>14.88</c:v>
                </c:pt>
                <c:pt idx="18">
                  <c:v>15.12</c:v>
                </c:pt>
                <c:pt idx="19">
                  <c:v>15.36</c:v>
                </c:pt>
                <c:pt idx="20">
                  <c:v>15.6</c:v>
                </c:pt>
                <c:pt idx="21">
                  <c:v>15.84</c:v>
                </c:pt>
                <c:pt idx="22">
                  <c:v>16.08</c:v>
                </c:pt>
                <c:pt idx="23">
                  <c:v>16.32</c:v>
                </c:pt>
                <c:pt idx="24">
                  <c:v>16.56</c:v>
                </c:pt>
                <c:pt idx="25">
                  <c:v>16.8</c:v>
                </c:pt>
                <c:pt idx="26">
                  <c:v>17.04</c:v>
                </c:pt>
                <c:pt idx="27">
                  <c:v>17.28</c:v>
                </c:pt>
                <c:pt idx="28">
                  <c:v>17.52</c:v>
                </c:pt>
                <c:pt idx="29">
                  <c:v>17.76</c:v>
                </c:pt>
                <c:pt idx="30">
                  <c:v>18</c:v>
                </c:pt>
                <c:pt idx="31">
                  <c:v>18.24</c:v>
                </c:pt>
                <c:pt idx="32">
                  <c:v>18.48</c:v>
                </c:pt>
                <c:pt idx="33">
                  <c:v>18.72</c:v>
                </c:pt>
                <c:pt idx="34">
                  <c:v>18.96</c:v>
                </c:pt>
                <c:pt idx="35">
                  <c:v>19.2</c:v>
                </c:pt>
                <c:pt idx="36">
                  <c:v>19.44</c:v>
                </c:pt>
                <c:pt idx="37">
                  <c:v>19.68</c:v>
                </c:pt>
                <c:pt idx="38">
                  <c:v>19.92</c:v>
                </c:pt>
                <c:pt idx="39">
                  <c:v>20.16</c:v>
                </c:pt>
                <c:pt idx="40">
                  <c:v>20.4</c:v>
                </c:pt>
                <c:pt idx="41">
                  <c:v>20.64</c:v>
                </c:pt>
                <c:pt idx="42">
                  <c:v>20.88</c:v>
                </c:pt>
                <c:pt idx="43">
                  <c:v>21.12</c:v>
                </c:pt>
                <c:pt idx="44">
                  <c:v>21.36</c:v>
                </c:pt>
                <c:pt idx="45">
                  <c:v>21.6</c:v>
                </c:pt>
                <c:pt idx="46">
                  <c:v>21.84</c:v>
                </c:pt>
                <c:pt idx="47">
                  <c:v>22.08</c:v>
                </c:pt>
                <c:pt idx="48">
                  <c:v>22.32</c:v>
                </c:pt>
                <c:pt idx="49">
                  <c:v>22.56</c:v>
                </c:pt>
                <c:pt idx="50">
                  <c:v>22.8</c:v>
                </c:pt>
                <c:pt idx="51">
                  <c:v>23.04</c:v>
                </c:pt>
                <c:pt idx="52">
                  <c:v>23.28</c:v>
                </c:pt>
                <c:pt idx="53">
                  <c:v>23.52</c:v>
                </c:pt>
                <c:pt idx="54">
                  <c:v>23.76</c:v>
                </c:pt>
                <c:pt idx="55">
                  <c:v>24</c:v>
                </c:pt>
                <c:pt idx="56">
                  <c:v>24.24</c:v>
                </c:pt>
                <c:pt idx="57">
                  <c:v>24.48</c:v>
                </c:pt>
                <c:pt idx="58">
                  <c:v>24.72</c:v>
                </c:pt>
                <c:pt idx="59">
                  <c:v>24.96</c:v>
                </c:pt>
                <c:pt idx="60">
                  <c:v>25.2</c:v>
                </c:pt>
                <c:pt idx="61">
                  <c:v>25.44</c:v>
                </c:pt>
                <c:pt idx="62">
                  <c:v>25.68</c:v>
                </c:pt>
                <c:pt idx="63">
                  <c:v>25.92</c:v>
                </c:pt>
                <c:pt idx="64">
                  <c:v>26.16</c:v>
                </c:pt>
                <c:pt idx="65">
                  <c:v>26.4</c:v>
                </c:pt>
                <c:pt idx="66">
                  <c:v>26.64</c:v>
                </c:pt>
                <c:pt idx="67">
                  <c:v>26.88</c:v>
                </c:pt>
                <c:pt idx="68">
                  <c:v>27.12</c:v>
                </c:pt>
                <c:pt idx="69">
                  <c:v>27.36</c:v>
                </c:pt>
                <c:pt idx="70">
                  <c:v>27.6</c:v>
                </c:pt>
                <c:pt idx="71">
                  <c:v>27.6</c:v>
                </c:pt>
                <c:pt idx="72">
                  <c:v>27.6</c:v>
                </c:pt>
                <c:pt idx="73">
                  <c:v>27.6</c:v>
                </c:pt>
                <c:pt idx="74">
                  <c:v>27.6</c:v>
                </c:pt>
                <c:pt idx="75">
                  <c:v>27.6</c:v>
                </c:pt>
                <c:pt idx="76">
                  <c:v>27.6</c:v>
                </c:pt>
                <c:pt idx="77">
                  <c:v>27.6</c:v>
                </c:pt>
                <c:pt idx="78">
                  <c:v>27.6</c:v>
                </c:pt>
                <c:pt idx="79">
                  <c:v>27.6</c:v>
                </c:pt>
                <c:pt idx="80">
                  <c:v>27.6</c:v>
                </c:pt>
                <c:pt idx="81">
                  <c:v>27.6</c:v>
                </c:pt>
                <c:pt idx="82">
                  <c:v>27.6</c:v>
                </c:pt>
                <c:pt idx="83">
                  <c:v>27.6</c:v>
                </c:pt>
                <c:pt idx="84">
                  <c:v>27.6</c:v>
                </c:pt>
                <c:pt idx="85">
                  <c:v>27.6</c:v>
                </c:pt>
                <c:pt idx="86">
                  <c:v>27.6</c:v>
                </c:pt>
                <c:pt idx="87">
                  <c:v>27.6</c:v>
                </c:pt>
                <c:pt idx="88">
                  <c:v>27.6</c:v>
                </c:pt>
                <c:pt idx="89">
                  <c:v>27.6</c:v>
                </c:pt>
                <c:pt idx="90">
                  <c:v>27.6</c:v>
                </c:pt>
                <c:pt idx="91">
                  <c:v>27.6</c:v>
                </c:pt>
                <c:pt idx="92">
                  <c:v>27.6</c:v>
                </c:pt>
                <c:pt idx="93">
                  <c:v>27.6</c:v>
                </c:pt>
                <c:pt idx="94">
                  <c:v>27.6</c:v>
                </c:pt>
                <c:pt idx="95">
                  <c:v>27.6</c:v>
                </c:pt>
              </c:numCache>
            </c:numRef>
          </c:xVal>
          <c:yVal>
            <c:numRef>
              <c:f>'Sheet1 (2)'!$A$5:$A$100</c:f>
              <c:numCache>
                <c:formatCode>0.00_);[Red]\(0.00\)</c:formatCode>
                <c:ptCount val="96"/>
                <c:pt idx="0">
                  <c:v>1</c:v>
                </c:pt>
                <c:pt idx="1">
                  <c:v>1.2</c:v>
                </c:pt>
                <c:pt idx="2">
                  <c:v>1.4</c:v>
                </c:pt>
                <c:pt idx="3">
                  <c:v>1.6</c:v>
                </c:pt>
                <c:pt idx="4">
                  <c:v>1.8</c:v>
                </c:pt>
                <c:pt idx="5">
                  <c:v>2</c:v>
                </c:pt>
                <c:pt idx="6">
                  <c:v>2.2</c:v>
                </c:pt>
                <c:pt idx="7">
                  <c:v>2.4</c:v>
                </c:pt>
                <c:pt idx="8">
                  <c:v>2.6</c:v>
                </c:pt>
                <c:pt idx="9">
                  <c:v>2.8</c:v>
                </c:pt>
                <c:pt idx="10">
                  <c:v>3</c:v>
                </c:pt>
                <c:pt idx="11">
                  <c:v>3.2</c:v>
                </c:pt>
                <c:pt idx="12">
                  <c:v>3.4</c:v>
                </c:pt>
                <c:pt idx="13">
                  <c:v>3.6</c:v>
                </c:pt>
                <c:pt idx="14">
                  <c:v>3.8</c:v>
                </c:pt>
                <c:pt idx="15">
                  <c:v>4</c:v>
                </c:pt>
                <c:pt idx="16">
                  <c:v>4.2</c:v>
                </c:pt>
                <c:pt idx="17">
                  <c:v>4.4</c:v>
                </c:pt>
                <c:pt idx="18">
                  <c:v>4.6</c:v>
                </c:pt>
                <c:pt idx="19">
                  <c:v>4.8</c:v>
                </c:pt>
                <c:pt idx="20">
                  <c:v>5</c:v>
                </c:pt>
                <c:pt idx="21">
                  <c:v>5.2</c:v>
                </c:pt>
                <c:pt idx="22">
                  <c:v>5.4</c:v>
                </c:pt>
                <c:pt idx="23">
                  <c:v>5.6</c:v>
                </c:pt>
                <c:pt idx="24">
                  <c:v>5.8</c:v>
                </c:pt>
                <c:pt idx="25">
                  <c:v>6</c:v>
                </c:pt>
                <c:pt idx="26">
                  <c:v>6.2</c:v>
                </c:pt>
                <c:pt idx="27">
                  <c:v>6.4</c:v>
                </c:pt>
                <c:pt idx="28">
                  <c:v>6.6</c:v>
                </c:pt>
                <c:pt idx="29">
                  <c:v>6.8</c:v>
                </c:pt>
                <c:pt idx="30">
                  <c:v>7</c:v>
                </c:pt>
                <c:pt idx="31">
                  <c:v>7.2</c:v>
                </c:pt>
                <c:pt idx="32">
                  <c:v>7.4</c:v>
                </c:pt>
                <c:pt idx="33">
                  <c:v>7.6</c:v>
                </c:pt>
                <c:pt idx="34">
                  <c:v>7.8</c:v>
                </c:pt>
                <c:pt idx="35">
                  <c:v>8</c:v>
                </c:pt>
                <c:pt idx="36">
                  <c:v>8.2</c:v>
                </c:pt>
                <c:pt idx="37">
                  <c:v>8.4</c:v>
                </c:pt>
                <c:pt idx="38">
                  <c:v>8.6</c:v>
                </c:pt>
                <c:pt idx="39">
                  <c:v>8.8</c:v>
                </c:pt>
                <c:pt idx="40">
                  <c:v>9</c:v>
                </c:pt>
                <c:pt idx="41">
                  <c:v>9.2</c:v>
                </c:pt>
                <c:pt idx="42">
                  <c:v>9.4</c:v>
                </c:pt>
                <c:pt idx="43">
                  <c:v>9.6</c:v>
                </c:pt>
                <c:pt idx="44">
                  <c:v>9.8</c:v>
                </c:pt>
                <c:pt idx="45">
                  <c:v>10</c:v>
                </c:pt>
                <c:pt idx="46">
                  <c:v>10.2</c:v>
                </c:pt>
                <c:pt idx="47">
                  <c:v>10.4</c:v>
                </c:pt>
                <c:pt idx="48">
                  <c:v>10.6</c:v>
                </c:pt>
                <c:pt idx="49">
                  <c:v>10.8</c:v>
                </c:pt>
                <c:pt idx="50">
                  <c:v>11</c:v>
                </c:pt>
                <c:pt idx="51">
                  <c:v>11.2</c:v>
                </c:pt>
                <c:pt idx="52">
                  <c:v>11.4</c:v>
                </c:pt>
                <c:pt idx="53">
                  <c:v>11.6</c:v>
                </c:pt>
                <c:pt idx="54">
                  <c:v>11.8</c:v>
                </c:pt>
                <c:pt idx="55">
                  <c:v>12</c:v>
                </c:pt>
                <c:pt idx="56">
                  <c:v>12.2</c:v>
                </c:pt>
                <c:pt idx="57">
                  <c:v>12.4</c:v>
                </c:pt>
                <c:pt idx="58">
                  <c:v>12.6</c:v>
                </c:pt>
                <c:pt idx="59">
                  <c:v>12.8</c:v>
                </c:pt>
                <c:pt idx="60">
                  <c:v>13</c:v>
                </c:pt>
                <c:pt idx="61">
                  <c:v>13.2</c:v>
                </c:pt>
                <c:pt idx="62">
                  <c:v>13.4</c:v>
                </c:pt>
                <c:pt idx="63">
                  <c:v>13.6</c:v>
                </c:pt>
                <c:pt idx="64">
                  <c:v>13.8</c:v>
                </c:pt>
                <c:pt idx="65">
                  <c:v>14</c:v>
                </c:pt>
                <c:pt idx="66">
                  <c:v>14.2</c:v>
                </c:pt>
                <c:pt idx="67">
                  <c:v>14.4</c:v>
                </c:pt>
                <c:pt idx="68">
                  <c:v>14.6</c:v>
                </c:pt>
                <c:pt idx="69">
                  <c:v>14.8</c:v>
                </c:pt>
                <c:pt idx="70">
                  <c:v>15</c:v>
                </c:pt>
                <c:pt idx="71">
                  <c:v>15.2</c:v>
                </c:pt>
                <c:pt idx="72">
                  <c:v>15.4</c:v>
                </c:pt>
                <c:pt idx="73">
                  <c:v>15.6</c:v>
                </c:pt>
                <c:pt idx="74">
                  <c:v>15.8</c:v>
                </c:pt>
                <c:pt idx="75">
                  <c:v>16</c:v>
                </c:pt>
                <c:pt idx="76">
                  <c:v>16.2</c:v>
                </c:pt>
                <c:pt idx="77">
                  <c:v>16.4</c:v>
                </c:pt>
                <c:pt idx="78">
                  <c:v>16.6</c:v>
                </c:pt>
                <c:pt idx="79">
                  <c:v>16.8</c:v>
                </c:pt>
                <c:pt idx="80">
                  <c:v>17</c:v>
                </c:pt>
                <c:pt idx="81">
                  <c:v>17.2</c:v>
                </c:pt>
                <c:pt idx="82">
                  <c:v>17.4</c:v>
                </c:pt>
                <c:pt idx="83">
                  <c:v>17.6</c:v>
                </c:pt>
                <c:pt idx="84">
                  <c:v>17.8</c:v>
                </c:pt>
                <c:pt idx="85">
                  <c:v>18</c:v>
                </c:pt>
                <c:pt idx="86">
                  <c:v>18.2</c:v>
                </c:pt>
                <c:pt idx="87">
                  <c:v>18.4</c:v>
                </c:pt>
                <c:pt idx="88">
                  <c:v>18.6</c:v>
                </c:pt>
                <c:pt idx="89">
                  <c:v>18.8</c:v>
                </c:pt>
                <c:pt idx="90">
                  <c:v>19</c:v>
                </c:pt>
                <c:pt idx="91">
                  <c:v>19.2</c:v>
                </c:pt>
                <c:pt idx="92">
                  <c:v>19.4</c:v>
                </c:pt>
                <c:pt idx="93">
                  <c:v>19.6</c:v>
                </c:pt>
                <c:pt idx="94">
                  <c:v>19.8</c:v>
                </c:pt>
                <c:pt idx="95">
                  <c:v>20</c:v>
                </c:pt>
              </c:numCache>
            </c:numRef>
          </c:yVal>
          <c:smooth val="1"/>
        </c:ser>
        <c:ser>
          <c:idx val="12"/>
          <c:order val="6"/>
          <c:tx>
            <c:strRef>
              <c:f>'Sheet1 (2)'!$L$4</c:f>
              <c:strCache>
                <c:ptCount val="1"/>
                <c:pt idx="0">
                  <c:v>水0.10g(近)</c:v>
                </c:pt>
              </c:strCache>
            </c:strRef>
          </c:tx>
          <c:spPr>
            <a:ln w="38100" cap="rnd">
              <a:solidFill>
                <a:srgbClr val="FF0000"/>
              </a:solidFill>
              <a:round/>
            </a:ln>
            <a:effectLst/>
          </c:spPr>
          <c:marker>
            <c:symbol val="none"/>
          </c:marker>
          <c:dLbls>
            <c:delete val="1"/>
          </c:dLbls>
          <c:xVal>
            <c:numRef>
              <c:f>'Sheet1 (2)'!$A$5:$A$100</c:f>
            </c:numRef>
          </c:xVal>
          <c:yVal>
            <c:numRef>
              <c:f>'Sheet1 (2)'!$L$5:$L$100</c:f>
            </c:numRef>
          </c:yVal>
          <c:smooth val="1"/>
        </c:ser>
        <c:ser>
          <c:idx val="13"/>
          <c:order val="7"/>
          <c:tx>
            <c:strRef>
              <c:f>'Sheet1 (2)'!$M$4</c:f>
              <c:strCache>
                <c:ptCount val="1"/>
                <c:pt idx="0">
                  <c:v>水0.10g(远)</c:v>
                </c:pt>
              </c:strCache>
            </c:strRef>
          </c:tx>
          <c:spPr>
            <a:ln w="38100" cap="rnd">
              <a:solidFill>
                <a:schemeClr val="accent4"/>
              </a:solidFill>
              <a:round/>
            </a:ln>
            <a:effectLst/>
          </c:spPr>
          <c:marker>
            <c:symbol val="none"/>
          </c:marker>
          <c:dLbls>
            <c:delete val="1"/>
          </c:dLbls>
          <c:xVal>
            <c:numRef>
              <c:f>'Sheet1 (2)'!$A$5:$A$100</c:f>
            </c:numRef>
          </c:xVal>
          <c:yVal>
            <c:numRef>
              <c:f>'Sheet1 (2)'!$M$5:$M$100</c:f>
            </c:numRef>
          </c:yVal>
          <c:smooth val="1"/>
        </c:ser>
        <c:ser>
          <c:idx val="1"/>
          <c:order val="8"/>
          <c:tx>
            <c:strRef>
              <c:f>'Sheet1 (2)'!$N$4</c:f>
              <c:strCache>
                <c:ptCount val="1"/>
                <c:pt idx="0">
                  <c:v>水0.20g(近)</c:v>
                </c:pt>
              </c:strCache>
            </c:strRef>
          </c:tx>
          <c:spPr>
            <a:ln w="38100" cap="rnd">
              <a:solidFill>
                <a:schemeClr val="accent5"/>
              </a:solidFill>
              <a:round/>
            </a:ln>
            <a:effectLst/>
          </c:spPr>
          <c:marker>
            <c:symbol val="none"/>
          </c:marker>
          <c:dLbls>
            <c:delete val="1"/>
          </c:dLbls>
          <c:xVal>
            <c:numRef>
              <c:f>'Sheet1 (2)'!$A$5:$A$100</c:f>
            </c:numRef>
          </c:xVal>
          <c:yVal>
            <c:numRef>
              <c:f>'Sheet1 (2)'!$N$5:$N$100</c:f>
            </c:numRef>
          </c:yVal>
          <c:smooth val="1"/>
        </c:ser>
        <c:ser>
          <c:idx val="4"/>
          <c:order val="9"/>
          <c:tx>
            <c:strRef>
              <c:f>'Sheet1 (2)'!$O$4</c:f>
              <c:strCache>
                <c:ptCount val="1"/>
                <c:pt idx="0">
                  <c:v>水0.20g(远)</c:v>
                </c:pt>
              </c:strCache>
            </c:strRef>
          </c:tx>
          <c:spPr>
            <a:ln w="38100" cap="rnd" cmpd="sng">
              <a:solidFill>
                <a:schemeClr val="accent6"/>
              </a:solidFill>
              <a:round/>
            </a:ln>
            <a:effectLst/>
          </c:spPr>
          <c:marker>
            <c:symbol val="none"/>
          </c:marker>
          <c:dLbls>
            <c:delete val="1"/>
          </c:dLbls>
          <c:xVal>
            <c:numRef>
              <c:f>'Sheet1 (2)'!$A$5:$A$100</c:f>
            </c:numRef>
          </c:xVal>
          <c:yVal>
            <c:numRef>
              <c:f>'Sheet1 (2)'!$O$5:$O$100</c:f>
            </c:numRef>
          </c:yVal>
          <c:smooth val="1"/>
        </c:ser>
        <c:dLbls>
          <c:showLegendKey val="0"/>
          <c:showVal val="0"/>
          <c:showCatName val="0"/>
          <c:showSerName val="0"/>
          <c:showPercent val="0"/>
          <c:showBubbleSize val="0"/>
        </c:dLbls>
        <c:axId val="43369845"/>
        <c:axId val="20774348"/>
      </c:scatterChart>
      <c:valAx>
        <c:axId val="43369845"/>
        <c:scaling>
          <c:orientation val="minMax"/>
          <c:max val="35"/>
        </c:scaling>
        <c:delete val="0"/>
        <c:axPos val="t"/>
        <c:majorGridlines>
          <c:spPr>
            <a:ln w="9525" cap="flat" cmpd="sng" algn="ctr">
              <a:solidFill>
                <a:schemeClr val="bg1">
                  <a:lumMod val="95000"/>
                </a:schemeClr>
              </a:solidFill>
              <a:prstDash val="dash"/>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00" b="0" i="0" u="none" strike="noStrike" kern="1200" baseline="0">
                    <a:solidFill>
                      <a:sysClr val="windowText" lastClr="000000"/>
                    </a:solidFill>
                    <a:latin typeface="Times New Roman" panose="02020603050405020304" charset="0"/>
                    <a:ea typeface="楷体" panose="02010609060101010101" pitchFamily="3" charset="-122"/>
                    <a:cs typeface="Times New Roman" panose="02020603050405020304" charset="0"/>
                  </a:defRPr>
                </a:pPr>
                <a:r>
                  <a:rPr lang="en-US" altLang="zh-CN" sz="1000" b="0" i="1" baseline="0">
                    <a:effectLst/>
                    <a:latin typeface="Times New Roman" panose="02020603050405020304" charset="0"/>
                    <a:ea typeface="楷体" panose="02010609060101010101" pitchFamily="3" charset="-122"/>
                    <a:cs typeface="Times New Roman" panose="02020603050405020304" charset="0"/>
                  </a:rPr>
                  <a:t>N</a:t>
                </a:r>
                <a:r>
                  <a:rPr lang="en-US" altLang="zh-CN" sz="1000" b="0" i="0" baseline="-25000">
                    <a:effectLst/>
                    <a:latin typeface="Times New Roman" panose="02020603050405020304" charset="0"/>
                    <a:ea typeface="楷体" panose="02010609060101010101" pitchFamily="3" charset="-122"/>
                    <a:cs typeface="Times New Roman" panose="02020603050405020304" charset="0"/>
                  </a:rPr>
                  <a:t>cr</a:t>
                </a:r>
                <a:r>
                  <a:rPr lang="zh-CN" altLang="zh-CN" sz="1000" b="0" i="0" baseline="0">
                    <a:effectLst/>
                    <a:latin typeface="Times New Roman" panose="02020603050405020304" charset="0"/>
                    <a:ea typeface="楷体" panose="02010609060101010101" pitchFamily="3" charset="-122"/>
                    <a:cs typeface="Times New Roman" panose="02020603050405020304" charset="0"/>
                  </a:rPr>
                  <a:t>（击）</a:t>
                </a:r>
                <a:endParaRPr lang="zh-CN" altLang="en-US" sz="1000">
                  <a:latin typeface="Times New Roman" panose="02020603050405020304" charset="0"/>
                  <a:ea typeface="楷体" panose="02010609060101010101" pitchFamily="3" charset="-122"/>
                  <a:cs typeface="Times New Roman" panose="02020603050405020304" charset="0"/>
                </a:endParaRPr>
              </a:p>
            </c:rich>
          </c:tx>
          <c:layout/>
          <c:overlay val="0"/>
          <c:spPr>
            <a:noFill/>
            <a:ln>
              <a:noFill/>
            </a:ln>
            <a:effectLst/>
          </c:spPr>
        </c:title>
        <c:numFmt formatCode="0_ " sourceLinked="0"/>
        <c:majorTickMark val="none"/>
        <c:minorTickMark val="none"/>
        <c:tickLblPos val="nextTo"/>
        <c:spPr>
          <a:noFill/>
          <a:ln w="9525" cap="flat" cmpd="sng" algn="ctr">
            <a:solidFill>
              <a:sysClr val="windowText" lastClr="000000"/>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0774348"/>
        <c:crosses val="autoZero"/>
        <c:crossBetween val="midCat"/>
      </c:valAx>
      <c:valAx>
        <c:axId val="20774348"/>
        <c:scaling>
          <c:orientation val="maxMin"/>
          <c:max val="20"/>
        </c:scaling>
        <c:delete val="0"/>
        <c:axPos val="l"/>
        <c:majorGridlines>
          <c:spPr>
            <a:ln w="9525" cap="flat" cmpd="sng" algn="ctr">
              <a:solidFill>
                <a:schemeClr val="bg1">
                  <a:lumMod val="95000"/>
                </a:schemeClr>
              </a:solidFill>
              <a:prstDash val="dash"/>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charset="0"/>
                    <a:ea typeface="楷体" panose="02010609060101010101" pitchFamily="3" charset="-122"/>
                    <a:cs typeface="Times New Roman" panose="02020603050405020304" charset="0"/>
                  </a:defRPr>
                </a:pPr>
                <a:r>
                  <a:rPr lang="zh-CN" altLang="zh-CN" sz="1000" b="0" i="0" u="none" strike="noStrike" baseline="0">
                    <a:effectLst/>
                    <a:latin typeface="Times New Roman" panose="02020603050405020304" charset="0"/>
                    <a:ea typeface="楷体" panose="02010609060101010101" pitchFamily="3" charset="-122"/>
                    <a:cs typeface="Times New Roman" panose="02020603050405020304" charset="0"/>
                  </a:rPr>
                  <a:t>标贯点深度</a:t>
                </a:r>
                <a:r>
                  <a:rPr lang="en-US" altLang="zh-CN" sz="1000" b="0" i="1" u="none" strike="noStrike" baseline="0">
                    <a:effectLst/>
                    <a:latin typeface="Times New Roman" panose="02020603050405020304" charset="0"/>
                    <a:ea typeface="楷体" panose="02010609060101010101" pitchFamily="3" charset="-122"/>
                    <a:cs typeface="Times New Roman" panose="02020603050405020304" charset="0"/>
                  </a:rPr>
                  <a:t>d</a:t>
                </a:r>
                <a:r>
                  <a:rPr lang="en-US" altLang="zh-CN" sz="1000" b="0" i="0" u="none" strike="noStrike" baseline="-25000">
                    <a:effectLst/>
                    <a:latin typeface="Times New Roman" panose="02020603050405020304" charset="0"/>
                    <a:ea typeface="楷体" panose="02010609060101010101" pitchFamily="3" charset="-122"/>
                    <a:cs typeface="Times New Roman" panose="02020603050405020304" charset="0"/>
                  </a:rPr>
                  <a:t>s</a:t>
                </a:r>
                <a:r>
                  <a:rPr lang="zh-CN" altLang="zh-CN" sz="1000" b="0" i="0" u="none" strike="noStrike" baseline="0">
                    <a:effectLst/>
                    <a:latin typeface="Times New Roman" panose="02020603050405020304" charset="0"/>
                    <a:ea typeface="楷体" panose="02010609060101010101" pitchFamily="3" charset="-122"/>
                    <a:cs typeface="Times New Roman" panose="02020603050405020304" charset="0"/>
                  </a:rPr>
                  <a:t>（</a:t>
                </a:r>
                <a:r>
                  <a:rPr lang="en-US" altLang="zh-CN" sz="1000" b="0" i="0" u="none" strike="noStrike" baseline="0">
                    <a:effectLst/>
                    <a:latin typeface="Times New Roman" panose="02020603050405020304" charset="0"/>
                    <a:ea typeface="楷体" panose="02010609060101010101" pitchFamily="3" charset="-122"/>
                    <a:cs typeface="Times New Roman" panose="02020603050405020304" charset="0"/>
                  </a:rPr>
                  <a:t>m</a:t>
                </a:r>
                <a:r>
                  <a:rPr lang="zh-CN" altLang="zh-CN" sz="1000" b="0" i="0" u="none" strike="noStrike" baseline="0">
                    <a:effectLst/>
                    <a:latin typeface="Times New Roman" panose="02020603050405020304" charset="0"/>
                    <a:ea typeface="楷体" panose="02010609060101010101" pitchFamily="3" charset="-122"/>
                    <a:cs typeface="Times New Roman" panose="02020603050405020304" charset="0"/>
                  </a:rPr>
                  <a:t>）</a:t>
                </a:r>
                <a:endParaRPr lang="zh-CN" altLang="en-US" sz="1000">
                  <a:latin typeface="Times New Roman" panose="02020603050405020304" charset="0"/>
                  <a:ea typeface="楷体" panose="02010609060101010101" pitchFamily="3" charset="-122"/>
                  <a:cs typeface="Times New Roman" panose="02020603050405020304" charset="0"/>
                </a:endParaRPr>
              </a:p>
            </c:rich>
          </c:tx>
          <c:layout>
            <c:manualLayout>
              <c:xMode val="edge"/>
              <c:yMode val="edge"/>
              <c:x val="0.0102321122903115"/>
              <c:y val="0.37093588653531"/>
            </c:manualLayout>
          </c:layout>
          <c:overlay val="0"/>
          <c:spPr>
            <a:noFill/>
            <a:ln>
              <a:noFill/>
            </a:ln>
            <a:effectLst/>
          </c:spPr>
        </c:title>
        <c:numFmt formatCode="0_ " sourceLinked="0"/>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43369845"/>
        <c:crosses val="autoZero"/>
        <c:crossBetween val="midCat"/>
      </c:valAx>
      <c:spPr>
        <a:noFill/>
        <a:ln>
          <a:solidFill>
            <a:schemeClr val="tx1"/>
          </a:solidFill>
        </a:ln>
        <a:effectLst/>
      </c:spPr>
    </c:plotArea>
    <c:legend>
      <c:legendPos val="r"/>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楷体" panose="02010609060101010101" pitchFamily="3" charset="-122"/>
                <a:cs typeface="Times New Roman" panose="02020603050405020304" charset="0"/>
              </a:defRPr>
            </a:pPr>
          </a:p>
        </c:txPr>
      </c:legendEntry>
      <c:legendEntry>
        <c:idx val="1"/>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楷体" panose="02010609060101010101" pitchFamily="3" charset="-122"/>
                <a:cs typeface="Times New Roman" panose="02020603050405020304" charset="0"/>
              </a:defRPr>
            </a:pPr>
          </a:p>
        </c:txPr>
      </c:legendEntry>
      <c:layout>
        <c:manualLayout>
          <c:xMode val="edge"/>
          <c:yMode val="edge"/>
          <c:x val="0.650120278443455"/>
          <c:y val="0.140750211747003"/>
          <c:w val="0.305688885663486"/>
          <c:h val="0.267875247988368"/>
        </c:manualLayout>
      </c:layout>
      <c:overlay val="0"/>
      <c:spPr>
        <a:solidFill>
          <a:sysClr val="window" lastClr="FFFFFF"/>
        </a:solidFill>
        <a:ln>
          <a:solidFill>
            <a:sysClr val="windowText" lastClr="000000"/>
          </a:solid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楷体" panose="02010609060101010101" pitchFamily="3" charset="-122"/>
              <a:cs typeface="Times New Roman" panose="02020603050405020304" charset="0"/>
            </a:defRPr>
          </a:pPr>
        </a:p>
      </c:txPr>
    </c:legend>
    <c:plotVisOnly val="1"/>
    <c:dispBlanksAs val="gap"/>
    <c:showDLblsOverMax val="0"/>
  </c:chart>
  <c:spPr>
    <a:solidFill>
      <a:schemeClr val="bg1"/>
    </a:solidFill>
    <a:ln w="317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34646210213"/>
          <c:y val="0.0298223350253807"/>
          <c:w val="0.800526677352874"/>
          <c:h val="0.769796954314721"/>
        </c:manualLayout>
      </c:layout>
      <c:scatterChart>
        <c:scatterStyle val="line"/>
        <c:varyColors val="0"/>
        <c:ser>
          <c:idx val="0"/>
          <c:order val="0"/>
          <c:spPr>
            <a:ln w="6350" cap="rnd" cmpd="sng">
              <a:solidFill>
                <a:schemeClr val="tx1"/>
              </a:solidFill>
              <a:prstDash val="dash"/>
              <a:round/>
            </a:ln>
            <a:effectLst/>
          </c:spPr>
          <c:marker>
            <c:symbol val="none"/>
          </c:marker>
          <c:dLbls>
            <c:delete val="1"/>
          </c:dLbls>
          <c:xVal>
            <c:numRef>
              <c:f>[岩体完整性与隧道围岩分级浅议图件.xlsx]围岩定性与定量分级!$B$3:$B$23</c:f>
              <c:numCache>
                <c:formatCode>General</c:formatCode>
                <c:ptCount val="21"/>
                <c:pt idx="0">
                  <c:v>0</c:v>
                </c:pt>
                <c:pt idx="1">
                  <c:v>3.84615384615385</c:v>
                </c:pt>
                <c:pt idx="2">
                  <c:v>11.5384615384615</c:v>
                </c:pt>
                <c:pt idx="3">
                  <c:v>15</c:v>
                </c:pt>
                <c:pt idx="4">
                  <c:v>20</c:v>
                </c:pt>
                <c:pt idx="5">
                  <c:v>25</c:v>
                </c:pt>
                <c:pt idx="6">
                  <c:v>30</c:v>
                </c:pt>
                <c:pt idx="7">
                  <c:v>33.3333333333333</c:v>
                </c:pt>
                <c:pt idx="8">
                  <c:v>40.3846153846154</c:v>
                </c:pt>
                <c:pt idx="9">
                  <c:v>45</c:v>
                </c:pt>
                <c:pt idx="10">
                  <c:v>50</c:v>
                </c:pt>
                <c:pt idx="11">
                  <c:v>55</c:v>
                </c:pt>
                <c:pt idx="12">
                  <c:v>57.6923076923077</c:v>
                </c:pt>
                <c:pt idx="13">
                  <c:v>65</c:v>
                </c:pt>
                <c:pt idx="14">
                  <c:v>66.6666666666667</c:v>
                </c:pt>
                <c:pt idx="15">
                  <c:v>75</c:v>
                </c:pt>
                <c:pt idx="16">
                  <c:v>80</c:v>
                </c:pt>
                <c:pt idx="17">
                  <c:v>85</c:v>
                </c:pt>
                <c:pt idx="18">
                  <c:v>90</c:v>
                </c:pt>
                <c:pt idx="19">
                  <c:v>92.3076923076923</c:v>
                </c:pt>
                <c:pt idx="20">
                  <c:v>100</c:v>
                </c:pt>
              </c:numCache>
            </c:numRef>
          </c:xVal>
          <c:yVal>
            <c:numRef>
              <c:f>[岩体完整性与隧道围岩分级浅议图件.xlsx]围岩定性与定量分级!$C$3:$C$23</c:f>
              <c:numCache>
                <c:formatCode>General</c:formatCode>
                <c:ptCount val="21"/>
                <c:pt idx="0">
                  <c:v>0.4</c:v>
                </c:pt>
                <c:pt idx="1">
                  <c:v>0.553846153846154</c:v>
                </c:pt>
                <c:pt idx="2">
                  <c:v>0.861538461538462</c:v>
                </c:pt>
                <c:pt idx="3">
                  <c:v>1</c:v>
                </c:pt>
                <c:pt idx="4">
                  <c:v>1.2</c:v>
                </c:pt>
                <c:pt idx="5">
                  <c:v>1.4</c:v>
                </c:pt>
                <c:pt idx="6">
                  <c:v>1.6</c:v>
                </c:pt>
                <c:pt idx="7">
                  <c:v>1.73333333333333</c:v>
                </c:pt>
                <c:pt idx="8">
                  <c:v>2.01538461538462</c:v>
                </c:pt>
                <c:pt idx="9">
                  <c:v>2.2</c:v>
                </c:pt>
                <c:pt idx="10">
                  <c:v>2.4</c:v>
                </c:pt>
                <c:pt idx="11">
                  <c:v>2.6</c:v>
                </c:pt>
                <c:pt idx="12">
                  <c:v>2.70769230769231</c:v>
                </c:pt>
                <c:pt idx="13">
                  <c:v>3</c:v>
                </c:pt>
                <c:pt idx="14">
                  <c:v>3.06666666666667</c:v>
                </c:pt>
                <c:pt idx="15">
                  <c:v>3.4</c:v>
                </c:pt>
                <c:pt idx="16">
                  <c:v>3.6</c:v>
                </c:pt>
                <c:pt idx="17">
                  <c:v>3.8</c:v>
                </c:pt>
                <c:pt idx="18">
                  <c:v>4</c:v>
                </c:pt>
                <c:pt idx="19">
                  <c:v>4.09230769230769</c:v>
                </c:pt>
                <c:pt idx="20">
                  <c:v>4.4</c:v>
                </c:pt>
              </c:numCache>
            </c:numRef>
          </c:yVal>
          <c:smooth val="0"/>
        </c:ser>
        <c:ser>
          <c:idx val="1"/>
          <c:order val="1"/>
          <c:spPr>
            <a:ln w="6350" cap="rnd" cmpd="sng">
              <a:solidFill>
                <a:schemeClr val="tx1"/>
              </a:solidFill>
              <a:prstDash val="dash"/>
              <a:round/>
            </a:ln>
            <a:effectLst/>
          </c:spPr>
          <c:marker>
            <c:symbol val="none"/>
          </c:marker>
          <c:dLbls>
            <c:delete val="1"/>
          </c:dLbls>
          <c:xVal>
            <c:numRef>
              <c:f>[岩体完整性与隧道围岩分级浅议图件.xlsx]围岩定性与定量分级!$B$3:$B$23</c:f>
              <c:numCache>
                <c:formatCode>General</c:formatCode>
                <c:ptCount val="21"/>
                <c:pt idx="0">
                  <c:v>0</c:v>
                </c:pt>
                <c:pt idx="1">
                  <c:v>3.84615384615385</c:v>
                </c:pt>
                <c:pt idx="2">
                  <c:v>11.5384615384615</c:v>
                </c:pt>
                <c:pt idx="3">
                  <c:v>15</c:v>
                </c:pt>
                <c:pt idx="4">
                  <c:v>20</c:v>
                </c:pt>
                <c:pt idx="5">
                  <c:v>25</c:v>
                </c:pt>
                <c:pt idx="6">
                  <c:v>30</c:v>
                </c:pt>
                <c:pt idx="7">
                  <c:v>33.3333333333333</c:v>
                </c:pt>
                <c:pt idx="8">
                  <c:v>40.3846153846154</c:v>
                </c:pt>
                <c:pt idx="9">
                  <c:v>45</c:v>
                </c:pt>
                <c:pt idx="10">
                  <c:v>50</c:v>
                </c:pt>
                <c:pt idx="11">
                  <c:v>55</c:v>
                </c:pt>
                <c:pt idx="12">
                  <c:v>57.6923076923077</c:v>
                </c:pt>
                <c:pt idx="13">
                  <c:v>65</c:v>
                </c:pt>
                <c:pt idx="14">
                  <c:v>66.6666666666667</c:v>
                </c:pt>
                <c:pt idx="15">
                  <c:v>75</c:v>
                </c:pt>
                <c:pt idx="16">
                  <c:v>80</c:v>
                </c:pt>
                <c:pt idx="17">
                  <c:v>85</c:v>
                </c:pt>
                <c:pt idx="18">
                  <c:v>90</c:v>
                </c:pt>
                <c:pt idx="19">
                  <c:v>92.3076923076923</c:v>
                </c:pt>
                <c:pt idx="20">
                  <c:v>100</c:v>
                </c:pt>
              </c:numCache>
            </c:numRef>
          </c:xVal>
          <c:yVal>
            <c:numRef>
              <c:f>[岩体完整性与隧道围岩分级浅议图件.xlsx]围岩定性与定量分级!$D$3:$D$23</c:f>
              <c:numCache>
                <c:formatCode>General</c:formatCode>
                <c:ptCount val="21"/>
                <c:pt idx="6" c:formatCode="0.00_ ">
                  <c:v>0</c:v>
                </c:pt>
                <c:pt idx="7" c:formatCode="0.00_ ">
                  <c:v>0.0370370370370371</c:v>
                </c:pt>
                <c:pt idx="8" c:formatCode="0.00_ ">
                  <c:v>0.115384615384615</c:v>
                </c:pt>
                <c:pt idx="9" c:formatCode="0.00_ ">
                  <c:v>0.166666666666667</c:v>
                </c:pt>
                <c:pt idx="10" c:formatCode="0.00_ ">
                  <c:v>0.222222222222222</c:v>
                </c:pt>
                <c:pt idx="11" c:formatCode="0.00_ ">
                  <c:v>0.277777777777778</c:v>
                </c:pt>
                <c:pt idx="12" c:formatCode="0.00_ ">
                  <c:v>0.307692307692308</c:v>
                </c:pt>
                <c:pt idx="13" c:formatCode="0.00_ ">
                  <c:v>0.388888888888889</c:v>
                </c:pt>
                <c:pt idx="14" c:formatCode="0.00_ ">
                  <c:v>0.407407407407407</c:v>
                </c:pt>
                <c:pt idx="15" c:formatCode="0.00_ ">
                  <c:v>0.5</c:v>
                </c:pt>
                <c:pt idx="16" c:formatCode="0.00_ ">
                  <c:v>0.555555555555556</c:v>
                </c:pt>
                <c:pt idx="17" c:formatCode="0.00_ ">
                  <c:v>0.611111111111111</c:v>
                </c:pt>
                <c:pt idx="18" c:formatCode="0.00_ ">
                  <c:v>0.666666666666667</c:v>
                </c:pt>
                <c:pt idx="19" c:formatCode="0.00_ ">
                  <c:v>0.692307692307692</c:v>
                </c:pt>
                <c:pt idx="20" c:formatCode="0.00_ ">
                  <c:v>0.777777777777778</c:v>
                </c:pt>
              </c:numCache>
            </c:numRef>
          </c:yVal>
          <c:smooth val="0"/>
        </c:ser>
        <c:ser>
          <c:idx val="2"/>
          <c:order val="2"/>
          <c:spPr>
            <a:ln w="6350" cap="rnd" cmpd="sng">
              <a:solidFill>
                <a:schemeClr val="accent3"/>
              </a:solidFill>
              <a:prstDash val="sysDash"/>
              <a:round/>
            </a:ln>
            <a:effectLst/>
          </c:spPr>
          <c:marker>
            <c:symbol val="none"/>
          </c:marker>
          <c:dLbls>
            <c:delete val="1"/>
          </c:dLbls>
          <c:xVal>
            <c:numRef>
              <c:f>[岩体完整性与隧道围岩分级浅议图件.xlsx]围岩定性与定量分级!$B$3:$B$23</c:f>
              <c:numCache>
                <c:formatCode>General</c:formatCode>
                <c:ptCount val="21"/>
                <c:pt idx="0">
                  <c:v>0</c:v>
                </c:pt>
                <c:pt idx="1">
                  <c:v>3.84615384615385</c:v>
                </c:pt>
                <c:pt idx="2">
                  <c:v>11.5384615384615</c:v>
                </c:pt>
                <c:pt idx="3">
                  <c:v>15</c:v>
                </c:pt>
                <c:pt idx="4">
                  <c:v>20</c:v>
                </c:pt>
                <c:pt idx="5">
                  <c:v>25</c:v>
                </c:pt>
                <c:pt idx="6">
                  <c:v>30</c:v>
                </c:pt>
                <c:pt idx="7">
                  <c:v>33.3333333333333</c:v>
                </c:pt>
                <c:pt idx="8">
                  <c:v>40.3846153846154</c:v>
                </c:pt>
                <c:pt idx="9">
                  <c:v>45</c:v>
                </c:pt>
                <c:pt idx="10">
                  <c:v>50</c:v>
                </c:pt>
                <c:pt idx="11">
                  <c:v>55</c:v>
                </c:pt>
                <c:pt idx="12">
                  <c:v>57.6923076923077</c:v>
                </c:pt>
                <c:pt idx="13">
                  <c:v>65</c:v>
                </c:pt>
                <c:pt idx="14">
                  <c:v>66.6666666666667</c:v>
                </c:pt>
                <c:pt idx="15">
                  <c:v>75</c:v>
                </c:pt>
                <c:pt idx="16">
                  <c:v>80</c:v>
                </c:pt>
                <c:pt idx="17">
                  <c:v>85</c:v>
                </c:pt>
                <c:pt idx="18">
                  <c:v>90</c:v>
                </c:pt>
                <c:pt idx="19">
                  <c:v>92.3076923076923</c:v>
                </c:pt>
                <c:pt idx="20">
                  <c:v>100</c:v>
                </c:pt>
              </c:numCache>
            </c:numRef>
          </c:xVal>
          <c:yVal>
            <c:numRef>
              <c:f>[岩体完整性与隧道围岩分级浅议图件.xlsx]围岩定性与定量分级!$E$3:$E$23</c:f>
              <c:numCache>
                <c:formatCode>General</c:formatCode>
                <c:ptCount val="21"/>
                <c:pt idx="14">
                  <c:v>1</c:v>
                </c:pt>
                <c:pt idx="15">
                  <c:v>0.9</c:v>
                </c:pt>
                <c:pt idx="16">
                  <c:v>0.84</c:v>
                </c:pt>
                <c:pt idx="17">
                  <c:v>0.78</c:v>
                </c:pt>
                <c:pt idx="18">
                  <c:v>0.72</c:v>
                </c:pt>
                <c:pt idx="19">
                  <c:v>0.692307692307692</c:v>
                </c:pt>
              </c:numCache>
            </c:numRef>
          </c:yVal>
          <c:smooth val="0"/>
        </c:ser>
        <c:ser>
          <c:idx val="3"/>
          <c:order val="3"/>
          <c:spPr>
            <a:ln w="6350" cap="rnd" cmpd="sng">
              <a:solidFill>
                <a:schemeClr val="accent4"/>
              </a:solidFill>
              <a:prstDash val="sysDash"/>
              <a:round/>
            </a:ln>
            <a:effectLst/>
          </c:spPr>
          <c:marker>
            <c:symbol val="none"/>
          </c:marker>
          <c:dLbls>
            <c:delete val="1"/>
          </c:dLbls>
          <c:xVal>
            <c:numRef>
              <c:f>[岩体完整性与隧道围岩分级浅议图件.xlsx]围岩定性与定量分级!$B$3:$B$23</c:f>
              <c:numCache>
                <c:formatCode>General</c:formatCode>
                <c:ptCount val="21"/>
                <c:pt idx="0">
                  <c:v>0</c:v>
                </c:pt>
                <c:pt idx="1">
                  <c:v>3.84615384615385</c:v>
                </c:pt>
                <c:pt idx="2">
                  <c:v>11.5384615384615</c:v>
                </c:pt>
                <c:pt idx="3">
                  <c:v>15</c:v>
                </c:pt>
                <c:pt idx="4">
                  <c:v>20</c:v>
                </c:pt>
                <c:pt idx="5">
                  <c:v>25</c:v>
                </c:pt>
                <c:pt idx="6">
                  <c:v>30</c:v>
                </c:pt>
                <c:pt idx="7">
                  <c:v>33.3333333333333</c:v>
                </c:pt>
                <c:pt idx="8">
                  <c:v>40.3846153846154</c:v>
                </c:pt>
                <c:pt idx="9">
                  <c:v>45</c:v>
                </c:pt>
                <c:pt idx="10">
                  <c:v>50</c:v>
                </c:pt>
                <c:pt idx="11">
                  <c:v>55</c:v>
                </c:pt>
                <c:pt idx="12">
                  <c:v>57.6923076923077</c:v>
                </c:pt>
                <c:pt idx="13">
                  <c:v>65</c:v>
                </c:pt>
                <c:pt idx="14">
                  <c:v>66.6666666666667</c:v>
                </c:pt>
                <c:pt idx="15">
                  <c:v>75</c:v>
                </c:pt>
                <c:pt idx="16">
                  <c:v>80</c:v>
                </c:pt>
                <c:pt idx="17">
                  <c:v>85</c:v>
                </c:pt>
                <c:pt idx="18">
                  <c:v>90</c:v>
                </c:pt>
                <c:pt idx="19">
                  <c:v>92.3076923076923</c:v>
                </c:pt>
                <c:pt idx="20">
                  <c:v>100</c:v>
                </c:pt>
              </c:numCache>
            </c:numRef>
          </c:xVal>
          <c:yVal>
            <c:numRef>
              <c:f>[岩体完整性与隧道围岩分级浅议图件.xlsx]围岩定性与定量分级!$F$3:$F$23</c:f>
              <c:numCache>
                <c:formatCode>General</c:formatCode>
                <c:ptCount val="21"/>
                <c:pt idx="7">
                  <c:v>1</c:v>
                </c:pt>
                <c:pt idx="8">
                  <c:v>0.915384615384615</c:v>
                </c:pt>
                <c:pt idx="9">
                  <c:v>0.86</c:v>
                </c:pt>
                <c:pt idx="10">
                  <c:v>0.8</c:v>
                </c:pt>
                <c:pt idx="11">
                  <c:v>0.74</c:v>
                </c:pt>
                <c:pt idx="12">
                  <c:v>0.707692307692308</c:v>
                </c:pt>
                <c:pt idx="13">
                  <c:v>0.62</c:v>
                </c:pt>
                <c:pt idx="14">
                  <c:v>0.6</c:v>
                </c:pt>
                <c:pt idx="15">
                  <c:v>0.5</c:v>
                </c:pt>
              </c:numCache>
            </c:numRef>
          </c:yVal>
          <c:smooth val="0"/>
        </c:ser>
        <c:ser>
          <c:idx val="4"/>
          <c:order val="4"/>
          <c:spPr>
            <a:ln w="6350" cap="rnd" cmpd="sng">
              <a:solidFill>
                <a:schemeClr val="accent5"/>
              </a:solidFill>
              <a:prstDash val="sysDash"/>
              <a:round/>
            </a:ln>
            <a:effectLst/>
          </c:spPr>
          <c:marker>
            <c:symbol val="none"/>
          </c:marker>
          <c:dLbls>
            <c:delete val="1"/>
          </c:dLbls>
          <c:xVal>
            <c:numRef>
              <c:f>[岩体完整性与隧道围岩分级浅议图件.xlsx]围岩定性与定量分级!$B$3:$B$23</c:f>
              <c:numCache>
                <c:formatCode>General</c:formatCode>
                <c:ptCount val="21"/>
                <c:pt idx="0">
                  <c:v>0</c:v>
                </c:pt>
                <c:pt idx="1">
                  <c:v>3.84615384615385</c:v>
                </c:pt>
                <c:pt idx="2">
                  <c:v>11.5384615384615</c:v>
                </c:pt>
                <c:pt idx="3">
                  <c:v>15</c:v>
                </c:pt>
                <c:pt idx="4">
                  <c:v>20</c:v>
                </c:pt>
                <c:pt idx="5">
                  <c:v>25</c:v>
                </c:pt>
                <c:pt idx="6">
                  <c:v>30</c:v>
                </c:pt>
                <c:pt idx="7">
                  <c:v>33.3333333333333</c:v>
                </c:pt>
                <c:pt idx="8">
                  <c:v>40.3846153846154</c:v>
                </c:pt>
                <c:pt idx="9">
                  <c:v>45</c:v>
                </c:pt>
                <c:pt idx="10">
                  <c:v>50</c:v>
                </c:pt>
                <c:pt idx="11">
                  <c:v>55</c:v>
                </c:pt>
                <c:pt idx="12">
                  <c:v>57.6923076923077</c:v>
                </c:pt>
                <c:pt idx="13">
                  <c:v>65</c:v>
                </c:pt>
                <c:pt idx="14">
                  <c:v>66.6666666666667</c:v>
                </c:pt>
                <c:pt idx="15">
                  <c:v>75</c:v>
                </c:pt>
                <c:pt idx="16">
                  <c:v>80</c:v>
                </c:pt>
                <c:pt idx="17">
                  <c:v>85</c:v>
                </c:pt>
                <c:pt idx="18">
                  <c:v>90</c:v>
                </c:pt>
                <c:pt idx="19">
                  <c:v>92.3076923076923</c:v>
                </c:pt>
                <c:pt idx="20">
                  <c:v>100</c:v>
                </c:pt>
              </c:numCache>
            </c:numRef>
          </c:xVal>
          <c:yVal>
            <c:numRef>
              <c:f>[岩体完整性与隧道围岩分级浅议图件.xlsx]围岩定性与定量分级!$G$3:$G$23</c:f>
              <c:numCache>
                <c:formatCode>General</c:formatCode>
                <c:ptCount val="21"/>
                <c:pt idx="2">
                  <c:v>0.861538461538462</c:v>
                </c:pt>
                <c:pt idx="3">
                  <c:v>0.82</c:v>
                </c:pt>
                <c:pt idx="4">
                  <c:v>0.76</c:v>
                </c:pt>
                <c:pt idx="5">
                  <c:v>0.7</c:v>
                </c:pt>
                <c:pt idx="6">
                  <c:v>0.64</c:v>
                </c:pt>
                <c:pt idx="7">
                  <c:v>0.6</c:v>
                </c:pt>
                <c:pt idx="8">
                  <c:v>0.515384615384615</c:v>
                </c:pt>
                <c:pt idx="9">
                  <c:v>0.46</c:v>
                </c:pt>
                <c:pt idx="10">
                  <c:v>0.4</c:v>
                </c:pt>
                <c:pt idx="11">
                  <c:v>0.34</c:v>
                </c:pt>
                <c:pt idx="12">
                  <c:v>0.307692307692308</c:v>
                </c:pt>
              </c:numCache>
            </c:numRef>
          </c:yVal>
          <c:smooth val="0"/>
        </c:ser>
        <c:ser>
          <c:idx val="5"/>
          <c:order val="5"/>
          <c:spPr>
            <a:ln w="6350" cap="rnd" cmpd="sng">
              <a:solidFill>
                <a:schemeClr val="accent6"/>
              </a:solidFill>
              <a:prstDash val="sysDash"/>
              <a:round/>
            </a:ln>
            <a:effectLst/>
          </c:spPr>
          <c:marker>
            <c:symbol val="none"/>
          </c:marker>
          <c:dLbls>
            <c:delete val="1"/>
          </c:dLbls>
          <c:xVal>
            <c:numRef>
              <c:f>[岩体完整性与隧道围岩分级浅议图件.xlsx]围岩定性与定量分级!$B$3:$B$23</c:f>
              <c:numCache>
                <c:formatCode>General</c:formatCode>
                <c:ptCount val="21"/>
                <c:pt idx="0">
                  <c:v>0</c:v>
                </c:pt>
                <c:pt idx="1">
                  <c:v>3.84615384615385</c:v>
                </c:pt>
                <c:pt idx="2">
                  <c:v>11.5384615384615</c:v>
                </c:pt>
                <c:pt idx="3">
                  <c:v>15</c:v>
                </c:pt>
                <c:pt idx="4">
                  <c:v>20</c:v>
                </c:pt>
                <c:pt idx="5">
                  <c:v>25</c:v>
                </c:pt>
                <c:pt idx="6">
                  <c:v>30</c:v>
                </c:pt>
                <c:pt idx="7">
                  <c:v>33.3333333333333</c:v>
                </c:pt>
                <c:pt idx="8">
                  <c:v>40.3846153846154</c:v>
                </c:pt>
                <c:pt idx="9">
                  <c:v>45</c:v>
                </c:pt>
                <c:pt idx="10">
                  <c:v>50</c:v>
                </c:pt>
                <c:pt idx="11">
                  <c:v>55</c:v>
                </c:pt>
                <c:pt idx="12">
                  <c:v>57.6923076923077</c:v>
                </c:pt>
                <c:pt idx="13">
                  <c:v>65</c:v>
                </c:pt>
                <c:pt idx="14">
                  <c:v>66.6666666666667</c:v>
                </c:pt>
                <c:pt idx="15">
                  <c:v>75</c:v>
                </c:pt>
                <c:pt idx="16">
                  <c:v>80</c:v>
                </c:pt>
                <c:pt idx="17">
                  <c:v>85</c:v>
                </c:pt>
                <c:pt idx="18">
                  <c:v>90</c:v>
                </c:pt>
                <c:pt idx="19">
                  <c:v>92.3076923076923</c:v>
                </c:pt>
                <c:pt idx="20">
                  <c:v>100</c:v>
                </c:pt>
              </c:numCache>
            </c:numRef>
          </c:xVal>
          <c:yVal>
            <c:numRef>
              <c:f>[岩体完整性与隧道围岩分级浅议图件.xlsx]围岩定性与定量分级!$H$3:$H$23</c:f>
              <c:numCache>
                <c:formatCode>General</c:formatCode>
                <c:ptCount val="21"/>
                <c:pt idx="1">
                  <c:v>0.553846153846154</c:v>
                </c:pt>
                <c:pt idx="2">
                  <c:v>0.461538461538462</c:v>
                </c:pt>
                <c:pt idx="3">
                  <c:v>0.42</c:v>
                </c:pt>
                <c:pt idx="4">
                  <c:v>0.36</c:v>
                </c:pt>
                <c:pt idx="5">
                  <c:v>0.3</c:v>
                </c:pt>
                <c:pt idx="6">
                  <c:v>0.24</c:v>
                </c:pt>
                <c:pt idx="7">
                  <c:v>0.2</c:v>
                </c:pt>
                <c:pt idx="8">
                  <c:v>0.115384615384615</c:v>
                </c:pt>
              </c:numCache>
            </c:numRef>
          </c:yVal>
          <c:smooth val="0"/>
        </c:ser>
        <c:ser>
          <c:idx val="6"/>
          <c:order val="6"/>
          <c:spPr>
            <a:ln w="19050" cap="rnd" cmpd="sng">
              <a:solidFill>
                <a:schemeClr val="tx1"/>
              </a:solidFill>
              <a:prstDash val="solid"/>
              <a:round/>
            </a:ln>
            <a:effectLst/>
          </c:spPr>
          <c:marker>
            <c:symbol val="none"/>
          </c:marker>
          <c:dLbls>
            <c:delete val="1"/>
          </c:dLbls>
          <c:xVal>
            <c:numRef>
              <c:f>[岩体完整性与隧道围岩分级浅议图件.xlsx]围岩定性与定量分级!$B$26:$B$28</c:f>
              <c:numCache>
                <c:formatCode>General</c:formatCode>
                <c:ptCount val="3"/>
                <c:pt idx="0">
                  <c:v>60</c:v>
                </c:pt>
                <c:pt idx="1">
                  <c:v>60</c:v>
                </c:pt>
                <c:pt idx="2">
                  <c:v>100</c:v>
                </c:pt>
              </c:numCache>
            </c:numRef>
          </c:xVal>
          <c:yVal>
            <c:numRef>
              <c:f>[岩体完整性与隧道围岩分级浅议图件.xlsx]围岩定性与定量分级!$C$26:$C$28</c:f>
              <c:numCache>
                <c:formatCode>General</c:formatCode>
                <c:ptCount val="3"/>
                <c:pt idx="0">
                  <c:v>1</c:v>
                </c:pt>
                <c:pt idx="1">
                  <c:v>0.75</c:v>
                </c:pt>
                <c:pt idx="2">
                  <c:v>0.75</c:v>
                </c:pt>
              </c:numCache>
            </c:numRef>
          </c:yVal>
          <c:smooth val="0"/>
        </c:ser>
        <c:ser>
          <c:idx val="7"/>
          <c:order val="7"/>
          <c:spPr>
            <a:ln w="28575" cap="rnd" cmpd="dbl">
              <a:solidFill>
                <a:schemeClr val="tx1"/>
              </a:solidFill>
              <a:prstDash val="solid"/>
              <a:round/>
            </a:ln>
            <a:effectLst/>
          </c:spPr>
          <c:marker>
            <c:symbol val="none"/>
          </c:marker>
          <c:dLbls>
            <c:delete val="1"/>
          </c:dLbls>
          <c:xVal>
            <c:numRef>
              <c:f>[岩体完整性与隧道围岩分级浅议图件.xlsx]围岩定性与定量分级!$B$30:$B$34</c:f>
              <c:numCache>
                <c:formatCode>General</c:formatCode>
                <c:ptCount val="5"/>
                <c:pt idx="0">
                  <c:v>30</c:v>
                </c:pt>
                <c:pt idx="1">
                  <c:v>30</c:v>
                </c:pt>
                <c:pt idx="2">
                  <c:v>60</c:v>
                </c:pt>
                <c:pt idx="3">
                  <c:v>60</c:v>
                </c:pt>
                <c:pt idx="4">
                  <c:v>100</c:v>
                </c:pt>
              </c:numCache>
            </c:numRef>
          </c:xVal>
          <c:yVal>
            <c:numRef>
              <c:f>[岩体完整性与隧道围岩分级浅议图件.xlsx]围岩定性与定量分级!$C$30:$C$34</c:f>
              <c:numCache>
                <c:formatCode>General</c:formatCode>
                <c:ptCount val="5"/>
                <c:pt idx="0">
                  <c:v>1</c:v>
                </c:pt>
                <c:pt idx="1">
                  <c:v>0.75</c:v>
                </c:pt>
                <c:pt idx="2">
                  <c:v>0.75</c:v>
                </c:pt>
                <c:pt idx="3">
                  <c:v>0.55</c:v>
                </c:pt>
                <c:pt idx="4">
                  <c:v>0.55</c:v>
                </c:pt>
              </c:numCache>
            </c:numRef>
          </c:yVal>
          <c:smooth val="0"/>
        </c:ser>
        <c:ser>
          <c:idx val="8"/>
          <c:order val="8"/>
          <c:spPr>
            <a:ln w="19050" cap="rnd" cmpd="sng">
              <a:solidFill>
                <a:schemeClr val="tx1"/>
              </a:solidFill>
              <a:prstDash val="solid"/>
              <a:round/>
            </a:ln>
            <a:effectLst/>
          </c:spPr>
          <c:marker>
            <c:symbol val="none"/>
          </c:marker>
          <c:dLbls>
            <c:delete val="1"/>
          </c:dLbls>
          <c:xVal>
            <c:numRef>
              <c:f>[岩体完整性与隧道围岩分级浅议图件.xlsx]围岩定性与定量分级!$E$26:$E$32</c:f>
              <c:numCache>
                <c:formatCode>General</c:formatCode>
                <c:ptCount val="7"/>
                <c:pt idx="0">
                  <c:v>15</c:v>
                </c:pt>
                <c:pt idx="1">
                  <c:v>15</c:v>
                </c:pt>
                <c:pt idx="2">
                  <c:v>30</c:v>
                </c:pt>
                <c:pt idx="3">
                  <c:v>30</c:v>
                </c:pt>
                <c:pt idx="4">
                  <c:v>60</c:v>
                </c:pt>
                <c:pt idx="5">
                  <c:v>60</c:v>
                </c:pt>
                <c:pt idx="6">
                  <c:v>100</c:v>
                </c:pt>
              </c:numCache>
            </c:numRef>
          </c:xVal>
          <c:yVal>
            <c:numRef>
              <c:f>[岩体完整性与隧道围岩分级浅议图件.xlsx]围岩定性与定量分级!$F$26:$F$32</c:f>
              <c:numCache>
                <c:formatCode>General</c:formatCode>
                <c:ptCount val="7"/>
                <c:pt idx="0">
                  <c:v>1</c:v>
                </c:pt>
                <c:pt idx="1">
                  <c:v>0.75</c:v>
                </c:pt>
                <c:pt idx="2">
                  <c:v>0.75</c:v>
                </c:pt>
                <c:pt idx="3">
                  <c:v>0.55</c:v>
                </c:pt>
                <c:pt idx="4">
                  <c:v>0.55</c:v>
                </c:pt>
                <c:pt idx="5">
                  <c:v>0.35</c:v>
                </c:pt>
                <c:pt idx="6">
                  <c:v>0.35</c:v>
                </c:pt>
              </c:numCache>
            </c:numRef>
          </c:yVal>
          <c:smooth val="0"/>
        </c:ser>
        <c:ser>
          <c:idx val="9"/>
          <c:order val="9"/>
          <c:spPr>
            <a:ln w="28575" cap="rnd" cmpd="dbl">
              <a:solidFill>
                <a:schemeClr val="tx1"/>
              </a:solidFill>
              <a:prstDash val="solid"/>
              <a:round/>
            </a:ln>
            <a:effectLst/>
          </c:spPr>
          <c:marker>
            <c:symbol val="none"/>
          </c:marker>
          <c:dLbls>
            <c:delete val="1"/>
          </c:dLbls>
          <c:xVal>
            <c:numRef>
              <c:f>[岩体完整性与隧道围岩分级浅议图件.xlsx]围岩定性与定量分级!$H$26:$H$33</c:f>
              <c:numCache>
                <c:formatCode>General</c:formatCode>
                <c:ptCount val="8"/>
                <c:pt idx="0">
                  <c:v>5</c:v>
                </c:pt>
                <c:pt idx="1">
                  <c:v>5</c:v>
                </c:pt>
                <c:pt idx="2">
                  <c:v>15</c:v>
                </c:pt>
                <c:pt idx="3">
                  <c:v>15</c:v>
                </c:pt>
                <c:pt idx="4">
                  <c:v>30</c:v>
                </c:pt>
                <c:pt idx="5">
                  <c:v>30</c:v>
                </c:pt>
                <c:pt idx="6">
                  <c:v>60</c:v>
                </c:pt>
                <c:pt idx="7">
                  <c:v>100</c:v>
                </c:pt>
              </c:numCache>
            </c:numRef>
          </c:xVal>
          <c:yVal>
            <c:numRef>
              <c:f>[岩体完整性与隧道围岩分级浅议图件.xlsx]围岩定性与定量分级!$I$26:$I$33</c:f>
              <c:numCache>
                <c:formatCode>General</c:formatCode>
                <c:ptCount val="8"/>
                <c:pt idx="0">
                  <c:v>1</c:v>
                </c:pt>
                <c:pt idx="1">
                  <c:v>0.55</c:v>
                </c:pt>
                <c:pt idx="2">
                  <c:v>0.55</c:v>
                </c:pt>
                <c:pt idx="3">
                  <c:v>0.35</c:v>
                </c:pt>
                <c:pt idx="4">
                  <c:v>0.35</c:v>
                </c:pt>
                <c:pt idx="5">
                  <c:v>0.15</c:v>
                </c:pt>
                <c:pt idx="6">
                  <c:v>0.15</c:v>
                </c:pt>
                <c:pt idx="7">
                  <c:v>0.15</c:v>
                </c:pt>
              </c:numCache>
            </c:numRef>
          </c:yVal>
          <c:smooth val="0"/>
        </c:ser>
        <c:dLbls>
          <c:showLegendKey val="0"/>
          <c:showVal val="0"/>
          <c:showCatName val="0"/>
          <c:showSerName val="0"/>
          <c:showPercent val="0"/>
          <c:showBubbleSize val="0"/>
        </c:dLbls>
        <c:axId val="374608685"/>
        <c:axId val="383310895"/>
      </c:scatterChart>
      <c:valAx>
        <c:axId val="374608685"/>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0" vertOverflow="ellipsis" vert="horz" wrap="square" anchor="ctr" anchorCtr="1"/>
              <a:lstStyle/>
              <a:p>
                <a:pPr defTabSz="914400">
                  <a:defRPr lang="zh-CN" sz="1000" b="0" i="0" u="none" strike="noStrike" kern="1200" baseline="0">
                    <a:solidFill>
                      <a:schemeClr val="tx1"/>
                    </a:solidFill>
                    <a:latin typeface="+mn-lt"/>
                    <a:ea typeface="+mn-ea"/>
                    <a:cs typeface="+mn-cs"/>
                  </a:defRPr>
                </a:pPr>
                <a:r>
                  <a:rPr lang="en-US" altLang="zh-CN" i="1">
                    <a:solidFill>
                      <a:schemeClr val="tx1"/>
                    </a:solidFill>
                    <a:latin typeface="Times New Roman" panose="02020603050405020304" charset="0"/>
                    <a:cs typeface="Times New Roman" panose="02020603050405020304" charset="0"/>
                  </a:rPr>
                  <a:t>f</a:t>
                </a:r>
                <a:r>
                  <a:rPr lang="en-US" altLang="zh-CN" i="1" baseline="-25000">
                    <a:solidFill>
                      <a:schemeClr val="tx1"/>
                    </a:solidFill>
                    <a:uFillTx/>
                    <a:latin typeface="Times New Roman" panose="02020603050405020304" charset="0"/>
                    <a:cs typeface="Times New Roman" panose="02020603050405020304" charset="0"/>
                  </a:rPr>
                  <a:t>r</a:t>
                </a:r>
                <a:r>
                  <a:rPr lang="en-US" altLang="zh-CN">
                    <a:solidFill>
                      <a:schemeClr val="tx1"/>
                    </a:solidFill>
                    <a:uFillTx/>
                    <a:latin typeface="Times New Roman" panose="02020603050405020304" charset="0"/>
                    <a:cs typeface="Times New Roman" panose="02020603050405020304" charset="0"/>
                  </a:rPr>
                  <a:t>(MPa)</a:t>
                </a:r>
                <a:endParaRPr lang="en-US" altLang="zh-CN">
                  <a:solidFill>
                    <a:schemeClr val="tx1"/>
                  </a:solidFill>
                  <a:uFillTx/>
                  <a:latin typeface="Times New Roman" panose="02020603050405020304" charset="0"/>
                  <a:cs typeface="Times New Roman" panose="02020603050405020304"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3310895"/>
        <c:crosses val="autoZero"/>
        <c:crossBetween val="midCat"/>
      </c:valAx>
      <c:valAx>
        <c:axId val="383310895"/>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solidFill>
                    <a:latin typeface="+mn-lt"/>
                    <a:ea typeface="+mn-ea"/>
                    <a:cs typeface="+mn-cs"/>
                  </a:defRPr>
                </a:pPr>
                <a:r>
                  <a:rPr lang="en-US" altLang="zh-CN" i="1">
                    <a:solidFill>
                      <a:schemeClr val="tx1"/>
                    </a:solidFill>
                    <a:latin typeface="Times New Roman" panose="02020603050405020304" charset="0"/>
                    <a:cs typeface="Times New Roman" panose="02020603050405020304" charset="0"/>
                  </a:rPr>
                  <a:t>K</a:t>
                </a:r>
                <a:r>
                  <a:rPr lang="en-US" altLang="zh-CN" i="1" baseline="-25000">
                    <a:solidFill>
                      <a:schemeClr val="tx1"/>
                    </a:solidFill>
                    <a:uFillTx/>
                    <a:latin typeface="Times New Roman" panose="02020603050405020304" charset="0"/>
                    <a:cs typeface="Times New Roman" panose="02020603050405020304" charset="0"/>
                  </a:rPr>
                  <a:t>v</a:t>
                </a:r>
                <a:endParaRPr lang="en-US" altLang="zh-CN" i="1" baseline="-25000">
                  <a:solidFill>
                    <a:schemeClr val="tx1"/>
                  </a:solidFill>
                  <a:uFillTx/>
                  <a:latin typeface="Times New Roman" panose="02020603050405020304" charset="0"/>
                  <a:cs typeface="Times New Roman" panose="02020603050405020304"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4608685"/>
        <c:crosses val="autoZero"/>
        <c:crossBetween val="midCat"/>
        <c:majorUnit val="0.2"/>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AA6B0B-BDA6-4B84-AF2F-048C999D05E7}">
  <ds:schemaRefs/>
</ds:datastoreItem>
</file>

<file path=docProps/app.xml><?xml version="1.0" encoding="utf-8"?>
<Properties xmlns="http://schemas.openxmlformats.org/officeDocument/2006/extended-properties" xmlns:vt="http://schemas.openxmlformats.org/officeDocument/2006/docPropsVTypes">
  <Template>Normal</Template>
  <Pages>204</Pages>
  <Words>121489</Words>
  <Characters>140087</Characters>
  <Lines>1</Lines>
  <Paragraphs>1</Paragraphs>
  <TotalTime>85</TotalTime>
  <ScaleCrop>false</ScaleCrop>
  <LinksUpToDate>false</LinksUpToDate>
  <CharactersWithSpaces>143931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2021-07-28T08:58:00Z</dcterms:created>
  <dc:creator>peng gongxun</dc:creator>
  <cp:lastModifiedBy>鸡蛋饼b</cp:lastModifiedBy>
  <cp:lastPrinted>2021-07-14T03:14:00Z</cp:lastPrinted>
  <dcterms:modified xsi:type="dcterms:W3CDTF">2024-01-26T06:29:33Z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77A34273C172472F890915748B22C63F</vt:lpwstr>
  </property>
</Properties>
</file>