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知识城JLXC-H5-1地块项目（地块二、地块三工程）超限高层建筑工程抗震设防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21日，广东省超限高层建筑工程抗震设防审查专家委员会专家组成专家组，知识城JLXC-H5-1地块项目（地块二、地块三工程）超限高层建筑工程抗震设防审查会。专家听取了建设单位广州市越新投资发展有限公司、设计单位深圳华森建筑与工程设计顾问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项目位于广州市黄埔区竹山路以北，改革大道以东。本次超限工程范围为地块二，地上建筑面积17314.92㎡</w:t>
      </w:r>
      <w:bookmarkStart w:id="0" w:name="_GoBack"/>
      <w:bookmarkEnd w:id="0"/>
      <w:r>
        <w:rPr>
          <w:rFonts w:hint="eastAsia" w:ascii="仿宋_GB2312" w:hAnsi="仿宋_GB2312" w:eastAsia="仿宋_GB2312" w:cs="仿宋_GB2312"/>
          <w:sz w:val="32"/>
          <w:szCs w:val="32"/>
          <w:u w:val="none"/>
          <w:lang w:val="en-US" w:eastAsia="zh-CN" w:bidi="ar-SA"/>
        </w:rPr>
        <w:t>，地下建筑面积7439.56㎡。B1#为10层高层酒店,B2#、B3#为3层商业；北侧为2层地下室，南侧为1层地下室。本工程抗震设防烈度7度(0.1g)，II类场地，抗震设防类别为丙类，抗震性能目标为C级。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B1#采用高强预应力管桩基础、B2#、B3#采用平板式筏板基础，柱下局部加厚，框架-剪力墙结构，存在扭转不规则、楼板不连续、尺寸突变、局部穿层柱、塔楼偏置等不规则项，属于A级高度的超限高层建筑。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采用SAUSAGE进行了罕遇地震动力弹塑性时程分析，并按照通用规范的要求进行了结构在多遇地震及罕遇地震作用下的验算，计算结果表明，结构各项控制指标均满足规范的要求，所采取的抗震加强措施有效，保证了结构的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1.补充B1#楼单塔模型分析计算，并与整体模型计算结果比较，取包络设计。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2.突出屋面的构架及小塔楼应充分考虑高振型的影响，剪力放大系数不应小于2.0。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3.补充温度作用分析计算，补充大跨度及大悬臂楼盖竖向振动舒适度验算。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4.小震+风工况的地震作用效应应考虑相应的增大系数及调整系数。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5.补充不平衡土压力对结构及基础影响分析计算。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6.建议在裙房适当位置增设剪力墙，以减小刚心偏置及缩短水平力传力路径。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7.本工程可考虑按6度设防。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4F7FEB4C"/>
    <w:rsid w:val="5DE77A6E"/>
    <w:rsid w:val="5F5FC036"/>
    <w:rsid w:val="5F8E834A"/>
    <w:rsid w:val="66BE625A"/>
    <w:rsid w:val="6BCCA682"/>
    <w:rsid w:val="6DB72D17"/>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0F8FBF"/>
    <w:rsid w:val="7F3B4310"/>
    <w:rsid w:val="7F97C086"/>
    <w:rsid w:val="7F9DF294"/>
    <w:rsid w:val="7FCF0876"/>
    <w:rsid w:val="7FF1E93D"/>
    <w:rsid w:val="8BBD532A"/>
    <w:rsid w:val="9EFB9743"/>
    <w:rsid w:val="9FF3C824"/>
    <w:rsid w:val="B67F942A"/>
    <w:rsid w:val="B91F2355"/>
    <w:rsid w:val="BABFC50D"/>
    <w:rsid w:val="BBF369B9"/>
    <w:rsid w:val="BBFA7A7A"/>
    <w:rsid w:val="BD6F9472"/>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B2F1C0B"/>
    <w:rsid w:val="EF9F4FBD"/>
    <w:rsid w:val="EFEBFFF0"/>
    <w:rsid w:val="F15B044E"/>
    <w:rsid w:val="F164F54B"/>
    <w:rsid w:val="F3EBB9FA"/>
    <w:rsid w:val="F4FD8717"/>
    <w:rsid w:val="F57F8E35"/>
    <w:rsid w:val="F5D7B7CD"/>
    <w:rsid w:val="F7FA9A76"/>
    <w:rsid w:val="F99FF697"/>
    <w:rsid w:val="F9EB5FCA"/>
    <w:rsid w:val="FAF183FF"/>
    <w:rsid w:val="FB5AC7F5"/>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4</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2023-03-27T08:57:00Z</dcterms:created>
  <dc:creator> 曾姿</dc:creator>
  <cp:lastModifiedBy>szj</cp:lastModifiedBy>
  <cp:lastPrinted>2023-07-06T18:31:00Z</cp:lastPrinted>
  <dcterms:modified xsi:type="dcterms:W3CDTF">2023-12-14T15:47:44Z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