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翠微旧村改造项目12#-3地块-5#楼超限高层建筑工程抗震设防专家组审查意见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w:t>
      </w:r>
      <w:r>
        <w:rPr>
          <w:rFonts w:hint="default" w:ascii="仿宋_GB2312" w:hAnsi="仿宋_GB2312" w:eastAsia="仿宋_GB2312" w:cs="仿宋_GB2312"/>
          <w:sz w:val="32"/>
          <w:szCs w:val="32"/>
          <w:u w:val="none"/>
          <w:lang w:eastAsia="zh-CN" w:bidi="ar-SA"/>
        </w:rPr>
        <w:t>9</w:t>
      </w:r>
      <w:r>
        <w:rPr>
          <w:rFonts w:hint="eastAsia" w:ascii="仿宋_GB2312" w:hAnsi="仿宋_GB2312" w:eastAsia="仿宋_GB2312" w:cs="仿宋_GB2312"/>
          <w:sz w:val="32"/>
          <w:szCs w:val="32"/>
          <w:u w:val="none"/>
          <w:lang w:val="en-US" w:eastAsia="zh-CN" w:bidi="ar-SA"/>
        </w:rPr>
        <w:t>月27日，广东省超限高层建筑工程抗震设防审查专家委员会专家组成专家组，翠微旧村改造项目12#-3地块-5#楼超限高层建筑工程抗震设防审查会。专家听取了建设单位鲁康（珠海）置业有限公司、设计单位基准方中建筑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该项目位于珠海市香洲区明珠路东侧、翠微西路北侧。本次超限审查为5#楼，地下2层，地上47层，结构主屋面高度143.75米。抗震设防烈度7度（0.10g），Ⅱ类场地土，抗震设防类别为丙类，抗震性能目标为C级。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结构体系采用剪力墙结构，管桩基础，存在扭转不规则、凹凸不规则等不规则项，属于B级高度的超限高层建筑。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 Building两个程序对结构进行了常规的小震弹性分析，补充了YJK中、大震弹性验算，并采用PKPM-Sausage进行了罕遇地震动力弹塑性时程分析。计算结果表明，结构的各项控制性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1.检查风荷载下建筑物相互干扰不利影响，增大体型系数。</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2．补充斜交抗侧力方向的地震、风计算分析并包络设计；按照设定的抗震性能目标，完善薄弱连接楼板、底部剪力墙验算。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3．检查弹性时程分析的底部剪力与CQC对比增大系数。</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4．周边墙翼缘形成的框架应全高按照框架柱构造设计；剪力墙面外承接梁部位设置暗柱；弱连接拉梁钢筋应满足锚入墙、柱可靠长度。</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5.应考虑预制凸窗及现浇外墙板等对结构的不利影响。</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AFFB096"/>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2023-03-27T00:57:00Z</dcterms:created>
  <dc:creator> 曾姿</dc:creator>
  <cp:lastModifiedBy>szj</cp:lastModifiedBy>
  <cp:lastPrinted>2023-07-06T10:31:00Z</cp:lastPrinted>
  <dcterms:modified xsi:type="dcterms:W3CDTF">2023-12-14T16:32:28Z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