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bCs/>
          <w:sz w:val="52"/>
          <w:szCs w:val="52"/>
        </w:rPr>
      </w:pPr>
    </w:p>
    <w:p>
      <w:pPr>
        <w:pStyle w:val="5"/>
        <w:ind w:firstLine="0" w:firstLineChars="0"/>
        <w:jc w:val="center"/>
        <w:rPr>
          <w:rFonts w:ascii="黑体" w:hAnsi="黑体" w:eastAsia="黑体" w:cs="宋体"/>
          <w:bCs/>
          <w:kern w:val="0"/>
          <w:sz w:val="52"/>
          <w:szCs w:val="52"/>
        </w:rPr>
      </w:pPr>
      <w:r>
        <w:rPr>
          <w:rFonts w:hint="eastAsia" w:ascii="黑体" w:hAnsi="黑体" w:eastAsia="黑体" w:cs="宋体"/>
          <w:bCs/>
          <w:kern w:val="0"/>
          <w:sz w:val="52"/>
          <w:szCs w:val="52"/>
        </w:rPr>
        <w:t>广东省房屋市政工程质量安全政府监管一体化平台</w:t>
      </w:r>
    </w:p>
    <w:p>
      <w:pPr>
        <w:pStyle w:val="5"/>
        <w:ind w:firstLine="480"/>
      </w:pPr>
    </w:p>
    <w:p>
      <w:pPr>
        <w:pStyle w:val="5"/>
        <w:ind w:firstLine="480"/>
      </w:pPr>
    </w:p>
    <w:p>
      <w:pPr>
        <w:pStyle w:val="5"/>
        <w:ind w:firstLine="480"/>
      </w:pPr>
    </w:p>
    <w:p>
      <w:pPr>
        <w:pStyle w:val="5"/>
        <w:ind w:firstLine="480"/>
      </w:pPr>
    </w:p>
    <w:p>
      <w:pPr>
        <w:pStyle w:val="5"/>
        <w:ind w:firstLine="480"/>
      </w:pPr>
    </w:p>
    <w:p>
      <w:pPr>
        <w:spacing w:line="360" w:lineRule="auto"/>
        <w:jc w:val="center"/>
        <w:rPr>
          <w:rFonts w:ascii="黑体" w:hAnsi="黑体" w:eastAsia="黑体"/>
          <w:sz w:val="44"/>
          <w:szCs w:val="44"/>
        </w:rPr>
      </w:pPr>
      <w:r>
        <w:rPr>
          <w:rFonts w:hint="eastAsia" w:ascii="黑体" w:hAnsi="黑体" w:eastAsia="黑体"/>
          <w:sz w:val="44"/>
          <w:szCs w:val="44"/>
        </w:rPr>
        <w:t>各用户角色操作指引</w:t>
      </w:r>
    </w:p>
    <w:p>
      <w:pPr>
        <w:spacing w:line="360" w:lineRule="auto"/>
        <w:jc w:val="center"/>
        <w:rPr>
          <w:rFonts w:ascii="黑体" w:hAnsi="黑体" w:eastAsia="黑体"/>
          <w:sz w:val="44"/>
          <w:szCs w:val="44"/>
        </w:rPr>
      </w:pPr>
      <w:r>
        <w:rPr>
          <w:rFonts w:hint="eastAsia" w:ascii="黑体" w:hAnsi="黑体" w:eastAsia="黑体"/>
          <w:sz w:val="44"/>
          <w:szCs w:val="44"/>
        </w:rPr>
        <w:t>（监管端）</w:t>
      </w:r>
    </w:p>
    <w:p>
      <w:pPr>
        <w:spacing w:line="360" w:lineRule="auto"/>
        <w:jc w:val="center"/>
        <w:rPr>
          <w:rFonts w:ascii="黑体" w:hAnsi="黑体" w:eastAsia="黑体"/>
        </w:rPr>
      </w:pPr>
    </w:p>
    <w:p>
      <w:pPr>
        <w:pStyle w:val="5"/>
        <w:ind w:firstLine="480"/>
        <w:rPr>
          <w:rFonts w:ascii="黑体" w:hAnsi="黑体" w:eastAsia="黑体"/>
          <w:szCs w:val="24"/>
        </w:rPr>
      </w:pPr>
    </w:p>
    <w:p>
      <w:pPr>
        <w:pStyle w:val="5"/>
        <w:ind w:firstLine="0" w:firstLineChars="0"/>
        <w:rPr>
          <w:rFonts w:ascii="黑体" w:hAnsi="黑体" w:eastAsia="黑体"/>
          <w:szCs w:val="24"/>
        </w:rPr>
      </w:pPr>
    </w:p>
    <w:p>
      <w:pPr>
        <w:pStyle w:val="5"/>
        <w:ind w:firstLine="480"/>
        <w:rPr>
          <w:rFonts w:ascii="黑体" w:hAnsi="黑体" w:eastAsia="黑体"/>
          <w:szCs w:val="24"/>
        </w:rPr>
      </w:pPr>
    </w:p>
    <w:p>
      <w:pPr>
        <w:pStyle w:val="5"/>
        <w:ind w:firstLine="480"/>
        <w:rPr>
          <w:rFonts w:ascii="黑体" w:hAnsi="黑体" w:eastAsia="黑体"/>
          <w:szCs w:val="24"/>
        </w:rPr>
      </w:pPr>
    </w:p>
    <w:p>
      <w:pPr>
        <w:pStyle w:val="5"/>
        <w:ind w:firstLine="480"/>
        <w:rPr>
          <w:rFonts w:ascii="黑体" w:hAnsi="黑体" w:eastAsia="黑体"/>
          <w:szCs w:val="24"/>
        </w:rPr>
      </w:pPr>
    </w:p>
    <w:p>
      <w:pPr>
        <w:spacing w:line="360" w:lineRule="auto"/>
        <w:jc w:val="center"/>
        <w:rPr>
          <w:rFonts w:ascii="黑体" w:hAnsi="黑体" w:eastAsia="黑体"/>
          <w:sz w:val="32"/>
          <w:szCs w:val="32"/>
        </w:rPr>
      </w:pPr>
      <w:r>
        <w:rPr>
          <w:rFonts w:hint="eastAsia" w:ascii="黑体" w:hAnsi="黑体" w:eastAsia="黑体"/>
          <w:sz w:val="32"/>
          <w:szCs w:val="32"/>
        </w:rPr>
        <w:t>数字广东网络建设有限公司</w:t>
      </w:r>
    </w:p>
    <w:p>
      <w:pPr>
        <w:spacing w:line="360" w:lineRule="auto"/>
        <w:jc w:val="center"/>
        <w:rPr>
          <w:rFonts w:ascii="黑体" w:hAnsi="黑体" w:eastAsia="黑体"/>
          <w:sz w:val="32"/>
          <w:szCs w:val="32"/>
        </w:rPr>
      </w:pPr>
      <w:r>
        <w:rPr>
          <w:rFonts w:hint="eastAsia" w:ascii="黑体" w:hAnsi="黑体" w:eastAsia="黑体"/>
          <w:sz w:val="32"/>
          <w:szCs w:val="32"/>
        </w:rPr>
        <w:t>2023年</w:t>
      </w:r>
      <w:r>
        <w:rPr>
          <w:rFonts w:ascii="黑体" w:hAnsi="黑体" w:eastAsia="黑体"/>
          <w:sz w:val="32"/>
          <w:szCs w:val="32"/>
        </w:rPr>
        <w:t>11</w:t>
      </w:r>
      <w:r>
        <w:rPr>
          <w:rFonts w:hint="eastAsia" w:ascii="黑体" w:hAnsi="黑体" w:eastAsia="黑体"/>
          <w:sz w:val="32"/>
          <w:szCs w:val="32"/>
        </w:rPr>
        <w:t>月</w:t>
      </w:r>
    </w:p>
    <w:p>
      <w:pPr>
        <w:rPr>
          <w:rFonts w:ascii="黑体" w:hAnsi="黑体" w:eastAsia="黑体"/>
        </w:rPr>
      </w:pPr>
    </w:p>
    <w:p>
      <w:pPr>
        <w:sectPr>
          <w:headerReference r:id="rId5" w:type="first"/>
          <w:footerReference r:id="rId8" w:type="first"/>
          <w:headerReference r:id="rId3" w:type="default"/>
          <w:footerReference r:id="rId6" w:type="default"/>
          <w:headerReference r:id="rId4" w:type="even"/>
          <w:footerReference r:id="rId7" w:type="even"/>
          <w:pgSz w:w="11900" w:h="16840"/>
          <w:pgMar w:top="1418" w:right="1418" w:bottom="1418" w:left="1418" w:header="851" w:footer="992" w:gutter="0"/>
          <w:pgNumType w:fmt="decimal" w:start="1"/>
          <w:cols w:space="720" w:num="1"/>
          <w:docGrid w:type="lines" w:linePitch="423" w:charSpace="0"/>
        </w:sectPr>
      </w:pPr>
    </w:p>
    <w:p>
      <w:pPr>
        <w:spacing w:before="240" w:beforeLines="100" w:after="120" w:afterLines="50" w:line="360" w:lineRule="auto"/>
        <w:jc w:val="center"/>
        <w:rPr>
          <w:rFonts w:ascii="黑体" w:hAnsi="黑体" w:eastAsia="黑体"/>
          <w:b/>
          <w:sz w:val="32"/>
          <w:szCs w:val="32"/>
        </w:rPr>
      </w:pPr>
      <w:r>
        <w:rPr>
          <w:rFonts w:hint="eastAsia" w:ascii="黑体" w:hAnsi="黑体" w:eastAsia="黑体"/>
          <w:b/>
          <w:sz w:val="32"/>
          <w:szCs w:val="32"/>
        </w:rPr>
        <w:t>文档修改记录</w:t>
      </w:r>
    </w:p>
    <w:tbl>
      <w:tblPr>
        <w:tblStyle w:val="1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268"/>
        <w:gridCol w:w="1642"/>
        <w:gridCol w:w="181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pPr>
              <w:spacing w:line="360" w:lineRule="auto"/>
              <w:jc w:val="center"/>
              <w:rPr>
                <w:b/>
                <w:szCs w:val="21"/>
                <w:lang w:eastAsia="en-US"/>
              </w:rPr>
            </w:pPr>
            <w:r>
              <w:rPr>
                <w:rFonts w:hint="eastAsia"/>
                <w:b/>
                <w:szCs w:val="21"/>
                <w:lang w:eastAsia="en-US"/>
              </w:rPr>
              <w:t>版本号</w:t>
            </w:r>
          </w:p>
        </w:tc>
        <w:tc>
          <w:tcPr>
            <w:tcW w:w="2268" w:type="dxa"/>
            <w:vAlign w:val="center"/>
          </w:tcPr>
          <w:p>
            <w:pPr>
              <w:spacing w:line="360" w:lineRule="auto"/>
              <w:jc w:val="center"/>
              <w:rPr>
                <w:b/>
                <w:szCs w:val="21"/>
                <w:lang w:eastAsia="en-US"/>
              </w:rPr>
            </w:pPr>
            <w:r>
              <w:rPr>
                <w:rFonts w:hint="eastAsia"/>
                <w:b/>
                <w:szCs w:val="21"/>
                <w:lang w:eastAsia="en-US"/>
              </w:rPr>
              <w:t>版本描述</w:t>
            </w:r>
          </w:p>
        </w:tc>
        <w:tc>
          <w:tcPr>
            <w:tcW w:w="1642" w:type="dxa"/>
            <w:vAlign w:val="center"/>
          </w:tcPr>
          <w:p>
            <w:pPr>
              <w:spacing w:line="360" w:lineRule="auto"/>
              <w:jc w:val="center"/>
              <w:rPr>
                <w:b/>
                <w:szCs w:val="21"/>
                <w:lang w:eastAsia="en-US"/>
              </w:rPr>
            </w:pPr>
            <w:r>
              <w:rPr>
                <w:rFonts w:hint="eastAsia"/>
                <w:b/>
                <w:szCs w:val="21"/>
                <w:lang w:eastAsia="en-US"/>
              </w:rPr>
              <w:t>责任人</w:t>
            </w:r>
          </w:p>
        </w:tc>
        <w:tc>
          <w:tcPr>
            <w:tcW w:w="1812" w:type="dxa"/>
            <w:vAlign w:val="center"/>
          </w:tcPr>
          <w:p>
            <w:pPr>
              <w:spacing w:line="360" w:lineRule="auto"/>
              <w:jc w:val="center"/>
              <w:rPr>
                <w:b/>
                <w:szCs w:val="21"/>
                <w:lang w:eastAsia="en-US"/>
              </w:rPr>
            </w:pPr>
            <w:r>
              <w:rPr>
                <w:rFonts w:hint="eastAsia"/>
                <w:b/>
                <w:szCs w:val="21"/>
                <w:lang w:eastAsia="en-US"/>
              </w:rPr>
              <w:t>日期</w:t>
            </w:r>
          </w:p>
        </w:tc>
        <w:tc>
          <w:tcPr>
            <w:tcW w:w="1812" w:type="dxa"/>
            <w:vAlign w:val="center"/>
          </w:tcPr>
          <w:p>
            <w:pPr>
              <w:spacing w:line="360" w:lineRule="auto"/>
              <w:jc w:val="center"/>
              <w:rPr>
                <w:b/>
                <w:szCs w:val="21"/>
                <w:lang w:eastAsia="en-US"/>
              </w:rPr>
            </w:pPr>
            <w:r>
              <w:rPr>
                <w:rFonts w:hint="eastAsia"/>
                <w:b/>
                <w:szCs w:val="21"/>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pPr>
              <w:spacing w:line="360" w:lineRule="auto"/>
              <w:contextualSpacing/>
              <w:jc w:val="center"/>
            </w:pPr>
            <w:r>
              <w:rPr>
                <w:rFonts w:hint="eastAsia"/>
              </w:rPr>
              <w:t>V</w:t>
            </w:r>
            <w:r>
              <w:t>1.0</w:t>
            </w:r>
          </w:p>
        </w:tc>
        <w:tc>
          <w:tcPr>
            <w:tcW w:w="2268" w:type="dxa"/>
            <w:vAlign w:val="center"/>
          </w:tcPr>
          <w:p>
            <w:pPr>
              <w:spacing w:line="360" w:lineRule="auto"/>
              <w:contextualSpacing/>
              <w:jc w:val="center"/>
            </w:pPr>
            <w:r>
              <w:rPr>
                <w:rFonts w:hint="eastAsia"/>
              </w:rPr>
              <w:t>初稿</w:t>
            </w:r>
          </w:p>
        </w:tc>
        <w:tc>
          <w:tcPr>
            <w:tcW w:w="1642" w:type="dxa"/>
            <w:vAlign w:val="center"/>
          </w:tcPr>
          <w:p>
            <w:pPr>
              <w:spacing w:line="360" w:lineRule="auto"/>
              <w:contextualSpacing/>
              <w:jc w:val="center"/>
            </w:pPr>
            <w:r>
              <w:rPr>
                <w:rFonts w:hint="eastAsia"/>
              </w:rPr>
              <w:t>何达华</w:t>
            </w:r>
          </w:p>
        </w:tc>
        <w:tc>
          <w:tcPr>
            <w:tcW w:w="1812" w:type="dxa"/>
            <w:vAlign w:val="center"/>
          </w:tcPr>
          <w:p>
            <w:pPr>
              <w:spacing w:line="360" w:lineRule="auto"/>
              <w:contextualSpacing/>
              <w:jc w:val="center"/>
            </w:pPr>
            <w:r>
              <w:rPr>
                <w:rFonts w:hint="eastAsia"/>
              </w:rPr>
              <w:t>2023-7-11</w:t>
            </w:r>
          </w:p>
        </w:tc>
        <w:tc>
          <w:tcPr>
            <w:tcW w:w="1812" w:type="dxa"/>
            <w:vAlign w:val="center"/>
          </w:tcPr>
          <w:p>
            <w:pPr>
              <w:spacing w:line="360"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pPr>
              <w:spacing w:line="360" w:lineRule="auto"/>
              <w:contextualSpacing/>
              <w:jc w:val="center"/>
            </w:pPr>
            <w:r>
              <w:rPr>
                <w:rFonts w:hint="eastAsia"/>
              </w:rPr>
              <w:t>V</w:t>
            </w:r>
            <w:r>
              <w:t>2.0</w:t>
            </w:r>
          </w:p>
        </w:tc>
        <w:tc>
          <w:tcPr>
            <w:tcW w:w="2268" w:type="dxa"/>
            <w:vAlign w:val="center"/>
          </w:tcPr>
          <w:p>
            <w:pPr>
              <w:spacing w:line="360" w:lineRule="auto"/>
              <w:contextualSpacing/>
              <w:jc w:val="center"/>
            </w:pPr>
            <w:r>
              <w:rPr>
                <w:rFonts w:hint="eastAsia"/>
              </w:rPr>
              <w:t>终稿</w:t>
            </w:r>
          </w:p>
        </w:tc>
        <w:tc>
          <w:tcPr>
            <w:tcW w:w="1642" w:type="dxa"/>
            <w:vAlign w:val="center"/>
          </w:tcPr>
          <w:p>
            <w:pPr>
              <w:spacing w:line="360" w:lineRule="auto"/>
              <w:contextualSpacing/>
              <w:jc w:val="center"/>
            </w:pPr>
            <w:r>
              <w:rPr>
                <w:rFonts w:hint="eastAsia"/>
              </w:rPr>
              <w:t>何达华</w:t>
            </w:r>
          </w:p>
        </w:tc>
        <w:tc>
          <w:tcPr>
            <w:tcW w:w="1812" w:type="dxa"/>
            <w:vAlign w:val="center"/>
          </w:tcPr>
          <w:p>
            <w:pPr>
              <w:spacing w:line="360" w:lineRule="auto"/>
              <w:contextualSpacing/>
              <w:jc w:val="center"/>
            </w:pPr>
            <w:r>
              <w:rPr>
                <w:rFonts w:hint="eastAsia"/>
              </w:rPr>
              <w:t>2023-</w:t>
            </w:r>
            <w:r>
              <w:t>11</w:t>
            </w:r>
            <w:r>
              <w:rPr>
                <w:rFonts w:hint="eastAsia"/>
              </w:rPr>
              <w:t>-1</w:t>
            </w:r>
            <w:r>
              <w:t>0</w:t>
            </w:r>
          </w:p>
        </w:tc>
        <w:tc>
          <w:tcPr>
            <w:tcW w:w="1812" w:type="dxa"/>
            <w:vAlign w:val="center"/>
          </w:tcPr>
          <w:p>
            <w:pPr>
              <w:spacing w:line="360"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pPr>
              <w:spacing w:line="360" w:lineRule="auto"/>
              <w:contextualSpacing/>
              <w:jc w:val="center"/>
            </w:pPr>
          </w:p>
        </w:tc>
        <w:tc>
          <w:tcPr>
            <w:tcW w:w="2268" w:type="dxa"/>
            <w:vAlign w:val="center"/>
          </w:tcPr>
          <w:p>
            <w:pPr>
              <w:spacing w:line="360" w:lineRule="auto"/>
              <w:contextualSpacing/>
              <w:jc w:val="center"/>
            </w:pPr>
          </w:p>
        </w:tc>
        <w:tc>
          <w:tcPr>
            <w:tcW w:w="1642" w:type="dxa"/>
            <w:vAlign w:val="center"/>
          </w:tcPr>
          <w:p>
            <w:pPr>
              <w:spacing w:line="360" w:lineRule="auto"/>
              <w:contextualSpacing/>
              <w:jc w:val="center"/>
            </w:pPr>
          </w:p>
        </w:tc>
        <w:tc>
          <w:tcPr>
            <w:tcW w:w="1812" w:type="dxa"/>
            <w:vAlign w:val="center"/>
          </w:tcPr>
          <w:p>
            <w:pPr>
              <w:spacing w:line="360" w:lineRule="auto"/>
              <w:contextualSpacing/>
              <w:jc w:val="center"/>
            </w:pPr>
          </w:p>
        </w:tc>
        <w:tc>
          <w:tcPr>
            <w:tcW w:w="1812" w:type="dxa"/>
            <w:vAlign w:val="center"/>
          </w:tcPr>
          <w:p>
            <w:pPr>
              <w:spacing w:line="360"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pPr>
              <w:spacing w:line="360" w:lineRule="auto"/>
              <w:contextualSpacing/>
              <w:jc w:val="center"/>
            </w:pPr>
          </w:p>
        </w:tc>
        <w:tc>
          <w:tcPr>
            <w:tcW w:w="2268" w:type="dxa"/>
            <w:vAlign w:val="center"/>
          </w:tcPr>
          <w:p>
            <w:pPr>
              <w:spacing w:line="360" w:lineRule="auto"/>
              <w:contextualSpacing/>
              <w:jc w:val="center"/>
            </w:pPr>
          </w:p>
        </w:tc>
        <w:tc>
          <w:tcPr>
            <w:tcW w:w="1642" w:type="dxa"/>
            <w:vAlign w:val="center"/>
          </w:tcPr>
          <w:p>
            <w:pPr>
              <w:spacing w:line="360" w:lineRule="auto"/>
              <w:contextualSpacing/>
              <w:jc w:val="center"/>
            </w:pPr>
          </w:p>
        </w:tc>
        <w:tc>
          <w:tcPr>
            <w:tcW w:w="1812" w:type="dxa"/>
            <w:vAlign w:val="center"/>
          </w:tcPr>
          <w:p>
            <w:pPr>
              <w:spacing w:line="360" w:lineRule="auto"/>
              <w:contextualSpacing/>
              <w:jc w:val="center"/>
            </w:pPr>
          </w:p>
        </w:tc>
        <w:tc>
          <w:tcPr>
            <w:tcW w:w="1812" w:type="dxa"/>
            <w:vAlign w:val="center"/>
          </w:tcPr>
          <w:p>
            <w:pPr>
              <w:spacing w:line="360"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pPr>
              <w:spacing w:line="360" w:lineRule="auto"/>
              <w:contextualSpacing/>
              <w:jc w:val="center"/>
            </w:pPr>
          </w:p>
        </w:tc>
        <w:tc>
          <w:tcPr>
            <w:tcW w:w="2268" w:type="dxa"/>
            <w:vAlign w:val="center"/>
          </w:tcPr>
          <w:p>
            <w:pPr>
              <w:spacing w:line="360" w:lineRule="auto"/>
              <w:contextualSpacing/>
              <w:jc w:val="center"/>
            </w:pPr>
          </w:p>
        </w:tc>
        <w:tc>
          <w:tcPr>
            <w:tcW w:w="1642" w:type="dxa"/>
            <w:vAlign w:val="center"/>
          </w:tcPr>
          <w:p>
            <w:pPr>
              <w:spacing w:line="360" w:lineRule="auto"/>
              <w:contextualSpacing/>
              <w:jc w:val="center"/>
            </w:pPr>
          </w:p>
        </w:tc>
        <w:tc>
          <w:tcPr>
            <w:tcW w:w="1812" w:type="dxa"/>
            <w:vAlign w:val="center"/>
          </w:tcPr>
          <w:p>
            <w:pPr>
              <w:spacing w:line="360" w:lineRule="auto"/>
              <w:contextualSpacing/>
              <w:jc w:val="center"/>
            </w:pPr>
          </w:p>
        </w:tc>
        <w:tc>
          <w:tcPr>
            <w:tcW w:w="1812" w:type="dxa"/>
            <w:vAlign w:val="center"/>
          </w:tcPr>
          <w:p>
            <w:pPr>
              <w:spacing w:line="360"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pPr>
              <w:spacing w:line="360" w:lineRule="auto"/>
              <w:contextualSpacing/>
              <w:jc w:val="center"/>
            </w:pPr>
          </w:p>
        </w:tc>
        <w:tc>
          <w:tcPr>
            <w:tcW w:w="2268" w:type="dxa"/>
            <w:vAlign w:val="center"/>
          </w:tcPr>
          <w:p>
            <w:pPr>
              <w:spacing w:line="360" w:lineRule="auto"/>
              <w:contextualSpacing/>
              <w:jc w:val="center"/>
            </w:pPr>
          </w:p>
        </w:tc>
        <w:tc>
          <w:tcPr>
            <w:tcW w:w="1642" w:type="dxa"/>
            <w:vAlign w:val="center"/>
          </w:tcPr>
          <w:p>
            <w:pPr>
              <w:spacing w:line="360" w:lineRule="auto"/>
              <w:contextualSpacing/>
              <w:jc w:val="center"/>
            </w:pPr>
          </w:p>
        </w:tc>
        <w:tc>
          <w:tcPr>
            <w:tcW w:w="1812" w:type="dxa"/>
            <w:vAlign w:val="center"/>
          </w:tcPr>
          <w:p>
            <w:pPr>
              <w:spacing w:line="360" w:lineRule="auto"/>
              <w:contextualSpacing/>
              <w:jc w:val="center"/>
            </w:pPr>
          </w:p>
        </w:tc>
        <w:tc>
          <w:tcPr>
            <w:tcW w:w="1812" w:type="dxa"/>
            <w:vAlign w:val="center"/>
          </w:tcPr>
          <w:p>
            <w:pPr>
              <w:spacing w:line="360"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pPr>
              <w:spacing w:line="360" w:lineRule="auto"/>
              <w:contextualSpacing/>
              <w:jc w:val="center"/>
            </w:pPr>
          </w:p>
        </w:tc>
        <w:tc>
          <w:tcPr>
            <w:tcW w:w="2268" w:type="dxa"/>
            <w:vAlign w:val="center"/>
          </w:tcPr>
          <w:p>
            <w:pPr>
              <w:spacing w:line="360" w:lineRule="auto"/>
              <w:contextualSpacing/>
              <w:jc w:val="center"/>
            </w:pPr>
          </w:p>
        </w:tc>
        <w:tc>
          <w:tcPr>
            <w:tcW w:w="1642" w:type="dxa"/>
            <w:vAlign w:val="center"/>
          </w:tcPr>
          <w:p>
            <w:pPr>
              <w:spacing w:line="360" w:lineRule="auto"/>
              <w:contextualSpacing/>
              <w:jc w:val="center"/>
            </w:pPr>
          </w:p>
        </w:tc>
        <w:tc>
          <w:tcPr>
            <w:tcW w:w="1812" w:type="dxa"/>
            <w:vAlign w:val="center"/>
          </w:tcPr>
          <w:p>
            <w:pPr>
              <w:spacing w:line="360" w:lineRule="auto"/>
              <w:contextualSpacing/>
              <w:jc w:val="center"/>
            </w:pPr>
          </w:p>
        </w:tc>
        <w:tc>
          <w:tcPr>
            <w:tcW w:w="1812" w:type="dxa"/>
            <w:vAlign w:val="center"/>
          </w:tcPr>
          <w:p>
            <w:pPr>
              <w:spacing w:line="360" w:lineRule="auto"/>
              <w:contextualSpacing/>
              <w:jc w:val="center"/>
            </w:pPr>
          </w:p>
        </w:tc>
      </w:tr>
    </w:tbl>
    <w:p>
      <w:pPr>
        <w:rPr>
          <w:rFonts w:ascii="Calibri" w:hAnsi="Calibri" w:cs="Times New Roman"/>
          <w:b/>
          <w:bCs/>
          <w:kern w:val="44"/>
          <w:sz w:val="44"/>
          <w:szCs w:val="44"/>
        </w:rPr>
      </w:pPr>
    </w:p>
    <w:p>
      <w:pPr>
        <w:pStyle w:val="5"/>
        <w:ind w:firstLine="0" w:firstLineChars="0"/>
      </w:pPr>
    </w:p>
    <w:p>
      <w:pPr>
        <w:pStyle w:val="5"/>
        <w:ind w:firstLine="0" w:firstLineChars="0"/>
      </w:pPr>
    </w:p>
    <w:p>
      <w:pPr>
        <w:pStyle w:val="5"/>
        <w:ind w:firstLine="0" w:firstLineChars="0"/>
      </w:pPr>
    </w:p>
    <w:p>
      <w:pPr>
        <w:pStyle w:val="5"/>
        <w:ind w:firstLine="0" w:firstLineChars="0"/>
      </w:pPr>
    </w:p>
    <w:p>
      <w:pPr>
        <w:pStyle w:val="5"/>
        <w:ind w:firstLine="0" w:firstLineChars="0"/>
      </w:pPr>
    </w:p>
    <w:p>
      <w:pPr>
        <w:pStyle w:val="5"/>
        <w:ind w:firstLine="0" w:firstLineChars="0"/>
      </w:pPr>
    </w:p>
    <w:p>
      <w:pPr>
        <w:pStyle w:val="5"/>
        <w:ind w:firstLine="0" w:firstLineChars="0"/>
      </w:pPr>
    </w:p>
    <w:p>
      <w:pPr>
        <w:pStyle w:val="5"/>
        <w:ind w:firstLine="0" w:firstLineChars="0"/>
      </w:pPr>
    </w:p>
    <w:p>
      <w:pPr>
        <w:pStyle w:val="5"/>
        <w:ind w:firstLine="0" w:firstLineChars="0"/>
      </w:pPr>
    </w:p>
    <w:p>
      <w:pPr>
        <w:pStyle w:val="5"/>
        <w:ind w:firstLine="0" w:firstLineChars="0"/>
      </w:pPr>
    </w:p>
    <w:p>
      <w:pPr>
        <w:pStyle w:val="5"/>
        <w:ind w:firstLine="0" w:firstLineChars="0"/>
      </w:pPr>
    </w:p>
    <w:p>
      <w:pPr>
        <w:pStyle w:val="5"/>
        <w:ind w:firstLine="0" w:firstLineChars="0"/>
      </w:pPr>
    </w:p>
    <w:p>
      <w:pPr>
        <w:pStyle w:val="5"/>
        <w:ind w:firstLine="0" w:firstLineChars="0"/>
      </w:pPr>
    </w:p>
    <w:p>
      <w:pPr>
        <w:pStyle w:val="5"/>
        <w:ind w:firstLine="0" w:firstLineChars="0"/>
      </w:pPr>
    </w:p>
    <w:p>
      <w:pPr>
        <w:pStyle w:val="5"/>
        <w:ind w:firstLine="0" w:firstLineChars="0"/>
      </w:pPr>
    </w:p>
    <w:p>
      <w:pPr>
        <w:pStyle w:val="5"/>
        <w:ind w:firstLine="0" w:firstLineChars="0"/>
      </w:pPr>
    </w:p>
    <w:p>
      <w:pPr>
        <w:pStyle w:val="5"/>
        <w:ind w:firstLine="0" w:firstLineChars="0"/>
      </w:pPr>
    </w:p>
    <w:p>
      <w:pPr>
        <w:pStyle w:val="5"/>
        <w:ind w:firstLine="0" w:firstLineChars="0"/>
        <w:sectPr>
          <w:headerReference r:id="rId9" w:type="default"/>
          <w:footerReference r:id="rId10" w:type="default"/>
          <w:pgSz w:w="11906" w:h="16838"/>
          <w:pgMar w:top="1440" w:right="1841" w:bottom="1440" w:left="1800" w:header="851" w:footer="992" w:gutter="0"/>
          <w:pgNumType w:fmt="decimal" w:start="1"/>
          <w:cols w:space="425" w:num="1"/>
          <w:docGrid w:linePitch="312" w:charSpace="0"/>
        </w:sectPr>
      </w:pPr>
    </w:p>
    <w:p>
      <w:pPr>
        <w:pStyle w:val="5"/>
        <w:ind w:firstLine="0" w:firstLineChars="0"/>
      </w:pPr>
    </w:p>
    <w:p>
      <w:pPr>
        <w:pStyle w:val="5"/>
        <w:ind w:firstLine="0" w:firstLineChars="0"/>
      </w:pPr>
    </w:p>
    <w:sdt>
      <w:sdtPr>
        <w:rPr>
          <w:rFonts w:ascii="宋体" w:hAnsi="宋体" w:eastAsia="宋体" w:cs="宋体"/>
          <w:color w:val="auto"/>
          <w:sz w:val="24"/>
          <w:szCs w:val="24"/>
          <w:lang w:val="zh-CN"/>
        </w:rPr>
        <w:id w:val="-2035337490"/>
        <w:docPartObj>
          <w:docPartGallery w:val="Table of Contents"/>
          <w:docPartUnique/>
        </w:docPartObj>
      </w:sdtPr>
      <w:sdtEndPr>
        <w:rPr>
          <w:rFonts w:ascii="宋体" w:hAnsi="宋体" w:eastAsia="宋体" w:cs="宋体"/>
          <w:b/>
          <w:bCs/>
          <w:color w:val="auto"/>
          <w:sz w:val="24"/>
          <w:szCs w:val="24"/>
          <w:lang w:val="zh-CN"/>
        </w:rPr>
      </w:sdtEndPr>
      <w:sdtContent>
        <w:p>
          <w:pPr>
            <w:pStyle w:val="20"/>
            <w:pageBreakBefore w:val="0"/>
            <w:widowControl/>
            <w:kinsoku/>
            <w:wordWrap/>
            <w:overflowPunct/>
            <w:topLinePunct w:val="0"/>
            <w:autoSpaceDE/>
            <w:autoSpaceDN/>
            <w:bidi w:val="0"/>
            <w:adjustRightInd/>
            <w:snapToGrid/>
            <w:spacing w:line="400" w:lineRule="exact"/>
            <w:jc w:val="center"/>
            <w:textAlignment w:val="auto"/>
          </w:pPr>
          <w:r>
            <w:rPr>
              <w:b/>
              <w:color w:val="000000" w:themeColor="text1"/>
              <w:lang w:val="zh-CN"/>
              <w14:textFill>
                <w14:solidFill>
                  <w14:schemeClr w14:val="tx1"/>
                </w14:solidFill>
              </w14:textFill>
            </w:rPr>
            <w:t>目录</w:t>
          </w:r>
        </w:p>
        <w:p>
          <w:pPr>
            <w:pStyle w:val="12"/>
            <w:pageBreakBefore w:val="0"/>
            <w:widowControl/>
            <w:tabs>
              <w:tab w:val="left" w:pos="960"/>
              <w:tab w:val="right" w:leader="dot" w:pos="8255"/>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kern w:val="2"/>
              <w:sz w:val="21"/>
              <w:szCs w:val="22"/>
            </w:rPr>
          </w:pPr>
          <w:r>
            <w:fldChar w:fldCharType="begin"/>
          </w:r>
          <w:r>
            <w:instrText xml:space="preserve"> TOC \o "1-3" \h \z \u </w:instrText>
          </w:r>
          <w:r>
            <w:fldChar w:fldCharType="separate"/>
          </w:r>
          <w:r>
            <w:fldChar w:fldCharType="begin"/>
          </w:r>
          <w:r>
            <w:instrText xml:space="preserve"> HYPERLINK \l "_Toc153274923" </w:instrText>
          </w:r>
          <w:r>
            <w:fldChar w:fldCharType="separate"/>
          </w:r>
          <w:r>
            <w:rPr>
              <w:rStyle w:val="17"/>
            </w:rPr>
            <w:t>1.</w:t>
          </w:r>
          <w:r>
            <w:rPr>
              <w:rFonts w:asciiTheme="minorHAnsi" w:hAnsiTheme="minorHAnsi" w:eastAsiaTheme="minorEastAsia" w:cstheme="minorBidi"/>
              <w:kern w:val="2"/>
              <w:sz w:val="21"/>
              <w:szCs w:val="22"/>
            </w:rPr>
            <w:tab/>
          </w:r>
          <w:r>
            <w:rPr>
              <w:rStyle w:val="17"/>
            </w:rPr>
            <w:t>引言</w:t>
          </w:r>
          <w:r>
            <w:tab/>
          </w:r>
          <w:r>
            <w:fldChar w:fldCharType="begin"/>
          </w:r>
          <w:r>
            <w:instrText xml:space="preserve"> PAGEREF _Toc153274923 \h </w:instrText>
          </w:r>
          <w:r>
            <w:fldChar w:fldCharType="separate"/>
          </w:r>
          <w:r>
            <w:t>4</w:t>
          </w:r>
          <w:r>
            <w:fldChar w:fldCharType="end"/>
          </w:r>
          <w:r>
            <w:fldChar w:fldCharType="end"/>
          </w:r>
        </w:p>
        <w:p>
          <w:pPr>
            <w:pStyle w:val="13"/>
            <w:pageBreakBefore w:val="0"/>
            <w:widowControl/>
            <w:tabs>
              <w:tab w:val="left" w:pos="1260"/>
              <w:tab w:val="right" w:leader="dot" w:pos="8255"/>
            </w:tabs>
            <w:kinsoku/>
            <w:wordWrap/>
            <w:overflowPunct/>
            <w:topLinePunct w:val="0"/>
            <w:autoSpaceDE/>
            <w:autoSpaceDN/>
            <w:bidi w:val="0"/>
            <w:adjustRightInd/>
            <w:snapToGrid/>
            <w:spacing w:line="400" w:lineRule="exact"/>
            <w:ind w:left="480"/>
            <w:textAlignment w:val="auto"/>
            <w:rPr>
              <w:rFonts w:asciiTheme="minorHAnsi" w:hAnsiTheme="minorHAnsi" w:eastAsiaTheme="minorEastAsia" w:cstheme="minorBidi"/>
              <w:kern w:val="2"/>
              <w:sz w:val="21"/>
              <w:szCs w:val="22"/>
            </w:rPr>
          </w:pPr>
          <w:r>
            <w:fldChar w:fldCharType="begin"/>
          </w:r>
          <w:r>
            <w:instrText xml:space="preserve"> HYPERLINK \l "_Toc153274924" </w:instrText>
          </w:r>
          <w:r>
            <w:fldChar w:fldCharType="separate"/>
          </w:r>
          <w:r>
            <w:rPr>
              <w:rStyle w:val="17"/>
            </w:rPr>
            <w:t>1.1.</w:t>
          </w:r>
          <w:r>
            <w:rPr>
              <w:rFonts w:asciiTheme="minorHAnsi" w:hAnsiTheme="minorHAnsi" w:eastAsiaTheme="minorEastAsia" w:cstheme="minorBidi"/>
              <w:kern w:val="2"/>
              <w:sz w:val="21"/>
              <w:szCs w:val="22"/>
            </w:rPr>
            <w:tab/>
          </w:r>
          <w:r>
            <w:rPr>
              <w:rStyle w:val="17"/>
            </w:rPr>
            <w:t>目的</w:t>
          </w:r>
          <w:r>
            <w:tab/>
          </w:r>
          <w:r>
            <w:fldChar w:fldCharType="begin"/>
          </w:r>
          <w:r>
            <w:instrText xml:space="preserve"> PAGEREF _Toc153274924 \h </w:instrText>
          </w:r>
          <w:r>
            <w:fldChar w:fldCharType="separate"/>
          </w:r>
          <w:r>
            <w:t>4</w:t>
          </w:r>
          <w:r>
            <w:fldChar w:fldCharType="end"/>
          </w:r>
          <w:r>
            <w:fldChar w:fldCharType="end"/>
          </w:r>
        </w:p>
        <w:p>
          <w:pPr>
            <w:pStyle w:val="13"/>
            <w:pageBreakBefore w:val="0"/>
            <w:widowControl/>
            <w:tabs>
              <w:tab w:val="left" w:pos="1260"/>
              <w:tab w:val="right" w:leader="dot" w:pos="8255"/>
            </w:tabs>
            <w:kinsoku/>
            <w:wordWrap/>
            <w:overflowPunct/>
            <w:topLinePunct w:val="0"/>
            <w:autoSpaceDE/>
            <w:autoSpaceDN/>
            <w:bidi w:val="0"/>
            <w:adjustRightInd/>
            <w:snapToGrid/>
            <w:spacing w:line="400" w:lineRule="exact"/>
            <w:ind w:left="480"/>
            <w:textAlignment w:val="auto"/>
            <w:rPr>
              <w:rFonts w:asciiTheme="minorHAnsi" w:hAnsiTheme="minorHAnsi" w:eastAsiaTheme="minorEastAsia" w:cstheme="minorBidi"/>
              <w:kern w:val="2"/>
              <w:sz w:val="21"/>
              <w:szCs w:val="22"/>
            </w:rPr>
          </w:pPr>
          <w:r>
            <w:fldChar w:fldCharType="begin"/>
          </w:r>
          <w:r>
            <w:instrText xml:space="preserve"> HYPERLINK \l "_Toc153274925" </w:instrText>
          </w:r>
          <w:r>
            <w:fldChar w:fldCharType="separate"/>
          </w:r>
          <w:r>
            <w:rPr>
              <w:rStyle w:val="17"/>
            </w:rPr>
            <w:t>1.2.</w:t>
          </w:r>
          <w:r>
            <w:rPr>
              <w:rFonts w:asciiTheme="minorHAnsi" w:hAnsiTheme="minorHAnsi" w:eastAsiaTheme="minorEastAsia" w:cstheme="minorBidi"/>
              <w:kern w:val="2"/>
              <w:sz w:val="21"/>
              <w:szCs w:val="22"/>
            </w:rPr>
            <w:tab/>
          </w:r>
          <w:r>
            <w:rPr>
              <w:rStyle w:val="17"/>
            </w:rPr>
            <w:t>系统简介</w:t>
          </w:r>
          <w:r>
            <w:tab/>
          </w:r>
          <w:r>
            <w:fldChar w:fldCharType="begin"/>
          </w:r>
          <w:r>
            <w:instrText xml:space="preserve"> PAGEREF _Toc153274925 \h </w:instrText>
          </w:r>
          <w:r>
            <w:fldChar w:fldCharType="separate"/>
          </w:r>
          <w:r>
            <w:t>4</w:t>
          </w:r>
          <w:r>
            <w:fldChar w:fldCharType="end"/>
          </w:r>
          <w:r>
            <w:fldChar w:fldCharType="end"/>
          </w:r>
        </w:p>
        <w:p>
          <w:pPr>
            <w:pStyle w:val="13"/>
            <w:pageBreakBefore w:val="0"/>
            <w:widowControl/>
            <w:tabs>
              <w:tab w:val="left" w:pos="1260"/>
              <w:tab w:val="right" w:leader="dot" w:pos="8255"/>
            </w:tabs>
            <w:kinsoku/>
            <w:wordWrap/>
            <w:overflowPunct/>
            <w:topLinePunct w:val="0"/>
            <w:autoSpaceDE/>
            <w:autoSpaceDN/>
            <w:bidi w:val="0"/>
            <w:adjustRightInd/>
            <w:snapToGrid/>
            <w:spacing w:line="400" w:lineRule="exact"/>
            <w:ind w:left="480"/>
            <w:textAlignment w:val="auto"/>
            <w:rPr>
              <w:rFonts w:asciiTheme="minorHAnsi" w:hAnsiTheme="minorHAnsi" w:eastAsiaTheme="minorEastAsia" w:cstheme="minorBidi"/>
              <w:kern w:val="2"/>
              <w:sz w:val="21"/>
              <w:szCs w:val="22"/>
            </w:rPr>
          </w:pPr>
          <w:r>
            <w:fldChar w:fldCharType="begin"/>
          </w:r>
          <w:r>
            <w:instrText xml:space="preserve"> HYPERLINK \l "_Toc153274926" </w:instrText>
          </w:r>
          <w:r>
            <w:fldChar w:fldCharType="separate"/>
          </w:r>
          <w:r>
            <w:rPr>
              <w:rStyle w:val="17"/>
            </w:rPr>
            <w:t>1.3.</w:t>
          </w:r>
          <w:r>
            <w:rPr>
              <w:rFonts w:asciiTheme="minorHAnsi" w:hAnsiTheme="minorHAnsi" w:eastAsiaTheme="minorEastAsia" w:cstheme="minorBidi"/>
              <w:kern w:val="2"/>
              <w:sz w:val="21"/>
              <w:szCs w:val="22"/>
            </w:rPr>
            <w:tab/>
          </w:r>
          <w:r>
            <w:rPr>
              <w:rStyle w:val="17"/>
            </w:rPr>
            <w:t>阅读对象</w:t>
          </w:r>
          <w:r>
            <w:tab/>
          </w:r>
          <w:r>
            <w:fldChar w:fldCharType="begin"/>
          </w:r>
          <w:r>
            <w:instrText xml:space="preserve"> PAGEREF _Toc153274926 \h </w:instrText>
          </w:r>
          <w:r>
            <w:fldChar w:fldCharType="separate"/>
          </w:r>
          <w:r>
            <w:t>4</w:t>
          </w:r>
          <w:r>
            <w:fldChar w:fldCharType="end"/>
          </w:r>
          <w:r>
            <w:fldChar w:fldCharType="end"/>
          </w:r>
        </w:p>
        <w:p>
          <w:pPr>
            <w:pStyle w:val="13"/>
            <w:pageBreakBefore w:val="0"/>
            <w:widowControl/>
            <w:tabs>
              <w:tab w:val="left" w:pos="1260"/>
              <w:tab w:val="right" w:leader="dot" w:pos="8255"/>
            </w:tabs>
            <w:kinsoku/>
            <w:wordWrap/>
            <w:overflowPunct/>
            <w:topLinePunct w:val="0"/>
            <w:autoSpaceDE/>
            <w:autoSpaceDN/>
            <w:bidi w:val="0"/>
            <w:adjustRightInd/>
            <w:snapToGrid/>
            <w:spacing w:line="400" w:lineRule="exact"/>
            <w:ind w:left="480"/>
            <w:textAlignment w:val="auto"/>
            <w:rPr>
              <w:rFonts w:asciiTheme="minorHAnsi" w:hAnsiTheme="minorHAnsi" w:eastAsiaTheme="minorEastAsia" w:cstheme="minorBidi"/>
              <w:kern w:val="2"/>
              <w:sz w:val="21"/>
              <w:szCs w:val="22"/>
            </w:rPr>
          </w:pPr>
          <w:r>
            <w:fldChar w:fldCharType="begin"/>
          </w:r>
          <w:r>
            <w:instrText xml:space="preserve"> HYPERLINK \l "_Toc153274927" </w:instrText>
          </w:r>
          <w:r>
            <w:fldChar w:fldCharType="separate"/>
          </w:r>
          <w:r>
            <w:rPr>
              <w:rStyle w:val="17"/>
            </w:rPr>
            <w:t>1.4.</w:t>
          </w:r>
          <w:r>
            <w:rPr>
              <w:rFonts w:asciiTheme="minorHAnsi" w:hAnsiTheme="minorHAnsi" w:eastAsiaTheme="minorEastAsia" w:cstheme="minorBidi"/>
              <w:kern w:val="2"/>
              <w:sz w:val="21"/>
              <w:szCs w:val="22"/>
            </w:rPr>
            <w:tab/>
          </w:r>
          <w:r>
            <w:rPr>
              <w:rStyle w:val="17"/>
            </w:rPr>
            <w:t>名词解释</w:t>
          </w:r>
          <w:r>
            <w:tab/>
          </w:r>
          <w:r>
            <w:fldChar w:fldCharType="begin"/>
          </w:r>
          <w:r>
            <w:instrText xml:space="preserve"> PAGEREF _Toc153274927 \h </w:instrText>
          </w:r>
          <w:r>
            <w:fldChar w:fldCharType="separate"/>
          </w:r>
          <w:r>
            <w:t>4</w:t>
          </w:r>
          <w:r>
            <w:fldChar w:fldCharType="end"/>
          </w:r>
          <w:r>
            <w:fldChar w:fldCharType="end"/>
          </w:r>
        </w:p>
        <w:p>
          <w:pPr>
            <w:pStyle w:val="12"/>
            <w:pageBreakBefore w:val="0"/>
            <w:widowControl/>
            <w:tabs>
              <w:tab w:val="left" w:pos="960"/>
              <w:tab w:val="right" w:leader="dot" w:pos="8255"/>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kern w:val="2"/>
              <w:sz w:val="21"/>
              <w:szCs w:val="22"/>
            </w:rPr>
          </w:pPr>
          <w:r>
            <w:fldChar w:fldCharType="begin"/>
          </w:r>
          <w:r>
            <w:instrText xml:space="preserve"> HYPERLINK \l "_Toc153274928" </w:instrText>
          </w:r>
          <w:r>
            <w:fldChar w:fldCharType="separate"/>
          </w:r>
          <w:r>
            <w:rPr>
              <w:rStyle w:val="17"/>
            </w:rPr>
            <w:t>2.</w:t>
          </w:r>
          <w:r>
            <w:rPr>
              <w:rFonts w:asciiTheme="minorHAnsi" w:hAnsiTheme="minorHAnsi" w:eastAsiaTheme="minorEastAsia" w:cstheme="minorBidi"/>
              <w:kern w:val="2"/>
              <w:sz w:val="21"/>
              <w:szCs w:val="22"/>
            </w:rPr>
            <w:tab/>
          </w:r>
          <w:r>
            <w:rPr>
              <w:rStyle w:val="17"/>
            </w:rPr>
            <w:t>操作指引</w:t>
          </w:r>
          <w:r>
            <w:tab/>
          </w:r>
          <w:r>
            <w:fldChar w:fldCharType="begin"/>
          </w:r>
          <w:r>
            <w:instrText xml:space="preserve"> PAGEREF _Toc153274928 \h </w:instrText>
          </w:r>
          <w:r>
            <w:fldChar w:fldCharType="separate"/>
          </w:r>
          <w:r>
            <w:t>5</w:t>
          </w:r>
          <w:r>
            <w:fldChar w:fldCharType="end"/>
          </w:r>
          <w:r>
            <w:fldChar w:fldCharType="end"/>
          </w:r>
        </w:p>
        <w:p>
          <w:pPr>
            <w:pStyle w:val="13"/>
            <w:pageBreakBefore w:val="0"/>
            <w:widowControl/>
            <w:tabs>
              <w:tab w:val="left" w:pos="1260"/>
              <w:tab w:val="right" w:leader="dot" w:pos="8255"/>
            </w:tabs>
            <w:kinsoku/>
            <w:wordWrap/>
            <w:overflowPunct/>
            <w:topLinePunct w:val="0"/>
            <w:autoSpaceDE/>
            <w:autoSpaceDN/>
            <w:bidi w:val="0"/>
            <w:adjustRightInd/>
            <w:snapToGrid/>
            <w:spacing w:line="400" w:lineRule="exact"/>
            <w:ind w:left="480"/>
            <w:textAlignment w:val="auto"/>
            <w:rPr>
              <w:rFonts w:asciiTheme="minorHAnsi" w:hAnsiTheme="minorHAnsi" w:eastAsiaTheme="minorEastAsia" w:cstheme="minorBidi"/>
              <w:kern w:val="2"/>
              <w:sz w:val="21"/>
              <w:szCs w:val="22"/>
            </w:rPr>
          </w:pPr>
          <w:r>
            <w:fldChar w:fldCharType="begin"/>
          </w:r>
          <w:r>
            <w:instrText xml:space="preserve"> HYPERLINK \l "_Toc153274929" </w:instrText>
          </w:r>
          <w:r>
            <w:fldChar w:fldCharType="separate"/>
          </w:r>
          <w:r>
            <w:rPr>
              <w:rStyle w:val="17"/>
            </w:rPr>
            <w:t>2.1.</w:t>
          </w:r>
          <w:r>
            <w:rPr>
              <w:rFonts w:asciiTheme="minorHAnsi" w:hAnsiTheme="minorHAnsi" w:eastAsiaTheme="minorEastAsia" w:cstheme="minorBidi"/>
              <w:kern w:val="2"/>
              <w:sz w:val="21"/>
              <w:szCs w:val="22"/>
            </w:rPr>
            <w:tab/>
          </w:r>
          <w:r>
            <w:rPr>
              <w:rStyle w:val="17"/>
            </w:rPr>
            <w:t>监管用户（粤政易）</w:t>
          </w:r>
          <w:r>
            <w:tab/>
          </w:r>
          <w:r>
            <w:fldChar w:fldCharType="begin"/>
          </w:r>
          <w:r>
            <w:instrText xml:space="preserve"> PAGEREF _Toc153274929 \h </w:instrText>
          </w:r>
          <w:r>
            <w:fldChar w:fldCharType="separate"/>
          </w:r>
          <w:r>
            <w:t>5</w:t>
          </w:r>
          <w:r>
            <w:fldChar w:fldCharType="end"/>
          </w:r>
          <w:r>
            <w:fldChar w:fldCharType="end"/>
          </w:r>
        </w:p>
        <w:p>
          <w:pPr>
            <w:pStyle w:val="7"/>
            <w:pageBreakBefore w:val="0"/>
            <w:widowControl/>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kern w:val="2"/>
              <w:sz w:val="21"/>
              <w:szCs w:val="22"/>
            </w:rPr>
          </w:pPr>
          <w:r>
            <w:fldChar w:fldCharType="begin"/>
          </w:r>
          <w:r>
            <w:instrText xml:space="preserve"> HYPERLINK \l "_Toc153274930" </w:instrText>
          </w:r>
          <w:r>
            <w:fldChar w:fldCharType="separate"/>
          </w:r>
          <w:r>
            <w:rPr>
              <w:rStyle w:val="17"/>
            </w:rPr>
            <w:t>2.1.1.</w:t>
          </w:r>
          <w:r>
            <w:rPr>
              <w:rFonts w:asciiTheme="minorHAnsi" w:hAnsiTheme="minorHAnsi" w:eastAsiaTheme="minorEastAsia" w:cstheme="minorBidi"/>
              <w:kern w:val="2"/>
              <w:sz w:val="21"/>
              <w:szCs w:val="22"/>
            </w:rPr>
            <w:tab/>
          </w:r>
          <w:r>
            <w:rPr>
              <w:rStyle w:val="17"/>
            </w:rPr>
            <w:t>（省级）广东省住房和城乡建设厅</w:t>
          </w:r>
          <w:r>
            <w:tab/>
          </w:r>
          <w:r>
            <w:fldChar w:fldCharType="begin"/>
          </w:r>
          <w:r>
            <w:instrText xml:space="preserve"> PAGEREF _Toc153274930 \h </w:instrText>
          </w:r>
          <w:r>
            <w:fldChar w:fldCharType="separate"/>
          </w:r>
          <w:r>
            <w:t>5</w:t>
          </w:r>
          <w:r>
            <w:fldChar w:fldCharType="end"/>
          </w:r>
          <w:r>
            <w:fldChar w:fldCharType="end"/>
          </w:r>
        </w:p>
        <w:p>
          <w:pPr>
            <w:pStyle w:val="7"/>
            <w:pageBreakBefore w:val="0"/>
            <w:widowControl/>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kern w:val="2"/>
              <w:sz w:val="21"/>
              <w:szCs w:val="22"/>
            </w:rPr>
          </w:pPr>
          <w:r>
            <w:fldChar w:fldCharType="begin"/>
          </w:r>
          <w:r>
            <w:instrText xml:space="preserve"> HYPERLINK \l "_Toc153274931" </w:instrText>
          </w:r>
          <w:r>
            <w:fldChar w:fldCharType="separate"/>
          </w:r>
          <w:r>
            <w:rPr>
              <w:rStyle w:val="17"/>
            </w:rPr>
            <w:t>2.1.2.</w:t>
          </w:r>
          <w:r>
            <w:rPr>
              <w:rFonts w:asciiTheme="minorHAnsi" w:hAnsiTheme="minorHAnsi" w:eastAsiaTheme="minorEastAsia" w:cstheme="minorBidi"/>
              <w:kern w:val="2"/>
              <w:sz w:val="21"/>
              <w:szCs w:val="22"/>
            </w:rPr>
            <w:tab/>
          </w:r>
          <w:r>
            <w:rPr>
              <w:rStyle w:val="17"/>
            </w:rPr>
            <w:t>各地主管部门</w:t>
          </w:r>
          <w:r>
            <w:tab/>
          </w:r>
          <w:r>
            <w:fldChar w:fldCharType="begin"/>
          </w:r>
          <w:r>
            <w:instrText xml:space="preserve"> PAGEREF _Toc153274931 \h </w:instrText>
          </w:r>
          <w:r>
            <w:fldChar w:fldCharType="separate"/>
          </w:r>
          <w:r>
            <w:t>5</w:t>
          </w:r>
          <w:r>
            <w:fldChar w:fldCharType="end"/>
          </w:r>
          <w:r>
            <w:fldChar w:fldCharType="end"/>
          </w:r>
        </w:p>
        <w:p>
          <w:pPr>
            <w:pStyle w:val="7"/>
            <w:pageBreakBefore w:val="0"/>
            <w:widowControl/>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kern w:val="2"/>
              <w:sz w:val="21"/>
              <w:szCs w:val="22"/>
            </w:rPr>
          </w:pPr>
          <w:r>
            <w:fldChar w:fldCharType="begin"/>
          </w:r>
          <w:r>
            <w:instrText xml:space="preserve"> HYPERLINK \l "_Toc153274932" </w:instrText>
          </w:r>
          <w:r>
            <w:fldChar w:fldCharType="separate"/>
          </w:r>
          <w:r>
            <w:rPr>
              <w:rStyle w:val="17"/>
            </w:rPr>
            <w:t>2.1.3.</w:t>
          </w:r>
          <w:r>
            <w:rPr>
              <w:rFonts w:asciiTheme="minorHAnsi" w:hAnsiTheme="minorHAnsi" w:eastAsiaTheme="minorEastAsia" w:cstheme="minorBidi"/>
              <w:kern w:val="2"/>
              <w:sz w:val="21"/>
              <w:szCs w:val="22"/>
            </w:rPr>
            <w:tab/>
          </w:r>
          <w:r>
            <w:rPr>
              <w:rStyle w:val="17"/>
            </w:rPr>
            <w:t>工程质量安全监督机构</w:t>
          </w:r>
          <w:r>
            <w:tab/>
          </w:r>
          <w:r>
            <w:fldChar w:fldCharType="begin"/>
          </w:r>
          <w:r>
            <w:instrText xml:space="preserve"> PAGEREF _Toc153274932 \h </w:instrText>
          </w:r>
          <w:r>
            <w:fldChar w:fldCharType="separate"/>
          </w:r>
          <w:r>
            <w:t>6</w:t>
          </w:r>
          <w:r>
            <w:fldChar w:fldCharType="end"/>
          </w:r>
          <w:r>
            <w:fldChar w:fldCharType="end"/>
          </w:r>
        </w:p>
        <w:p>
          <w:pPr>
            <w:pStyle w:val="7"/>
            <w:pageBreakBefore w:val="0"/>
            <w:widowControl/>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kern w:val="2"/>
              <w:sz w:val="21"/>
              <w:szCs w:val="22"/>
            </w:rPr>
          </w:pPr>
          <w:r>
            <w:fldChar w:fldCharType="begin"/>
          </w:r>
          <w:r>
            <w:instrText xml:space="preserve"> HYPERLINK \l "_Toc153274933" </w:instrText>
          </w:r>
          <w:r>
            <w:fldChar w:fldCharType="separate"/>
          </w:r>
          <w:r>
            <w:rPr>
              <w:rStyle w:val="17"/>
            </w:rPr>
            <w:t>2.1.4.</w:t>
          </w:r>
          <w:r>
            <w:rPr>
              <w:rFonts w:asciiTheme="minorHAnsi" w:hAnsiTheme="minorHAnsi" w:eastAsiaTheme="minorEastAsia" w:cstheme="minorBidi"/>
              <w:kern w:val="2"/>
              <w:sz w:val="21"/>
              <w:szCs w:val="22"/>
            </w:rPr>
            <w:tab/>
          </w:r>
          <w:r>
            <w:rPr>
              <w:rStyle w:val="17"/>
            </w:rPr>
            <w:t>监管用户账号添加</w:t>
          </w:r>
          <w:r>
            <w:tab/>
          </w:r>
          <w:r>
            <w:fldChar w:fldCharType="begin"/>
          </w:r>
          <w:r>
            <w:instrText xml:space="preserve"> PAGEREF _Toc153274933 \h </w:instrText>
          </w:r>
          <w:r>
            <w:fldChar w:fldCharType="separate"/>
          </w:r>
          <w:r>
            <w:t>8</w:t>
          </w:r>
          <w:r>
            <w:fldChar w:fldCharType="end"/>
          </w:r>
          <w:r>
            <w:fldChar w:fldCharType="end"/>
          </w:r>
        </w:p>
        <w:p>
          <w:pPr>
            <w:pStyle w:val="7"/>
            <w:pageBreakBefore w:val="0"/>
            <w:widowControl/>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kern w:val="2"/>
              <w:sz w:val="21"/>
              <w:szCs w:val="22"/>
            </w:rPr>
          </w:pPr>
          <w:r>
            <w:fldChar w:fldCharType="begin"/>
          </w:r>
          <w:r>
            <w:instrText xml:space="preserve"> HYPERLINK \l "_Toc153274934" </w:instrText>
          </w:r>
          <w:r>
            <w:fldChar w:fldCharType="separate"/>
          </w:r>
          <w:r>
            <w:rPr>
              <w:rStyle w:val="17"/>
            </w:rPr>
            <w:t>2.1.5.</w:t>
          </w:r>
          <w:r>
            <w:rPr>
              <w:rFonts w:asciiTheme="minorHAnsi" w:hAnsiTheme="minorHAnsi" w:eastAsiaTheme="minorEastAsia" w:cstheme="minorBidi"/>
              <w:kern w:val="2"/>
              <w:sz w:val="21"/>
              <w:szCs w:val="22"/>
            </w:rPr>
            <w:tab/>
          </w:r>
          <w:r>
            <w:rPr>
              <w:rStyle w:val="17"/>
            </w:rPr>
            <w:t>事项处理-待办事项</w:t>
          </w:r>
          <w:r>
            <w:tab/>
          </w:r>
          <w:r>
            <w:fldChar w:fldCharType="begin"/>
          </w:r>
          <w:r>
            <w:instrText xml:space="preserve"> PAGEREF _Toc153274934 \h </w:instrText>
          </w:r>
          <w:r>
            <w:fldChar w:fldCharType="separate"/>
          </w:r>
          <w:r>
            <w:t>9</w:t>
          </w:r>
          <w:r>
            <w:fldChar w:fldCharType="end"/>
          </w:r>
          <w:r>
            <w:fldChar w:fldCharType="end"/>
          </w:r>
        </w:p>
        <w:p>
          <w:pPr>
            <w:pStyle w:val="7"/>
            <w:pageBreakBefore w:val="0"/>
            <w:widowControl/>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kern w:val="2"/>
              <w:sz w:val="21"/>
              <w:szCs w:val="22"/>
            </w:rPr>
          </w:pPr>
          <w:r>
            <w:fldChar w:fldCharType="begin"/>
          </w:r>
          <w:r>
            <w:instrText xml:space="preserve"> HYPERLINK \l "_Toc153274935" </w:instrText>
          </w:r>
          <w:r>
            <w:fldChar w:fldCharType="separate"/>
          </w:r>
          <w:r>
            <w:rPr>
              <w:rStyle w:val="17"/>
            </w:rPr>
            <w:t>2.1.6.</w:t>
          </w:r>
          <w:r>
            <w:rPr>
              <w:rFonts w:asciiTheme="minorHAnsi" w:hAnsiTheme="minorHAnsi" w:eastAsiaTheme="minorEastAsia" w:cstheme="minorBidi"/>
              <w:kern w:val="2"/>
              <w:sz w:val="21"/>
              <w:szCs w:val="22"/>
            </w:rPr>
            <w:tab/>
          </w:r>
          <w:r>
            <w:rPr>
              <w:rStyle w:val="17"/>
            </w:rPr>
            <w:t>事项处理-预警信息</w:t>
          </w:r>
          <w:r>
            <w:tab/>
          </w:r>
          <w:r>
            <w:fldChar w:fldCharType="begin"/>
          </w:r>
          <w:r>
            <w:instrText xml:space="preserve"> PAGEREF _Toc153274935 \h </w:instrText>
          </w:r>
          <w:r>
            <w:fldChar w:fldCharType="separate"/>
          </w:r>
          <w:r>
            <w:t>10</w:t>
          </w:r>
          <w:r>
            <w:fldChar w:fldCharType="end"/>
          </w:r>
          <w:r>
            <w:fldChar w:fldCharType="end"/>
          </w:r>
        </w:p>
        <w:p>
          <w:pPr>
            <w:pStyle w:val="12"/>
            <w:pageBreakBefore w:val="0"/>
            <w:widowControl/>
            <w:tabs>
              <w:tab w:val="left" w:pos="960"/>
              <w:tab w:val="right" w:leader="dot" w:pos="8255"/>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kern w:val="2"/>
              <w:sz w:val="21"/>
              <w:szCs w:val="22"/>
            </w:rPr>
          </w:pPr>
          <w:r>
            <w:fldChar w:fldCharType="begin"/>
          </w:r>
          <w:r>
            <w:instrText xml:space="preserve"> HYPERLINK \l "_Toc153274936" </w:instrText>
          </w:r>
          <w:r>
            <w:fldChar w:fldCharType="separate"/>
          </w:r>
          <w:r>
            <w:rPr>
              <w:rStyle w:val="17"/>
            </w:rPr>
            <w:t>3.</w:t>
          </w:r>
          <w:r>
            <w:rPr>
              <w:rFonts w:asciiTheme="minorHAnsi" w:hAnsiTheme="minorHAnsi" w:eastAsiaTheme="minorEastAsia" w:cstheme="minorBidi"/>
              <w:kern w:val="2"/>
              <w:sz w:val="21"/>
              <w:szCs w:val="22"/>
            </w:rPr>
            <w:tab/>
          </w:r>
          <w:r>
            <w:rPr>
              <w:rStyle w:val="17"/>
            </w:rPr>
            <w:t>监管用户系统管理员创建指引</w:t>
          </w:r>
          <w:r>
            <w:tab/>
          </w:r>
          <w:r>
            <w:fldChar w:fldCharType="begin"/>
          </w:r>
          <w:r>
            <w:instrText xml:space="preserve"> PAGEREF _Toc153274936 \h </w:instrText>
          </w:r>
          <w:r>
            <w:fldChar w:fldCharType="separate"/>
          </w:r>
          <w:r>
            <w:t>11</w:t>
          </w:r>
          <w:r>
            <w:fldChar w:fldCharType="end"/>
          </w:r>
          <w:r>
            <w:fldChar w:fldCharType="end"/>
          </w:r>
        </w:p>
        <w:p>
          <w:pPr>
            <w:pageBreakBefore w:val="0"/>
            <w:widowControl/>
            <w:kinsoku/>
            <w:wordWrap/>
            <w:overflowPunct/>
            <w:topLinePunct w:val="0"/>
            <w:autoSpaceDE/>
            <w:autoSpaceDN/>
            <w:bidi w:val="0"/>
            <w:adjustRightInd/>
            <w:snapToGrid/>
            <w:spacing w:line="400" w:lineRule="exact"/>
            <w:textAlignment w:val="auto"/>
          </w:pPr>
          <w:r>
            <w:rPr>
              <w:b/>
              <w:bCs/>
              <w:lang w:val="zh-CN"/>
            </w:rPr>
            <w:fldChar w:fldCharType="end"/>
          </w:r>
        </w:p>
      </w:sdtContent>
    </w:sdt>
    <w:p>
      <w:pPr>
        <w:pStyle w:val="5"/>
        <w:ind w:firstLine="0" w:firstLineChars="0"/>
        <w:sectPr>
          <w:footerReference r:id="rId11" w:type="default"/>
          <w:pgSz w:w="11906" w:h="16838"/>
          <w:pgMar w:top="1440" w:right="1841" w:bottom="1440" w:left="1800" w:header="851" w:footer="992" w:gutter="0"/>
          <w:pgNumType w:fmt="decimal" w:start="3"/>
          <w:cols w:space="425" w:num="1"/>
          <w:docGrid w:linePitch="312" w:charSpace="0"/>
        </w:sectPr>
      </w:pPr>
    </w:p>
    <w:p>
      <w:pPr>
        <w:sectPr>
          <w:footerReference r:id="rId12" w:type="default"/>
          <w:type w:val="continuous"/>
          <w:pgSz w:w="11906" w:h="16838"/>
          <w:pgMar w:top="1134" w:right="964" w:bottom="1134" w:left="1304" w:header="794" w:footer="907" w:gutter="0"/>
          <w:pgNumType w:fmt="decimal"/>
          <w:cols w:space="425" w:num="1"/>
          <w:docGrid w:linePitch="312" w:charSpace="0"/>
        </w:sectPr>
      </w:pPr>
    </w:p>
    <w:p>
      <w:pPr>
        <w:pStyle w:val="2"/>
        <w:numPr>
          <w:ilvl w:val="0"/>
          <w:numId w:val="3"/>
        </w:numPr>
        <w:spacing w:before="240" w:after="240"/>
      </w:pPr>
      <w:bookmarkStart w:id="0" w:name="_Toc153274923"/>
      <w:bookmarkStart w:id="1" w:name="_Toc56198369"/>
      <w:bookmarkStart w:id="2" w:name="_Toc210358520"/>
      <w:bookmarkStart w:id="3" w:name="_Toc202589086"/>
      <w:bookmarkStart w:id="4" w:name="_Toc4235356"/>
      <w:r>
        <w:rPr>
          <w:rFonts w:hint="eastAsia"/>
        </w:rPr>
        <w:t>引言</w:t>
      </w:r>
      <w:bookmarkEnd w:id="0"/>
      <w:bookmarkEnd w:id="1"/>
    </w:p>
    <w:bookmarkEnd w:id="2"/>
    <w:bookmarkEnd w:id="3"/>
    <w:bookmarkEnd w:id="4"/>
    <w:p>
      <w:pPr>
        <w:pStyle w:val="4"/>
        <w:numPr>
          <w:ilvl w:val="1"/>
          <w:numId w:val="3"/>
        </w:numPr>
      </w:pPr>
      <w:bookmarkStart w:id="5" w:name="_测试环境"/>
      <w:bookmarkEnd w:id="5"/>
      <w:bookmarkStart w:id="6" w:name="_Toc56198370"/>
      <w:bookmarkStart w:id="7" w:name="_Toc153274924"/>
      <w:bookmarkStart w:id="8" w:name="_Toc358387848"/>
      <w:bookmarkStart w:id="9" w:name="_Toc202589089"/>
      <w:bookmarkStart w:id="10" w:name="_Toc210358524"/>
      <w:r>
        <w:rPr>
          <w:rFonts w:hint="eastAsia"/>
        </w:rPr>
        <w:t>目的</w:t>
      </w:r>
      <w:bookmarkEnd w:id="6"/>
      <w:bookmarkEnd w:id="7"/>
    </w:p>
    <w:p>
      <w:pPr>
        <w:spacing w:line="360" w:lineRule="auto"/>
        <w:ind w:firstLine="480" w:firstLineChars="200"/>
        <w:contextualSpacing/>
      </w:pPr>
      <w:r>
        <w:rPr>
          <w:rFonts w:hint="eastAsia"/>
        </w:rPr>
        <w:t>本手册主要描述本系统的功能的操作进行详细说明，引导用户快速使用系统。</w:t>
      </w:r>
    </w:p>
    <w:p>
      <w:pPr>
        <w:pStyle w:val="4"/>
        <w:numPr>
          <w:ilvl w:val="1"/>
          <w:numId w:val="3"/>
        </w:numPr>
      </w:pPr>
      <w:bookmarkStart w:id="11" w:name="_Toc153274925"/>
      <w:r>
        <w:rPr>
          <w:rFonts w:hint="eastAsia"/>
        </w:rPr>
        <w:t>系统简介</w:t>
      </w:r>
      <w:bookmarkEnd w:id="11"/>
    </w:p>
    <w:p>
      <w:pPr>
        <w:pStyle w:val="3"/>
        <w:ind w:firstLine="420" w:firstLineChars="0"/>
      </w:pPr>
      <w:r>
        <w:rPr>
          <w:rFonts w:hint="eastAsia"/>
        </w:rPr>
        <w:t>系统地址：http://210.76.81.4/#/login</w:t>
      </w:r>
    </w:p>
    <w:p>
      <w:pPr>
        <w:spacing w:line="360" w:lineRule="auto"/>
        <w:ind w:firstLine="480" w:firstLineChars="200"/>
        <w:contextualSpacing/>
      </w:pPr>
      <w:r>
        <w:rPr>
          <w:rFonts w:hint="eastAsia"/>
        </w:rPr>
        <w:t>广东省房屋市政工程质量安全政府监管一体化平台包括平台首页（工程质量、施工安全、监督管理）、用户管理、项目清单等3大功能模块。</w:t>
      </w:r>
    </w:p>
    <w:p>
      <w:pPr>
        <w:spacing w:line="360" w:lineRule="auto"/>
        <w:ind w:firstLine="480" w:firstLineChars="200"/>
        <w:contextualSpacing/>
      </w:pPr>
      <w:r>
        <w:rPr>
          <w:rFonts w:hint="eastAsia"/>
        </w:rPr>
        <w:t>1、平台首页：平台首页提供相关系统的业务办理（工程质量：检测监管、装配式项目追踪、混凝土监管、氯离子监管、建筑材料管理、验收材料管理，施工安全：建筑施工安全标准化评定、建筑起重机械管理、深基坑监测、高支模监测、危险性较大的分部分项工程安全管理、文明施工，监督管理：房屋和市政质量安全动态管理、诚信评价信息、房屋市政工程质量安全监督机构管理、信息上报、实名制管理信息、视频监控）</w:t>
      </w:r>
    </w:p>
    <w:p>
      <w:pPr>
        <w:pStyle w:val="8"/>
        <w:spacing w:line="360" w:lineRule="auto"/>
        <w:ind w:firstLine="480" w:firstLineChars="200"/>
        <w:rPr>
          <w:rFonts w:hAnsi="宋体"/>
          <w:szCs w:val="24"/>
        </w:rPr>
      </w:pPr>
      <w:r>
        <w:rPr>
          <w:rFonts w:hint="eastAsia" w:hAnsi="宋体"/>
          <w:szCs w:val="24"/>
        </w:rPr>
        <w:t>2、用户管理：管理企业端用户，可查看企业相关的用户并对企业用户进行新增和删除等维护操作。</w:t>
      </w:r>
    </w:p>
    <w:p>
      <w:pPr>
        <w:pStyle w:val="8"/>
        <w:spacing w:line="360" w:lineRule="auto"/>
        <w:ind w:firstLine="420"/>
      </w:pPr>
      <w:r>
        <w:rPr>
          <w:rFonts w:hAnsi="宋体"/>
          <w:szCs w:val="24"/>
        </w:rPr>
        <w:t>3</w:t>
      </w:r>
      <w:r>
        <w:rPr>
          <w:rFonts w:hint="eastAsia" w:hAnsi="宋体"/>
          <w:szCs w:val="24"/>
        </w:rPr>
        <w:t>、项目清单：以列表清单的形式统计和展示</w:t>
      </w:r>
      <w:r>
        <w:rPr>
          <w:rFonts w:hint="eastAsia"/>
        </w:rPr>
        <w:t>房屋市政</w:t>
      </w:r>
      <w:r>
        <w:rPr>
          <w:rFonts w:hint="eastAsia" w:hAnsi="宋体"/>
          <w:szCs w:val="24"/>
        </w:rPr>
        <w:t>工程项目的所有主要信息。</w:t>
      </w:r>
    </w:p>
    <w:p>
      <w:pPr>
        <w:pStyle w:val="4"/>
        <w:numPr>
          <w:ilvl w:val="1"/>
          <w:numId w:val="3"/>
        </w:numPr>
        <w:spacing w:line="360" w:lineRule="auto"/>
      </w:pPr>
      <w:bookmarkStart w:id="12" w:name="_Toc153274926"/>
      <w:r>
        <w:rPr>
          <w:rFonts w:hint="eastAsia"/>
        </w:rPr>
        <w:t>阅读对象</w:t>
      </w:r>
      <w:bookmarkEnd w:id="12"/>
    </w:p>
    <w:p>
      <w:pPr>
        <w:pStyle w:val="3"/>
        <w:ind w:firstLine="480"/>
      </w:pPr>
      <w:r>
        <w:rPr>
          <w:rFonts w:hint="eastAsia"/>
        </w:rPr>
        <w:t>对广东省房屋市政工程项目进行监管的全省监管部门。</w:t>
      </w:r>
    </w:p>
    <w:p>
      <w:pPr>
        <w:pStyle w:val="4"/>
        <w:numPr>
          <w:ilvl w:val="1"/>
          <w:numId w:val="3"/>
        </w:numPr>
        <w:spacing w:line="360" w:lineRule="auto"/>
      </w:pPr>
      <w:bookmarkStart w:id="13" w:name="_Toc153274927"/>
      <w:r>
        <w:rPr>
          <w:rFonts w:hint="eastAsia"/>
        </w:rPr>
        <w:t>名词解释</w:t>
      </w:r>
      <w:bookmarkEnd w:id="13"/>
    </w:p>
    <w:p>
      <w:pPr>
        <w:pStyle w:val="3"/>
        <w:ind w:firstLine="480"/>
        <w:rPr>
          <w:rFonts w:ascii="宋体" w:hAnsi="宋体" w:cs="宋体"/>
          <w:kern w:val="0"/>
        </w:rPr>
      </w:pPr>
      <w:r>
        <w:rPr>
          <w:rFonts w:ascii="宋体" w:hAnsi="宋体" w:cs="宋体"/>
          <w:kern w:val="0"/>
        </w:rPr>
        <w:t>一体化监管平台工程编号</w:t>
      </w:r>
      <w:r>
        <w:rPr>
          <w:rFonts w:hint="eastAsia" w:ascii="宋体" w:hAnsi="宋体" w:cs="宋体"/>
          <w:kern w:val="0"/>
        </w:rPr>
        <w:t>：广东省房屋市政工程质量安全政府监管一体化平台生成的一体化监管平台工程编号，区分项目在一体化平</w:t>
      </w:r>
      <w:bookmarkStart w:id="26" w:name="_GoBack"/>
      <w:bookmarkEnd w:id="26"/>
      <w:r>
        <w:rPr>
          <w:rFonts w:hint="eastAsia" w:ascii="宋体" w:hAnsi="宋体" w:cs="宋体"/>
          <w:kern w:val="0"/>
        </w:rPr>
        <w:t>台唯一编号。</w:t>
      </w:r>
    </w:p>
    <w:p>
      <w:pPr>
        <w:pStyle w:val="3"/>
        <w:ind w:firstLine="480"/>
        <w:rPr>
          <w:rFonts w:ascii="宋体" w:hAnsi="宋体" w:cs="宋体"/>
          <w:kern w:val="0"/>
        </w:rPr>
      </w:pPr>
      <w:r>
        <w:rPr>
          <w:rFonts w:ascii="宋体" w:hAnsi="宋体" w:cs="宋体"/>
          <w:kern w:val="0"/>
        </w:rPr>
        <w:t>发改项目备案编号</w:t>
      </w:r>
      <w:r>
        <w:rPr>
          <w:rFonts w:hint="eastAsia" w:ascii="宋体" w:hAnsi="宋体" w:cs="宋体"/>
          <w:kern w:val="0"/>
        </w:rPr>
        <w:t>：企业投资项目备案（核准）生成的发改项目备案编号。</w:t>
      </w:r>
    </w:p>
    <w:p>
      <w:pPr>
        <w:pStyle w:val="3"/>
        <w:ind w:firstLine="480"/>
        <w:rPr>
          <w:rFonts w:ascii="宋体" w:hAnsi="宋体" w:cs="宋体"/>
          <w:kern w:val="0"/>
        </w:rPr>
      </w:pPr>
      <w:r>
        <w:rPr>
          <w:rFonts w:ascii="宋体" w:hAnsi="宋体" w:cs="宋体"/>
          <w:kern w:val="0"/>
        </w:rPr>
        <w:t>监督编号</w:t>
      </w:r>
      <w:r>
        <w:rPr>
          <w:rFonts w:hint="eastAsia" w:ascii="宋体" w:hAnsi="宋体" w:cs="宋体"/>
          <w:kern w:val="0"/>
        </w:rPr>
        <w:t>：各地市质量安全监督站监督项目产生的监督编号。</w:t>
      </w:r>
    </w:p>
    <w:p>
      <w:pPr>
        <w:pStyle w:val="3"/>
        <w:ind w:firstLine="480"/>
        <w:rPr>
          <w:rFonts w:ascii="宋体" w:hAnsi="宋体" w:cs="宋体"/>
          <w:kern w:val="0"/>
        </w:rPr>
      </w:pPr>
      <w:r>
        <w:rPr>
          <w:rFonts w:ascii="宋体" w:hAnsi="宋体" w:cs="宋体"/>
          <w:kern w:val="0"/>
        </w:rPr>
        <w:t>省级项目编号</w:t>
      </w:r>
      <w:r>
        <w:rPr>
          <w:rFonts w:hint="eastAsia" w:ascii="宋体" w:hAnsi="宋体" w:cs="宋体"/>
          <w:kern w:val="0"/>
        </w:rPr>
        <w:t>：通过三库一平台管理信息服务系统同步项目的省级项目编号。</w:t>
      </w:r>
    </w:p>
    <w:p>
      <w:pPr>
        <w:pStyle w:val="3"/>
        <w:ind w:firstLine="480"/>
        <w:rPr>
          <w:rFonts w:ascii="宋体" w:hAnsi="宋体" w:cs="宋体"/>
          <w:kern w:val="0"/>
        </w:rPr>
      </w:pPr>
      <w:r>
        <w:rPr>
          <w:rFonts w:ascii="宋体" w:hAnsi="宋体" w:cs="宋体"/>
          <w:kern w:val="0"/>
        </w:rPr>
        <w:t>立项文号</w:t>
      </w:r>
      <w:r>
        <w:rPr>
          <w:rFonts w:hint="eastAsia" w:ascii="宋体" w:hAnsi="宋体" w:cs="宋体"/>
          <w:kern w:val="0"/>
        </w:rPr>
        <w:t>：项目立项批复生成的立项文号。</w:t>
      </w:r>
    </w:p>
    <w:p>
      <w:pPr>
        <w:pStyle w:val="3"/>
        <w:ind w:firstLine="480"/>
        <w:rPr>
          <w:rFonts w:ascii="宋体" w:hAnsi="宋体" w:cs="宋体"/>
          <w:kern w:val="0"/>
        </w:rPr>
      </w:pPr>
      <w:r>
        <w:rPr>
          <w:rFonts w:ascii="宋体" w:hAnsi="宋体" w:cs="宋体"/>
          <w:kern w:val="0"/>
        </w:rPr>
        <w:t>项目状态</w:t>
      </w:r>
      <w:r>
        <w:rPr>
          <w:rFonts w:hint="eastAsia" w:ascii="宋体" w:hAnsi="宋体" w:cs="宋体"/>
          <w:kern w:val="0"/>
        </w:rPr>
        <w:t>：根据定义项目状态（1、在建2、停工3、完工未验收4、竣工）区分项目建设状态情况。</w:t>
      </w:r>
    </w:p>
    <w:p>
      <w:pPr>
        <w:pStyle w:val="3"/>
        <w:ind w:firstLine="480"/>
        <w:rPr>
          <w:rFonts w:ascii="宋体" w:hAnsi="宋体" w:cs="宋体"/>
          <w:kern w:val="0"/>
        </w:rPr>
      </w:pPr>
      <w:r>
        <w:rPr>
          <w:rFonts w:ascii="宋体" w:hAnsi="宋体" w:cs="宋体"/>
          <w:kern w:val="0"/>
        </w:rPr>
        <w:t>形象进度</w:t>
      </w:r>
      <w:r>
        <w:rPr>
          <w:rFonts w:hint="eastAsia" w:ascii="宋体" w:hAnsi="宋体" w:cs="宋体"/>
          <w:kern w:val="0"/>
        </w:rPr>
        <w:t>：形象进度表明工程动态活动进度情况。</w:t>
      </w:r>
    </w:p>
    <w:p>
      <w:pPr>
        <w:pStyle w:val="3"/>
        <w:ind w:firstLine="480"/>
        <w:rPr>
          <w:rFonts w:ascii="宋体" w:hAnsi="宋体" w:cs="宋体"/>
          <w:kern w:val="0"/>
        </w:rPr>
      </w:pPr>
      <w:r>
        <w:rPr>
          <w:rFonts w:ascii="宋体" w:hAnsi="宋体" w:cs="宋体"/>
          <w:kern w:val="0"/>
        </w:rPr>
        <w:t>施工阶段</w:t>
      </w:r>
      <w:r>
        <w:rPr>
          <w:rFonts w:hint="eastAsia" w:ascii="宋体" w:hAnsi="宋体" w:cs="宋体"/>
          <w:kern w:val="0"/>
        </w:rPr>
        <w:t>：根据定义项目施工阶段（1、基坑开挖2、基础3、主体结构4、装饰装修5、中止施工6、完工）区分项目施工阶段情况。</w:t>
      </w:r>
    </w:p>
    <w:bookmarkEnd w:id="8"/>
    <w:p>
      <w:pPr>
        <w:pStyle w:val="2"/>
        <w:numPr>
          <w:ilvl w:val="0"/>
          <w:numId w:val="3"/>
        </w:numPr>
        <w:spacing w:before="240" w:after="240"/>
      </w:pPr>
      <w:bookmarkStart w:id="14" w:name="_Toc153274928"/>
      <w:bookmarkStart w:id="15" w:name="_Toc236134420"/>
      <w:bookmarkStart w:id="16" w:name="_Toc358387849"/>
      <w:bookmarkStart w:id="17" w:name="_Toc230776634"/>
      <w:r>
        <w:rPr>
          <w:rFonts w:hint="eastAsia"/>
        </w:rPr>
        <w:t>操作指引</w:t>
      </w:r>
      <w:bookmarkEnd w:id="14"/>
    </w:p>
    <w:p>
      <w:pPr>
        <w:pStyle w:val="4"/>
        <w:numPr>
          <w:ilvl w:val="1"/>
          <w:numId w:val="3"/>
        </w:numPr>
      </w:pPr>
      <w:bookmarkStart w:id="18" w:name="_Toc153274929"/>
      <w:r>
        <w:rPr>
          <w:rFonts w:hint="eastAsia"/>
        </w:rPr>
        <w:t>监管用户（粤政易）</w:t>
      </w:r>
      <w:bookmarkEnd w:id="18"/>
    </w:p>
    <w:p>
      <w:pPr>
        <w:pStyle w:val="3"/>
        <w:numPr>
          <w:ilvl w:val="2"/>
          <w:numId w:val="3"/>
        </w:numPr>
        <w:ind w:firstLineChars="0"/>
        <w:outlineLvl w:val="2"/>
      </w:pPr>
      <w:bookmarkStart w:id="19" w:name="_Toc153274930"/>
      <w:r>
        <w:rPr>
          <w:rFonts w:hint="eastAsia"/>
        </w:rPr>
        <w:t>（省级）广东省住房和城乡建设厅</w:t>
      </w:r>
      <w:bookmarkEnd w:id="19"/>
    </w:p>
    <w:p>
      <w:pPr>
        <w:pStyle w:val="3"/>
        <w:ind w:firstLine="420" w:firstLineChars="0"/>
      </w:pPr>
      <w:r>
        <w:rPr>
          <w:rFonts w:hint="eastAsia"/>
        </w:rPr>
        <w:t>广东省住房和城乡建设厅的监管用户使用粤政易扫码登录，登录后可以查看全省在建房屋市政工程项目总体情况。</w:t>
      </w:r>
    </w:p>
    <w:p>
      <w:pPr>
        <w:pStyle w:val="3"/>
        <w:ind w:firstLine="420" w:firstLineChars="0"/>
      </w:pPr>
      <w:r>
        <w:drawing>
          <wp:inline distT="0" distB="0" distL="0" distR="0">
            <wp:extent cx="5274310" cy="2689225"/>
            <wp:effectExtent l="0" t="0" r="254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6"/>
                    <a:stretch>
                      <a:fillRect/>
                    </a:stretch>
                  </pic:blipFill>
                  <pic:spPr>
                    <a:xfrm>
                      <a:off x="0" y="0"/>
                      <a:ext cx="5274310" cy="2689225"/>
                    </a:xfrm>
                    <a:prstGeom prst="rect">
                      <a:avLst/>
                    </a:prstGeom>
                  </pic:spPr>
                </pic:pic>
              </a:graphicData>
            </a:graphic>
          </wp:inline>
        </w:drawing>
      </w:r>
    </w:p>
    <w:p>
      <w:pPr>
        <w:pStyle w:val="3"/>
        <w:ind w:firstLine="420" w:firstLineChars="0"/>
      </w:pPr>
      <w:r>
        <w:drawing>
          <wp:inline distT="0" distB="0" distL="114300" distR="114300">
            <wp:extent cx="5266690" cy="2570480"/>
            <wp:effectExtent l="0" t="0" r="10160" b="1270"/>
            <wp:docPr id="7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true"/>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pStyle w:val="3"/>
        <w:numPr>
          <w:ilvl w:val="2"/>
          <w:numId w:val="3"/>
        </w:numPr>
        <w:ind w:firstLineChars="0"/>
        <w:outlineLvl w:val="2"/>
      </w:pPr>
      <w:bookmarkStart w:id="20" w:name="_Toc153274931"/>
      <w:r>
        <w:rPr>
          <w:rFonts w:hint="eastAsia"/>
        </w:rPr>
        <w:t>各地主管部门</w:t>
      </w:r>
      <w:bookmarkEnd w:id="20"/>
    </w:p>
    <w:p>
      <w:pPr>
        <w:pStyle w:val="3"/>
        <w:ind w:firstLine="480"/>
      </w:pPr>
      <w:r>
        <w:rPr>
          <w:rFonts w:hint="eastAsia"/>
        </w:rPr>
        <w:t>各地主管部门的监管用户使用粤政易扫码登录，登录后可查看辖区内的在建房屋市政工程项目总体情况。</w:t>
      </w:r>
    </w:p>
    <w:p>
      <w:pPr>
        <w:pStyle w:val="3"/>
        <w:ind w:firstLine="480"/>
      </w:pPr>
      <w:r>
        <w:drawing>
          <wp:inline distT="0" distB="0" distL="0" distR="0">
            <wp:extent cx="5274310" cy="2689225"/>
            <wp:effectExtent l="0" t="0" r="2540"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8"/>
                    <a:stretch>
                      <a:fillRect/>
                    </a:stretch>
                  </pic:blipFill>
                  <pic:spPr>
                    <a:xfrm>
                      <a:off x="0" y="0"/>
                      <a:ext cx="5274310" cy="2689225"/>
                    </a:xfrm>
                    <a:prstGeom prst="rect">
                      <a:avLst/>
                    </a:prstGeom>
                  </pic:spPr>
                </pic:pic>
              </a:graphicData>
            </a:graphic>
          </wp:inline>
        </w:drawing>
      </w:r>
    </w:p>
    <w:p>
      <w:pPr>
        <w:pStyle w:val="3"/>
        <w:ind w:firstLine="480"/>
      </w:pPr>
      <w:r>
        <w:drawing>
          <wp:inline distT="0" distB="0" distL="0" distR="0">
            <wp:extent cx="5274310" cy="2689225"/>
            <wp:effectExtent l="0" t="0" r="254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9"/>
                    <a:stretch>
                      <a:fillRect/>
                    </a:stretch>
                  </pic:blipFill>
                  <pic:spPr>
                    <a:xfrm>
                      <a:off x="0" y="0"/>
                      <a:ext cx="5274310" cy="2689225"/>
                    </a:xfrm>
                    <a:prstGeom prst="rect">
                      <a:avLst/>
                    </a:prstGeom>
                  </pic:spPr>
                </pic:pic>
              </a:graphicData>
            </a:graphic>
          </wp:inline>
        </w:drawing>
      </w:r>
    </w:p>
    <w:p>
      <w:pPr>
        <w:pStyle w:val="3"/>
        <w:numPr>
          <w:ilvl w:val="2"/>
          <w:numId w:val="3"/>
        </w:numPr>
        <w:ind w:firstLineChars="0"/>
        <w:outlineLvl w:val="2"/>
      </w:pPr>
      <w:bookmarkStart w:id="21" w:name="_Toc153274932"/>
      <w:r>
        <w:rPr>
          <w:rFonts w:hint="eastAsia"/>
        </w:rPr>
        <w:t>工程质量安全监督机构</w:t>
      </w:r>
      <w:bookmarkEnd w:id="21"/>
    </w:p>
    <w:p>
      <w:pPr>
        <w:pStyle w:val="3"/>
        <w:ind w:firstLine="480"/>
      </w:pPr>
      <w:r>
        <w:rPr>
          <w:rFonts w:hint="eastAsia"/>
        </w:rPr>
        <w:t>各监督站的监督员用户使用粤政易扫码登录，可查看所属监督站的在建房屋市政工程项目监督管理情况。</w:t>
      </w:r>
    </w:p>
    <w:p>
      <w:pPr>
        <w:pStyle w:val="3"/>
        <w:ind w:firstLine="480"/>
      </w:pPr>
      <w:r>
        <w:drawing>
          <wp:inline distT="0" distB="0" distL="0" distR="0">
            <wp:extent cx="5274310" cy="2689225"/>
            <wp:effectExtent l="0" t="0" r="254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20"/>
                    <a:stretch>
                      <a:fillRect/>
                    </a:stretch>
                  </pic:blipFill>
                  <pic:spPr>
                    <a:xfrm>
                      <a:off x="0" y="0"/>
                      <a:ext cx="5274310" cy="2689225"/>
                    </a:xfrm>
                    <a:prstGeom prst="rect">
                      <a:avLst/>
                    </a:prstGeom>
                  </pic:spPr>
                </pic:pic>
              </a:graphicData>
            </a:graphic>
          </wp:inline>
        </w:drawing>
      </w:r>
    </w:p>
    <w:p>
      <w:pPr>
        <w:pStyle w:val="3"/>
        <w:ind w:firstLine="480"/>
      </w:pPr>
      <w:r>
        <w:rPr>
          <w:rFonts w:hint="eastAsia"/>
        </w:rPr>
        <w:t>在工程项目清单对所属监督站的监管项目情况进行信息维护管理，进入详情可维护更新工程项目的动态信息（项目状态、施工阶段、形象进度、项目所在地等）。</w:t>
      </w:r>
    </w:p>
    <w:p>
      <w:pPr>
        <w:pStyle w:val="3"/>
        <w:ind w:firstLine="480"/>
      </w:pPr>
      <w:r>
        <w:drawing>
          <wp:inline distT="0" distB="0" distL="0" distR="0">
            <wp:extent cx="5274310" cy="2689225"/>
            <wp:effectExtent l="0" t="0" r="254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21"/>
                    <a:stretch>
                      <a:fillRect/>
                    </a:stretch>
                  </pic:blipFill>
                  <pic:spPr>
                    <a:xfrm>
                      <a:off x="0" y="0"/>
                      <a:ext cx="5274310" cy="2689225"/>
                    </a:xfrm>
                    <a:prstGeom prst="rect">
                      <a:avLst/>
                    </a:prstGeom>
                  </pic:spPr>
                </pic:pic>
              </a:graphicData>
            </a:graphic>
          </wp:inline>
        </w:drawing>
      </w:r>
      <w:bookmarkEnd w:id="9"/>
      <w:bookmarkEnd w:id="10"/>
      <w:bookmarkEnd w:id="15"/>
      <w:bookmarkEnd w:id="16"/>
      <w:bookmarkEnd w:id="17"/>
      <w:r>
        <w:drawing>
          <wp:inline distT="0" distB="0" distL="0" distR="0">
            <wp:extent cx="5274310" cy="2689225"/>
            <wp:effectExtent l="0" t="0" r="254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22"/>
                    <a:stretch>
                      <a:fillRect/>
                    </a:stretch>
                  </pic:blipFill>
                  <pic:spPr>
                    <a:xfrm>
                      <a:off x="0" y="0"/>
                      <a:ext cx="5274310" cy="2689225"/>
                    </a:xfrm>
                    <a:prstGeom prst="rect">
                      <a:avLst/>
                    </a:prstGeom>
                  </pic:spPr>
                </pic:pic>
              </a:graphicData>
            </a:graphic>
          </wp:inline>
        </w:drawing>
      </w:r>
    </w:p>
    <w:p>
      <w:pPr>
        <w:pStyle w:val="3"/>
        <w:numPr>
          <w:ilvl w:val="2"/>
          <w:numId w:val="3"/>
        </w:numPr>
        <w:ind w:firstLineChars="0"/>
        <w:outlineLvl w:val="2"/>
      </w:pPr>
      <w:bookmarkStart w:id="22" w:name="_Toc153274933"/>
      <w:r>
        <w:rPr>
          <w:rFonts w:hint="eastAsia"/>
        </w:rPr>
        <w:t>监管用户账号添加</w:t>
      </w:r>
      <w:bookmarkEnd w:id="22"/>
    </w:p>
    <w:p>
      <w:pPr>
        <w:pStyle w:val="3"/>
        <w:ind w:firstLine="420" w:firstLineChars="0"/>
      </w:pPr>
      <w:r>
        <w:rPr>
          <w:rFonts w:hint="eastAsia"/>
        </w:rPr>
        <w:t>监管用户管理员可在其所属主管部门、工程质量安全监督机构下添加监管用户账号，添加完成后监管用户可通过粤政易APP扫码登录系统。</w:t>
      </w:r>
    </w:p>
    <w:p>
      <w:pPr>
        <w:pStyle w:val="3"/>
        <w:ind w:firstLine="420" w:firstLineChars="0"/>
      </w:pPr>
      <w:r>
        <w:rPr>
          <w:rFonts w:hint="eastAsia"/>
        </w:rPr>
        <w:t>第一步：点击用户管理。</w:t>
      </w:r>
    </w:p>
    <w:p>
      <w:pPr>
        <w:pStyle w:val="3"/>
        <w:ind w:firstLine="0" w:firstLineChars="0"/>
      </w:pPr>
      <w:r>
        <w:drawing>
          <wp:inline distT="0" distB="0" distL="114300" distR="114300">
            <wp:extent cx="5264785" cy="2535555"/>
            <wp:effectExtent l="0" t="0" r="12065" b="17145"/>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23"/>
                    <a:stretch>
                      <a:fillRect/>
                    </a:stretch>
                  </pic:blipFill>
                  <pic:spPr>
                    <a:xfrm>
                      <a:off x="0" y="0"/>
                      <a:ext cx="5264785" cy="2535555"/>
                    </a:xfrm>
                    <a:prstGeom prst="rect">
                      <a:avLst/>
                    </a:prstGeom>
                    <a:noFill/>
                    <a:ln>
                      <a:noFill/>
                    </a:ln>
                  </pic:spPr>
                </pic:pic>
              </a:graphicData>
            </a:graphic>
          </wp:inline>
        </w:drawing>
      </w:r>
    </w:p>
    <w:p>
      <w:pPr>
        <w:pStyle w:val="3"/>
        <w:ind w:firstLine="480"/>
      </w:pPr>
      <w:r>
        <w:rPr>
          <w:rFonts w:hint="eastAsia"/>
        </w:rPr>
        <w:t>第二步：在对应的主管部门、工程质量安全监督机构里点击新增用户。</w:t>
      </w:r>
    </w:p>
    <w:p>
      <w:pPr>
        <w:pStyle w:val="3"/>
        <w:ind w:firstLine="0" w:firstLineChars="0"/>
      </w:pPr>
      <w:r>
        <w:drawing>
          <wp:inline distT="0" distB="0" distL="114300" distR="114300">
            <wp:extent cx="5269230" cy="2546985"/>
            <wp:effectExtent l="0" t="0" r="7620" b="5715"/>
            <wp:docPr id="1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true"/>
                    </pic:cNvPicPr>
                  </pic:nvPicPr>
                  <pic:blipFill>
                    <a:blip r:embed="rId24"/>
                    <a:stretch>
                      <a:fillRect/>
                    </a:stretch>
                  </pic:blipFill>
                  <pic:spPr>
                    <a:xfrm>
                      <a:off x="0" y="0"/>
                      <a:ext cx="5269230" cy="2546985"/>
                    </a:xfrm>
                    <a:prstGeom prst="rect">
                      <a:avLst/>
                    </a:prstGeom>
                    <a:noFill/>
                    <a:ln>
                      <a:noFill/>
                    </a:ln>
                  </pic:spPr>
                </pic:pic>
              </a:graphicData>
            </a:graphic>
          </wp:inline>
        </w:drawing>
      </w:r>
    </w:p>
    <w:p>
      <w:pPr>
        <w:pStyle w:val="3"/>
        <w:ind w:firstLine="0" w:firstLineChars="0"/>
      </w:pPr>
      <w:r>
        <w:drawing>
          <wp:inline distT="0" distB="0" distL="114300" distR="114300">
            <wp:extent cx="5260340" cy="2535555"/>
            <wp:effectExtent l="0" t="0" r="16510" b="17145"/>
            <wp:docPr id="1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true"/>
                    </pic:cNvPicPr>
                  </pic:nvPicPr>
                  <pic:blipFill>
                    <a:blip r:embed="rId25"/>
                    <a:stretch>
                      <a:fillRect/>
                    </a:stretch>
                  </pic:blipFill>
                  <pic:spPr>
                    <a:xfrm>
                      <a:off x="0" y="0"/>
                      <a:ext cx="5260340" cy="2535555"/>
                    </a:xfrm>
                    <a:prstGeom prst="rect">
                      <a:avLst/>
                    </a:prstGeom>
                    <a:noFill/>
                    <a:ln>
                      <a:noFill/>
                    </a:ln>
                  </pic:spPr>
                </pic:pic>
              </a:graphicData>
            </a:graphic>
          </wp:inline>
        </w:drawing>
      </w:r>
    </w:p>
    <w:p>
      <w:pPr>
        <w:pStyle w:val="3"/>
        <w:ind w:firstLine="480"/>
      </w:pPr>
      <w:r>
        <w:rPr>
          <w:rFonts w:hint="eastAsia"/>
        </w:rPr>
        <w:t>第三步：添加完成后可通过粤政易APP扫码登录系统。</w:t>
      </w:r>
    </w:p>
    <w:p>
      <w:pPr>
        <w:pStyle w:val="3"/>
        <w:numPr>
          <w:ilvl w:val="2"/>
          <w:numId w:val="3"/>
        </w:numPr>
        <w:ind w:firstLineChars="0"/>
        <w:outlineLvl w:val="2"/>
      </w:pPr>
      <w:bookmarkStart w:id="23" w:name="_Toc153274934"/>
      <w:r>
        <w:rPr>
          <w:rFonts w:hint="eastAsia"/>
        </w:rPr>
        <w:t>事项处理-待办事项</w:t>
      </w:r>
      <w:bookmarkEnd w:id="23"/>
    </w:p>
    <w:p>
      <w:pPr>
        <w:pStyle w:val="3"/>
        <w:ind w:firstLine="420" w:firstLineChars="0"/>
      </w:pPr>
      <w:r>
        <w:rPr>
          <w:rFonts w:hint="eastAsia"/>
        </w:rPr>
        <w:t>监管用户可在</w:t>
      </w:r>
      <w:r>
        <w:rPr>
          <w:rFonts w:hint="eastAsia" w:ascii="宋体" w:hAnsi="宋体" w:cs="宋体"/>
          <w:kern w:val="0"/>
        </w:rPr>
        <w:t>广东省房屋市政工程质量安全政府监管一体化平台首页的</w:t>
      </w:r>
      <w:r>
        <w:rPr>
          <w:rFonts w:hint="eastAsia"/>
        </w:rPr>
        <w:t>事项处理-待办事项查看待办事项信息，点击查看可直接跳转至对应业务系统进行待办事项处理。</w:t>
      </w:r>
    </w:p>
    <w:p>
      <w:pPr>
        <w:pStyle w:val="3"/>
        <w:ind w:firstLine="0" w:firstLineChars="0"/>
      </w:pPr>
      <w:r>
        <w:drawing>
          <wp:inline distT="0" distB="0" distL="114300" distR="114300">
            <wp:extent cx="5262245" cy="2538730"/>
            <wp:effectExtent l="0" t="0" r="14605" b="13970"/>
            <wp:docPr id="14"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true"/>
                    </pic:cNvPicPr>
                  </pic:nvPicPr>
                  <pic:blipFill>
                    <a:blip r:embed="rId26"/>
                    <a:stretch>
                      <a:fillRect/>
                    </a:stretch>
                  </pic:blipFill>
                  <pic:spPr>
                    <a:xfrm>
                      <a:off x="0" y="0"/>
                      <a:ext cx="5262245" cy="2538730"/>
                    </a:xfrm>
                    <a:prstGeom prst="rect">
                      <a:avLst/>
                    </a:prstGeom>
                    <a:noFill/>
                    <a:ln>
                      <a:noFill/>
                    </a:ln>
                  </pic:spPr>
                </pic:pic>
              </a:graphicData>
            </a:graphic>
          </wp:inline>
        </w:drawing>
      </w:r>
    </w:p>
    <w:p>
      <w:pPr>
        <w:pStyle w:val="3"/>
        <w:numPr>
          <w:ilvl w:val="2"/>
          <w:numId w:val="3"/>
        </w:numPr>
        <w:ind w:firstLineChars="0"/>
        <w:outlineLvl w:val="2"/>
      </w:pPr>
      <w:bookmarkStart w:id="24" w:name="_Toc153274935"/>
      <w:r>
        <w:rPr>
          <w:rFonts w:hint="eastAsia"/>
        </w:rPr>
        <w:t>事项处理-预警信息</w:t>
      </w:r>
      <w:bookmarkEnd w:id="24"/>
    </w:p>
    <w:p>
      <w:pPr>
        <w:pStyle w:val="3"/>
        <w:ind w:firstLine="420" w:firstLineChars="0"/>
      </w:pPr>
      <w:r>
        <w:rPr>
          <w:rFonts w:hint="eastAsia"/>
        </w:rPr>
        <w:t>用户可在</w:t>
      </w:r>
      <w:r>
        <w:rPr>
          <w:rFonts w:hint="eastAsia" w:ascii="宋体" w:hAnsi="宋体" w:cs="宋体"/>
          <w:kern w:val="0"/>
        </w:rPr>
        <w:t>广东省房屋市政工程质量安全政府监管一体化平台首页</w:t>
      </w:r>
      <w:r>
        <w:rPr>
          <w:rFonts w:hint="eastAsia"/>
        </w:rPr>
        <w:t>事项处理-预警信息查看所属监督工程项目预警信息情况，点击查看，可直接跳转至对应业务系统进行预警信息处理查看。</w:t>
      </w:r>
    </w:p>
    <w:p>
      <w:pPr>
        <w:pStyle w:val="3"/>
        <w:ind w:firstLine="0" w:firstLineChars="0"/>
      </w:pPr>
      <w:r>
        <w:drawing>
          <wp:inline distT="0" distB="0" distL="114300" distR="114300">
            <wp:extent cx="5266690" cy="2531745"/>
            <wp:effectExtent l="0" t="0" r="10160" b="1905"/>
            <wp:docPr id="1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true"/>
                    </pic:cNvPicPr>
                  </pic:nvPicPr>
                  <pic:blipFill>
                    <a:blip r:embed="rId27"/>
                    <a:stretch>
                      <a:fillRect/>
                    </a:stretch>
                  </pic:blipFill>
                  <pic:spPr>
                    <a:xfrm>
                      <a:off x="0" y="0"/>
                      <a:ext cx="5266690" cy="2531745"/>
                    </a:xfrm>
                    <a:prstGeom prst="rect">
                      <a:avLst/>
                    </a:prstGeom>
                    <a:noFill/>
                    <a:ln>
                      <a:noFill/>
                    </a:ln>
                  </pic:spPr>
                </pic:pic>
              </a:graphicData>
            </a:graphic>
          </wp:inline>
        </w:drawing>
      </w:r>
    </w:p>
    <w:p>
      <w:pPr>
        <w:pStyle w:val="3"/>
        <w:ind w:firstLine="0" w:firstLineChars="0"/>
      </w:pPr>
      <w:r>
        <w:drawing>
          <wp:inline distT="0" distB="0" distL="114300" distR="114300">
            <wp:extent cx="5266690" cy="2531745"/>
            <wp:effectExtent l="0" t="0" r="10160" b="1905"/>
            <wp:docPr id="1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true"/>
                    </pic:cNvPicPr>
                  </pic:nvPicPr>
                  <pic:blipFill>
                    <a:blip r:embed="rId28"/>
                    <a:stretch>
                      <a:fillRect/>
                    </a:stretch>
                  </pic:blipFill>
                  <pic:spPr>
                    <a:xfrm>
                      <a:off x="0" y="0"/>
                      <a:ext cx="5266690" cy="2531745"/>
                    </a:xfrm>
                    <a:prstGeom prst="rect">
                      <a:avLst/>
                    </a:prstGeom>
                    <a:noFill/>
                    <a:ln>
                      <a:noFill/>
                    </a:ln>
                  </pic:spPr>
                </pic:pic>
              </a:graphicData>
            </a:graphic>
          </wp:inline>
        </w:drawing>
      </w:r>
    </w:p>
    <w:p>
      <w:pPr>
        <w:pStyle w:val="3"/>
        <w:ind w:firstLine="0" w:firstLineChars="0"/>
      </w:pPr>
    </w:p>
    <w:p>
      <w:pPr>
        <w:pStyle w:val="2"/>
        <w:numPr>
          <w:ilvl w:val="0"/>
          <w:numId w:val="3"/>
        </w:numPr>
        <w:spacing w:before="240" w:after="240"/>
      </w:pPr>
      <w:bookmarkStart w:id="25" w:name="_Toc153274936"/>
      <w:r>
        <w:rPr>
          <w:rFonts w:hint="eastAsia"/>
        </w:rPr>
        <w:t>监管用户系统管理员创建指引</w:t>
      </w:r>
      <w:bookmarkEnd w:id="25"/>
    </w:p>
    <w:p>
      <w:pPr>
        <w:pStyle w:val="3"/>
        <w:ind w:firstLine="420" w:firstLineChars="0"/>
      </w:pPr>
      <w:r>
        <w:rPr>
          <w:rFonts w:hint="eastAsia"/>
        </w:rPr>
        <w:t>监管用户可通过各级的监管用户管理员新增监督机构的监管用户，新增完成之后才可通过粤政易APP扫码登录系统。</w:t>
      </w:r>
    </w:p>
    <w:p>
      <w:pPr>
        <w:pStyle w:val="3"/>
        <w:ind w:firstLine="420" w:firstLineChars="0"/>
      </w:pPr>
      <w:r>
        <w:rPr>
          <w:rFonts w:hint="eastAsia"/>
        </w:rPr>
        <w:t>各级的监管用户管理员请联系系统管理员进行创建。</w:t>
      </w:r>
    </w:p>
    <w:p>
      <w:pPr>
        <w:pStyle w:val="3"/>
        <w:ind w:firstLine="0" w:firstLineChars="0"/>
      </w:pPr>
      <w:r>
        <w:drawing>
          <wp:inline distT="0" distB="0" distL="114300" distR="114300">
            <wp:extent cx="5266690" cy="2548255"/>
            <wp:effectExtent l="0" t="0" r="10160" b="444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29"/>
                    <a:stretch>
                      <a:fillRect/>
                    </a:stretch>
                  </pic:blipFill>
                  <pic:spPr>
                    <a:xfrm>
                      <a:off x="0" y="0"/>
                      <a:ext cx="5266690" cy="2548255"/>
                    </a:xfrm>
                    <a:prstGeom prst="rect">
                      <a:avLst/>
                    </a:prstGeom>
                    <a:noFill/>
                    <a:ln>
                      <a:noFill/>
                    </a:ln>
                  </pic:spPr>
                </pic:pic>
              </a:graphicData>
            </a:graphic>
          </wp:inline>
        </w:drawing>
      </w:r>
    </w:p>
    <w:p>
      <w:pPr>
        <w:pStyle w:val="3"/>
        <w:ind w:firstLine="420" w:firstLineChars="0"/>
      </w:pPr>
      <w:r>
        <w:drawing>
          <wp:inline distT="0" distB="0" distL="114300" distR="114300">
            <wp:extent cx="5269230" cy="557530"/>
            <wp:effectExtent l="0" t="0" r="7620" b="13970"/>
            <wp:docPr id="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true"/>
                    </pic:cNvPicPr>
                  </pic:nvPicPr>
                  <pic:blipFill>
                    <a:blip r:embed="rId30"/>
                    <a:stretch>
                      <a:fillRect/>
                    </a:stretch>
                  </pic:blipFill>
                  <pic:spPr>
                    <a:xfrm>
                      <a:off x="0" y="0"/>
                      <a:ext cx="5269230" cy="557530"/>
                    </a:xfrm>
                    <a:prstGeom prst="rect">
                      <a:avLst/>
                    </a:prstGeom>
                    <a:noFill/>
                    <a:ln>
                      <a:noFill/>
                    </a:ln>
                  </pic:spPr>
                </pic:pic>
              </a:graphicData>
            </a:graphic>
          </wp:inline>
        </w:drawing>
      </w:r>
    </w:p>
    <w:p/>
    <w:p>
      <w:pPr>
        <w:spacing w:line="360" w:lineRule="auto"/>
        <w:ind w:firstLine="420"/>
      </w:pPr>
      <w:r>
        <w:rPr>
          <w:rFonts w:hint="eastAsia"/>
        </w:rPr>
        <w:t>以上系统登录有问题请使用QQ加Q群联系系统管理员咨询</w:t>
      </w:r>
    </w:p>
    <w:p>
      <w:pPr>
        <w:spacing w:line="360" w:lineRule="auto"/>
        <w:ind w:firstLine="420"/>
      </w:pPr>
      <w:r>
        <w:rPr>
          <w:rFonts w:hint="eastAsia"/>
        </w:rPr>
        <w:t>监管端咨询QQ群：867710225</w:t>
      </w:r>
    </w:p>
    <w:p>
      <w:pPr>
        <w:pStyle w:val="3"/>
        <w:ind w:firstLine="0" w:firstLineChars="0"/>
      </w:pPr>
    </w:p>
    <w:sectPr>
      <w:headerReference r:id="rId13" w:type="default"/>
      <w:footerReference r:id="rId14" w:type="default"/>
      <w:pgSz w:w="11906" w:h="16838"/>
      <w:pgMar w:top="1440" w:right="1800" w:bottom="1440" w:left="1800" w:header="850" w:footer="992" w:gutter="0"/>
      <w:pgNumType w:fmt="decimal"/>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Courier New">
    <w:altName w:val="DejaVu Sans"/>
    <w:panose1 w:val="02070309020205020404"/>
    <w:charset w:val="00"/>
    <w:family w:val="modern"/>
    <w:pitch w:val="default"/>
    <w:sig w:usb0="00000000" w:usb1="00000000" w:usb2="00000009" w:usb3="00000000" w:csb0="000001FF" w:csb1="00000000"/>
  </w:font>
  <w:font w:name="等线 Light">
    <w:altName w:val="宋体"/>
    <w:panose1 w:val="02010600030101010101"/>
    <w:charset w:val="86"/>
    <w:family w:val="auto"/>
    <w:pitch w:val="default"/>
    <w:sig w:usb0="00000000" w:usb1="00000000" w:usb2="00000016" w:usb3="00000000" w:csb0="0004000F" w:csb1="00000000"/>
  </w:font>
  <w:font w:name="Calibri Light">
    <w:altName w:val="DejaVu Sans"/>
    <w:panose1 w:val="020F0302020204030204"/>
    <w:charset w:val="00"/>
    <w:family w:val="swiss"/>
    <w:pitch w:val="default"/>
    <w:sig w:usb0="00000000" w:usb1="00000000" w:usb2="00000009" w:usb3="00000000" w:csb0="000001FF"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微软雅黑">
    <w:panose1 w:val="020B0503020204020204"/>
    <w:charset w:val="86"/>
    <w:family w:val="auto"/>
    <w:pitch w:val="default"/>
    <w:sig w:usb0="80000287" w:usb1="280F3C52" w:usb2="00000016" w:usb3="00000000" w:csb0="0004001F" w:csb1="00000000"/>
  </w:font>
  <w:font w:name="文泉驿正黑">
    <w:panose1 w:val="02000603000000000000"/>
    <w:charset w:val="86"/>
    <w:family w:val="auto"/>
    <w:pitch w:val="default"/>
    <w:sig w:usb0="900002BF" w:usb1="2BDF7DFB"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5888"/>
        <w:tab w:val="clear" w:pos="4153"/>
      </w:tabs>
      <w:ind w:firstLine="360"/>
    </w:pPr>
    <w:r>
      <w:rPr>
        <w:rFonts w:hint="eastAsia"/>
        <w:lang w:eastAsia="zh-CN"/>
      </w:rPr>
      <w:tab/>
    </w:r>
  </w:p>
  <w:p>
    <w:pPr>
      <w:pStyle w:val="1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5888"/>
        <w:tab w:val="clear" w:pos="4153"/>
      </w:tabs>
      <w:ind w:firstLine="360"/>
    </w:pPr>
    <w:r>
      <w:rPr>
        <w:rFonts w:hint="eastAsia"/>
        <w:lang w:eastAsia="zh-CN"/>
      </w:rPr>
      <w:tab/>
    </w:r>
  </w:p>
  <w:p>
    <w:pPr>
      <w:pStyle w:val="1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1"/>
      </w:pBdr>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WAAAAZHJzL1BLAQIUABQA&#10;AAAIAIdO4kCzSVju0AAAAAUBAAAPAAAAAAAAAAEAIAAAADgAAABkcnMvZG93bnJldi54bWxQSwEC&#10;FAAUAAAACACHTuJAF5iSt8oCAADuBQAADgAAAAAAAAABACAAAAA1AQAAZHJzL2Uyb0RvYy54bWxQ&#10;SwUGAAAAAAYABgBZAQAAcQY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WAAAAZHJzL1BLAQIUABQA&#10;AAAIAIdO4kCzSVju0AAAAAUBAAAPAAAAAAAAAAEAIAAAADgAAABkcnMvZG93bnJldi54bWxQSwEC&#10;FAAUAAAACACHTuJAchahFMoCAADuBQAADgAAAAAAAAABACAAAAA1AQAAZHJzL2Uyb0RvYy54bWxQ&#10;SwUGAAAAAAYABgBZAQAAcQY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rPr>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ind w:firstLine="0" w:firstLineChars="0"/>
      <w:jc w:val="left"/>
      <w:rPr>
        <w:szCs w:val="21"/>
      </w:rPr>
    </w:pPr>
    <w:r>
      <w:rPr>
        <w:rFonts w:hint="eastAsia"/>
        <w:szCs w:val="21"/>
      </w:rPr>
      <w:t xml:space="preserve">广东省住房城乡建设厅房屋建筑与市政基础设施工程质量安全政府监管一体化平台项目 </w:t>
    </w:r>
    <w:r>
      <w:rPr>
        <w:szCs w:val="21"/>
      </w:rPr>
      <w:t xml:space="preserve">   </w:t>
    </w:r>
    <w:r>
      <w:rPr>
        <w:rFonts w:hint="eastAsia"/>
        <w:szCs w:val="21"/>
      </w:rPr>
      <w:t>用户操作指引</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7A6C05"/>
    <w:multiLevelType w:val="multilevel"/>
    <w:tmpl w:val="907A6C05"/>
    <w:lvl w:ilvl="0" w:tentative="0">
      <w:start w:val="1"/>
      <w:numFmt w:val="decimal"/>
      <w:pStyle w:val="2"/>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0F3F1031"/>
    <w:multiLevelType w:val="multilevel"/>
    <w:tmpl w:val="0F3F1031"/>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584A615E"/>
    <w:multiLevelType w:val="multilevel"/>
    <w:tmpl w:val="584A615E"/>
    <w:lvl w:ilvl="0" w:tentative="0">
      <w:start w:val="1"/>
      <w:numFmt w:val="ideographDigital"/>
      <w:lvlText w:val="第%1章"/>
      <w:lvlJc w:val="left"/>
      <w:pPr>
        <w:tabs>
          <w:tab w:val="left" w:pos="432"/>
        </w:tabs>
        <w:ind w:left="432" w:hanging="432"/>
      </w:pPr>
      <w:rPr>
        <w:rFonts w:hint="eastAsia"/>
      </w:rPr>
    </w:lvl>
    <w:lvl w:ilvl="1" w:tentative="0">
      <w:start w:val="1"/>
      <w:numFmt w:val="decimal"/>
      <w:pStyle w:val="19"/>
      <w:isLgl/>
      <w:lvlText w:val="%1.%2"/>
      <w:lvlJc w:val="left"/>
      <w:pPr>
        <w:tabs>
          <w:tab w:val="left" w:pos="576"/>
        </w:tabs>
        <w:ind w:left="576" w:hanging="576"/>
      </w:pPr>
      <w:rPr>
        <w:rFonts w:hint="eastAsia" w:ascii="黑体" w:hAnsi="黑体" w:eastAsia="黑体"/>
        <w:b w:val="0"/>
      </w:rPr>
    </w:lvl>
    <w:lvl w:ilvl="2" w:tentative="0">
      <w:start w:val="1"/>
      <w:numFmt w:val="decimal"/>
      <w:isLgl/>
      <w:lvlText w:val="%1.%2.%3"/>
      <w:lvlJc w:val="left"/>
      <w:pPr>
        <w:tabs>
          <w:tab w:val="left" w:pos="720"/>
        </w:tabs>
        <w:ind w:left="720" w:hanging="720"/>
      </w:pPr>
      <w:rPr>
        <w:rFonts w:hint="eastAsia" w:ascii="黑体" w:eastAsia="黑体"/>
        <w:b w:val="0"/>
        <w:sz w:val="28"/>
        <w:szCs w:val="28"/>
        <w:lang w:val="en-US"/>
      </w:rPr>
    </w:lvl>
    <w:lvl w:ilvl="3" w:tentative="0">
      <w:start w:val="1"/>
      <w:numFmt w:val="decimal"/>
      <w:isLgl/>
      <w:lvlText w:val="%1.%2.%3.%4"/>
      <w:lvlJc w:val="left"/>
      <w:pPr>
        <w:tabs>
          <w:tab w:val="left" w:pos="864"/>
        </w:tabs>
        <w:ind w:left="864" w:hanging="864"/>
      </w:pPr>
      <w:rPr>
        <w:rFonts w:hint="eastAsia" w:ascii="黑体" w:eastAsia="黑体"/>
      </w:rPr>
    </w:lvl>
    <w:lvl w:ilvl="4" w:tentative="0">
      <w:start w:val="1"/>
      <w:numFmt w:val="decimal"/>
      <w:isLgl/>
      <w:lvlText w:val="%1.%2.%3.%4.%5"/>
      <w:lvlJc w:val="left"/>
      <w:pPr>
        <w:tabs>
          <w:tab w:val="left" w:pos="1008"/>
        </w:tabs>
        <w:ind w:left="1008" w:hanging="1008"/>
      </w:pPr>
      <w:rPr>
        <w:rFonts w:hint="eastAsia"/>
      </w:rPr>
    </w:lvl>
    <w:lvl w:ilvl="5" w:tentative="0">
      <w:start w:val="1"/>
      <w:numFmt w:val="decimal"/>
      <w:isLgl/>
      <w:lvlText w:val="%1.%2.%3.%4.%5.%6"/>
      <w:lvlJc w:val="left"/>
      <w:pPr>
        <w:tabs>
          <w:tab w:val="left" w:pos="1152"/>
        </w:tabs>
        <w:ind w:left="1152" w:hanging="1152"/>
      </w:pPr>
      <w:rPr>
        <w:rFonts w:hint="eastAsia"/>
      </w:rPr>
    </w:lvl>
    <w:lvl w:ilvl="6" w:tentative="0">
      <w:start w:val="1"/>
      <w:numFmt w:val="decimal"/>
      <w:isLgl/>
      <w:lvlText w:val="%1.%2.%3.%4.%5.%6.%7"/>
      <w:lvlJc w:val="left"/>
      <w:pPr>
        <w:tabs>
          <w:tab w:val="left" w:pos="1296"/>
        </w:tabs>
        <w:ind w:left="1296" w:hanging="1296"/>
      </w:pPr>
      <w:rPr>
        <w:rFonts w:hint="eastAsia"/>
      </w:rPr>
    </w:lvl>
    <w:lvl w:ilvl="7" w:tentative="0">
      <w:start w:val="1"/>
      <w:numFmt w:val="decimal"/>
      <w:isLgl/>
      <w:lvlText w:val="%1.%2.%3.%4.%5.%6.%7.%8"/>
      <w:lvlJc w:val="left"/>
      <w:pPr>
        <w:tabs>
          <w:tab w:val="left" w:pos="1440"/>
        </w:tabs>
        <w:ind w:left="1440" w:hanging="1440"/>
      </w:pPr>
      <w:rPr>
        <w:rFonts w:hint="eastAsia"/>
      </w:rPr>
    </w:lvl>
    <w:lvl w:ilvl="8" w:tentative="0">
      <w:start w:val="1"/>
      <w:numFmt w:val="decimal"/>
      <w:isLgl/>
      <w:lvlText w:val="%1.%2.%3.%4.%5.%6.%7.%8.%9"/>
      <w:lvlJc w:val="left"/>
      <w:pPr>
        <w:tabs>
          <w:tab w:val="left" w:pos="1584"/>
        </w:tabs>
        <w:ind w:left="1584" w:hanging="1584"/>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jODRiM2FhYWEyNTBhMjg2NjQ5NDU0MDNlN2EyZTMifQ=="/>
  </w:docVars>
  <w:rsids>
    <w:rsidRoot w:val="7C584AF0"/>
    <w:rsid w:val="00011051"/>
    <w:rsid w:val="00026576"/>
    <w:rsid w:val="00030F36"/>
    <w:rsid w:val="00041C7E"/>
    <w:rsid w:val="000C7FC6"/>
    <w:rsid w:val="000D4975"/>
    <w:rsid w:val="000E3675"/>
    <w:rsid w:val="000E63E0"/>
    <w:rsid w:val="00117D1B"/>
    <w:rsid w:val="0012771B"/>
    <w:rsid w:val="00176777"/>
    <w:rsid w:val="001932D5"/>
    <w:rsid w:val="001A1204"/>
    <w:rsid w:val="001A3299"/>
    <w:rsid w:val="0022491E"/>
    <w:rsid w:val="002577A3"/>
    <w:rsid w:val="002633AB"/>
    <w:rsid w:val="002A3E06"/>
    <w:rsid w:val="002C2895"/>
    <w:rsid w:val="002D35A1"/>
    <w:rsid w:val="002D43FA"/>
    <w:rsid w:val="0031301A"/>
    <w:rsid w:val="00325A7E"/>
    <w:rsid w:val="0033061D"/>
    <w:rsid w:val="00365DD3"/>
    <w:rsid w:val="00385667"/>
    <w:rsid w:val="003B353E"/>
    <w:rsid w:val="003C0773"/>
    <w:rsid w:val="003E2DDB"/>
    <w:rsid w:val="00401FAF"/>
    <w:rsid w:val="004373FB"/>
    <w:rsid w:val="00441608"/>
    <w:rsid w:val="00450A2F"/>
    <w:rsid w:val="0045193E"/>
    <w:rsid w:val="004648D4"/>
    <w:rsid w:val="00466577"/>
    <w:rsid w:val="00472648"/>
    <w:rsid w:val="00494099"/>
    <w:rsid w:val="004A4891"/>
    <w:rsid w:val="004A60C9"/>
    <w:rsid w:val="004B56B2"/>
    <w:rsid w:val="004D18B8"/>
    <w:rsid w:val="004E7165"/>
    <w:rsid w:val="004F2275"/>
    <w:rsid w:val="00534A9D"/>
    <w:rsid w:val="00535457"/>
    <w:rsid w:val="00553BA4"/>
    <w:rsid w:val="00570BA7"/>
    <w:rsid w:val="00574A1B"/>
    <w:rsid w:val="00583C3F"/>
    <w:rsid w:val="005A7600"/>
    <w:rsid w:val="005D76F6"/>
    <w:rsid w:val="006204BA"/>
    <w:rsid w:val="0064650B"/>
    <w:rsid w:val="006711CD"/>
    <w:rsid w:val="00692199"/>
    <w:rsid w:val="006A728F"/>
    <w:rsid w:val="006C2AD0"/>
    <w:rsid w:val="0070585D"/>
    <w:rsid w:val="007110D2"/>
    <w:rsid w:val="00770951"/>
    <w:rsid w:val="007810D3"/>
    <w:rsid w:val="007812DB"/>
    <w:rsid w:val="007C4441"/>
    <w:rsid w:val="007D0271"/>
    <w:rsid w:val="00821C00"/>
    <w:rsid w:val="00830241"/>
    <w:rsid w:val="00830ED5"/>
    <w:rsid w:val="0085522C"/>
    <w:rsid w:val="008820CA"/>
    <w:rsid w:val="008C5D79"/>
    <w:rsid w:val="008F02A6"/>
    <w:rsid w:val="008F7DA2"/>
    <w:rsid w:val="009034A9"/>
    <w:rsid w:val="00933278"/>
    <w:rsid w:val="009B258B"/>
    <w:rsid w:val="00A00248"/>
    <w:rsid w:val="00A26D6E"/>
    <w:rsid w:val="00A93047"/>
    <w:rsid w:val="00AA750F"/>
    <w:rsid w:val="00AB27E5"/>
    <w:rsid w:val="00AD2EA3"/>
    <w:rsid w:val="00AF7E0D"/>
    <w:rsid w:val="00B01D13"/>
    <w:rsid w:val="00B152FA"/>
    <w:rsid w:val="00B20ED8"/>
    <w:rsid w:val="00B449CE"/>
    <w:rsid w:val="00B542E2"/>
    <w:rsid w:val="00B81854"/>
    <w:rsid w:val="00B9028D"/>
    <w:rsid w:val="00BC7F01"/>
    <w:rsid w:val="00BE3DCD"/>
    <w:rsid w:val="00C170EA"/>
    <w:rsid w:val="00C50787"/>
    <w:rsid w:val="00CA36B8"/>
    <w:rsid w:val="00CB044D"/>
    <w:rsid w:val="00CD41E6"/>
    <w:rsid w:val="00CD53D0"/>
    <w:rsid w:val="00D06822"/>
    <w:rsid w:val="00D22213"/>
    <w:rsid w:val="00D86C09"/>
    <w:rsid w:val="00D91187"/>
    <w:rsid w:val="00D92E95"/>
    <w:rsid w:val="00DB486E"/>
    <w:rsid w:val="00DD714B"/>
    <w:rsid w:val="00DE2D17"/>
    <w:rsid w:val="00DF73A8"/>
    <w:rsid w:val="00E04E72"/>
    <w:rsid w:val="00E3141E"/>
    <w:rsid w:val="00E72EC0"/>
    <w:rsid w:val="00EC6E90"/>
    <w:rsid w:val="00ED03E6"/>
    <w:rsid w:val="00ED7ACE"/>
    <w:rsid w:val="00EF5638"/>
    <w:rsid w:val="00EF5801"/>
    <w:rsid w:val="00F5677E"/>
    <w:rsid w:val="00F6152B"/>
    <w:rsid w:val="00F7792C"/>
    <w:rsid w:val="00F815FF"/>
    <w:rsid w:val="00F92C36"/>
    <w:rsid w:val="035F78F8"/>
    <w:rsid w:val="0389415C"/>
    <w:rsid w:val="049D299F"/>
    <w:rsid w:val="07ED7639"/>
    <w:rsid w:val="0CF8324C"/>
    <w:rsid w:val="10451DF9"/>
    <w:rsid w:val="123632DB"/>
    <w:rsid w:val="17FA41E3"/>
    <w:rsid w:val="219E22C2"/>
    <w:rsid w:val="26FC2581"/>
    <w:rsid w:val="27407AC9"/>
    <w:rsid w:val="28F66C6F"/>
    <w:rsid w:val="2D3C366E"/>
    <w:rsid w:val="3170320E"/>
    <w:rsid w:val="3325616A"/>
    <w:rsid w:val="34F90CFE"/>
    <w:rsid w:val="446866CB"/>
    <w:rsid w:val="451B472F"/>
    <w:rsid w:val="4D8B58D8"/>
    <w:rsid w:val="54231891"/>
    <w:rsid w:val="5BD63AB2"/>
    <w:rsid w:val="5C1562F7"/>
    <w:rsid w:val="5CB22C02"/>
    <w:rsid w:val="5D0B6044"/>
    <w:rsid w:val="5E6243E6"/>
    <w:rsid w:val="63A55453"/>
    <w:rsid w:val="6A597A46"/>
    <w:rsid w:val="7C584AF0"/>
    <w:rsid w:val="7F6EC7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3"/>
    <w:qFormat/>
    <w:uiPriority w:val="9"/>
    <w:pPr>
      <w:keepNext/>
      <w:keepLines/>
      <w:widowControl w:val="0"/>
      <w:numPr>
        <w:ilvl w:val="0"/>
        <w:numId w:val="1"/>
      </w:numPr>
      <w:spacing w:beforeLines="100" w:afterLines="100"/>
      <w:jc w:val="both"/>
      <w:outlineLvl w:val="0"/>
    </w:pPr>
    <w:rPr>
      <w:rFonts w:ascii="Times New Roman" w:hAnsi="Times New Roman" w:cs="Times New Roman"/>
      <w:b/>
      <w:bCs/>
      <w:kern w:val="44"/>
      <w:sz w:val="36"/>
      <w:szCs w:val="44"/>
    </w:rPr>
  </w:style>
  <w:style w:type="paragraph" w:styleId="4">
    <w:name w:val="heading 2"/>
    <w:basedOn w:val="1"/>
    <w:next w:val="3"/>
    <w:qFormat/>
    <w:uiPriority w:val="9"/>
    <w:pPr>
      <w:keepNext/>
      <w:keepLines/>
      <w:widowControl w:val="0"/>
      <w:numPr>
        <w:ilvl w:val="1"/>
        <w:numId w:val="1"/>
      </w:numPr>
      <w:jc w:val="both"/>
      <w:outlineLvl w:val="1"/>
    </w:pPr>
    <w:rPr>
      <w:rFonts w:ascii="Times New Roman" w:hAnsi="Times New Roman" w:cs="Times New Roman"/>
      <w:b/>
      <w:bCs/>
      <w:kern w:val="2"/>
      <w:sz w:val="28"/>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3">
    <w:name w:val="正文样式"/>
    <w:basedOn w:val="1"/>
    <w:qFormat/>
    <w:uiPriority w:val="7"/>
    <w:pPr>
      <w:widowControl w:val="0"/>
      <w:spacing w:line="360" w:lineRule="auto"/>
      <w:ind w:firstLine="200" w:firstLineChars="200"/>
      <w:jc w:val="both"/>
    </w:pPr>
    <w:rPr>
      <w:rFonts w:ascii="Times New Roman" w:hAnsi="Times New Roman" w:cs="Times New Roman"/>
      <w:kern w:val="2"/>
    </w:rPr>
  </w:style>
  <w:style w:type="paragraph" w:styleId="5">
    <w:name w:val="Normal Indent"/>
    <w:basedOn w:val="1"/>
    <w:qFormat/>
    <w:uiPriority w:val="0"/>
    <w:pPr>
      <w:widowControl w:val="0"/>
      <w:spacing w:line="360" w:lineRule="auto"/>
      <w:ind w:firstLine="420" w:firstLineChars="200"/>
      <w:jc w:val="both"/>
    </w:pPr>
    <w:rPr>
      <w:rFonts w:ascii="Times New Roman" w:hAnsi="Times New Roman" w:cs="Times New Roman"/>
      <w:kern w:val="2"/>
      <w:szCs w:val="22"/>
    </w:rPr>
  </w:style>
  <w:style w:type="paragraph" w:styleId="6">
    <w:name w:val="annotation text"/>
    <w:basedOn w:val="1"/>
    <w:link w:val="21"/>
    <w:qFormat/>
    <w:uiPriority w:val="0"/>
  </w:style>
  <w:style w:type="paragraph" w:styleId="7">
    <w:name w:val="toc 3"/>
    <w:basedOn w:val="1"/>
    <w:next w:val="1"/>
    <w:qFormat/>
    <w:uiPriority w:val="39"/>
    <w:pPr>
      <w:tabs>
        <w:tab w:val="left" w:pos="1770"/>
        <w:tab w:val="right" w:leader="dot" w:pos="8255"/>
      </w:tabs>
      <w:spacing w:line="360" w:lineRule="auto"/>
      <w:ind w:left="960" w:leftChars="400"/>
    </w:pPr>
  </w:style>
  <w:style w:type="paragraph" w:styleId="8">
    <w:name w:val="Plain Text"/>
    <w:basedOn w:val="1"/>
    <w:qFormat/>
    <w:uiPriority w:val="99"/>
    <w:rPr>
      <w:rFonts w:hAnsi="Courier New"/>
      <w:szCs w:val="21"/>
    </w:rPr>
  </w:style>
  <w:style w:type="paragraph" w:styleId="9">
    <w:name w:val="Balloon Text"/>
    <w:basedOn w:val="1"/>
    <w:link w:val="23"/>
    <w:qFormat/>
    <w:uiPriority w:val="0"/>
    <w:rPr>
      <w:sz w:val="18"/>
      <w:szCs w:val="18"/>
    </w:rPr>
  </w:style>
  <w:style w:type="paragraph" w:styleId="10">
    <w:name w:val="footer"/>
    <w:basedOn w:val="1"/>
    <w:unhideWhenUsed/>
    <w:qFormat/>
    <w:uiPriority w:val="99"/>
    <w:pPr>
      <w:widowControl w:val="0"/>
      <w:tabs>
        <w:tab w:val="center" w:pos="4153"/>
        <w:tab w:val="right" w:pos="8306"/>
      </w:tabs>
      <w:snapToGrid w:val="0"/>
      <w:spacing w:line="360" w:lineRule="auto"/>
      <w:ind w:firstLine="200" w:firstLineChars="200"/>
    </w:pPr>
    <w:rPr>
      <w:rFonts w:ascii="Times New Roman" w:hAnsi="Times New Roman" w:cs="Times New Roman"/>
      <w:kern w:val="2"/>
      <w:sz w:val="18"/>
      <w:szCs w:val="18"/>
    </w:rPr>
  </w:style>
  <w:style w:type="paragraph" w:styleId="11">
    <w:name w:val="header"/>
    <w:basedOn w:val="1"/>
    <w:unhideWhenUsed/>
    <w:qFormat/>
    <w:uiPriority w:val="99"/>
    <w:pPr>
      <w:widowControl w:val="0"/>
      <w:pBdr>
        <w:bottom w:val="single" w:color="auto" w:sz="6" w:space="1"/>
      </w:pBdr>
      <w:tabs>
        <w:tab w:val="center" w:pos="4153"/>
        <w:tab w:val="right" w:pos="8306"/>
      </w:tabs>
      <w:snapToGrid w:val="0"/>
      <w:spacing w:line="360" w:lineRule="auto"/>
      <w:ind w:firstLine="200" w:firstLineChars="200"/>
      <w:jc w:val="center"/>
    </w:pPr>
    <w:rPr>
      <w:rFonts w:ascii="Times New Roman" w:hAnsi="Times New Roman" w:cs="Times New Roman"/>
      <w:kern w:val="2"/>
      <w:sz w:val="18"/>
      <w:szCs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annotation subject"/>
    <w:basedOn w:val="6"/>
    <w:next w:val="6"/>
    <w:link w:val="22"/>
    <w:qFormat/>
    <w:uiPriority w:val="0"/>
    <w:rPr>
      <w:b/>
      <w:bCs/>
    </w:rPr>
  </w:style>
  <w:style w:type="character" w:styleId="17">
    <w:name w:val="Hyperlink"/>
    <w:basedOn w:val="16"/>
    <w:unhideWhenUsed/>
    <w:qFormat/>
    <w:uiPriority w:val="99"/>
    <w:rPr>
      <w:color w:val="0026E5" w:themeColor="hyperlink"/>
      <w:u w:val="single"/>
      <w14:textFill>
        <w14:solidFill>
          <w14:schemeClr w14:val="hlink"/>
        </w14:solidFill>
      </w14:textFill>
    </w:rPr>
  </w:style>
  <w:style w:type="character" w:styleId="18">
    <w:name w:val="annotation reference"/>
    <w:basedOn w:val="16"/>
    <w:qFormat/>
    <w:uiPriority w:val="0"/>
    <w:rPr>
      <w:sz w:val="21"/>
      <w:szCs w:val="21"/>
    </w:rPr>
  </w:style>
  <w:style w:type="paragraph" w:customStyle="1" w:styleId="19">
    <w:name w:val="0427-2-2"/>
    <w:basedOn w:val="1"/>
    <w:qFormat/>
    <w:uiPriority w:val="0"/>
    <w:pPr>
      <w:keepNext/>
      <w:keepLines/>
      <w:widowControl w:val="0"/>
      <w:numPr>
        <w:ilvl w:val="1"/>
        <w:numId w:val="2"/>
      </w:numPr>
      <w:spacing w:before="84" w:beforeLines="20" w:after="84" w:afterLines="20" w:line="360" w:lineRule="auto"/>
      <w:jc w:val="both"/>
      <w:outlineLvl w:val="1"/>
    </w:pPr>
    <w:rPr>
      <w:rFonts w:ascii="等线 Light" w:hAnsi="等线 Light" w:eastAsia="黑体" w:cs="Times New Roman"/>
      <w:bCs/>
      <w:kern w:val="2"/>
      <w:sz w:val="32"/>
      <w:szCs w:val="32"/>
    </w:rPr>
  </w:style>
  <w:style w:type="paragraph" w:customStyle="1" w:styleId="20">
    <w:name w:val="TOC 标题1"/>
    <w:basedOn w:val="2"/>
    <w:next w:val="1"/>
    <w:unhideWhenUsed/>
    <w:qFormat/>
    <w:uiPriority w:val="39"/>
    <w:pPr>
      <w:widowControl/>
      <w:numPr>
        <w:numId w:val="0"/>
      </w:numPr>
      <w:spacing w:before="240" w:beforeLines="0" w:afterLines="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character" w:customStyle="1" w:styleId="21">
    <w:name w:val="批注文字 字符"/>
    <w:basedOn w:val="16"/>
    <w:link w:val="6"/>
    <w:qFormat/>
    <w:uiPriority w:val="0"/>
    <w:rPr>
      <w:rFonts w:ascii="宋体" w:hAnsi="宋体" w:cs="宋体"/>
      <w:sz w:val="24"/>
      <w:szCs w:val="24"/>
    </w:rPr>
  </w:style>
  <w:style w:type="character" w:customStyle="1" w:styleId="22">
    <w:name w:val="批注主题 字符"/>
    <w:basedOn w:val="21"/>
    <w:link w:val="14"/>
    <w:qFormat/>
    <w:uiPriority w:val="0"/>
    <w:rPr>
      <w:rFonts w:ascii="宋体" w:hAnsi="宋体" w:cs="宋体"/>
      <w:b/>
      <w:bCs/>
      <w:sz w:val="24"/>
      <w:szCs w:val="24"/>
    </w:rPr>
  </w:style>
  <w:style w:type="character" w:customStyle="1" w:styleId="23">
    <w:name w:val="批注框文本 字符"/>
    <w:basedOn w:val="16"/>
    <w:link w:val="9"/>
    <w:qFormat/>
    <w:uiPriority w:val="0"/>
    <w:rPr>
      <w:rFonts w:ascii="宋体" w:hAnsi="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425</Words>
  <Characters>2424</Characters>
  <Lines>20</Lines>
  <Paragraphs>5</Paragraphs>
  <TotalTime>1</TotalTime>
  <ScaleCrop>false</ScaleCrop>
  <LinksUpToDate>false</LinksUpToDate>
  <CharactersWithSpaces>2844</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2023-12-12T11:47:00Z</dcterms:created>
  <dc:creator>Kevin</dc:creator>
  <cp:lastModifiedBy>szj</cp:lastModifiedBy>
  <dcterms:modified xsi:type="dcterms:W3CDTF">2023-12-12T15:21:42Z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1DAF646DF44841EAB28D96B0A58AF64B_13</vt:lpwstr>
  </property>
</Properties>
</file>