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黑体" w:hAnsi="黑体" w:eastAsia="黑体" w:cs="黑体"/>
          <w:color w:val="auto"/>
          <w:sz w:val="32"/>
          <w:szCs w:val="32"/>
          <w:highlight w:val="none"/>
          <w:lang w:bidi="ar-SA"/>
        </w:rPr>
      </w:pPr>
      <w:r>
        <w:rPr>
          <w:rFonts w:hint="eastAsia" w:ascii="黑体" w:hAnsi="黑体" w:eastAsia="黑体" w:cs="黑体"/>
          <w:color w:val="auto"/>
          <w:sz w:val="32"/>
          <w:szCs w:val="32"/>
          <w:highlight w:val="none"/>
          <w:lang w:bidi="ar-SA"/>
        </w:rPr>
        <w:t>附件</w:t>
      </w:r>
    </w:p>
    <w:p>
      <w:pPr>
        <w:widowControl w:val="0"/>
        <w:tabs>
          <w:tab w:val="left" w:pos="1259"/>
        </w:tabs>
        <w:spacing w:line="600" w:lineRule="exact"/>
        <w:ind w:firstLine="0"/>
        <w:jc w:val="center"/>
        <w:outlineLvl w:val="2"/>
        <w:rPr>
          <w:rFonts w:hint="eastAsia" w:ascii="小标宋" w:hAnsi="小标宋" w:eastAsia="小标宋" w:cs="小标宋"/>
          <w:b w:val="0"/>
          <w:bCs w:val="0"/>
          <w:color w:val="auto"/>
          <w:kern w:val="2"/>
          <w:sz w:val="44"/>
          <w:szCs w:val="44"/>
          <w:highlight w:val="none"/>
          <w:lang w:val="en-US" w:eastAsia="zh-CN" w:bidi="ar-SA"/>
        </w:rPr>
      </w:pPr>
      <w:r>
        <w:rPr>
          <w:rFonts w:hint="eastAsia" w:ascii="小标宋" w:hAnsi="小标宋" w:eastAsia="小标宋" w:cs="小标宋"/>
          <w:b w:val="0"/>
          <w:bCs w:val="0"/>
          <w:color w:val="auto"/>
          <w:kern w:val="2"/>
          <w:sz w:val="44"/>
          <w:szCs w:val="44"/>
          <w:highlight w:val="none"/>
          <w:lang w:val="en-US" w:eastAsia="zh-CN" w:bidi="ar-SA"/>
        </w:rPr>
        <w:t>广东省2023年度查处第三批违法违规</w:t>
      </w:r>
    </w:p>
    <w:p>
      <w:pPr>
        <w:widowControl w:val="0"/>
        <w:tabs>
          <w:tab w:val="left" w:pos="1259"/>
        </w:tabs>
        <w:spacing w:line="600" w:lineRule="exact"/>
        <w:ind w:firstLine="0"/>
        <w:jc w:val="center"/>
        <w:outlineLvl w:val="2"/>
        <w:rPr>
          <w:rFonts w:hint="eastAsia" w:ascii="小标宋" w:hAnsi="小标宋" w:eastAsia="小标宋" w:cs="小标宋"/>
          <w:b w:val="0"/>
          <w:bCs w:val="0"/>
          <w:color w:val="auto"/>
          <w:kern w:val="2"/>
          <w:sz w:val="44"/>
          <w:szCs w:val="44"/>
          <w:highlight w:val="none"/>
          <w:lang w:val="en-US" w:eastAsia="zh-CN" w:bidi="ar-SA"/>
        </w:rPr>
      </w:pPr>
      <w:r>
        <w:rPr>
          <w:rFonts w:hint="eastAsia" w:ascii="小标宋" w:hAnsi="小标宋" w:eastAsia="小标宋" w:cs="小标宋"/>
          <w:b w:val="0"/>
          <w:bCs w:val="0"/>
          <w:color w:val="auto"/>
          <w:kern w:val="2"/>
          <w:sz w:val="44"/>
          <w:szCs w:val="44"/>
          <w:highlight w:val="none"/>
          <w:lang w:val="en-US" w:eastAsia="zh-CN" w:bidi="ar-SA"/>
        </w:rPr>
        <w:t>房地产开发企业、中介机构和</w:t>
      </w:r>
    </w:p>
    <w:p>
      <w:pPr>
        <w:widowControl w:val="0"/>
        <w:tabs>
          <w:tab w:val="left" w:pos="1259"/>
        </w:tabs>
        <w:spacing w:line="600" w:lineRule="exact"/>
        <w:ind w:firstLine="0"/>
        <w:jc w:val="center"/>
        <w:outlineLvl w:val="2"/>
        <w:rPr>
          <w:rFonts w:hint="eastAsia" w:ascii="小标宋" w:hAnsi="小标宋" w:eastAsia="小标宋" w:cs="小标宋"/>
          <w:b w:val="0"/>
          <w:bCs w:val="0"/>
          <w:color w:val="auto"/>
          <w:kern w:val="2"/>
          <w:sz w:val="44"/>
          <w:szCs w:val="44"/>
          <w:highlight w:val="none"/>
          <w:lang w:val="en-US" w:eastAsia="zh-CN" w:bidi="ar-SA"/>
        </w:rPr>
      </w:pPr>
      <w:r>
        <w:rPr>
          <w:rFonts w:hint="eastAsia" w:ascii="小标宋" w:hAnsi="小标宋" w:eastAsia="小标宋" w:cs="小标宋"/>
          <w:b w:val="0"/>
          <w:bCs w:val="0"/>
          <w:color w:val="auto"/>
          <w:kern w:val="2"/>
          <w:sz w:val="44"/>
          <w:szCs w:val="44"/>
          <w:highlight w:val="none"/>
          <w:lang w:val="en-US" w:eastAsia="zh-CN" w:bidi="ar-SA"/>
        </w:rPr>
        <w:t>物业服务企业情况汇总表</w:t>
      </w:r>
    </w:p>
    <w:tbl>
      <w:tblPr>
        <w:tblStyle w:val="6"/>
        <w:tblpPr w:leftFromText="180" w:rightFromText="180" w:vertAnchor="text" w:horzAnchor="page" w:tblpX="1090" w:tblpY="631"/>
        <w:tblOverlap w:val="never"/>
        <w:tblW w:w="103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4"/>
        <w:gridCol w:w="3383"/>
        <w:gridCol w:w="4667"/>
        <w:gridCol w:w="1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Lines="0" w:beforeAutospacing="0" w:after="0" w:afterLines="0" w:afterAutospacing="0" w:line="360" w:lineRule="exact"/>
              <w:ind w:left="0" w:leftChars="0" w:right="0"/>
              <w:jc w:val="center"/>
              <w:textAlignment w:val="auto"/>
              <w:rPr>
                <w:rFonts w:hint="eastAsia" w:ascii="黑体" w:hAnsi="黑体" w:eastAsia="黑体" w:cs="黑体"/>
                <w:color w:val="auto"/>
                <w:kern w:val="0"/>
                <w:sz w:val="24"/>
                <w:szCs w:val="24"/>
                <w:highlight w:val="none"/>
                <w:lang w:bidi="ar-SA"/>
              </w:rPr>
            </w:pPr>
            <w:r>
              <w:rPr>
                <w:rFonts w:hint="eastAsia" w:ascii="黑体" w:hAnsi="黑体" w:eastAsia="黑体" w:cs="黑体"/>
                <w:color w:val="auto"/>
                <w:kern w:val="0"/>
                <w:sz w:val="24"/>
                <w:szCs w:val="24"/>
                <w:highlight w:val="none"/>
                <w:lang w:bidi="ar-SA"/>
              </w:rPr>
              <w:t>序号</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bidi="ar-SA"/>
              </w:rPr>
            </w:pPr>
            <w:r>
              <w:rPr>
                <w:rFonts w:hint="eastAsia" w:ascii="黑体" w:hAnsi="黑体" w:eastAsia="黑体" w:cs="黑体"/>
                <w:color w:val="auto"/>
                <w:kern w:val="0"/>
                <w:sz w:val="24"/>
                <w:szCs w:val="24"/>
                <w:highlight w:val="none"/>
                <w:lang w:bidi="ar-SA"/>
              </w:rPr>
              <w:t>企业名称</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bidi="ar-SA"/>
              </w:rPr>
            </w:pPr>
            <w:r>
              <w:rPr>
                <w:rFonts w:hint="eastAsia" w:ascii="黑体" w:hAnsi="黑体" w:eastAsia="黑体" w:cs="黑体"/>
                <w:color w:val="auto"/>
                <w:kern w:val="0"/>
                <w:sz w:val="24"/>
                <w:szCs w:val="24"/>
                <w:highlight w:val="none"/>
                <w:lang w:bidi="ar-SA"/>
              </w:rPr>
              <w:t>具体违法违规行为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eastAsia="zh-CN" w:bidi="ar-SA"/>
              </w:rPr>
            </w:pPr>
            <w:r>
              <w:rPr>
                <w:rFonts w:hint="eastAsia" w:ascii="黑体" w:hAnsi="黑体" w:eastAsia="黑体" w:cs="黑体"/>
                <w:color w:val="auto"/>
                <w:kern w:val="0"/>
                <w:sz w:val="24"/>
                <w:szCs w:val="24"/>
                <w:highlight w:val="none"/>
                <w:lang w:bidi="ar-SA"/>
              </w:rPr>
              <w:t>整改</w:t>
            </w:r>
            <w:r>
              <w:rPr>
                <w:rFonts w:hint="eastAsia" w:ascii="黑体" w:hAnsi="黑体" w:eastAsia="黑体" w:cs="黑体"/>
                <w:color w:val="auto"/>
                <w:kern w:val="0"/>
                <w:sz w:val="24"/>
                <w:szCs w:val="24"/>
                <w:highlight w:val="none"/>
                <w:lang w:eastAsia="zh-CN" w:bidi="ar-SA"/>
              </w:rPr>
              <w:t>及</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bidi="ar-SA"/>
              </w:rPr>
            </w:pPr>
            <w:r>
              <w:rPr>
                <w:rFonts w:hint="eastAsia" w:ascii="黑体" w:hAnsi="黑体" w:eastAsia="黑体" w:cs="黑体"/>
                <w:color w:val="auto"/>
                <w:kern w:val="0"/>
                <w:sz w:val="24"/>
                <w:szCs w:val="24"/>
                <w:highlight w:val="none"/>
                <w:lang w:eastAsia="zh-CN" w:bidi="ar-SA"/>
              </w:rPr>
              <w:t>处罚</w:t>
            </w:r>
            <w:r>
              <w:rPr>
                <w:rFonts w:hint="eastAsia" w:ascii="黑体" w:hAnsi="黑体" w:eastAsia="黑体" w:cs="黑体"/>
                <w:color w:val="auto"/>
                <w:kern w:val="0"/>
                <w:sz w:val="24"/>
                <w:szCs w:val="24"/>
                <w:highlight w:val="none"/>
                <w:lang w:bidi="ar-SA"/>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bidi="ar-SA"/>
              </w:rPr>
            </w:pPr>
            <w:r>
              <w:rPr>
                <w:rFonts w:hint="eastAsia" w:ascii="宋体" w:hAnsi="宋体" w:eastAsia="宋体" w:cs="宋体"/>
                <w:i w:val="0"/>
                <w:color w:val="000000"/>
                <w:kern w:val="0"/>
                <w:sz w:val="24"/>
                <w:szCs w:val="24"/>
                <w:u w:val="none"/>
                <w:lang w:val="en-US" w:eastAsia="zh-CN" w:bidi="ar"/>
              </w:rPr>
              <w:t>1</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sz w:val="22"/>
                <w:szCs w:val="22"/>
              </w:rPr>
            </w:pPr>
            <w:r>
              <w:rPr>
                <w:rFonts w:hint="eastAsia" w:ascii="宋体" w:hAnsi="宋体" w:eastAsia="宋体" w:cs="宋体"/>
                <w:i w:val="0"/>
                <w:color w:val="000000"/>
                <w:kern w:val="0"/>
                <w:sz w:val="24"/>
                <w:szCs w:val="24"/>
                <w:u w:val="none"/>
                <w:lang w:val="en-US" w:eastAsia="zh-CN" w:bidi="ar"/>
              </w:rPr>
              <w:t>珠海市诚德物业管理有限公司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该公司挪用</w:t>
            </w:r>
            <w:r>
              <w:rPr>
                <w:rFonts w:hint="eastAsia" w:ascii="宋体" w:hAnsi="宋体" w:eastAsia="宋体" w:cs="宋体"/>
                <w:i w:val="0"/>
                <w:color w:val="auto"/>
                <w:kern w:val="0"/>
                <w:sz w:val="24"/>
                <w:szCs w:val="24"/>
                <w:u w:val="none"/>
                <w:lang w:val="en-US" w:eastAsia="zh-CN" w:bidi="ar"/>
              </w:rPr>
              <w:t>业主缴纳的电费，用以补充物业</w:t>
            </w:r>
            <w:r>
              <w:rPr>
                <w:rFonts w:hint="eastAsia" w:ascii="宋体" w:hAnsi="宋体" w:eastAsia="宋体" w:cs="宋体"/>
                <w:i w:val="0"/>
                <w:color w:val="000000"/>
                <w:kern w:val="0"/>
                <w:sz w:val="24"/>
                <w:szCs w:val="24"/>
                <w:u w:val="none"/>
                <w:lang w:val="en-US" w:eastAsia="zh-CN" w:bidi="ar"/>
              </w:rPr>
              <w:t>管理费，导致所服务的桂花苑小区未能及时向电力公司缴纳电费。</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广州市时代物业管理有限公司珠海分公司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该公司所服务的远大美域新城小区电梯维保不到位。</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新力物业集团有限公司珠海分公司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该公司强制要求所服务的新力湾花园小区业主预交物业费。</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珠海市中信物业管理有限公司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该公司未办理物业服务企业备案。</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5</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sz w:val="22"/>
                <w:szCs w:val="22"/>
                <w:lang w:val="en-US" w:eastAsia="zh-CN"/>
              </w:rPr>
            </w:pPr>
            <w:r>
              <w:rPr>
                <w:rFonts w:hint="eastAsia" w:ascii="宋体" w:hAnsi="宋体" w:eastAsia="宋体" w:cs="宋体"/>
                <w:i w:val="0"/>
                <w:color w:val="000000"/>
                <w:kern w:val="0"/>
                <w:sz w:val="24"/>
                <w:szCs w:val="24"/>
                <w:u w:val="none"/>
                <w:lang w:val="en-US" w:eastAsia="zh-CN" w:bidi="ar"/>
              </w:rPr>
              <w:t>珠海房客网置业有限公司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该公司以隐瞒、欺诈、胁迫、贿赂等手段促成商品房交易。</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责令限期整改，并予以信用扣分。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sz w:val="22"/>
                <w:szCs w:val="22"/>
                <w:lang w:val="en" w:eastAsia="zh-CN"/>
              </w:rPr>
            </w:pPr>
            <w:r>
              <w:rPr>
                <w:rFonts w:hint="eastAsia" w:ascii="宋体" w:hAnsi="宋体" w:eastAsia="宋体" w:cs="宋体"/>
                <w:i w:val="0"/>
                <w:color w:val="000000"/>
                <w:kern w:val="0"/>
                <w:sz w:val="24"/>
                <w:szCs w:val="24"/>
                <w:u w:val="none"/>
                <w:lang w:val="en-US" w:eastAsia="zh-CN" w:bidi="ar"/>
              </w:rPr>
              <w:t>珠海市香洲区马丁安家信息咨询部</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该公司及从业人员存在编造、传播虚假信息或者误导性信息的行为。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予以信用扣分。已整改。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7</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珠海市整合置业有限公司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该公司广告宣传材料存在《中华人民共和国广告法》禁止性规定的内容：升值或者投资回报的承诺；以项目到达某一具体参照物的所需时间表示项目位置。</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责令停止发布广告并依法处以罚款。已整改。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珠海国基房地产开发有限公司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该公司广告宣传材料存在《中华人民共和国广告法》禁止性规定的内容：以项目到达某一具体参照物的所需时间表示项目位置。</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依法责令当事人停止发布违法广告以及在相应范围内消除影响，并处以罚款。已整改。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firstLineChars="0"/>
              <w:jc w:val="center"/>
              <w:textAlignment w:val="auto"/>
              <w:rPr>
                <w:rFonts w:hint="eastAsia" w:ascii="宋体" w:hAnsi="宋体" w:eastAsia="宋体" w:cs="宋体"/>
                <w:i w:val="0"/>
                <w:color w:val="000000"/>
                <w:kern w:val="0"/>
                <w:sz w:val="24"/>
                <w:szCs w:val="24"/>
                <w:u w:val="none"/>
                <w:lang w:val="en-US" w:eastAsia="zh-CN" w:bidi="ar"/>
              </w:rPr>
            </w:pPr>
            <w:r>
              <w:rPr>
                <w:rFonts w:hint="eastAsia" w:ascii="黑体" w:hAnsi="黑体" w:eastAsia="黑体" w:cs="黑体"/>
                <w:color w:val="auto"/>
                <w:kern w:val="0"/>
                <w:sz w:val="24"/>
                <w:szCs w:val="24"/>
                <w:highlight w:val="none"/>
                <w:lang w:bidi="ar-SA"/>
              </w:rPr>
              <w:t>序号</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企业名称</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具体违法违规行为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eastAsia="zh-CN" w:bidi="ar-SA"/>
              </w:rPr>
            </w:pPr>
            <w:r>
              <w:rPr>
                <w:rFonts w:hint="eastAsia" w:ascii="黑体" w:hAnsi="黑体" w:eastAsia="黑体" w:cs="黑体"/>
                <w:color w:val="auto"/>
                <w:kern w:val="0"/>
                <w:sz w:val="24"/>
                <w:szCs w:val="24"/>
                <w:highlight w:val="none"/>
                <w:lang w:bidi="ar-SA"/>
              </w:rPr>
              <w:t>整改</w:t>
            </w:r>
            <w:r>
              <w:rPr>
                <w:rFonts w:hint="eastAsia" w:ascii="黑体" w:hAnsi="黑体" w:eastAsia="黑体" w:cs="黑体"/>
                <w:color w:val="auto"/>
                <w:kern w:val="0"/>
                <w:sz w:val="24"/>
                <w:szCs w:val="24"/>
                <w:highlight w:val="none"/>
                <w:lang w:eastAsia="zh-CN" w:bidi="ar-SA"/>
              </w:rPr>
              <w:t>及</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eastAsia="zh-CN" w:bidi="ar-SA"/>
              </w:rPr>
              <w:t>处罚</w:t>
            </w:r>
            <w:r>
              <w:rPr>
                <w:rFonts w:hint="eastAsia" w:ascii="黑体" w:hAnsi="黑体" w:eastAsia="黑体" w:cs="黑体"/>
                <w:color w:val="auto"/>
                <w:kern w:val="0"/>
                <w:sz w:val="24"/>
                <w:szCs w:val="24"/>
                <w:highlight w:val="none"/>
                <w:lang w:bidi="ar-SA"/>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珠海竹胜园房地产有限公司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该公司在未取得建设工程规划许可证的情况下，擅自在金地泊乐项目进行违法建设，加建永久性建筑（构）物，违规飘出外扩阳台并加建雨棚。</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汕头市建设物业有限公司（濠江区君悦南湾）</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该公司所管理的</w:t>
            </w:r>
            <w:r>
              <w:rPr>
                <w:rFonts w:hint="eastAsia" w:ascii="宋体" w:hAnsi="宋体" w:eastAsia="宋体" w:cs="宋体"/>
                <w:i w:val="0"/>
                <w:color w:val="auto"/>
                <w:kern w:val="0"/>
                <w:sz w:val="22"/>
                <w:szCs w:val="22"/>
                <w:u w:val="none"/>
                <w:lang w:val="en-US" w:eastAsia="zh-CN" w:bidi="ar"/>
              </w:rPr>
              <w:t>物业小区占用消防通道位置设置电动自行车充电区域。</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11</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现代智能物业管理（上海）有限公司汕头分公司（龙湖区经纬源家园）</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该公司所管理的物业小区存在防汛物料配备不足、消防安全器材设置不足、未建立消防设施检查台账等问题。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绿城物业服务集团有限公司公司汕头分公司（龙湖区五矿御园）</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该公司所管理的物业小区存在电动自行车停放管理混乱、部分消防设施未定期检查等问题。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蕉岭县盛鹏房地产开发有限公司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该公司所开发的汇珑湾花园项目营销中心未在显著位置公示销控表等资料。</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14</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蕉岭蕉城碧桂园房地产开发有限公司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该公司未变更房地产开发资质证书和营业执照，所开发的蕉岭碧桂园·滨江壹号项目营销中心未在显著位置公示未售房源信息等资料。</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蕉岭福兴置业有限公司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该公司所开发的世纪嘉园项目未落实前期物业服务单位，项目营销中心未在显著位置公示建设用地规划许可证、建设工程规划许可证等资料。</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蕉岭县骏业房地产开发有限公司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该公司所开发的福星·长寿新城项目营销中心未在显著位置公示销控表、不动产权证书、建设用地规划许可证、建设工程规划许可证等资料。</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17</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梅州市飞翔云计算数码有限公司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该公司在销售飞翔云计算数码港花园项目时存在发布虚假广告的行为。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18</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惠州市森辉置业有限公司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该公司开发的博业花园项目营销中心未在显著位置公示“一房一价”备案、房源销售状态等资料。</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19</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 xml:space="preserve">惠州市融城置业有限公司 </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该公司房地产经纪机构备案证书已过期。</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陆河雅达房地产开发有限公司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highlight w:val="yellow"/>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该公司所开发的御景阳光家园项目未按规定要求将商品房预售资金纳入监管账户。</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firstLineChars="0"/>
              <w:jc w:val="center"/>
              <w:textAlignment w:val="auto"/>
              <w:rPr>
                <w:rFonts w:hint="eastAsia" w:ascii="宋体" w:hAnsi="宋体" w:eastAsia="宋体" w:cs="宋体"/>
                <w:i w:val="0"/>
                <w:color w:val="000000"/>
                <w:kern w:val="0"/>
                <w:sz w:val="24"/>
                <w:szCs w:val="24"/>
                <w:u w:val="none"/>
                <w:lang w:val="en-US" w:eastAsia="zh-CN" w:bidi="ar"/>
              </w:rPr>
            </w:pPr>
            <w:r>
              <w:rPr>
                <w:rFonts w:hint="eastAsia" w:ascii="黑体" w:hAnsi="黑体" w:eastAsia="黑体" w:cs="黑体"/>
                <w:color w:val="auto"/>
                <w:kern w:val="0"/>
                <w:sz w:val="24"/>
                <w:szCs w:val="24"/>
                <w:highlight w:val="none"/>
                <w:lang w:bidi="ar-SA"/>
              </w:rPr>
              <w:t>序号</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企业名称</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具体违法违规行为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eastAsia="zh-CN" w:bidi="ar-SA"/>
              </w:rPr>
            </w:pPr>
            <w:r>
              <w:rPr>
                <w:rFonts w:hint="eastAsia" w:ascii="黑体" w:hAnsi="黑体" w:eastAsia="黑体" w:cs="黑体"/>
                <w:color w:val="auto"/>
                <w:kern w:val="0"/>
                <w:sz w:val="24"/>
                <w:szCs w:val="24"/>
                <w:highlight w:val="none"/>
                <w:lang w:bidi="ar-SA"/>
              </w:rPr>
              <w:t>整改</w:t>
            </w:r>
            <w:r>
              <w:rPr>
                <w:rFonts w:hint="eastAsia" w:ascii="黑体" w:hAnsi="黑体" w:eastAsia="黑体" w:cs="黑体"/>
                <w:color w:val="auto"/>
                <w:kern w:val="0"/>
                <w:sz w:val="24"/>
                <w:szCs w:val="24"/>
                <w:highlight w:val="none"/>
                <w:lang w:eastAsia="zh-CN" w:bidi="ar-SA"/>
              </w:rPr>
              <w:t>及</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eastAsia="zh-CN" w:bidi="ar-SA"/>
              </w:rPr>
              <w:t>处罚</w:t>
            </w:r>
            <w:r>
              <w:rPr>
                <w:rFonts w:hint="eastAsia" w:ascii="黑体" w:hAnsi="黑体" w:eastAsia="黑体" w:cs="黑体"/>
                <w:color w:val="auto"/>
                <w:kern w:val="0"/>
                <w:sz w:val="24"/>
                <w:szCs w:val="24"/>
                <w:highlight w:val="none"/>
                <w:lang w:bidi="ar-SA"/>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21</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汕尾市保利房地产开发有限公司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highlight w:val="yellow"/>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该公司所开发的保利时代项目未取得商品房预售许可擅自预售商品房。</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lang w:val="en-US" w:eastAsia="zh-CN" w:bidi="ar-SA"/>
              </w:rPr>
              <w:t>22</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东莞市金荣房地产代理有限公司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该公司未公示收费标准。</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lang w:val="en-US" w:eastAsia="zh-CN" w:bidi="ar-SA"/>
              </w:rPr>
              <w:t>23</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东莞市兴园地产代理有限公司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该公司未按规定办理房地产经纪机构备案，擅自从事房地产经纪服务活动。</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24</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古镇镇中山市明珠家园物业管理有限公司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该公司所服务的明珠家园楼层部分消防指示灯存在故障。</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25</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龙湖物业服务集团有限公司中山分公司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该公司所服务的嘉霖禧湾花园小区存在消防控制室未印有标识、消防栓泵未使用永久标识。</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26</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中山市岐乐物业管理有限公司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该公司所服务的盈水宜居存在消防泵房潜污泵、喷淋泵控制箱电源指示灯故障，消防泵房缺少安全出口指示牌，报警控制主机前杂物过多。</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27</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中山市雅景物业管理有限公司民众分公司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该公司所服务的丽星花园存在室外消防栓系统无水，部分灭火器压力过低、生产日期或充装日期超过使用期限。</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28</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中山市爱管物业管理有限公司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该公司所服务的聚德花园存在消防水泵房门口未设水泵房标示、缺少消防卷盘、消防水泵房控制箱无标示、水泵房照明亮度不足。</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29</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南头镇广东新粤物业有限公司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该公司所服务的雅翠华庭小区未按规定将住户的住宅专项维修资金存入专户。</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30</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中山市卓粤物业管理有限公司三角分公司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该公司所服务的天际阳光小区存在商铺违规占用市政车位问题。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31</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中山市金联物业管理有限公司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该公司所服务的怡安苑小区存在占用公共区域问题。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32</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中山市祥和房屋物业管理有限公司（民安居小区、房地产宿舍楼）</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该公司未按规定签订物业服务合同且未在规定时间内办理合同备案手续。</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33</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中山市合利物业管理服务有限公司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该公司所服务的和苑小区未按规定在消防车通道施划黄色禁止停车标线。</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34</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中山市嘉怡物业管理有限公司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该公司所服务的富都花园小区消防控制室持证上岗人员数量未达规定要求。</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依法责令整改。整改中。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firstLineChars="0"/>
              <w:jc w:val="center"/>
              <w:textAlignment w:val="auto"/>
              <w:rPr>
                <w:rFonts w:hint="eastAsia" w:ascii="宋体" w:hAnsi="宋体" w:eastAsia="宋体" w:cs="宋体"/>
                <w:i w:val="0"/>
                <w:color w:val="000000"/>
                <w:kern w:val="0"/>
                <w:sz w:val="24"/>
                <w:szCs w:val="24"/>
                <w:u w:val="none"/>
                <w:lang w:val="en-US" w:eastAsia="zh-CN" w:bidi="ar"/>
              </w:rPr>
            </w:pPr>
            <w:r>
              <w:rPr>
                <w:rFonts w:hint="eastAsia" w:ascii="黑体" w:hAnsi="黑体" w:eastAsia="黑体" w:cs="黑体"/>
                <w:color w:val="auto"/>
                <w:kern w:val="0"/>
                <w:sz w:val="24"/>
                <w:szCs w:val="24"/>
                <w:highlight w:val="none"/>
                <w:lang w:bidi="ar-SA"/>
              </w:rPr>
              <w:t>序号</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企业名称</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具体违法违规行为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eastAsia="zh-CN" w:bidi="ar-SA"/>
              </w:rPr>
            </w:pPr>
            <w:r>
              <w:rPr>
                <w:rFonts w:hint="eastAsia" w:ascii="黑体" w:hAnsi="黑体" w:eastAsia="黑体" w:cs="黑体"/>
                <w:color w:val="auto"/>
                <w:kern w:val="0"/>
                <w:sz w:val="24"/>
                <w:szCs w:val="24"/>
                <w:highlight w:val="none"/>
                <w:lang w:bidi="ar-SA"/>
              </w:rPr>
              <w:t>整改</w:t>
            </w:r>
            <w:r>
              <w:rPr>
                <w:rFonts w:hint="eastAsia" w:ascii="黑体" w:hAnsi="黑体" w:eastAsia="黑体" w:cs="黑体"/>
                <w:color w:val="auto"/>
                <w:kern w:val="0"/>
                <w:sz w:val="24"/>
                <w:szCs w:val="24"/>
                <w:highlight w:val="none"/>
                <w:lang w:eastAsia="zh-CN" w:bidi="ar-SA"/>
              </w:rPr>
              <w:t>及</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eastAsia="zh-CN" w:bidi="ar-SA"/>
              </w:rPr>
              <w:t>处罚</w:t>
            </w:r>
            <w:r>
              <w:rPr>
                <w:rFonts w:hint="eastAsia" w:ascii="黑体" w:hAnsi="黑体" w:eastAsia="黑体" w:cs="黑体"/>
                <w:color w:val="auto"/>
                <w:kern w:val="0"/>
                <w:sz w:val="24"/>
                <w:szCs w:val="24"/>
                <w:highlight w:val="none"/>
                <w:lang w:bidi="ar-SA"/>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lang w:val="en-US" w:eastAsia="zh-CN" w:bidi="ar-SA"/>
              </w:rPr>
              <w:t>35</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中山市美业物业管理有限公司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该公司所服务的皓玥花园小区消防水泵房缺少消防电话。</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lang w:val="en-US" w:eastAsia="zh-CN" w:bidi="ar-SA"/>
              </w:rPr>
              <w:t>36</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中山实地物业管理有限公司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该公司所服务的实地璟湖城小区灭火器配备数量不足。</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37</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中山富玲物业管理有限公司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该公司所服务的怡景花园小区电动车充电桩存在安全隐患问题，楼道走火通道存在杂物堆放问题。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38</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中山市合顺物业服务有限公司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该公司所服务的水韵花园小区个别楼栋首层应急出口指示灯存在故障。</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依法责令整改。已整改。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39</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世光创建物业管理有限公司澜溪分公司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该公司所服务的澜溪畔岛小区楼道走火通道存在杂物堆放问题。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40</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中山市华隆物业管理有限公司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该公司所服务的金华花园小区楼道存在杂物堆放问题。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41</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中山市臻美物业服务有限公司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该公司所服务的臻品园小区绿化带垃圾较多。</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42</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广东盛世华强物业管理有限公司中山一分公司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该公司所服务的华策君怡花园小区因地基下沉导致消防系统瘫痪，该公司未履行日常消防设施设备的维护。</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已申请动用紧急维修基金维修相关设施。整改中。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4"/>
                <w:szCs w:val="24"/>
                <w:u w:val="none"/>
                <w:lang w:val="en-US" w:eastAsia="zh-CN" w:bidi="ar"/>
              </w:rPr>
              <w:t>43</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中山市小榄镇恒祥物业管理有限公司（东苑楼、菊苑楼、福源花园）</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该公司未按规定签订物业服务合同且未在规定时间内办理合同备案手续。</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44</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中山市康建物业服务有限公司（天盛花园三期）</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该公司处理业主合理合法投诉不及时、不配合、不到位，导致业主频繁投诉。</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依法责令整改。已整改。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45</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万通物业管理有限公司（万通豪庭）</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该公司未按规定对物业共用部位、共用设施设备安全状况进行检查。</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46</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金碧物业有限公司中山第二分公司（恒御景花园）</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该公司未按规定对物业共用部位、共用设施设备安全状况进行检查。</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47</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广州敏捷新生活物业管理有限公司（锦绣阳光花园）</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该公司处理业主合理合法投诉不及时、不配合、不到位，导致业主频繁投诉。</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48</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东莞明茵物业管理有限公司中山分公司（汇翠山庄）</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该公司未按规定公布业主共有部分的经营与收益情况。</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49</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中山市喜顺房地产信息咨询有限公司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该公司违法发布房地产广告。</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依法处以罚款。已整改。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firstLineChars="0"/>
              <w:jc w:val="center"/>
              <w:textAlignment w:val="auto"/>
              <w:rPr>
                <w:rFonts w:hint="eastAsia" w:ascii="宋体" w:hAnsi="宋体" w:eastAsia="宋体" w:cs="宋体"/>
                <w:i w:val="0"/>
                <w:color w:val="000000"/>
                <w:kern w:val="0"/>
                <w:sz w:val="24"/>
                <w:szCs w:val="24"/>
                <w:u w:val="none"/>
                <w:lang w:val="en-US" w:eastAsia="zh-CN" w:bidi="ar"/>
              </w:rPr>
            </w:pPr>
            <w:r>
              <w:rPr>
                <w:rFonts w:hint="eastAsia" w:ascii="黑体" w:hAnsi="黑体" w:eastAsia="黑体" w:cs="黑体"/>
                <w:color w:val="auto"/>
                <w:kern w:val="0"/>
                <w:sz w:val="24"/>
                <w:szCs w:val="24"/>
                <w:highlight w:val="none"/>
                <w:lang w:bidi="ar-SA"/>
              </w:rPr>
              <w:t>序号</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企业名称</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具体违法违规行为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eastAsia="zh-CN" w:bidi="ar-SA"/>
              </w:rPr>
            </w:pPr>
            <w:r>
              <w:rPr>
                <w:rFonts w:hint="eastAsia" w:ascii="黑体" w:hAnsi="黑体" w:eastAsia="黑体" w:cs="黑体"/>
                <w:color w:val="auto"/>
                <w:kern w:val="0"/>
                <w:sz w:val="24"/>
                <w:szCs w:val="24"/>
                <w:highlight w:val="none"/>
                <w:lang w:bidi="ar-SA"/>
              </w:rPr>
              <w:t>整改</w:t>
            </w:r>
            <w:r>
              <w:rPr>
                <w:rFonts w:hint="eastAsia" w:ascii="黑体" w:hAnsi="黑体" w:eastAsia="黑体" w:cs="黑体"/>
                <w:color w:val="auto"/>
                <w:kern w:val="0"/>
                <w:sz w:val="24"/>
                <w:szCs w:val="24"/>
                <w:highlight w:val="none"/>
                <w:lang w:eastAsia="zh-CN" w:bidi="ar-SA"/>
              </w:rPr>
              <w:t>及</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eastAsia="zh-CN" w:bidi="ar-SA"/>
              </w:rPr>
              <w:t>处罚</w:t>
            </w:r>
            <w:r>
              <w:rPr>
                <w:rFonts w:hint="eastAsia" w:ascii="黑体" w:hAnsi="黑体" w:eastAsia="黑体" w:cs="黑体"/>
                <w:color w:val="auto"/>
                <w:kern w:val="0"/>
                <w:sz w:val="24"/>
                <w:szCs w:val="24"/>
                <w:highlight w:val="none"/>
                <w:lang w:bidi="ar-SA"/>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中山市恒锐房地产有限公司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该公司所开发的悦珑湾花园</w:t>
            </w:r>
            <w:bookmarkStart w:id="0" w:name="_GoBack"/>
            <w:bookmarkEnd w:id="0"/>
            <w:r>
              <w:rPr>
                <w:rFonts w:hint="eastAsia" w:ascii="宋体" w:hAnsi="宋体" w:eastAsia="宋体" w:cs="宋体"/>
                <w:i w:val="0"/>
                <w:color w:val="000000"/>
                <w:kern w:val="0"/>
                <w:sz w:val="22"/>
                <w:szCs w:val="22"/>
                <w:u w:val="none"/>
                <w:lang w:val="en-US" w:eastAsia="zh-CN" w:bidi="ar"/>
              </w:rPr>
              <w:t>项目存在未办理预售许可手续擅自对外销售的违规行为。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依法处以罚款。已整改。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51</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中山市荔园房地产开发有限公司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该公司所开发的美荔新天地花园项目未按规定履行工程质量保修期内房屋保修义务。</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52</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中山市恒骏房地产开发有限公司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该公司所开发的骏恒家园项目未按销售时承诺履行赠送物业费的义务。</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53</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广东海睿物业服务有限公司（春景豪园）</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该公司未及时向属地执法部门上报小区业主违规建设情况，未按《广东省物业管理条例》第五十五条规定履行职责。</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已对该公司进行约谈，督促其排查小区违建情况并上报属地执法部门。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54</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广东众城物业服务有限公司（天御云景）</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该公司欠缴所管理的小区水费、电费、电梯维保费等费用。</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已对该公司进行约谈，督促其在撤场公示期间也要履行物业管理的责任，必须采取合法合规的方法追缴业主物管费。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55</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江门市宝珠物业发展有限公司（东堤湾）</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该公司未及时向属地执法部门上报小区业主违规建设情况，未按《广东省物业管理条例》第五十五条规定履行职责。</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督促该公司排查小区违建情况并上报属地执法部门。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56</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融创物业服务集团有限公司开平分公司（潭江首府）</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该公司随意丢弃绿化垃圾。</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57</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阳江市江城区顺丰房地产中介服务部</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该公司未取得房地产经纪机构备案证书从事房地产居间代理活动。</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58</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阳江市宇通置业有限公司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该公司所开发的富康华府项目存在未办理竣工验收备案擅自交付商品房的行为。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依法责令限期改正。整改中。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59</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徐闻县富兴物业服务有限公司（和兴园小区）</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该公司未将物业服务事项、负责人员、服务标准以及收费项目、收费标准、收费方式和投诉电话等信息在物业管理区域的显著位置进行公示。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依法责令限期改正。已整改。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60</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湛江新供销瑞合物业服务有限公司（碧海湾小区）</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该公司未将物业服务事项、负责人员、服务标准以及收费项目、收费标准、收费方式和投诉电话等信息在物业管理区域的显著位置进行公示。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依法责令限期改正。已整改。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firstLineChars="0"/>
              <w:jc w:val="center"/>
              <w:textAlignment w:val="auto"/>
              <w:rPr>
                <w:rFonts w:hint="eastAsia" w:ascii="宋体" w:hAnsi="宋体" w:eastAsia="宋体" w:cs="宋体"/>
                <w:i w:val="0"/>
                <w:color w:val="000000"/>
                <w:kern w:val="0"/>
                <w:sz w:val="24"/>
                <w:szCs w:val="24"/>
                <w:u w:val="none"/>
                <w:lang w:val="en-US" w:eastAsia="zh-CN" w:bidi="ar"/>
              </w:rPr>
            </w:pPr>
            <w:r>
              <w:rPr>
                <w:rFonts w:hint="eastAsia" w:ascii="黑体" w:hAnsi="黑体" w:eastAsia="黑体" w:cs="黑体"/>
                <w:color w:val="auto"/>
                <w:kern w:val="0"/>
                <w:sz w:val="24"/>
                <w:szCs w:val="24"/>
                <w:highlight w:val="none"/>
                <w:lang w:bidi="ar-SA"/>
              </w:rPr>
              <w:t>序号</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企业名称</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具体违法违规行为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eastAsia="zh-CN" w:bidi="ar-SA"/>
              </w:rPr>
            </w:pPr>
            <w:r>
              <w:rPr>
                <w:rFonts w:hint="eastAsia" w:ascii="黑体" w:hAnsi="黑体" w:eastAsia="黑体" w:cs="黑体"/>
                <w:color w:val="auto"/>
                <w:kern w:val="0"/>
                <w:sz w:val="24"/>
                <w:szCs w:val="24"/>
                <w:highlight w:val="none"/>
                <w:lang w:bidi="ar-SA"/>
              </w:rPr>
              <w:t>整改</w:t>
            </w:r>
            <w:r>
              <w:rPr>
                <w:rFonts w:hint="eastAsia" w:ascii="黑体" w:hAnsi="黑体" w:eastAsia="黑体" w:cs="黑体"/>
                <w:color w:val="auto"/>
                <w:kern w:val="0"/>
                <w:sz w:val="24"/>
                <w:szCs w:val="24"/>
                <w:highlight w:val="none"/>
                <w:lang w:eastAsia="zh-CN" w:bidi="ar-SA"/>
              </w:rPr>
              <w:t>及</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eastAsia="zh-CN" w:bidi="ar-SA"/>
              </w:rPr>
              <w:t>处罚</w:t>
            </w:r>
            <w:r>
              <w:rPr>
                <w:rFonts w:hint="eastAsia" w:ascii="黑体" w:hAnsi="黑体" w:eastAsia="黑体" w:cs="黑体"/>
                <w:color w:val="auto"/>
                <w:kern w:val="0"/>
                <w:sz w:val="24"/>
                <w:szCs w:val="24"/>
                <w:highlight w:val="none"/>
                <w:lang w:bidi="ar-SA"/>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61</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深圳市卓越物业管理股份有限公司雷州分公司（卓越御湖湾小区）</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该公司擅自利用共用部位进行经营。</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依法责令限期改正。已整改。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62</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上海红星德荣物业管理有限责任公司湛江分公司（红星天铂小区）</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该公司服务的红星天铂小区部分楼层安全出口指示灯存在故障。</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依法责令限期改正。整改中。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63</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华盛物业（吴川碧海园小区）</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该公司服务的吴川碧海园小区部分常闭式防火门未保持常闭。</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依法责令限期改正。已整改。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64</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湛江市众创物业服务有限公司（天禧花园小区）</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该公司服务的天禧花园小区部分消防器材过期、部分电动自行车违规停放、部分常闭式防火门未保持常闭。</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依法责令限期改正。整改中。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65</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湛江市西粤京基城物业服务有限公司（西粤京基城二期小区）</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该公司服务的西粤京基城二期小区存在以下问题：部分消防器材过期、部分电动自行车违规停放、部分常闭式防火门未保持常闭、部分安全出口指示灯故障、截水沟垃圾未清理。</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依法责令限期改正。整改中。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66</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湛江市乐华物业有限公司（万和乐华花园）</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该公司拒不配合安装电动汽车充电桩。</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依法责令限期改正。整改中。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67</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清远市江峸置业有限公司富强路分公司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该公司未按规定办理房地产经纪机构备案。</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68</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清远市亿来置业顾问有限公司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该公司未按规定办理房地产经纪机构备案。</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69</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清远市房客邦网络科技有限公司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该公司未按规定办理房地产经纪机构备案。</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70</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清远市浩翔房地产营销有限公司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该公司未按规定办理房地产经纪机构备案。</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71</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清远市锦房房地产营销有限公司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该公司未按规定办理房地产经纪机构备案。</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72</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清远市喜佳科技信息有限公司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该公司未按规定公示全部内容事项。</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73</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清远市碧润房地产开发有限公司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该公司所开发的碧桂园天著项目销售现场公示资料不齐全，未按规定要求公示全部内容事项（《住宅质量保证书》、《住宅使用说明书》、商品房销控表等）。</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74</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清远市合一房地产开发有限公司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该公司所开发的合一学贤府项目销售现场公示资料不齐全，未按规定要求公示全部内容事项（商品房销控表、工商营业执照和资质证书等）。</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firstLineChars="0"/>
              <w:jc w:val="center"/>
              <w:textAlignment w:val="auto"/>
              <w:rPr>
                <w:rFonts w:hint="eastAsia" w:ascii="宋体" w:hAnsi="宋体" w:eastAsia="宋体" w:cs="宋体"/>
                <w:i w:val="0"/>
                <w:color w:val="000000"/>
                <w:kern w:val="0"/>
                <w:sz w:val="24"/>
                <w:szCs w:val="24"/>
                <w:u w:val="none"/>
                <w:lang w:val="en-US" w:eastAsia="zh-CN" w:bidi="ar"/>
              </w:rPr>
            </w:pPr>
            <w:r>
              <w:rPr>
                <w:rFonts w:hint="eastAsia" w:ascii="黑体" w:hAnsi="黑体" w:eastAsia="黑体" w:cs="黑体"/>
                <w:color w:val="auto"/>
                <w:kern w:val="0"/>
                <w:sz w:val="24"/>
                <w:szCs w:val="24"/>
                <w:highlight w:val="none"/>
                <w:lang w:bidi="ar-SA"/>
              </w:rPr>
              <w:t>序号</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企业名称</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具体违法违规行为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eastAsia="zh-CN" w:bidi="ar-SA"/>
              </w:rPr>
            </w:pPr>
            <w:r>
              <w:rPr>
                <w:rFonts w:hint="eastAsia" w:ascii="黑体" w:hAnsi="黑体" w:eastAsia="黑体" w:cs="黑体"/>
                <w:color w:val="auto"/>
                <w:kern w:val="0"/>
                <w:sz w:val="24"/>
                <w:szCs w:val="24"/>
                <w:highlight w:val="none"/>
                <w:lang w:bidi="ar-SA"/>
              </w:rPr>
              <w:t>整改</w:t>
            </w:r>
            <w:r>
              <w:rPr>
                <w:rFonts w:hint="eastAsia" w:ascii="黑体" w:hAnsi="黑体" w:eastAsia="黑体" w:cs="黑体"/>
                <w:color w:val="auto"/>
                <w:kern w:val="0"/>
                <w:sz w:val="24"/>
                <w:szCs w:val="24"/>
                <w:highlight w:val="none"/>
                <w:lang w:eastAsia="zh-CN" w:bidi="ar-SA"/>
              </w:rPr>
              <w:t>及</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eastAsia="zh-CN" w:bidi="ar-SA"/>
              </w:rPr>
              <w:t>处罚</w:t>
            </w:r>
            <w:r>
              <w:rPr>
                <w:rFonts w:hint="eastAsia" w:ascii="黑体" w:hAnsi="黑体" w:eastAsia="黑体" w:cs="黑体"/>
                <w:color w:val="auto"/>
                <w:kern w:val="0"/>
                <w:sz w:val="24"/>
                <w:szCs w:val="24"/>
                <w:highlight w:val="none"/>
                <w:lang w:bidi="ar-SA"/>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75</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清远市首宏房地产有限公司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该公司所开发的瀚清华府项目销售现场公示资料不齐全，未按规定要求公示全部内容事项（项目开发进度、竣工交付时间等）。</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76</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碧桂园生活服务集团股份有限公司郁南分公司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该公司所服务的郁南碧桂园小区楼顶出现违建，该公司未履行职责，仍放行装修材料进场。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77</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罗定市卓越物业服务有限公司（中华文苑）</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该公司未按规定公示合同具体服务内容；未制定防风防汛、消防安全等应急预案。</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78</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罗定市家福物业服务有限公司（鸿禧华庭）</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该公司未按规定设立公共收益账户，未公示公共收益情况；未制定防风防汛、消防安全等应急预案。</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依法责令限期整改。已整改。</w:t>
            </w:r>
          </w:p>
        </w:tc>
      </w:tr>
    </w:tbl>
    <w:p>
      <w:pPr>
        <w:pStyle w:val="2"/>
      </w:pPr>
    </w:p>
    <w:p/>
    <w:sectPr>
      <w:headerReference r:id="rId5" w:type="default"/>
      <w:footerReference r:id="rId6" w:type="default"/>
      <w:pgSz w:w="11906" w:h="16838"/>
      <w:pgMar w:top="1644" w:right="1474" w:bottom="1418" w:left="1588" w:header="851" w:footer="992" w:gutter="0"/>
      <w:pgBorders>
        <w:top w:val="none" w:sz="0" w:space="0"/>
        <w:left w:val="none" w:sz="0" w:space="0"/>
        <w:bottom w:val="none" w:sz="0" w:space="0"/>
        <w:right w:val="none" w:sz="0" w:space="0"/>
      </w:pgBorders>
      <w:pgNumType w:fmt="numberInDash" w:start="1"/>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613938AB"/>
    <w:rsid w:val="3EA34948"/>
    <w:rsid w:val="61393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val="0"/>
      <w:spacing w:line="600" w:lineRule="exact"/>
      <w:jc w:val="both"/>
    </w:pPr>
    <w:rPr>
      <w:rFonts w:ascii="宋体" w:hAnsi="Courier New" w:eastAsia="仿宋_GB2312" w:cs="宋体"/>
      <w:kern w:val="2"/>
      <w:sz w:val="21"/>
      <w:szCs w:val="21"/>
      <w:lang w:val="en-US" w:eastAsia="zh-CN" w:bidi="ar-SA"/>
    </w:rPr>
  </w:style>
  <w:style w:type="paragraph" w:styleId="3">
    <w:name w:val="index 8"/>
    <w:basedOn w:val="1"/>
    <w:next w:val="1"/>
    <w:qFormat/>
    <w:uiPriority w:val="0"/>
    <w:pPr>
      <w:spacing w:before="120" w:after="120"/>
      <w:ind w:left="0" w:leftChars="0"/>
      <w:jc w:val="left"/>
    </w:pPr>
    <w:rPr>
      <w:rFonts w:ascii="Times New Roman" w:hAnsi="Times New Roman" w:eastAsia="仿宋_GB2312"/>
    </w:r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2023-12-06T03:39:00Z</dcterms:created>
  <dc:creator>陌</dc:creator>
  <cp:lastModifiedBy>陌</cp:lastModifiedBy>
  <dcterms:modified xsi:type="dcterms:W3CDTF">2023-12-06T03:42:04Z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B41F22B3E98D463096269B3F37432A3F_11</vt:lpwstr>
  </property>
</Properties>
</file>