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pacing w:val="-20"/>
          <w:sz w:val="44"/>
          <w:szCs w:val="44"/>
        </w:rPr>
      </w:pPr>
      <w:r>
        <w:rPr>
          <w:rFonts w:hint="eastAsia" w:asciiTheme="majorEastAsia" w:hAnsiTheme="majorEastAsia" w:eastAsiaTheme="majorEastAsia"/>
          <w:b/>
          <w:spacing w:val="-20"/>
          <w:sz w:val="44"/>
          <w:szCs w:val="44"/>
        </w:rPr>
        <w:t>坪地综合文体中心</w:t>
      </w:r>
    </w:p>
    <w:p>
      <w:pPr>
        <w:spacing w:line="560" w:lineRule="exact"/>
        <w:jc w:val="center"/>
        <w:rPr>
          <w:rFonts w:asciiTheme="majorEastAsia" w:hAnsiTheme="majorEastAsia" w:eastAsiaTheme="majorEastAsia"/>
          <w:b/>
          <w:spacing w:val="-20"/>
          <w:sz w:val="44"/>
          <w:szCs w:val="44"/>
        </w:rPr>
      </w:pPr>
      <w:r>
        <w:rPr>
          <w:rFonts w:hint="eastAsia" w:asciiTheme="majorEastAsia" w:hAnsiTheme="majorEastAsia" w:eastAsiaTheme="majorEastAsia"/>
          <w:b/>
          <w:spacing w:val="-20"/>
          <w:sz w:val="44"/>
          <w:szCs w:val="44"/>
        </w:rPr>
        <w:t>超限高层建筑工程抗震设防专家组审查意见</w:t>
      </w:r>
    </w:p>
    <w:p>
      <w:pPr>
        <w:ind w:firstLine="880" w:firstLineChars="200"/>
        <w:jc w:val="left"/>
        <w:rPr>
          <w:rFonts w:ascii="仿宋" w:hAnsi="仿宋" w:eastAsia="仿宋"/>
          <w:sz w:val="44"/>
          <w:szCs w:val="44"/>
        </w:rPr>
      </w:pPr>
    </w:p>
    <w:p>
      <w:pPr>
        <w:keepNext w:val="0"/>
        <w:keepLines w:val="0"/>
        <w:pageBreakBefore w:val="0"/>
        <w:kinsoku/>
        <w:wordWrap/>
        <w:overflowPunct/>
        <w:topLinePunct w:val="0"/>
        <w:bidi w:val="0"/>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2023年8月31日，广东省超限高层建筑工程抗震设防审查专家委员会办公室网络在线主持召开了“坪地综合文体中心”超限高层建筑工程抗震设防专项审查会议，张良平教授级高工任专家组组长。与会专家听取了建设单位深圳市坪投文体发展有限公司、设计单位奥意建筑工程设计有限公司关于该工程抗震设防设计的情况汇报，审阅了送审资料。经讨论，提出如下审查意见。</w:t>
      </w:r>
    </w:p>
    <w:p>
      <w:pPr>
        <w:keepNext w:val="0"/>
        <w:keepLines w:val="0"/>
        <w:pageBreakBefore w:val="0"/>
        <w:kinsoku/>
        <w:wordWrap/>
        <w:overflowPunct/>
        <w:topLinePunct w:val="0"/>
        <w:bidi w:val="0"/>
        <w:snapToGrid/>
        <w:spacing w:line="500" w:lineRule="exact"/>
        <w:ind w:firstLine="602" w:firstLineChars="200"/>
        <w:jc w:val="left"/>
        <w:textAlignment w:val="auto"/>
        <w:rPr>
          <w:rFonts w:ascii="仿宋" w:hAnsi="仿宋" w:eastAsia="仿宋"/>
          <w:b/>
          <w:sz w:val="30"/>
          <w:szCs w:val="30"/>
        </w:rPr>
      </w:pPr>
      <w:r>
        <w:rPr>
          <w:rFonts w:hint="eastAsia" w:ascii="仿宋" w:hAnsi="仿宋" w:eastAsia="仿宋"/>
          <w:b/>
          <w:sz w:val="30"/>
          <w:szCs w:val="30"/>
        </w:rPr>
        <w:t>一、基本情况</w:t>
      </w:r>
    </w:p>
    <w:p>
      <w:pPr>
        <w:keepNext w:val="0"/>
        <w:keepLines w:val="0"/>
        <w:pageBreakBefore w:val="0"/>
        <w:widowControl/>
        <w:kinsoku/>
        <w:wordWrap/>
        <w:overflowPunct/>
        <w:topLinePunct w:val="0"/>
        <w:bidi w:val="0"/>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项目位于广东省深圳市龙岗区坪地街道，龙凤路、富华路路口，上部为文化及公共体育活动空间，地上建筑面积约为4.96万平方米，地下建筑面积约为2.26万平方米，地下2层，地上7层，结构主屋面高度48.85米。抗震设防烈度7度(0.1g)，Ⅲ类场地，抗震设防类别为乙类，抗震性能目标为C级。</w:t>
      </w:r>
    </w:p>
    <w:p>
      <w:pPr>
        <w:keepNext w:val="0"/>
        <w:keepLines w:val="0"/>
        <w:pageBreakBefore w:val="0"/>
        <w:kinsoku/>
        <w:wordWrap/>
        <w:overflowPunct/>
        <w:topLinePunct w:val="0"/>
        <w:autoSpaceDE w:val="0"/>
        <w:autoSpaceDN w:val="0"/>
        <w:bidi w:val="0"/>
        <w:adjustRightInd w:val="0"/>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本工程底部基座分为3个体块，共3层，采用钢筋混凝土框架-剪力墙（筒体）结构；上部为公共体育活动空间，共4层，采用由钢桁架筒体与大跨度钢桁架组成的巨型框架结构，钢桁架筒体支承于下部混凝土基座的8个剪力墙筒体上。本工程存在扭转不规则、楼板不连续以及局部夹层3项一般超限项，扭转偏大一项特别不规则项，属于规则性超限的特殊类型超限高层建筑。</w:t>
      </w:r>
    </w:p>
    <w:p>
      <w:pPr>
        <w:keepNext w:val="0"/>
        <w:keepLines w:val="0"/>
        <w:pageBreakBefore w:val="0"/>
        <w:kinsoku/>
        <w:wordWrap/>
        <w:overflowPunct/>
        <w:topLinePunct w:val="0"/>
        <w:autoSpaceDE w:val="0"/>
        <w:autoSpaceDN w:val="0"/>
        <w:bidi w:val="0"/>
        <w:adjustRightInd w:val="0"/>
        <w:snapToGrid/>
        <w:spacing w:line="500" w:lineRule="exact"/>
        <w:ind w:firstLine="600" w:firstLineChars="200"/>
        <w:textAlignment w:val="auto"/>
        <w:rPr>
          <w:rFonts w:ascii="仿宋" w:hAnsi="仿宋" w:eastAsia="仿宋"/>
          <w:sz w:val="30"/>
          <w:szCs w:val="30"/>
        </w:rPr>
      </w:pPr>
      <w:r>
        <w:rPr>
          <w:rFonts w:hint="eastAsia" w:ascii="仿宋" w:hAnsi="仿宋" w:eastAsia="仿宋"/>
          <w:sz w:val="30"/>
          <w:szCs w:val="30"/>
        </w:rPr>
        <w:t>针对上述超限高层建筑，设计单位采用Midas、YJK、ETABS等程序进行小震作用下的结构分析；采用Midas程序进行中震作用下的结构分析；采用ABAQUS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kinsoku/>
        <w:wordWrap/>
        <w:overflowPunct/>
        <w:topLinePunct w:val="0"/>
        <w:bidi w:val="0"/>
        <w:snapToGrid/>
        <w:spacing w:line="500" w:lineRule="exact"/>
        <w:ind w:firstLine="602" w:firstLineChars="200"/>
        <w:jc w:val="left"/>
        <w:textAlignment w:val="auto"/>
        <w:rPr>
          <w:rFonts w:ascii="仿宋" w:hAnsi="仿宋" w:eastAsia="仿宋"/>
          <w:b/>
          <w:sz w:val="30"/>
          <w:szCs w:val="30"/>
        </w:rPr>
      </w:pPr>
      <w:r>
        <w:rPr>
          <w:rFonts w:hint="eastAsia" w:ascii="仿宋" w:hAnsi="仿宋" w:eastAsia="仿宋"/>
          <w:b/>
          <w:sz w:val="30"/>
          <w:szCs w:val="30"/>
        </w:rPr>
        <w:t>二、存在问题和改进意见</w:t>
      </w:r>
    </w:p>
    <w:p>
      <w:pPr>
        <w:keepNext w:val="0"/>
        <w:keepLines w:val="0"/>
        <w:pageBreakBefore w:val="0"/>
        <w:numPr>
          <w:ilvl w:val="0"/>
          <w:numId w:val="1"/>
        </w:numPr>
        <w:kinsoku/>
        <w:wordWrap/>
        <w:overflowPunct/>
        <w:topLinePunct w:val="0"/>
        <w:bidi w:val="0"/>
        <w:snapToGrid/>
        <w:spacing w:line="500" w:lineRule="exact"/>
        <w:jc w:val="left"/>
        <w:textAlignment w:val="auto"/>
        <w:rPr>
          <w:rFonts w:ascii="仿宋" w:hAnsi="仿宋" w:eastAsia="仿宋"/>
          <w:bCs/>
          <w:sz w:val="30"/>
          <w:szCs w:val="30"/>
        </w:rPr>
      </w:pPr>
      <w:r>
        <w:rPr>
          <w:rFonts w:hint="eastAsia" w:ascii="仿宋" w:hAnsi="仿宋" w:eastAsia="仿宋"/>
          <w:bCs/>
          <w:sz w:val="30"/>
          <w:szCs w:val="30"/>
        </w:rPr>
        <w:t>进一步分析下部钢筋混凝土结构与上部钢结构连接处的受力状况，并采用相应的加强措施。</w:t>
      </w:r>
    </w:p>
    <w:p>
      <w:pPr>
        <w:keepNext w:val="0"/>
        <w:keepLines w:val="0"/>
        <w:pageBreakBefore w:val="0"/>
        <w:numPr>
          <w:ilvl w:val="0"/>
          <w:numId w:val="1"/>
        </w:numPr>
        <w:kinsoku/>
        <w:wordWrap/>
        <w:overflowPunct/>
        <w:topLinePunct w:val="0"/>
        <w:bidi w:val="0"/>
        <w:snapToGrid/>
        <w:spacing w:line="500" w:lineRule="exact"/>
        <w:jc w:val="left"/>
        <w:textAlignment w:val="auto"/>
        <w:rPr>
          <w:rFonts w:ascii="仿宋" w:hAnsi="仿宋" w:eastAsia="仿宋"/>
          <w:bCs/>
          <w:sz w:val="30"/>
          <w:szCs w:val="30"/>
        </w:rPr>
      </w:pPr>
      <w:r>
        <w:rPr>
          <w:rFonts w:hint="eastAsia" w:ascii="仿宋" w:hAnsi="仿宋" w:eastAsia="仿宋"/>
          <w:bCs/>
          <w:sz w:val="30"/>
          <w:szCs w:val="30"/>
        </w:rPr>
        <w:t>钢管混凝土柱截面小、柱桁架节点复杂，应采取相应措施保证钢管内混凝土的密实性，建议钢管混凝土改为钢管柱。</w:t>
      </w:r>
    </w:p>
    <w:p>
      <w:pPr>
        <w:keepNext w:val="0"/>
        <w:keepLines w:val="0"/>
        <w:pageBreakBefore w:val="0"/>
        <w:numPr>
          <w:ilvl w:val="0"/>
          <w:numId w:val="1"/>
        </w:numPr>
        <w:kinsoku/>
        <w:wordWrap/>
        <w:overflowPunct/>
        <w:topLinePunct w:val="0"/>
        <w:bidi w:val="0"/>
        <w:snapToGrid/>
        <w:spacing w:line="500" w:lineRule="exact"/>
        <w:jc w:val="left"/>
        <w:textAlignment w:val="auto"/>
        <w:rPr>
          <w:rFonts w:hint="eastAsia" w:ascii="仿宋" w:hAnsi="仿宋" w:eastAsia="仿宋"/>
          <w:bCs/>
          <w:sz w:val="30"/>
          <w:szCs w:val="30"/>
        </w:rPr>
      </w:pPr>
      <w:r>
        <w:rPr>
          <w:rFonts w:hint="eastAsia" w:ascii="仿宋" w:hAnsi="仿宋" w:eastAsia="仿宋"/>
          <w:bCs/>
          <w:sz w:val="30"/>
          <w:szCs w:val="30"/>
        </w:rPr>
        <w:t>调整西侧悬挑桁架腹杆方向（腹杆宜采用拉杆设计）及下弦杆的连接节点；东侧悬挑12米桁架，根部宜采用交叉腹杆。</w:t>
      </w:r>
    </w:p>
    <w:p>
      <w:pPr>
        <w:keepNext w:val="0"/>
        <w:keepLines w:val="0"/>
        <w:pageBreakBefore w:val="0"/>
        <w:numPr>
          <w:ilvl w:val="0"/>
          <w:numId w:val="1"/>
        </w:numPr>
        <w:kinsoku/>
        <w:wordWrap/>
        <w:overflowPunct/>
        <w:topLinePunct w:val="0"/>
        <w:bidi w:val="0"/>
        <w:snapToGrid/>
        <w:spacing w:line="500" w:lineRule="exact"/>
        <w:jc w:val="left"/>
        <w:textAlignment w:val="auto"/>
        <w:rPr>
          <w:rFonts w:hint="eastAsia" w:ascii="仿宋" w:hAnsi="仿宋" w:eastAsia="仿宋"/>
          <w:bCs/>
          <w:sz w:val="30"/>
          <w:szCs w:val="30"/>
        </w:rPr>
      </w:pPr>
      <w:r>
        <w:rPr>
          <w:rFonts w:hint="eastAsia" w:ascii="仿宋" w:hAnsi="仿宋" w:eastAsia="仿宋"/>
          <w:bCs/>
          <w:sz w:val="30"/>
          <w:szCs w:val="30"/>
        </w:rPr>
        <w:t>细化四层钢连桥的连接节点，补充分析该连桥的舒适度。</w:t>
      </w:r>
    </w:p>
    <w:p>
      <w:pPr>
        <w:keepNext w:val="0"/>
        <w:keepLines w:val="0"/>
        <w:pageBreakBefore w:val="0"/>
        <w:numPr>
          <w:ilvl w:val="0"/>
          <w:numId w:val="1"/>
        </w:numPr>
        <w:kinsoku/>
        <w:wordWrap/>
        <w:overflowPunct/>
        <w:topLinePunct w:val="0"/>
        <w:bidi w:val="0"/>
        <w:snapToGrid/>
        <w:spacing w:line="500" w:lineRule="exact"/>
        <w:jc w:val="left"/>
        <w:textAlignment w:val="auto"/>
        <w:rPr>
          <w:rFonts w:hint="eastAsia" w:ascii="仿宋" w:hAnsi="仿宋" w:eastAsia="仿宋"/>
          <w:bCs/>
          <w:sz w:val="30"/>
          <w:szCs w:val="30"/>
        </w:rPr>
      </w:pPr>
      <w:r>
        <w:rPr>
          <w:rFonts w:hint="eastAsia" w:ascii="仿宋" w:hAnsi="仿宋" w:eastAsia="仿宋"/>
          <w:bCs/>
          <w:sz w:val="30"/>
          <w:szCs w:val="30"/>
        </w:rPr>
        <w:t>复核桁架平面外的稳定性。</w:t>
      </w:r>
    </w:p>
    <w:p>
      <w:pPr>
        <w:keepNext w:val="0"/>
        <w:keepLines w:val="0"/>
        <w:pageBreakBefore w:val="0"/>
        <w:numPr>
          <w:ilvl w:val="0"/>
          <w:numId w:val="1"/>
        </w:numPr>
        <w:kinsoku/>
        <w:wordWrap/>
        <w:overflowPunct/>
        <w:topLinePunct w:val="0"/>
        <w:bidi w:val="0"/>
        <w:snapToGrid/>
        <w:spacing w:line="500" w:lineRule="exact"/>
        <w:jc w:val="left"/>
        <w:textAlignment w:val="auto"/>
        <w:rPr>
          <w:rFonts w:ascii="仿宋" w:hAnsi="仿宋" w:eastAsia="仿宋"/>
          <w:b/>
          <w:sz w:val="30"/>
          <w:szCs w:val="30"/>
        </w:rPr>
      </w:pPr>
      <w:r>
        <w:rPr>
          <w:rFonts w:hint="eastAsia" w:ascii="仿宋" w:hAnsi="仿宋" w:eastAsia="仿宋"/>
          <w:bCs/>
          <w:sz w:val="30"/>
          <w:szCs w:val="30"/>
        </w:rPr>
        <w:t>调整150直径吊杆的数量，并适当减小截面。</w:t>
      </w:r>
    </w:p>
    <w:p>
      <w:pPr>
        <w:keepNext w:val="0"/>
        <w:keepLines w:val="0"/>
        <w:pageBreakBefore w:val="0"/>
        <w:kinsoku/>
        <w:wordWrap/>
        <w:overflowPunct/>
        <w:topLinePunct w:val="0"/>
        <w:bidi w:val="0"/>
        <w:snapToGrid/>
        <w:spacing w:line="500" w:lineRule="exact"/>
        <w:ind w:firstLine="602" w:firstLineChars="200"/>
        <w:jc w:val="left"/>
        <w:textAlignment w:val="auto"/>
        <w:rPr>
          <w:rFonts w:ascii="仿宋" w:hAnsi="仿宋" w:eastAsia="仿宋"/>
          <w:b/>
          <w:sz w:val="30"/>
          <w:szCs w:val="30"/>
        </w:rPr>
      </w:pPr>
      <w:r>
        <w:rPr>
          <w:rFonts w:hint="eastAsia" w:ascii="仿宋" w:hAnsi="仿宋" w:eastAsia="仿宋"/>
          <w:b/>
          <w:sz w:val="30"/>
          <w:szCs w:val="30"/>
        </w:rPr>
        <w:t>三、审查结论：通过。</w:t>
      </w:r>
    </w:p>
    <w:p>
      <w:pPr>
        <w:keepNext w:val="0"/>
        <w:keepLines w:val="0"/>
        <w:pageBreakBefore w:val="0"/>
        <w:kinsoku/>
        <w:wordWrap/>
        <w:overflowPunct/>
        <w:topLinePunct w:val="0"/>
        <w:bidi w:val="0"/>
        <w:snapToGrid/>
        <w:spacing w:line="500" w:lineRule="exact"/>
        <w:ind w:firstLine="602" w:firstLineChars="200"/>
        <w:textAlignment w:val="auto"/>
        <w:rPr>
          <w:rFonts w:ascii="仿宋" w:hAnsi="仿宋" w:eastAsia="仿宋"/>
          <w:b/>
          <w:sz w:val="30"/>
          <w:szCs w:val="30"/>
        </w:rPr>
      </w:pPr>
    </w:p>
    <w:p>
      <w:pPr>
        <w:keepNext w:val="0"/>
        <w:keepLines w:val="0"/>
        <w:pageBreakBefore w:val="0"/>
        <w:kinsoku/>
        <w:wordWrap/>
        <w:overflowPunct/>
        <w:topLinePunct w:val="0"/>
        <w:bidi w:val="0"/>
        <w:snapToGrid/>
        <w:spacing w:line="500" w:lineRule="exact"/>
        <w:textAlignment w:val="auto"/>
        <w:rPr>
          <w:rFonts w:ascii="仿宋" w:hAnsi="仿宋" w:eastAsia="仿宋"/>
          <w:bCs/>
          <w:sz w:val="30"/>
          <w:szCs w:val="30"/>
        </w:rPr>
      </w:pPr>
      <w:r>
        <w:rPr>
          <w:rFonts w:hint="eastAsia" w:ascii="仿宋" w:hAnsi="仿宋" w:eastAsia="仿宋"/>
          <w:bCs/>
          <w:sz w:val="30"/>
          <w:szCs w:val="30"/>
        </w:rPr>
        <w:t>专家组组长：张良平</w:t>
      </w:r>
    </w:p>
    <w:p>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仿宋" w:hAnsi="仿宋" w:eastAsia="仿宋"/>
          <w:bCs/>
          <w:sz w:val="30"/>
          <w:szCs w:val="30"/>
          <w:lang w:eastAsia="zh-CN"/>
        </w:rPr>
      </w:pPr>
      <w:r>
        <w:rPr>
          <w:rFonts w:hint="eastAsia" w:ascii="仿宋" w:hAnsi="仿宋" w:eastAsia="仿宋"/>
          <w:bCs/>
          <w:sz w:val="30"/>
          <w:szCs w:val="30"/>
          <w:lang w:val="en-US" w:eastAsia="zh-CN"/>
        </w:rPr>
        <w:t xml:space="preserve">      </w:t>
      </w:r>
    </w:p>
    <w:p>
      <w:pPr>
        <w:keepNext w:val="0"/>
        <w:keepLines w:val="0"/>
        <w:pageBreakBefore w:val="0"/>
        <w:kinsoku/>
        <w:wordWrap/>
        <w:overflowPunct/>
        <w:topLinePunct w:val="0"/>
        <w:bidi w:val="0"/>
        <w:snapToGrid/>
        <w:spacing w:line="500" w:lineRule="exact"/>
        <w:textAlignment w:val="auto"/>
        <w:rPr>
          <w:rFonts w:ascii="仿宋" w:hAnsi="仿宋" w:eastAsia="仿宋"/>
          <w:b/>
          <w:sz w:val="30"/>
          <w:szCs w:val="30"/>
        </w:rPr>
      </w:pPr>
      <w:r>
        <w:rPr>
          <w:rFonts w:hint="eastAsia" w:ascii="仿宋" w:hAnsi="仿宋" w:eastAsia="仿宋"/>
          <w:bCs/>
          <w:sz w:val="30"/>
          <w:szCs w:val="30"/>
        </w:rPr>
        <w:t xml:space="preserve">专家组成员：李盛勇     孙占琦     </w:t>
      </w:r>
      <w:r>
        <w:rPr>
          <w:rFonts w:ascii="仿宋" w:hAnsi="仿宋" w:eastAsia="仿宋"/>
          <w:bCs/>
          <w:sz w:val="30"/>
          <w:szCs w:val="30"/>
        </w:rPr>
        <w:t>黄  斌</w:t>
      </w:r>
      <w:r>
        <w:rPr>
          <w:rFonts w:hint="eastAsia" w:ascii="仿宋" w:hAnsi="仿宋" w:eastAsia="仿宋"/>
          <w:bCs/>
          <w:sz w:val="30"/>
          <w:szCs w:val="30"/>
        </w:rPr>
        <w:t xml:space="preserve">     李中健</w:t>
      </w:r>
    </w:p>
    <w:p>
      <w:pPr>
        <w:keepNext w:val="0"/>
        <w:keepLines w:val="0"/>
        <w:pageBreakBefore w:val="0"/>
        <w:widowControl w:val="0"/>
        <w:kinsoku/>
        <w:wordWrap/>
        <w:overflowPunct/>
        <w:topLinePunct w:val="0"/>
        <w:autoSpaceDE/>
        <w:autoSpaceDN/>
        <w:bidi w:val="0"/>
        <w:adjustRightInd/>
        <w:snapToGrid/>
        <w:spacing w:line="240" w:lineRule="auto"/>
        <w:ind w:firstLine="750" w:firstLineChars="250"/>
        <w:jc w:val="left"/>
        <w:textAlignment w:val="auto"/>
        <w:rPr>
          <w:rFonts w:hint="default" w:ascii="仿宋" w:hAnsi="仿宋" w:eastAsia="仿宋"/>
          <w:bCs/>
          <w:sz w:val="30"/>
          <w:szCs w:val="30"/>
          <w:lang w:val="en-US" w:eastAsia="zh-CN"/>
        </w:rPr>
      </w:pPr>
      <w:r>
        <w:rPr>
          <w:rFonts w:hint="eastAsia" w:ascii="仿宋" w:hAnsi="仿宋" w:eastAsia="仿宋"/>
          <w:bCs/>
          <w:sz w:val="30"/>
          <w:szCs w:val="30"/>
          <w:lang w:val="en-US" w:eastAsia="zh-CN"/>
        </w:rPr>
        <w:t xml:space="preserve">              </w:t>
      </w:r>
      <w:bookmarkStart w:id="0" w:name="_GoBack"/>
      <w:bookmarkEnd w:id="0"/>
    </w:p>
    <w:p>
      <w:pPr>
        <w:keepNext w:val="0"/>
        <w:keepLines w:val="0"/>
        <w:pageBreakBefore w:val="0"/>
        <w:kinsoku/>
        <w:wordWrap/>
        <w:overflowPunct/>
        <w:topLinePunct w:val="0"/>
        <w:bidi w:val="0"/>
        <w:snapToGrid/>
        <w:spacing w:line="500" w:lineRule="exact"/>
        <w:ind w:firstLine="750" w:firstLineChars="250"/>
        <w:jc w:val="right"/>
        <w:textAlignment w:val="auto"/>
        <w:rPr>
          <w:rFonts w:ascii="仿宋" w:hAnsi="仿宋" w:eastAsia="仿宋"/>
          <w:bCs/>
          <w:sz w:val="30"/>
          <w:szCs w:val="30"/>
        </w:rPr>
      </w:pPr>
    </w:p>
    <w:p>
      <w:pPr>
        <w:keepNext w:val="0"/>
        <w:keepLines w:val="0"/>
        <w:pageBreakBefore w:val="0"/>
        <w:kinsoku/>
        <w:wordWrap/>
        <w:overflowPunct/>
        <w:topLinePunct w:val="0"/>
        <w:bidi w:val="0"/>
        <w:snapToGrid/>
        <w:spacing w:line="500" w:lineRule="exact"/>
        <w:ind w:firstLine="750" w:firstLineChars="250"/>
        <w:jc w:val="right"/>
        <w:textAlignment w:val="auto"/>
        <w:rPr>
          <w:rFonts w:ascii="仿宋" w:hAnsi="仿宋" w:eastAsia="仿宋"/>
          <w:bCs/>
          <w:sz w:val="30"/>
          <w:szCs w:val="30"/>
        </w:rPr>
      </w:pPr>
      <w:r>
        <w:rPr>
          <w:rFonts w:hint="eastAsia" w:ascii="仿宋" w:hAnsi="仿宋" w:eastAsia="仿宋"/>
          <w:bCs/>
          <w:sz w:val="30"/>
          <w:szCs w:val="30"/>
        </w:rPr>
        <w:t>2023年8月31日</w:t>
      </w:r>
    </w:p>
    <w:p>
      <w:pPr>
        <w:keepNext w:val="0"/>
        <w:keepLines w:val="0"/>
        <w:pageBreakBefore w:val="0"/>
        <w:kinsoku/>
        <w:wordWrap/>
        <w:overflowPunct/>
        <w:topLinePunct w:val="0"/>
        <w:bidi w:val="0"/>
        <w:snapToGrid/>
        <w:spacing w:line="500" w:lineRule="exact"/>
        <w:textAlignment w:val="auto"/>
        <w:rPr>
          <w:rFonts w:ascii="仿宋" w:hAnsi="仿宋" w:eastAsia="仿宋"/>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D8D91"/>
    <w:multiLevelType w:val="singleLevel"/>
    <w:tmpl w:val="E23D8D91"/>
    <w:lvl w:ilvl="0" w:tentative="0">
      <w:start w:val="1"/>
      <w:numFmt w:val="decimal"/>
      <w:lvlText w:val="%1."/>
      <w:lvlJc w:val="left"/>
      <w:pPr>
        <w:ind w:left="425" w:hanging="425"/>
      </w:pPr>
      <w:rPr>
        <w:rFonts w:hint="default" w:ascii="仿宋" w:hAnsi="仿宋" w:eastAsia="仿宋" w:cs="仿宋"/>
        <w:b w:val="0"/>
        <w:bCs w:val="0"/>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FkYTExYjM0N2ZiM2RkZjFkYTFlMTA5Y2Y2NzZjNTEifQ=="/>
  </w:docVars>
  <w:rsids>
    <w:rsidRoot w:val="001E5EE1"/>
    <w:rsid w:val="00027A3F"/>
    <w:rsid w:val="000F7CE3"/>
    <w:rsid w:val="00126F08"/>
    <w:rsid w:val="0018277F"/>
    <w:rsid w:val="001B7E39"/>
    <w:rsid w:val="001D006C"/>
    <w:rsid w:val="001D453D"/>
    <w:rsid w:val="001E5EE1"/>
    <w:rsid w:val="00211342"/>
    <w:rsid w:val="00236375"/>
    <w:rsid w:val="00270DB2"/>
    <w:rsid w:val="00292F81"/>
    <w:rsid w:val="0029329C"/>
    <w:rsid w:val="002A3FBD"/>
    <w:rsid w:val="002D78A7"/>
    <w:rsid w:val="00320614"/>
    <w:rsid w:val="00335CF4"/>
    <w:rsid w:val="00372C32"/>
    <w:rsid w:val="003E445D"/>
    <w:rsid w:val="00416038"/>
    <w:rsid w:val="004260E5"/>
    <w:rsid w:val="004739C6"/>
    <w:rsid w:val="004A543F"/>
    <w:rsid w:val="004B1AD7"/>
    <w:rsid w:val="005B0A01"/>
    <w:rsid w:val="005F7E11"/>
    <w:rsid w:val="006020FC"/>
    <w:rsid w:val="00610694"/>
    <w:rsid w:val="006D1F98"/>
    <w:rsid w:val="00706AAF"/>
    <w:rsid w:val="0072260A"/>
    <w:rsid w:val="00781A98"/>
    <w:rsid w:val="00784053"/>
    <w:rsid w:val="007B0F22"/>
    <w:rsid w:val="007D4045"/>
    <w:rsid w:val="008043B5"/>
    <w:rsid w:val="008315AB"/>
    <w:rsid w:val="008452F0"/>
    <w:rsid w:val="00876E2B"/>
    <w:rsid w:val="00880737"/>
    <w:rsid w:val="0088450E"/>
    <w:rsid w:val="00894B35"/>
    <w:rsid w:val="008E48F5"/>
    <w:rsid w:val="00926EC4"/>
    <w:rsid w:val="00972446"/>
    <w:rsid w:val="009A3F5A"/>
    <w:rsid w:val="009A7175"/>
    <w:rsid w:val="009B7DAC"/>
    <w:rsid w:val="009F64C4"/>
    <w:rsid w:val="00A300E3"/>
    <w:rsid w:val="00A67075"/>
    <w:rsid w:val="00A93F2A"/>
    <w:rsid w:val="00A972C9"/>
    <w:rsid w:val="00AF6CBD"/>
    <w:rsid w:val="00B0296B"/>
    <w:rsid w:val="00B1022F"/>
    <w:rsid w:val="00B47BD7"/>
    <w:rsid w:val="00B86656"/>
    <w:rsid w:val="00B927FA"/>
    <w:rsid w:val="00BB6526"/>
    <w:rsid w:val="00BC052B"/>
    <w:rsid w:val="00BE33DF"/>
    <w:rsid w:val="00C263AF"/>
    <w:rsid w:val="00C5157B"/>
    <w:rsid w:val="00C61CF2"/>
    <w:rsid w:val="00C62DD6"/>
    <w:rsid w:val="00CD1F13"/>
    <w:rsid w:val="00D0311F"/>
    <w:rsid w:val="00D40051"/>
    <w:rsid w:val="00D5119B"/>
    <w:rsid w:val="00DD3032"/>
    <w:rsid w:val="00DE3013"/>
    <w:rsid w:val="00E463B8"/>
    <w:rsid w:val="00E85131"/>
    <w:rsid w:val="00E860E1"/>
    <w:rsid w:val="00E952C3"/>
    <w:rsid w:val="00F40C73"/>
    <w:rsid w:val="00F5564F"/>
    <w:rsid w:val="00F60631"/>
    <w:rsid w:val="00F81EFE"/>
    <w:rsid w:val="00F92191"/>
    <w:rsid w:val="00FB5A28"/>
    <w:rsid w:val="00FC229B"/>
    <w:rsid w:val="01437C9C"/>
    <w:rsid w:val="02CE6244"/>
    <w:rsid w:val="02ED7EC0"/>
    <w:rsid w:val="03596E6C"/>
    <w:rsid w:val="03F80913"/>
    <w:rsid w:val="04374EF5"/>
    <w:rsid w:val="04A90B4F"/>
    <w:rsid w:val="04DF7CDC"/>
    <w:rsid w:val="060A20AF"/>
    <w:rsid w:val="063D6CE4"/>
    <w:rsid w:val="064F49ED"/>
    <w:rsid w:val="08050FAE"/>
    <w:rsid w:val="08575CE4"/>
    <w:rsid w:val="08AE00F1"/>
    <w:rsid w:val="0932487E"/>
    <w:rsid w:val="094D16B8"/>
    <w:rsid w:val="0ADC5E64"/>
    <w:rsid w:val="0BC32105"/>
    <w:rsid w:val="0BF52FA0"/>
    <w:rsid w:val="0DC24706"/>
    <w:rsid w:val="10430481"/>
    <w:rsid w:val="10454745"/>
    <w:rsid w:val="13960100"/>
    <w:rsid w:val="13963C5C"/>
    <w:rsid w:val="14356775"/>
    <w:rsid w:val="148D1BB2"/>
    <w:rsid w:val="155913E5"/>
    <w:rsid w:val="156801F5"/>
    <w:rsid w:val="16467BBB"/>
    <w:rsid w:val="16797F90"/>
    <w:rsid w:val="174F484D"/>
    <w:rsid w:val="17F52422"/>
    <w:rsid w:val="18CB43A7"/>
    <w:rsid w:val="18D07033"/>
    <w:rsid w:val="1A1E49AB"/>
    <w:rsid w:val="1B0911B7"/>
    <w:rsid w:val="1BFB4FA4"/>
    <w:rsid w:val="1C2A5889"/>
    <w:rsid w:val="1C4E71BE"/>
    <w:rsid w:val="1DC064A5"/>
    <w:rsid w:val="1E7554E1"/>
    <w:rsid w:val="1E89425F"/>
    <w:rsid w:val="1F355A1B"/>
    <w:rsid w:val="20B155BC"/>
    <w:rsid w:val="21425423"/>
    <w:rsid w:val="218F7423"/>
    <w:rsid w:val="2228286B"/>
    <w:rsid w:val="22874550"/>
    <w:rsid w:val="22C97254"/>
    <w:rsid w:val="24AA57B9"/>
    <w:rsid w:val="24D67819"/>
    <w:rsid w:val="25607E4B"/>
    <w:rsid w:val="25E82A3D"/>
    <w:rsid w:val="26175410"/>
    <w:rsid w:val="27653C19"/>
    <w:rsid w:val="283408E2"/>
    <w:rsid w:val="28B5472C"/>
    <w:rsid w:val="292E6A47"/>
    <w:rsid w:val="29353BDE"/>
    <w:rsid w:val="2A1738F0"/>
    <w:rsid w:val="2BAD55C5"/>
    <w:rsid w:val="2D3E73E6"/>
    <w:rsid w:val="2D940DB4"/>
    <w:rsid w:val="2DC82842"/>
    <w:rsid w:val="2F245151"/>
    <w:rsid w:val="2F3740ED"/>
    <w:rsid w:val="2F4B5913"/>
    <w:rsid w:val="2F7610B9"/>
    <w:rsid w:val="2FDA6E7D"/>
    <w:rsid w:val="30197C57"/>
    <w:rsid w:val="30E402A4"/>
    <w:rsid w:val="30F2476F"/>
    <w:rsid w:val="311E011A"/>
    <w:rsid w:val="33EC4E2E"/>
    <w:rsid w:val="33FB7DDF"/>
    <w:rsid w:val="34772EC2"/>
    <w:rsid w:val="34A22009"/>
    <w:rsid w:val="35A26B4B"/>
    <w:rsid w:val="35A76722"/>
    <w:rsid w:val="363B7065"/>
    <w:rsid w:val="367A6ADB"/>
    <w:rsid w:val="3885411B"/>
    <w:rsid w:val="3905525C"/>
    <w:rsid w:val="3B44206B"/>
    <w:rsid w:val="3CD53C36"/>
    <w:rsid w:val="3D5B7E57"/>
    <w:rsid w:val="3D8A3F82"/>
    <w:rsid w:val="3E921340"/>
    <w:rsid w:val="3EA80B63"/>
    <w:rsid w:val="3F600790"/>
    <w:rsid w:val="3FC90D91"/>
    <w:rsid w:val="406E4093"/>
    <w:rsid w:val="4246491B"/>
    <w:rsid w:val="42664FBD"/>
    <w:rsid w:val="4385775C"/>
    <w:rsid w:val="4396542E"/>
    <w:rsid w:val="44022AC4"/>
    <w:rsid w:val="441D78FE"/>
    <w:rsid w:val="44753296"/>
    <w:rsid w:val="45D14967"/>
    <w:rsid w:val="463903CF"/>
    <w:rsid w:val="46731A57"/>
    <w:rsid w:val="46B362F7"/>
    <w:rsid w:val="46D70BC2"/>
    <w:rsid w:val="4A71507A"/>
    <w:rsid w:val="4ACF7478"/>
    <w:rsid w:val="4C6A56AA"/>
    <w:rsid w:val="4EF43951"/>
    <w:rsid w:val="50454464"/>
    <w:rsid w:val="525E7A5F"/>
    <w:rsid w:val="54847511"/>
    <w:rsid w:val="55A439DB"/>
    <w:rsid w:val="57297DEA"/>
    <w:rsid w:val="58931AE5"/>
    <w:rsid w:val="58F06F37"/>
    <w:rsid w:val="59786F4A"/>
    <w:rsid w:val="5B44508B"/>
    <w:rsid w:val="5B4876F8"/>
    <w:rsid w:val="5B6E240F"/>
    <w:rsid w:val="5D827484"/>
    <w:rsid w:val="5DA30A1C"/>
    <w:rsid w:val="5DA9621C"/>
    <w:rsid w:val="5DCF0EEA"/>
    <w:rsid w:val="5F5E0464"/>
    <w:rsid w:val="5FA56CCD"/>
    <w:rsid w:val="60172FFB"/>
    <w:rsid w:val="602776E2"/>
    <w:rsid w:val="60E92BEA"/>
    <w:rsid w:val="60ED40AE"/>
    <w:rsid w:val="61300818"/>
    <w:rsid w:val="61A55D4C"/>
    <w:rsid w:val="62035F2D"/>
    <w:rsid w:val="62595B4D"/>
    <w:rsid w:val="62604767"/>
    <w:rsid w:val="62EA2C49"/>
    <w:rsid w:val="642230A6"/>
    <w:rsid w:val="65165F77"/>
    <w:rsid w:val="6558033E"/>
    <w:rsid w:val="65CE70EA"/>
    <w:rsid w:val="65F42FE1"/>
    <w:rsid w:val="663A2580"/>
    <w:rsid w:val="67544B35"/>
    <w:rsid w:val="67627252"/>
    <w:rsid w:val="67755F02"/>
    <w:rsid w:val="68692862"/>
    <w:rsid w:val="68AD274F"/>
    <w:rsid w:val="68CA1553"/>
    <w:rsid w:val="6913393B"/>
    <w:rsid w:val="6A3F5B91"/>
    <w:rsid w:val="6BAA7419"/>
    <w:rsid w:val="6BFA214F"/>
    <w:rsid w:val="6C3D203B"/>
    <w:rsid w:val="6C691082"/>
    <w:rsid w:val="6C982E67"/>
    <w:rsid w:val="6CDA60C5"/>
    <w:rsid w:val="6DD31279"/>
    <w:rsid w:val="6E7361E8"/>
    <w:rsid w:val="6ED81866"/>
    <w:rsid w:val="6F086931"/>
    <w:rsid w:val="6F810491"/>
    <w:rsid w:val="6FCF56A0"/>
    <w:rsid w:val="705F6A24"/>
    <w:rsid w:val="709D32F1"/>
    <w:rsid w:val="7160306C"/>
    <w:rsid w:val="717121F6"/>
    <w:rsid w:val="71AD1A11"/>
    <w:rsid w:val="71C64881"/>
    <w:rsid w:val="71CC633B"/>
    <w:rsid w:val="72B567BE"/>
    <w:rsid w:val="740E3A9E"/>
    <w:rsid w:val="757E5B9F"/>
    <w:rsid w:val="75EA4FE2"/>
    <w:rsid w:val="766D3B19"/>
    <w:rsid w:val="768F0D80"/>
    <w:rsid w:val="776963DA"/>
    <w:rsid w:val="77A810F0"/>
    <w:rsid w:val="783E33C3"/>
    <w:rsid w:val="791F2E8D"/>
    <w:rsid w:val="7A2E2784"/>
    <w:rsid w:val="7A4078C7"/>
    <w:rsid w:val="7A603AC5"/>
    <w:rsid w:val="7C9F49D8"/>
    <w:rsid w:val="7CC35A30"/>
    <w:rsid w:val="7F78540D"/>
    <w:rsid w:val="7F840255"/>
    <w:rsid w:val="7FB918A7"/>
    <w:rsid w:val="FFAF2A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145</Words>
  <Characters>827</Characters>
  <Lines>6</Lines>
  <Paragraphs>1</Paragraphs>
  <TotalTime>0</TotalTime>
  <ScaleCrop>false</ScaleCrop>
  <LinksUpToDate>false</LinksUpToDate>
  <CharactersWithSpaces>971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2023-03-23T13:10:00Z</dcterms:created>
  <dc:creator>WS</dc:creator>
  <cp:lastModifiedBy>szj</cp:lastModifiedBy>
  <dcterms:modified xsi:type="dcterms:W3CDTF">2023-11-09T14:26:10Z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B32AAD2D1770427B89F6A57E574FD428</vt:lpwstr>
  </property>
</Properties>
</file>