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附件</w:t>
      </w:r>
      <w:r>
        <w:rPr>
          <w:rFonts w:hint="eastAsia" w:ascii="仿宋_GB2312" w:hAnsi="仿宋_GB2312" w:cs="仿宋_GB2312"/>
          <w:sz w:val="32"/>
          <w:szCs w:val="40"/>
          <w:lang w:val="en-US" w:eastAsia="zh-CN"/>
        </w:rPr>
        <w:t>6</w:t>
      </w:r>
      <w:bookmarkStart w:id="0" w:name="_GoBack"/>
      <w:bookmarkEnd w:id="0"/>
    </w:p>
    <w:p>
      <w:pPr>
        <w:pStyle w:val="2"/>
        <w:ind w:left="0" w:leftChars="0"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国家职业资格与我省职称</w:t>
      </w:r>
      <w:r>
        <w:rPr>
          <w:rFonts w:hint="eastAsia" w:ascii="Times New Roman" w:hAnsi="Times New Roman" w:eastAsia="方正小标宋简体" w:cs="Times New Roman"/>
          <w:sz w:val="44"/>
          <w:szCs w:val="44"/>
          <w:lang w:val="en-US" w:eastAsia="zh-CN"/>
        </w:rPr>
        <w:t>的</w:t>
      </w:r>
      <w:r>
        <w:rPr>
          <w:rFonts w:hint="default" w:ascii="Times New Roman" w:hAnsi="Times New Roman" w:eastAsia="方正小标宋简体" w:cs="Times New Roman"/>
          <w:sz w:val="44"/>
          <w:szCs w:val="44"/>
          <w:lang w:val="en-US" w:eastAsia="zh-CN"/>
        </w:rPr>
        <w:t>对应</w:t>
      </w:r>
      <w:r>
        <w:rPr>
          <w:rFonts w:hint="eastAsia" w:ascii="Times New Roman" w:hAnsi="Times New Roman" w:eastAsia="方正小标宋简体" w:cs="Times New Roman"/>
          <w:sz w:val="44"/>
          <w:szCs w:val="44"/>
          <w:lang w:val="en-US" w:eastAsia="zh-CN"/>
        </w:rPr>
        <w:t>关系</w:t>
      </w:r>
    </w:p>
    <w:p>
      <w:pPr>
        <w:pStyle w:val="2"/>
        <w:ind w:left="0" w:leftChars="0" w:firstLine="0" w:firstLineChars="0"/>
        <w:rPr>
          <w:rFonts w:hint="default" w:ascii="Times New Roman" w:hAnsi="Times New Roman" w:eastAsia="仿宋_GB2312" w:cs="Times New Roman"/>
          <w:color w:val="000000"/>
          <w:sz w:val="32"/>
          <w:szCs w:val="32"/>
          <w:shd w:val="clear" w:color="auto" w:fill="FFFFFF"/>
          <w:lang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根据《关于公布国家职业资格目录的通知》（人社部发〔</w:t>
      </w:r>
      <w:r>
        <w:rPr>
          <w:rFonts w:hint="eastAsia" w:ascii="仿宋_GB2312" w:hAnsi="仿宋_GB2312" w:eastAsia="仿宋_GB2312" w:cs="仿宋_GB2312"/>
          <w:color w:val="000000"/>
          <w:sz w:val="32"/>
          <w:szCs w:val="32"/>
          <w:shd w:val="clear" w:color="auto" w:fill="FFFFFF"/>
          <w:lang w:val="en-US" w:eastAsia="zh-CN"/>
        </w:rPr>
        <w:t>2017</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68号</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《关于深化工程技术人才职称制度改革的指导意见》（人社部发〔</w:t>
      </w:r>
      <w:r>
        <w:rPr>
          <w:rFonts w:hint="eastAsia" w:ascii="仿宋_GB2312" w:hAnsi="仿宋_GB2312" w:eastAsia="仿宋_GB2312" w:cs="仿宋_GB2312"/>
          <w:color w:val="000000"/>
          <w:sz w:val="32"/>
          <w:szCs w:val="32"/>
          <w:shd w:val="clear" w:color="auto" w:fill="FFFFFF"/>
          <w:lang w:val="en-US"/>
        </w:rPr>
        <w:t>2019</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rPr>
        <w:t>16</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eastAsia="zh-CN"/>
        </w:rPr>
        <w:t>、《关于印发经济专业技术资格规定和经济专业技术资格考试实施办法的通知》（人社部规〔2020〕1号）</w:t>
      </w:r>
      <w:r>
        <w:rPr>
          <w:rFonts w:hint="eastAsia" w:ascii="仿宋_GB2312" w:hAnsi="仿宋_GB2312" w:eastAsia="仿宋_GB2312" w:cs="仿宋_GB2312"/>
          <w:color w:val="000000"/>
          <w:sz w:val="32"/>
          <w:szCs w:val="32"/>
          <w:shd w:val="clear" w:color="auto" w:fill="FFFFFF"/>
        </w:rPr>
        <w:t>以及国家</w:t>
      </w:r>
      <w:r>
        <w:rPr>
          <w:rFonts w:hint="eastAsia" w:ascii="仿宋_GB2312" w:hAnsi="仿宋_GB2312" w:eastAsia="仿宋_GB2312" w:cs="仿宋_GB2312"/>
          <w:color w:val="000000"/>
          <w:sz w:val="32"/>
          <w:szCs w:val="32"/>
          <w:shd w:val="clear" w:color="auto" w:fill="FFFFFF"/>
          <w:lang w:eastAsia="zh-CN"/>
        </w:rPr>
        <w:t>各项专业技术人员</w:t>
      </w:r>
      <w:r>
        <w:rPr>
          <w:rFonts w:hint="eastAsia" w:ascii="仿宋_GB2312" w:hAnsi="仿宋_GB2312" w:eastAsia="仿宋_GB2312" w:cs="仿宋_GB2312"/>
          <w:color w:val="000000"/>
          <w:sz w:val="32"/>
          <w:szCs w:val="32"/>
          <w:shd w:val="clear" w:color="auto" w:fill="FFFFFF"/>
        </w:rPr>
        <w:t>职业资格制度规定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工程技术领域</w:t>
      </w:r>
      <w:r>
        <w:rPr>
          <w:rFonts w:hint="eastAsia" w:ascii="仿宋_GB2312" w:hAnsi="仿宋_GB2312" w:eastAsia="仿宋_GB2312" w:cs="仿宋_GB2312"/>
          <w:color w:val="000000"/>
          <w:sz w:val="32"/>
          <w:szCs w:val="32"/>
          <w:shd w:val="clear" w:color="auto" w:fill="FFFFFF"/>
          <w:lang w:eastAsia="zh-CN"/>
        </w:rPr>
        <w:t>对应关系如下：</w:t>
      </w:r>
    </w:p>
    <w:p>
      <w:pPr>
        <w:pStyle w:val="2"/>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rPr>
        <w:t>注册消防工程师、</w:t>
      </w:r>
      <w:r>
        <w:rPr>
          <w:rFonts w:hint="eastAsia" w:ascii="仿宋_GB2312" w:hAnsi="仿宋_GB2312" w:eastAsia="仿宋_GB2312" w:cs="仿宋_GB2312"/>
          <w:color w:val="000000"/>
          <w:kern w:val="2"/>
          <w:sz w:val="32"/>
          <w:szCs w:val="32"/>
          <w:shd w:val="clear" w:color="auto" w:fill="FFFFFF"/>
          <w:lang w:val="en-US" w:eastAsia="zh-CN" w:bidi="ar-SA"/>
        </w:rPr>
        <w:t>注册建筑师、造价工程师、建造师、注册结构工程师、注册计量师、注册安全工程师、通信专业技术人员资格、机动车检测维修专业技术人员职业资格、公路水运工程试验检测专业技术人员职业资格、</w:t>
      </w:r>
      <w:r>
        <w:rPr>
          <w:rFonts w:hint="eastAsia" w:ascii="仿宋_GB2312" w:hAnsi="仿宋_GB2312" w:eastAsia="仿宋_GB2312" w:cs="仿宋_GB2312"/>
          <w:i w:val="0"/>
          <w:color w:val="000000"/>
          <w:kern w:val="2"/>
          <w:sz w:val="32"/>
          <w:szCs w:val="32"/>
          <w:u w:val="none"/>
          <w:shd w:val="clear" w:color="auto" w:fill="FFFFFF"/>
          <w:lang w:val="en-US" w:eastAsia="zh-CN" w:bidi="ar-SA"/>
        </w:rPr>
        <w:t>质量专业技术人员职业资格，</w:t>
      </w:r>
      <w:r>
        <w:rPr>
          <w:rFonts w:hint="eastAsia" w:ascii="仿宋_GB2312" w:hAnsi="仿宋_GB2312" w:eastAsia="仿宋_GB2312" w:cs="仿宋_GB2312"/>
          <w:color w:val="000000"/>
          <w:kern w:val="2"/>
          <w:sz w:val="32"/>
          <w:szCs w:val="32"/>
          <w:shd w:val="clear" w:color="auto" w:fill="FFFFFF"/>
          <w:lang w:val="en-US" w:eastAsia="zh-CN" w:bidi="ar-SA"/>
        </w:rPr>
        <w:t>以上各项专业技术人员职业资格，其初级（二级）、中级（一级）资格分别对应我省工程技术人才系列的助理工程师、工程师职称。</w:t>
      </w:r>
    </w:p>
    <w:p>
      <w:pPr>
        <w:pStyle w:val="2"/>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民用核安全设备无损检验人员资格、民用核设施操纵人员资格、注册核安全工程师、监理工程师、注册城乡规划师（注册城市规划师）、勘察设计注册工程师（</w:t>
      </w:r>
      <w:r>
        <w:rPr>
          <w:rFonts w:hint="eastAsia" w:ascii="仿宋_GB2312" w:hAnsi="仿宋_GB2312" w:eastAsia="仿宋_GB2312" w:cs="仿宋_GB2312"/>
          <w:color w:val="000000"/>
          <w:kern w:val="2"/>
          <w:sz w:val="32"/>
          <w:szCs w:val="32"/>
          <w:shd w:val="clear" w:color="auto" w:fill="FFFFFF"/>
          <w:lang w:val="en-US" w:eastAsia="zh-CN" w:bidi="ar-SA"/>
        </w:rPr>
        <w:t>注册结构工程师除外</w:t>
      </w:r>
      <w:r>
        <w:rPr>
          <w:rFonts w:hint="eastAsia" w:ascii="仿宋_GB2312" w:hAnsi="仿宋_GB2312" w:eastAsia="仿宋_GB2312" w:cs="仿宋_GB2312"/>
          <w:color w:val="000000"/>
          <w:sz w:val="32"/>
          <w:szCs w:val="32"/>
          <w:shd w:val="clear" w:color="auto" w:fill="FFFFFF"/>
          <w:lang w:val="en-US" w:eastAsia="zh-CN"/>
        </w:rPr>
        <w:t>）、注册设备监理师、注册测绘师、工程咨询（投资）专业技术人员职业资格、环境影响评价工程师，以上各项未分级的专业技术人员职业资格对应</w:t>
      </w:r>
      <w:r>
        <w:rPr>
          <w:rFonts w:hint="eastAsia" w:ascii="仿宋_GB2312" w:hAnsi="仿宋_GB2312" w:eastAsia="仿宋_GB2312" w:cs="仿宋_GB2312"/>
          <w:color w:val="000000"/>
          <w:kern w:val="2"/>
          <w:sz w:val="32"/>
          <w:szCs w:val="32"/>
          <w:shd w:val="clear" w:color="auto" w:fill="FFFFFF"/>
          <w:lang w:val="en-US" w:eastAsia="zh-CN" w:bidi="ar-SA"/>
        </w:rPr>
        <w:t>我省工程技术人才系列的</w:t>
      </w:r>
      <w:r>
        <w:rPr>
          <w:rFonts w:hint="eastAsia" w:ascii="仿宋_GB2312" w:hAnsi="仿宋_GB2312" w:eastAsia="仿宋_GB2312" w:cs="仿宋_GB2312"/>
          <w:color w:val="000000"/>
          <w:sz w:val="32"/>
          <w:szCs w:val="32"/>
          <w:shd w:val="clear" w:color="auto" w:fill="FFFFFF"/>
          <w:lang w:val="en-US" w:eastAsia="zh-CN"/>
        </w:rPr>
        <w:t>工程师职称。</w:t>
      </w:r>
    </w:p>
    <w:p>
      <w:pPr>
        <w:pStyle w:val="2"/>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通过全国计算机技术与软件专业技术资格（水平）考试取得初级资格、中级资格、高级资格，且符合《人力资源社会保障部工业和信息化部关于深化工程技术人才职称制度改革的指导意见》（人社部发〔2019〕16号）关于助理工程师、工程师、高级工程师学历资历条件的，可分别对应我省工程技术人才系列的助理工程师、工程师和高级工程师。例如，取得系统架构设计师资格，具备本科学历或学士学位的从事工程技术工作满10年可对应高级工程师职称，具备硕士学位的从事工程技术工作满7年可对应高级工程师职称。</w:t>
      </w:r>
    </w:p>
    <w:sectPr>
      <w:footerReference r:id="rId3" w:type="default"/>
      <w:pgSz w:w="11906" w:h="16838"/>
      <w:pgMar w:top="1417" w:right="164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ngLiU_HKSCS">
    <w:altName w:val="文泉驿微米黑"/>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ascii="仿宋_GB2312" w:hAnsi="仿宋_GB2312" w:eastAsia="仿宋_GB2312" w:cs="仿宋_GB2312"/>
                              <w:sz w:val="28"/>
                              <w:szCs w:val="52"/>
                              <w:lang w:eastAsia="zh-CN"/>
                            </w:rPr>
                            <w:fldChar w:fldCharType="begin"/>
                          </w:r>
                          <w:r>
                            <w:rPr>
                              <w:rFonts w:hint="eastAsia" w:ascii="仿宋_GB2312" w:hAnsi="仿宋_GB2312" w:eastAsia="仿宋_GB2312" w:cs="仿宋_GB2312"/>
                              <w:sz w:val="28"/>
                              <w:szCs w:val="52"/>
                              <w:lang w:eastAsia="zh-CN"/>
                            </w:rPr>
                            <w:instrText xml:space="preserve"> PAGE  \* MERGEFORMAT </w:instrText>
                          </w:r>
                          <w:r>
                            <w:rPr>
                              <w:rFonts w:hint="eastAsia" w:ascii="仿宋_GB2312" w:hAnsi="仿宋_GB2312" w:eastAsia="仿宋_GB2312" w:cs="仿宋_GB2312"/>
                              <w:sz w:val="28"/>
                              <w:szCs w:val="52"/>
                              <w:lang w:eastAsia="zh-CN"/>
                            </w:rPr>
                            <w:fldChar w:fldCharType="separate"/>
                          </w:r>
                          <w:r>
                            <w:rPr>
                              <w:rFonts w:hint="eastAsia" w:ascii="仿宋_GB2312" w:hAnsi="仿宋_GB2312" w:eastAsia="仿宋_GB2312" w:cs="仿宋_GB2312"/>
                              <w:sz w:val="28"/>
                              <w:szCs w:val="52"/>
                              <w:lang w:eastAsia="zh-CN"/>
                            </w:rPr>
                            <w:t>1</w:t>
                          </w:r>
                          <w:r>
                            <w:rPr>
                              <w:rFonts w:hint="eastAsia" w:ascii="仿宋_GB2312" w:hAnsi="仿宋_GB2312" w:eastAsia="仿宋_GB2312" w:cs="仿宋_GB2312"/>
                              <w:sz w:val="28"/>
                              <w:szCs w:val="5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ascii="仿宋_GB2312" w:hAnsi="仿宋_GB2312" w:eastAsia="仿宋_GB2312" w:cs="仿宋_GB2312"/>
                        <w:sz w:val="28"/>
                        <w:szCs w:val="52"/>
                        <w:lang w:eastAsia="zh-CN"/>
                      </w:rPr>
                      <w:fldChar w:fldCharType="begin"/>
                    </w:r>
                    <w:r>
                      <w:rPr>
                        <w:rFonts w:hint="eastAsia" w:ascii="仿宋_GB2312" w:hAnsi="仿宋_GB2312" w:eastAsia="仿宋_GB2312" w:cs="仿宋_GB2312"/>
                        <w:sz w:val="28"/>
                        <w:szCs w:val="52"/>
                        <w:lang w:eastAsia="zh-CN"/>
                      </w:rPr>
                      <w:instrText xml:space="preserve"> PAGE  \* MERGEFORMAT </w:instrText>
                    </w:r>
                    <w:r>
                      <w:rPr>
                        <w:rFonts w:hint="eastAsia" w:ascii="仿宋_GB2312" w:hAnsi="仿宋_GB2312" w:eastAsia="仿宋_GB2312" w:cs="仿宋_GB2312"/>
                        <w:sz w:val="28"/>
                        <w:szCs w:val="52"/>
                        <w:lang w:eastAsia="zh-CN"/>
                      </w:rPr>
                      <w:fldChar w:fldCharType="separate"/>
                    </w:r>
                    <w:r>
                      <w:rPr>
                        <w:rFonts w:hint="eastAsia" w:ascii="仿宋_GB2312" w:hAnsi="仿宋_GB2312" w:eastAsia="仿宋_GB2312" w:cs="仿宋_GB2312"/>
                        <w:sz w:val="28"/>
                        <w:szCs w:val="52"/>
                        <w:lang w:eastAsia="zh-CN"/>
                      </w:rPr>
                      <w:t>1</w:t>
                    </w:r>
                    <w:r>
                      <w:rPr>
                        <w:rFonts w:hint="eastAsia" w:ascii="仿宋_GB2312" w:hAnsi="仿宋_GB2312" w:eastAsia="仿宋_GB2312" w:cs="仿宋_GB2312"/>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NGFjMTZkNjg4YTJhMzE2NGVlNjVkNWE5ODM1YTcifQ=="/>
  </w:docVars>
  <w:rsids>
    <w:rsidRoot w:val="61AE759F"/>
    <w:rsid w:val="0D4C36CC"/>
    <w:rsid w:val="11056CF1"/>
    <w:rsid w:val="1160219A"/>
    <w:rsid w:val="207C351B"/>
    <w:rsid w:val="2E9F1713"/>
    <w:rsid w:val="2FD53CBB"/>
    <w:rsid w:val="4D066BB2"/>
    <w:rsid w:val="61AE759F"/>
    <w:rsid w:val="6F2348FA"/>
    <w:rsid w:val="6FDF279D"/>
    <w:rsid w:val="73825469"/>
    <w:rsid w:val="75C565F4"/>
    <w:rsid w:val="7CA619C2"/>
    <w:rsid w:val="BB3F1FC3"/>
    <w:rsid w:val="CF7AF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MingLiU_HKSCS" w:hAnsi="MingLiU_HKSCS" w:eastAsia="仿宋_GB2312" w:cs="MingLiU_HKS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721</Words>
  <Characters>737</Characters>
  <Lines>0</Lines>
  <Paragraphs>0</Paragraphs>
  <TotalTime>3</TotalTime>
  <ScaleCrop>false</ScaleCrop>
  <LinksUpToDate>false</LinksUpToDate>
  <CharactersWithSpaces>738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2020-08-04T03:46:00Z</dcterms:created>
  <dc:creator>hwq</dc:creator>
  <cp:lastModifiedBy>黄炜琼</cp:lastModifiedBy>
  <cp:lastPrinted>2023-10-25T17:55:15Z</cp:lastPrinted>
  <dcterms:modified xsi:type="dcterms:W3CDTF">2023-10-25T17:56:49Z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ribbonExt">
    <vt:lpwstr>{"WPSExtOfficeTab":{"OnGetEnabled":false,"OnGetVisible":false}}</vt:lpwstr>
  </property>
  <property fmtid="{D5CDD505-2E9C-101B-9397-08002B2CF9AE}" pid="4" name="ICV">
    <vt:lpwstr>E4D89A76ED644BFF8C71CBC3AFC9BD4F</vt:lpwstr>
  </property>
</Properties>
</file>