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shd w:val="clear" w:color="auto" w:fill="FFFFFF"/>
          <w:lang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shd w:val="clear" w:color="auto" w:fill="FFFFFF"/>
          <w:lang w:bidi="ar-SA"/>
        </w:rPr>
        <w:t>《关于培育支持建筑业龙头骨干企业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shd w:val="clear" w:color="auto" w:fill="FFFFFF"/>
          <w:lang w:eastAsia="zh-CN" w:bidi="ar-SA"/>
        </w:rPr>
        <w:t>发展壮大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shd w:val="clear" w:color="auto" w:fill="FFFFFF"/>
          <w:lang w:bidi="ar-SA"/>
        </w:rPr>
        <w:t>的通知（公开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shd w:val="clear" w:color="auto" w:fill="FFFFFF"/>
          <w:lang w:bidi="ar-SA"/>
        </w:rPr>
        <w:t>征求意见稿）》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shd w:val="clear" w:color="auto" w:fill="FFFFFF"/>
          <w:lang w:val="en-US" w:eastAsia="zh-CN" w:bidi="ar-SA"/>
        </w:rPr>
        <w:t>公开征求意见采纳情况</w:t>
      </w:r>
      <w:bookmarkEnd w:id="0"/>
    </w:p>
    <w:tbl>
      <w:tblPr>
        <w:tblStyle w:val="4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5042"/>
        <w:gridCol w:w="2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29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bidi="ar-SA"/>
              </w:rPr>
              <w:t>具体的修订意见、建议</w:t>
            </w:r>
          </w:p>
        </w:tc>
        <w:tc>
          <w:tcPr>
            <w:tcW w:w="16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黑体" w:hAnsi="黑体" w:eastAsia="黑体" w:cs="黑体"/>
                <w:b w:val="0"/>
                <w:bCs w:val="0"/>
                <w:color w:val="000000"/>
                <w:sz w:val="28"/>
                <w:szCs w:val="28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8"/>
                <w:szCs w:val="28"/>
                <w:lang w:bidi="ar-SA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9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  <w:t>建议在《通知》中增加对龙头骨干企业的支持内容，如诚信加分、观摩工地、各级创优、高等级奖项申报指标等向龙头骨干企业倾斜。</w:t>
            </w:r>
          </w:p>
        </w:tc>
        <w:tc>
          <w:tcPr>
            <w:tcW w:w="16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  <w:t>原则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  <w:t>采纳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  <w:t>。相关内容已在“二、培育支持政策”中有所体现。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9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  <w:t>《通知》对于“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  <w:t>除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  <w:t>满足上述（1）-（6）项条件的总承包企业，按企业上一年度完成建筑业产值由高到低排序，依次入围龙头骨干企业名单，直至入围总承包企业数量达到100家为止”。此排序方式对于创优工程较多，但建筑业产值不在前100名内的企业会有一定影响。建议考虑国优、省优、产值综合加分，省重大部署和重大建设项目承担者和主力军、履行社会责任担当等因素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  <w:t>这样既支持企业积极创优质工程的主动性，又鼓励企业出外“走出去”，开拓省外、境外建筑市场的积极性。</w:t>
            </w:r>
          </w:p>
        </w:tc>
        <w:tc>
          <w:tcPr>
            <w:tcW w:w="16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原则采纳。龙头骨干企业的入围条件已综合了企业资质等级、创优创先、省外业务、产值规模等因素。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9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  <w:t>在第二条培育支持政策方面，建议增加“在广东省内各类交易中心进行的招投标项目的评标专家、建筑业资质评审专家优先考虑符合条件的龙头骨干企业人员，作为评审专家的候选人”。</w:t>
            </w:r>
          </w:p>
        </w:tc>
        <w:tc>
          <w:tcPr>
            <w:tcW w:w="16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  <w:t>采纳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9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u w:val="none"/>
                <w:lang w:bidi="ar-SA"/>
              </w:rPr>
              <w:t>企业入围条件中关于奖项获奖年限建议修改为“近五年”。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  <w:t>建议向社会公开各建设项目排放标准信息。</w:t>
            </w:r>
          </w:p>
        </w:tc>
        <w:tc>
          <w:tcPr>
            <w:tcW w:w="16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  <w:t>不采纳。理由：龙头骨干企业确定工作拟每年动态开展。公开建设项目排放标准信息与培育支持工作无关。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4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9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bidi="ar-SA"/>
              </w:rPr>
              <w:t>企业入围条件中关于“否决入围情形”建议修改为“近三年”。</w:t>
            </w:r>
          </w:p>
        </w:tc>
        <w:tc>
          <w:tcPr>
            <w:tcW w:w="169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eastAsia="zh-CN" w:bidi="ar-SA"/>
              </w:rPr>
              <w:t>不采纳。理由：龙头骨干企业确定工作拟每年动态开展。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ZDYzZjBiMmU3NWRjZWExODk4YjZlZWQ5MTZlODYifQ=="/>
  </w:docVars>
  <w:rsids>
    <w:rsidRoot w:val="335B6743"/>
    <w:rsid w:val="335B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642</Words>
  <Characters>646</Characters>
  <Lines>0</Lines>
  <Paragraphs>0</Paragraphs>
  <TotalTime>0</TotalTime>
  <ScaleCrop>false</ScaleCrop>
  <LinksUpToDate>false</LinksUpToDate>
  <CharactersWithSpaces>646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2023-06-29T08:13:00Z</dcterms:created>
  <dc:creator>鸡蛋饼b</dc:creator>
  <cp:lastModifiedBy>鸡蛋饼b</cp:lastModifiedBy>
  <dcterms:modified xsi:type="dcterms:W3CDTF">2023-06-29T08:13:56Z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53BA9CD6D0F242D9BDCAFE57BA7810A8_11</vt:lpwstr>
  </property>
</Properties>
</file>