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9"/>
        <w:rPr>
          <w:rFonts w:hint="eastAsia" w:ascii="方正小标宋_GBK" w:hAnsi="方正小标宋_GBK" w:eastAsia="方正小标宋_GBK" w:cs="方正小标宋_GBK"/>
          <w:color w:val="auto"/>
          <w:sz w:val="44"/>
          <w:szCs w:val="44"/>
          <w:shd w:val="clear" w:color="auto" w:fill="auto"/>
          <w:lang w:eastAsia="zh-CN"/>
        </w:rPr>
      </w:pPr>
      <w:r>
        <w:rPr>
          <w:rFonts w:hint="eastAsia" w:ascii="方正小标宋_GBK" w:hAnsi="方正小标宋_GBK" w:eastAsia="方正小标宋_GBK" w:cs="方正小标宋_GBK"/>
          <w:color w:val="auto"/>
          <w:sz w:val="44"/>
          <w:szCs w:val="44"/>
          <w:shd w:val="clear" w:color="auto" w:fill="auto"/>
          <w:lang w:eastAsia="zh-CN"/>
        </w:rPr>
        <w:t>城市燃气管道等老化更新改造可复制政策机制清单（第一批）</w:t>
      </w:r>
    </w:p>
    <w:tbl>
      <w:tblPr>
        <w:tblStyle w:val="9"/>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91"/>
        <w:gridCol w:w="1530"/>
        <w:gridCol w:w="10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47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r>
              <w:rPr>
                <w:rFonts w:hint="eastAsia" w:ascii="黑体" w:hAnsi="黑体" w:eastAsia="黑体" w:cs="黑体"/>
                <w:b w:val="0"/>
                <w:bCs w:val="0"/>
                <w:color w:val="auto"/>
                <w:sz w:val="24"/>
                <w:szCs w:val="24"/>
                <w:shd w:val="clear" w:color="auto" w:fill="auto"/>
                <w:vertAlign w:val="baseline"/>
                <w:lang w:eastAsia="zh-CN"/>
              </w:rPr>
              <w:t>序号</w:t>
            </w: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r>
              <w:rPr>
                <w:rFonts w:hint="eastAsia" w:ascii="黑体" w:hAnsi="黑体" w:eastAsia="黑体" w:cs="黑体"/>
                <w:b w:val="0"/>
                <w:bCs w:val="0"/>
                <w:color w:val="auto"/>
                <w:sz w:val="24"/>
                <w:szCs w:val="24"/>
                <w:shd w:val="clear" w:color="auto" w:fill="auto"/>
                <w:vertAlign w:val="baseline"/>
                <w:lang w:eastAsia="zh-CN"/>
              </w:rPr>
              <w:t>政策机制</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r>
              <w:rPr>
                <w:rFonts w:hint="eastAsia" w:ascii="黑体" w:hAnsi="黑体" w:eastAsia="黑体" w:cs="黑体"/>
                <w:b w:val="0"/>
                <w:bCs w:val="0"/>
                <w:color w:val="auto"/>
                <w:sz w:val="24"/>
                <w:szCs w:val="24"/>
                <w:shd w:val="clear" w:color="auto" w:fill="auto"/>
                <w:vertAlign w:val="baseline"/>
                <w:lang w:eastAsia="zh-CN"/>
              </w:rPr>
              <w:t>主要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r>
              <w:rPr>
                <w:rFonts w:hint="eastAsia" w:ascii="黑体" w:hAnsi="黑体" w:eastAsia="黑体" w:cs="黑体"/>
                <w:b w:val="0"/>
                <w:bCs w:val="0"/>
                <w:color w:val="auto"/>
                <w:sz w:val="24"/>
                <w:szCs w:val="24"/>
                <w:shd w:val="clear" w:color="auto" w:fill="auto"/>
                <w:vertAlign w:val="baseline"/>
                <w:lang w:eastAsia="zh-CN"/>
              </w:rPr>
              <w:t>举措</w:t>
            </w:r>
          </w:p>
        </w:tc>
        <w:tc>
          <w:tcPr>
            <w:tcW w:w="1088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r>
              <w:rPr>
                <w:rFonts w:hint="eastAsia" w:ascii="黑体" w:hAnsi="黑体" w:eastAsia="黑体" w:cs="黑体"/>
                <w:b w:val="0"/>
                <w:bCs w:val="0"/>
                <w:color w:val="auto"/>
                <w:sz w:val="24"/>
                <w:szCs w:val="24"/>
                <w:shd w:val="clear" w:color="auto" w:fill="auto"/>
                <w:vertAlign w:val="baseline"/>
                <w:lang w:eastAsia="zh-CN"/>
              </w:rPr>
              <w:t>具体做法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47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shd w:val="clear" w:color="auto" w:fill="auto"/>
                <w:vertAlign w:val="baseline"/>
                <w:lang w:val="en-US" w:eastAsia="zh-CN"/>
              </w:rPr>
            </w:pPr>
            <w:r>
              <w:rPr>
                <w:rFonts w:hint="eastAsia" w:ascii="黑体" w:hAnsi="黑体" w:eastAsia="黑体" w:cs="黑体"/>
                <w:color w:val="auto"/>
                <w:sz w:val="24"/>
                <w:szCs w:val="24"/>
                <w:shd w:val="clear" w:color="auto" w:fill="auto"/>
                <w:vertAlign w:val="baseline"/>
                <w:lang w:val="en-US" w:eastAsia="zh-CN"/>
              </w:rPr>
              <w:t>一</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rPr>
            </w:pPr>
            <w:r>
              <w:rPr>
                <w:rFonts w:hint="eastAsia" w:ascii="黑体" w:hAnsi="黑体" w:eastAsia="黑体" w:cs="黑体"/>
                <w:b w:val="0"/>
                <w:bCs w:val="0"/>
                <w:color w:val="auto"/>
                <w:sz w:val="24"/>
                <w:szCs w:val="24"/>
                <w:shd w:val="clear" w:color="auto" w:fill="auto"/>
                <w:vertAlign w:val="baseline"/>
                <w:lang w:eastAsia="zh-CN"/>
              </w:rPr>
              <w:t>明确任务</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eastAsia="zh-CN"/>
              </w:rPr>
              <w:t>（一）明确更新改造对象范围</w:t>
            </w:r>
          </w:p>
        </w:tc>
        <w:tc>
          <w:tcPr>
            <w:tcW w:w="10885"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仿宋_GB2312" w:hAnsi="仿宋_GB2312" w:eastAsia="仿宋_GB2312" w:cs="仿宋_GB2312"/>
                <w:b w:val="0"/>
                <w:bCs w:val="0"/>
                <w:color w:val="auto"/>
                <w:sz w:val="24"/>
                <w:szCs w:val="24"/>
                <w:shd w:val="clear" w:color="auto" w:fill="auto"/>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安徽省合肥市通过分级管控确定年度改造计划。</w:t>
            </w:r>
            <w:r>
              <w:rPr>
                <w:rFonts w:hint="eastAsia" w:ascii="仿宋_GB2312" w:hAnsi="仿宋_GB2312" w:eastAsia="仿宋_GB2312" w:cs="仿宋_GB2312"/>
                <w:b w:val="0"/>
                <w:bCs w:val="0"/>
                <w:color w:val="auto"/>
                <w:sz w:val="24"/>
                <w:szCs w:val="24"/>
                <w:shd w:val="clear" w:color="auto" w:fill="auto"/>
                <w:vertAlign w:val="baseline"/>
                <w:lang w:val="en-US" w:eastAsia="zh-CN"/>
              </w:rPr>
              <w:t>认真开展评估，利用各类管道历史漏气次数（A级：3≤历史漏气次数；B级：1≤历史漏气次数＜3；C级：历史漏气次数为0）制定年度更新计划，优先对漏气频繁及存在占压严重隐患的管道进行整改。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default" w:ascii="楷体_GB2312" w:hAnsi="楷体_GB2312" w:eastAsia="楷体_GB2312" w:cs="楷体_GB2312"/>
                <w:b/>
                <w:bCs/>
                <w:color w:val="auto"/>
                <w:kern w:val="2"/>
                <w:sz w:val="24"/>
                <w:szCs w:val="24"/>
                <w:shd w:val="clear" w:color="auto" w:fill="auto"/>
                <w:vertAlign w:val="baseline"/>
                <w:lang w:val="en-US" w:eastAsia="zh-CN" w:bidi="ar-SA"/>
              </w:rPr>
            </w:pPr>
            <w:r>
              <w:rPr>
                <w:rFonts w:hint="eastAsia" w:ascii="楷体_GB2312" w:hAnsi="楷体_GB2312" w:eastAsia="楷体_GB2312" w:cs="楷体_GB2312"/>
                <w:b/>
                <w:bCs/>
                <w:color w:val="auto"/>
                <w:sz w:val="24"/>
                <w:szCs w:val="24"/>
                <w:shd w:val="clear" w:color="auto" w:fill="auto"/>
                <w:vertAlign w:val="baseline"/>
                <w:lang w:val="en-US" w:eastAsia="zh-CN"/>
              </w:rPr>
              <w:t>（二）合理确定更新改造标准</w:t>
            </w:r>
          </w:p>
        </w:tc>
        <w:tc>
          <w:tcPr>
            <w:tcW w:w="10885" w:type="dxa"/>
            <w:vAlign w:val="center"/>
          </w:tcPr>
          <w:p>
            <w:pPr>
              <w:pStyle w:val="3"/>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lang w:eastAsia="zh-CN"/>
              </w:rPr>
              <w:t>广东省</w:t>
            </w:r>
            <w:r>
              <w:rPr>
                <w:rFonts w:hint="eastAsia" w:ascii="仿宋_GB2312" w:hAnsi="仿宋_GB2312" w:eastAsia="仿宋_GB2312" w:cs="仿宋_GB2312"/>
                <w:b/>
                <w:bCs/>
                <w:color w:val="auto"/>
                <w:sz w:val="24"/>
                <w:szCs w:val="24"/>
              </w:rPr>
              <w:t>建立省级技术体系。</w:t>
            </w:r>
            <w:r>
              <w:rPr>
                <w:rFonts w:hint="eastAsia" w:ascii="仿宋_GB2312" w:hAnsi="仿宋_GB2312" w:eastAsia="仿宋_GB2312" w:cs="仿宋_GB2312"/>
                <w:bCs/>
                <w:color w:val="auto"/>
                <w:sz w:val="24"/>
                <w:szCs w:val="24"/>
              </w:rPr>
              <w:t>印发《广东省地下市政基础设施普查技术导则》《广东省地下市政基础设施综合管理信息平台建设技术导则》《广东省地下市政基础设施隐患排查技术导则》等文件</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有效指导地下市政基础设施普查和隐患整改工作</w:t>
            </w:r>
            <w:r>
              <w:rPr>
                <w:rFonts w:hint="eastAsia" w:ascii="仿宋_GB2312" w:hAnsi="仿宋_GB2312" w:eastAsia="仿宋_GB2312" w:cs="仿宋_GB2312"/>
                <w:bCs/>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kern w:val="2"/>
                <w:sz w:val="24"/>
                <w:szCs w:val="24"/>
                <w:shd w:val="clear" w:color="auto" w:fill="auto"/>
                <w:vertAlign w:val="baseline"/>
                <w:lang w:val="en-US" w:eastAsia="zh-CN" w:bidi="ar-SA"/>
              </w:rPr>
              <w:t>2.重庆市制定普查评估工作指引。</w:t>
            </w:r>
            <w:r>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t>组织制定评估工作指引、评估报告模板、非压力管道评估认定指南、燃气用户安全装置功能要求、城镇燃气用户工程技术规程等规范指引，规范企业的评估、改造活动。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rPr>
            </w:pPr>
          </w:p>
        </w:tc>
        <w:tc>
          <w:tcPr>
            <w:tcW w:w="1530" w:type="dxa"/>
            <w:vAlign w:val="center"/>
          </w:tcPr>
          <w:p>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outlineLvl w:val="9"/>
              <w:rPr>
                <w:rFonts w:hint="eastAsia"/>
                <w:color w:val="auto"/>
                <w:sz w:val="24"/>
                <w:szCs w:val="24"/>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（三）组织开展城市燃气等管道和设施普查</w:t>
            </w:r>
          </w:p>
        </w:tc>
        <w:tc>
          <w:tcPr>
            <w:tcW w:w="10885"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firstLine="482" w:firstLineChars="200"/>
              <w:jc w:val="both"/>
              <w:textAlignment w:val="auto"/>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1.北京市同步推进地下管线普查和隐患排查治理。</w:t>
            </w:r>
            <w:r>
              <w:rPr>
                <w:rFonts w:hint="eastAsia" w:ascii="仿宋_GB2312" w:hAnsi="仿宋_GB2312" w:eastAsia="仿宋_GB2312" w:cs="仿宋_GB2312"/>
                <w:color w:val="auto"/>
                <w:kern w:val="2"/>
                <w:sz w:val="24"/>
                <w:szCs w:val="24"/>
                <w:shd w:val="clear" w:color="auto" w:fill="auto"/>
                <w:lang w:val="en-US" w:eastAsia="zh-CN" w:bidi="ar-SA"/>
              </w:rPr>
              <w:t>印发《北京市地下管线全面普查和隐患排查治理工作方案》</w:t>
            </w:r>
            <w:r>
              <w:rPr>
                <w:rFonts w:hint="eastAsia" w:ascii="仿宋_GB2312" w:hAnsi="仿宋_GB2312" w:eastAsia="仿宋_GB2312" w:cs="仿宋_GB2312"/>
                <w:color w:val="auto"/>
                <w:kern w:val="2"/>
                <w:sz w:val="24"/>
                <w:szCs w:val="24"/>
                <w:shd w:val="clear" w:color="auto" w:fill="auto"/>
                <w:lang w:val="en-US" w:eastAsia="zh" w:bidi="ar-SA"/>
              </w:rPr>
              <w:t>,</w:t>
            </w:r>
            <w:r>
              <w:rPr>
                <w:rFonts w:hint="eastAsia" w:ascii="仿宋_GB2312" w:hAnsi="仿宋_GB2312" w:eastAsia="仿宋_GB2312" w:cs="仿宋_GB2312"/>
                <w:color w:val="auto"/>
                <w:kern w:val="2"/>
                <w:sz w:val="24"/>
                <w:szCs w:val="24"/>
                <w:shd w:val="clear" w:color="auto" w:fill="auto"/>
                <w:lang w:val="en-US" w:eastAsia="zh-CN" w:bidi="ar-SA"/>
              </w:rPr>
              <w:t>以中心城区为区域重点，以燃气为行业重点，组织对全市范围内各类地下管线隐患排查和老化情况摸排，由高至低按照“红、橙、黄、蓝”四个等级分级分类建立台账，分年度实施治理。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2.天津市抓好底数摸排和机制建设。</w:t>
            </w:r>
            <w:r>
              <w:rPr>
                <w:rFonts w:hint="eastAsia" w:ascii="仿宋_GB2312" w:hAnsi="仿宋_GB2312" w:eastAsia="仿宋_GB2312" w:cs="仿宋_GB2312"/>
                <w:color w:val="auto"/>
                <w:kern w:val="2"/>
                <w:sz w:val="24"/>
                <w:szCs w:val="24"/>
                <w:shd w:val="clear" w:color="auto" w:fill="auto"/>
                <w:lang w:val="en-US" w:eastAsia="zh-CN" w:bidi="ar-SA"/>
              </w:rPr>
              <w:t>各行政区和燃气企业分别建立“两本帐”，建立老旧小区、“四失五类”、公共场所、工贸企业、燃气安全“三大员”“出租户”底账清单，互为补充验证，全市11113个小区（村庄）户内燃气设施做到底数清、责任清、分类清、标准清。狠抓燃气安全“两大员”“双报告”“隐患责任期”“燃气安全保姆”等6项制度，全市11113个小区（村庄）的23841位网格员和6640位安全员均在岗在位，燃气企业安全员均已向社区报到，负责“四失五类”人群的18810位燃气安全保姆均配置到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3.安徽省合肥市建立隐患辨识与风险矩阵分级模型。</w:t>
            </w:r>
            <w:r>
              <w:rPr>
                <w:rFonts w:hint="eastAsia" w:ascii="仿宋_GB2312" w:hAnsi="仿宋_GB2312" w:eastAsia="仿宋_GB2312" w:cs="仿宋_GB2312"/>
                <w:b w:val="0"/>
                <w:bCs w:val="0"/>
                <w:color w:val="auto"/>
                <w:kern w:val="2"/>
                <w:sz w:val="24"/>
                <w:szCs w:val="24"/>
                <w:shd w:val="clear" w:color="auto" w:fill="auto"/>
                <w:lang w:val="en-US" w:eastAsia="zh-CN" w:bidi="ar-SA"/>
              </w:rPr>
              <w:t>充分利用城市生命线安全工程，对合肥市2715公里埋地燃气管线进行隐患辨识、风险评估，确定隐患辨识与隐患风险分级标准，建立隐患辨识与分级模型，采用地下地上数据，进行智能隐患辨识与分级，输出不同隐患类型与等级清单，包括隐患类型、影响到隐患等级的关键要素、隐患位置、经纬度坐标、相关管线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rPr>
            </w:pPr>
          </w:p>
        </w:tc>
        <w:tc>
          <w:tcPr>
            <w:tcW w:w="1530" w:type="dxa"/>
            <w:vAlign w:val="center"/>
          </w:tcPr>
          <w:p>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（四）</w:t>
            </w:r>
            <w:r>
              <w:rPr>
                <w:rFonts w:hint="eastAsia" w:ascii="楷体_GB2312" w:hAnsi="楷体_GB2312" w:eastAsia="楷体_GB2312" w:cs="楷体_GB2312"/>
                <w:b/>
                <w:bCs/>
                <w:color w:val="auto"/>
                <w:sz w:val="24"/>
                <w:szCs w:val="24"/>
                <w:highlight w:val="none"/>
                <w:shd w:val="clear" w:color="auto" w:fill="auto"/>
                <w:vertAlign w:val="baseline"/>
                <w:lang w:val="en-US" w:eastAsia="zh-CN"/>
              </w:rPr>
              <w:t>编制地方城市燃气管道等老化更新改造方案</w:t>
            </w:r>
          </w:p>
        </w:tc>
        <w:tc>
          <w:tcPr>
            <w:tcW w:w="108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1.甘肃省结合普查成果“模块化”制定改造方案。</w:t>
            </w:r>
            <w:r>
              <w:rPr>
                <w:rFonts w:hint="eastAsia" w:ascii="仿宋_GB2312" w:hAnsi="仿宋_GB2312" w:eastAsia="仿宋_GB2312" w:cs="仿宋_GB2312"/>
                <w:color w:val="auto"/>
                <w:kern w:val="2"/>
                <w:sz w:val="24"/>
                <w:szCs w:val="24"/>
                <w:shd w:val="clear" w:color="auto" w:fill="auto"/>
                <w:lang w:val="en-US" w:eastAsia="zh-CN" w:bidi="ar-SA"/>
              </w:rPr>
              <w:t>印发《甘肃省城市（县城）燃气管道等老化更新改造实施方案（2022—2025年）》，结合实际对工作整体脉络进行“模块化”设置，围绕“改哪些”确定各市州工作任务，围绕“怎么改”明确项目推进要求，围绕“钱从哪来”细化支持政策，围绕“保持改造成果”提出持续完善长效机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kern w:val="2"/>
                <w:sz w:val="24"/>
                <w:szCs w:val="24"/>
                <w:shd w:val="clear" w:color="auto" w:fill="auto"/>
                <w:lang w:val="en-US" w:eastAsia="zh-CN" w:bidi="ar-SA"/>
              </w:rPr>
              <w:t>2.陕西省</w:t>
            </w:r>
            <w:r>
              <w:rPr>
                <w:rFonts w:hint="eastAsia" w:ascii="仿宋_GB2312" w:hAnsi="仿宋_GB2312" w:eastAsia="仿宋_GB2312" w:cs="仿宋_GB2312"/>
                <w:b/>
                <w:bCs/>
                <w:color w:val="auto"/>
                <w:sz w:val="24"/>
                <w:szCs w:val="24"/>
                <w:shd w:val="clear" w:color="auto" w:fill="auto"/>
                <w:vertAlign w:val="baseline"/>
                <w:lang w:val="en-US" w:eastAsia="zh-CN"/>
              </w:rPr>
              <w:t>商洛市采取“五定模式”制定改造方案。</w:t>
            </w:r>
            <w:r>
              <w:rPr>
                <w:rFonts w:hint="eastAsia" w:ascii="仿宋_GB2312" w:hAnsi="仿宋_GB2312" w:eastAsia="仿宋_GB2312" w:cs="仿宋_GB2312"/>
                <w:b w:val="0"/>
                <w:bCs w:val="0"/>
                <w:color w:val="auto"/>
                <w:sz w:val="24"/>
                <w:szCs w:val="24"/>
                <w:shd w:val="clear" w:color="auto" w:fill="auto"/>
                <w:vertAlign w:val="baseline"/>
                <w:lang w:val="en-US" w:eastAsia="zh-CN"/>
              </w:rPr>
              <w:t>采取定目标任务、定项目大盘、定筹资渠道、定实施主体、定工程质量的“五定模式”制定改造方案，明确“十四五”更新改造项目清单和分年度改造计划，确保改造急缓有序，梯次实施。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1" w:hRule="atLeast"/>
          <w:jc w:val="center"/>
        </w:trPr>
        <w:tc>
          <w:tcPr>
            <w:tcW w:w="47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shd w:val="clear" w:color="auto" w:fill="auto"/>
                <w:vertAlign w:val="baseline"/>
                <w:lang w:val="en-US" w:eastAsia="zh-CN"/>
              </w:rPr>
            </w:pPr>
            <w:r>
              <w:rPr>
                <w:rFonts w:hint="eastAsia" w:ascii="黑体" w:hAnsi="黑体" w:eastAsia="黑体" w:cs="黑体"/>
                <w:color w:val="auto"/>
                <w:sz w:val="24"/>
                <w:szCs w:val="24"/>
                <w:shd w:val="clear" w:color="auto" w:fill="auto"/>
                <w:vertAlign w:val="baseline"/>
                <w:lang w:val="en-US" w:eastAsia="zh-CN"/>
              </w:rPr>
              <w:t>二</w:t>
            </w:r>
          </w:p>
        </w:tc>
        <w:tc>
          <w:tcPr>
            <w:tcW w:w="89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r>
              <w:rPr>
                <w:rFonts w:hint="eastAsia" w:ascii="黑体" w:hAnsi="黑体" w:eastAsia="黑体" w:cs="黑体"/>
                <w:b w:val="0"/>
                <w:bCs w:val="0"/>
                <w:color w:val="auto"/>
                <w:sz w:val="24"/>
                <w:szCs w:val="24"/>
                <w:shd w:val="clear" w:color="auto" w:fill="auto"/>
                <w:vertAlign w:val="baseline"/>
                <w:lang w:eastAsia="zh-CN"/>
              </w:rPr>
              <w:t>加快组织实施</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（一）加强统筹协调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p>
        </w:tc>
        <w:tc>
          <w:tcPr>
            <w:tcW w:w="1088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82" w:firstLineChars="200"/>
              <w:jc w:val="both"/>
              <w:textAlignment w:val="auto"/>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1.天津市“一体化”推动破解堵点问题。</w:t>
            </w:r>
            <w:r>
              <w:rPr>
                <w:rFonts w:hint="eastAsia" w:ascii="仿宋_GB2312" w:hAnsi="仿宋_GB2312" w:eastAsia="仿宋_GB2312" w:cs="仿宋_GB2312"/>
                <w:color w:val="auto"/>
                <w:kern w:val="2"/>
                <w:sz w:val="24"/>
                <w:szCs w:val="24"/>
                <w:shd w:val="clear" w:color="auto" w:fill="auto"/>
                <w:lang w:val="en-US" w:eastAsia="zh-CN" w:bidi="ar-SA"/>
              </w:rPr>
              <w:t>市区两级、政企两端多方同向发力，抓实用户、政府、企业责任链，实行“一体化”工作机制，属地政府用好社区居民花名册，预约用户形成工单，对接企业匹配人员，大幅提升工作效率。引导区政府将燃气户内提升改造工作纳入社区星级评定考核，强化社区重视程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kern w:val="2"/>
                <w:sz w:val="24"/>
                <w:szCs w:val="24"/>
                <w:highlight w:val="none"/>
                <w:shd w:val="clear" w:color="auto" w:fill="auto"/>
                <w:lang w:val="en-US" w:eastAsia="zh-CN" w:bidi="ar-SA"/>
              </w:rPr>
              <w:t>2.安徽省芜湖市统一工作标准、加强集中调度。</w:t>
            </w:r>
            <w:r>
              <w:rPr>
                <w:rFonts w:hint="eastAsia" w:ascii="仿宋_GB2312" w:hAnsi="仿宋_GB2312" w:eastAsia="仿宋_GB2312" w:cs="仿宋_GB2312"/>
                <w:color w:val="auto"/>
                <w:kern w:val="2"/>
                <w:sz w:val="24"/>
                <w:szCs w:val="24"/>
                <w:shd w:val="clear" w:color="auto" w:fill="auto"/>
                <w:lang w:val="en-US" w:eastAsia="zh-CN" w:bidi="ar-SA"/>
              </w:rPr>
              <w:t>制作“芜湖市燃气基础信息数据库”,要求各地摸清底数、规范完整建立统计台账，通过区（市、县）城镇燃气安全隐患排查整治责任书压实属地责任；建立周集中调度会议工作制度，要求区县及企业组建专班，每周由城镇燃气安全专委会领导牵头，召开老旧管网改造调度会议，协调推进责任落实、基础信息排查收集、老旧管网改造等各项工作；改进会议组织形式，利用现场会、“以培代会”等多种方式，切实压实改造主体责任。</w:t>
            </w:r>
          </w:p>
          <w:p>
            <w:pPr>
              <w:pStyle w:val="3"/>
              <w:keepNext w:val="0"/>
              <w:keepLines w:val="0"/>
              <w:pageBreakBefore w:val="0"/>
              <w:widowControl w:val="0"/>
              <w:kinsoku/>
              <w:wordWrap/>
              <w:overflowPunct/>
              <w:topLinePunct w:val="0"/>
              <w:autoSpaceDE/>
              <w:autoSpaceDN/>
              <w:bidi w:val="0"/>
              <w:adjustRightInd/>
              <w:snapToGrid/>
              <w:spacing w:before="0" w:beforeLines="0" w:line="360" w:lineRule="auto"/>
              <w:ind w:firstLine="482"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kern w:val="2"/>
                <w:sz w:val="24"/>
                <w:szCs w:val="24"/>
                <w:shd w:val="clear" w:color="auto" w:fill="auto"/>
                <w:lang w:val="en-US" w:eastAsia="zh-CN" w:bidi="ar-SA"/>
              </w:rPr>
              <w:t>3.</w:t>
            </w:r>
            <w:r>
              <w:rPr>
                <w:rFonts w:hint="eastAsia" w:ascii="仿宋_GB2312" w:hAnsi="仿宋_GB2312" w:eastAsia="仿宋_GB2312" w:cs="仿宋_GB2312"/>
                <w:b/>
                <w:color w:val="auto"/>
                <w:sz w:val="24"/>
                <w:szCs w:val="24"/>
                <w:lang w:val="en-US" w:eastAsia="zh-CN"/>
              </w:rPr>
              <w:t>广东省深圳市</w:t>
            </w:r>
            <w:r>
              <w:rPr>
                <w:rFonts w:hint="eastAsia" w:ascii="仿宋_GB2312" w:hAnsi="仿宋_GB2312" w:eastAsia="仿宋_GB2312" w:cs="仿宋_GB2312"/>
                <w:b/>
                <w:color w:val="auto"/>
                <w:sz w:val="24"/>
                <w:szCs w:val="24"/>
              </w:rPr>
              <w:t>搭建市、区、街道三个沟通联络平台。</w:t>
            </w:r>
            <w:r>
              <w:rPr>
                <w:rFonts w:hint="eastAsia" w:ascii="仿宋_GB2312" w:hAnsi="仿宋_GB2312" w:eastAsia="仿宋_GB2312" w:cs="仿宋_GB2312"/>
                <w:bCs/>
                <w:color w:val="auto"/>
                <w:sz w:val="24"/>
                <w:szCs w:val="24"/>
              </w:rPr>
              <w:t>建立分级协调联络工作机制</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color w:val="auto"/>
                <w:sz w:val="24"/>
                <w:szCs w:val="24"/>
              </w:rPr>
              <w:t>梳理明确市、区一级分工，全面协调方案设计、招投标、施工等各项工作落实落地，加快推进更新改造项目建设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组织市、区交通运输、公安交警等有关部门召开现场协调会，针对“三年大修、五年改造”、敏感道路、禁挖道路等市一级审批项目，按照一路一策机制，分别从工艺唯一性、路由唯一性等方面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对道路交通疏解方案、施工组织设计方案等</w:t>
            </w:r>
            <w:r>
              <w:rPr>
                <w:rFonts w:hint="eastAsia" w:ascii="仿宋_GB2312" w:hAnsi="仿宋_GB2312" w:eastAsia="仿宋_GB2312" w:cs="仿宋_GB2312"/>
                <w:color w:val="auto"/>
                <w:sz w:val="24"/>
                <w:szCs w:val="24"/>
                <w:lang w:eastAsia="zh-CN"/>
              </w:rPr>
              <w:t>进行</w:t>
            </w:r>
            <w:r>
              <w:rPr>
                <w:rFonts w:hint="eastAsia" w:ascii="仿宋_GB2312" w:hAnsi="仿宋_GB2312" w:eastAsia="仿宋_GB2312" w:cs="仿宋_GB2312"/>
                <w:color w:val="auto"/>
                <w:sz w:val="24"/>
                <w:szCs w:val="24"/>
              </w:rPr>
              <w:t>论证评审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市政府召开专题会议，优化道路挖掘相关政策，打通全市老旧燃气管道更新改造占道开挖审批流程。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9"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（二）加快推进项目实施</w:t>
            </w:r>
          </w:p>
        </w:tc>
        <w:tc>
          <w:tcPr>
            <w:tcW w:w="10885" w:type="dxa"/>
            <w:vAlign w:val="center"/>
          </w:tcPr>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jc w:val="both"/>
              <w:textAlignment w:val="auto"/>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1.黑龙江省牡丹江市网格化下沉包保，推行“一企一档”</w:t>
            </w:r>
            <w:r>
              <w:rPr>
                <w:rFonts w:hint="eastAsia" w:ascii="仿宋_GB2312" w:hAnsi="仿宋_GB2312" w:eastAsia="仿宋_GB2312" w:cs="仿宋_GB2312"/>
                <w:color w:val="auto"/>
                <w:kern w:val="2"/>
                <w:sz w:val="24"/>
                <w:szCs w:val="24"/>
                <w:shd w:val="clear" w:color="auto" w:fill="auto"/>
                <w:lang w:val="en-US" w:eastAsia="zh-CN" w:bidi="ar-SA"/>
              </w:rPr>
              <w:t>。坚持全员上阵，班子成员分工包保，巡回下沉指导施工，现场督导项目建设，打破部门分工、政企界限，组织处级干部包城区、年轻专业干部包项目、安全质量监督员驻场，统筹工程质量、项目进度“一员多能”。机关干部分片分区域与街道、社区和网格长对接，采取餐饮场所燃气用户、管网改造分片包干、分工负责方式，实行燃气安全整治网格化管理，并推行餐饮等使用燃气的公共场所、燃气老旧管网改造“一企一档”工作机制，做到宣传提示到位、包保人员落实到位、现场实际督查到位、发现问题整改到位。</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kern w:val="2"/>
                <w:sz w:val="24"/>
                <w:szCs w:val="24"/>
                <w:shd w:val="clear" w:color="auto" w:fill="auto"/>
                <w:lang w:val="en-US" w:eastAsia="zh-CN" w:bidi="ar-SA"/>
              </w:rPr>
              <w:t>2.河南省郑州市“一次施工、四管同改”。</w:t>
            </w:r>
            <w:r>
              <w:rPr>
                <w:rFonts w:hint="eastAsia" w:ascii="仿宋_GB2312" w:hAnsi="仿宋_GB2312" w:eastAsia="仿宋_GB2312" w:cs="仿宋_GB2312"/>
                <w:color w:val="auto"/>
                <w:kern w:val="2"/>
                <w:sz w:val="24"/>
                <w:szCs w:val="24"/>
                <w:shd w:val="clear" w:color="auto" w:fill="auto"/>
                <w:lang w:val="en-US" w:eastAsia="zh-CN" w:bidi="ar-SA"/>
              </w:rPr>
              <w:t>成立地下老旧管网改造提升工作指挥部，制作《城市综合隐患管线现状分布图》和工作手册，将待改造的燃气、热力、供水、排水管道四图合一，并结合老旧小区改造、市政道路维修改造等项目工程建立沟通协同机制，每日跟踪过程进展，统筹协调实施供水、供气、供热、排水老旧管网改造提升，实现“一次施工、四管同改”。</w:t>
            </w:r>
          </w:p>
          <w:p>
            <w:pPr>
              <w:pStyle w:val="3"/>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both"/>
              <w:textAlignment w:val="auto"/>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3.陕西省和</w:t>
            </w:r>
            <w:r>
              <w:rPr>
                <w:rFonts w:hint="eastAsia" w:ascii="仿宋_GB2312" w:hAnsi="仿宋_GB2312" w:eastAsia="仿宋_GB2312" w:cs="仿宋_GB2312"/>
                <w:b/>
                <w:color w:val="auto"/>
                <w:sz w:val="24"/>
                <w:szCs w:val="24"/>
              </w:rPr>
              <w:t>湖北省武汉市</w:t>
            </w:r>
            <w:r>
              <w:rPr>
                <w:rFonts w:hint="eastAsia" w:ascii="仿宋_GB2312" w:hAnsi="仿宋_GB2312" w:eastAsia="仿宋_GB2312" w:cs="仿宋_GB2312"/>
                <w:b/>
                <w:color w:val="auto"/>
                <w:sz w:val="24"/>
                <w:szCs w:val="24"/>
                <w:lang w:val="en-US" w:eastAsia="zh-CN"/>
              </w:rPr>
              <w:t>建立工作推进排名机制。</w:t>
            </w:r>
            <w:r>
              <w:rPr>
                <w:rFonts w:hint="eastAsia" w:ascii="仿宋_GB2312" w:hAnsi="仿宋_GB2312" w:eastAsia="仿宋_GB2312" w:cs="仿宋_GB2312"/>
                <w:b w:val="0"/>
                <w:bCs w:val="0"/>
                <w:color w:val="auto"/>
                <w:kern w:val="2"/>
                <w:sz w:val="24"/>
                <w:szCs w:val="24"/>
                <w:shd w:val="clear" w:color="auto" w:fill="auto"/>
                <w:lang w:val="en-US" w:eastAsia="zh-CN" w:bidi="ar-SA"/>
              </w:rPr>
              <w:t>陕西省</w:t>
            </w:r>
            <w:r>
              <w:rPr>
                <w:rFonts w:hint="eastAsia" w:ascii="仿宋_GB2312" w:hAnsi="仿宋_GB2312" w:eastAsia="仿宋_GB2312" w:cs="仿宋_GB2312"/>
                <w:b w:val="0"/>
                <w:bCs w:val="0"/>
                <w:color w:val="auto"/>
                <w:kern w:val="2"/>
                <w:sz w:val="24"/>
                <w:szCs w:val="24"/>
                <w:shd w:val="clear" w:color="auto" w:fill="auto"/>
                <w:lang w:eastAsia="zh-CN" w:bidi="ar-SA"/>
              </w:rPr>
              <w:t>制定</w:t>
            </w:r>
            <w:r>
              <w:rPr>
                <w:rFonts w:hint="eastAsia" w:ascii="仿宋_GB2312" w:hAnsi="仿宋_GB2312" w:eastAsia="仿宋_GB2312" w:cs="仿宋_GB2312"/>
                <w:color w:val="auto"/>
                <w:kern w:val="2"/>
                <w:sz w:val="24"/>
                <w:szCs w:val="24"/>
                <w:shd w:val="clear" w:color="auto" w:fill="auto"/>
                <w:lang w:eastAsia="zh-CN" w:bidi="ar-SA"/>
              </w:rPr>
              <w:t>印发《关于定期上报城市管网老化更新改造进展情况并建立排名通报机制的通知》，量化管道更新改造工作成效，</w:t>
            </w:r>
            <w:r>
              <w:rPr>
                <w:rFonts w:hint="eastAsia" w:ascii="仿宋_GB2312" w:hAnsi="仿宋_GB2312" w:eastAsia="仿宋_GB2312" w:cs="仿宋_GB2312"/>
                <w:color w:val="auto"/>
                <w:kern w:val="2"/>
                <w:sz w:val="24"/>
                <w:szCs w:val="24"/>
                <w:shd w:val="clear" w:color="auto" w:fill="auto"/>
                <w:lang w:val="en-US" w:eastAsia="zh-CN" w:bidi="ar-SA"/>
              </w:rPr>
              <w:t>每月对各地管道更新改造进度进行调度掌握，适时召开更新改造工作推进视频会议，及时进行排名通报，通报交流各市（区）工作进展，对管道更新改造进度不力单位进行提醒，及时传导责任压力，扎实推进更新改造工作。</w:t>
            </w:r>
            <w:r>
              <w:rPr>
                <w:rFonts w:hint="eastAsia" w:ascii="仿宋_GB2312" w:hAnsi="仿宋_GB2312" w:eastAsia="仿宋_GB2312" w:cs="仿宋_GB2312"/>
                <w:color w:val="auto"/>
                <w:sz w:val="24"/>
                <w:szCs w:val="24"/>
                <w:lang w:val="en-US" w:eastAsia="zh-CN"/>
              </w:rPr>
              <w:t>武汉市</w:t>
            </w:r>
            <w:r>
              <w:rPr>
                <w:rFonts w:hint="eastAsia" w:ascii="仿宋_GB2312" w:hAnsi="仿宋_GB2312" w:eastAsia="仿宋_GB2312" w:cs="仿宋_GB2312"/>
                <w:color w:val="auto"/>
                <w:sz w:val="24"/>
                <w:szCs w:val="24"/>
              </w:rPr>
              <w:t>将燃气老旧管网改造工作纳入各区“大城管”绩效考核排名。各区将自身年度更新改造任务目标按月度进行分解，制定每月完成量计划目标，市城管执法委制定统一的考评办法，根据各区每月的计划目标完成情况进行打分，并定期进行通报，有效推动各区更新改造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2"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（三）同步推进数字化、网络化、智能化建设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default" w:ascii="楷体_GB2312" w:hAnsi="楷体_GB2312" w:eastAsia="楷体_GB2312" w:cs="楷体_GB2312"/>
                <w:b/>
                <w:bCs/>
                <w:color w:val="auto"/>
                <w:sz w:val="24"/>
                <w:szCs w:val="24"/>
                <w:shd w:val="clear" w:color="auto" w:fill="auto"/>
                <w:vertAlign w:val="baseline"/>
                <w:lang w:val="en" w:eastAsia="zh-CN"/>
              </w:rPr>
            </w:pPr>
          </w:p>
        </w:tc>
        <w:tc>
          <w:tcPr>
            <w:tcW w:w="108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jc w:val="both"/>
              <w:textAlignment w:val="auto"/>
              <w:outlineLvl w:val="9"/>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1.</w:t>
            </w:r>
            <w:r>
              <w:rPr>
                <w:rFonts w:hint="eastAsia" w:ascii="仿宋_GB2312" w:hAnsi="仿宋_GB2312" w:eastAsia="仿宋_GB2312" w:cs="仿宋_GB2312"/>
                <w:b/>
                <w:bCs/>
                <w:color w:val="auto"/>
                <w:kern w:val="2"/>
                <w:sz w:val="24"/>
                <w:szCs w:val="24"/>
                <w:shd w:val="clear" w:color="auto" w:fill="auto"/>
                <w:vertAlign w:val="baseline"/>
                <w:lang w:val="en-US" w:eastAsia="zh-CN" w:bidi="ar-SA"/>
              </w:rPr>
              <w:t>上海市强化数字赋能推进四个“一张图”建设。</w:t>
            </w:r>
            <w:r>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t>依托上海城市地下市政基础设施综合管理信息平台，结合排查整治工作，同步建立四个“一张图”，在老化管道改造同时将地下管线规划建设、运行服务、应急救灾等设施管理日常工作同步纳入平台。“设施一张图”已实现8万公里管线数据汇交，数据覆盖范围从道路向小区延伸；“隐患一张图”已将排查出的地下管线隐患、老化管线上图，同时收集近三年的地下管线事故信息，实现可视化展示和分析；“治理一张图”正抓紧开展整治项目进度管理、销项管理和全生命周期管理应用场景研究，并将聚焦动态监测的长效机制研究，形成“监测一张图”。</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2.</w:t>
            </w:r>
            <w:r>
              <w:rPr>
                <w:rFonts w:hint="eastAsia" w:ascii="仿宋_GB2312" w:hAnsi="仿宋_GB2312" w:eastAsia="仿宋_GB2312" w:cs="仿宋_GB2312"/>
                <w:b/>
                <w:bCs/>
                <w:color w:val="auto"/>
                <w:kern w:val="2"/>
                <w:sz w:val="24"/>
                <w:szCs w:val="24"/>
                <w:shd w:val="clear" w:color="auto" w:fill="auto"/>
                <w:vertAlign w:val="baseline"/>
                <w:lang w:val="en-US" w:eastAsia="zh-CN" w:bidi="ar-SA"/>
              </w:rPr>
              <w:t>安徽省合肥市建立燃气管网相邻地下空间前端监测系统。</w:t>
            </w:r>
            <w:r>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t>对与燃气管网存在耦合隐患的暗渠、雨污水管线、电力管线等高风险燃气管网相邻地下空间可燃气体浓度进行实时物联网监测，实现监测区域内燃气管线泄漏的快速感知，同时印发《合肥市城镇燃气管网安全风险监测预警响应工作规程（试行）》，规范了风险预警响应联动和应急处置工作。</w:t>
            </w:r>
          </w:p>
          <w:p>
            <w:pPr>
              <w:pStyle w:val="3"/>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
                <w:bCs/>
                <w:color w:val="auto"/>
                <w:kern w:val="2"/>
                <w:sz w:val="24"/>
                <w:szCs w:val="24"/>
                <w:shd w:val="clear" w:color="auto" w:fill="auto"/>
                <w:lang w:val="en-US" w:eastAsia="zh-CN" w:bidi="ar-SA"/>
              </w:rPr>
              <w:t>3.</w:t>
            </w:r>
            <w:r>
              <w:rPr>
                <w:rFonts w:hint="eastAsia" w:ascii="仿宋_GB2312" w:hAnsi="仿宋_GB2312" w:eastAsia="仿宋_GB2312" w:cs="仿宋_GB2312"/>
                <w:b/>
                <w:bCs/>
                <w:color w:val="auto"/>
                <w:kern w:val="0"/>
                <w:sz w:val="24"/>
                <w:szCs w:val="24"/>
                <w:lang w:eastAsia="zh-CN"/>
              </w:rPr>
              <w:t>湖北省</w:t>
            </w:r>
            <w:r>
              <w:rPr>
                <w:rFonts w:hint="eastAsia" w:ascii="仿宋_GB2312" w:hAnsi="仿宋_GB2312" w:eastAsia="仿宋_GB2312" w:cs="仿宋_GB2312"/>
                <w:b/>
                <w:bCs/>
                <w:color w:val="auto"/>
                <w:kern w:val="0"/>
                <w:sz w:val="24"/>
                <w:szCs w:val="24"/>
              </w:rPr>
              <w:t>十堰市全面开展燃气提能升级改造</w:t>
            </w:r>
            <w:r>
              <w:rPr>
                <w:rFonts w:hint="eastAsia" w:ascii="仿宋_GB2312" w:hAnsi="仿宋_GB2312" w:eastAsia="仿宋_GB2312" w:cs="仿宋_GB2312"/>
                <w:b/>
                <w:bCs/>
                <w:color w:val="auto"/>
                <w:kern w:val="0"/>
                <w:sz w:val="24"/>
                <w:szCs w:val="24"/>
                <w:lang w:eastAsia="zh-CN"/>
              </w:rPr>
              <w:t>。</w:t>
            </w:r>
            <w:r>
              <w:rPr>
                <w:rFonts w:hint="eastAsia" w:ascii="仿宋_GB2312" w:hAnsi="仿宋_GB2312" w:eastAsia="仿宋_GB2312" w:cs="仿宋_GB2312"/>
                <w:bCs/>
                <w:color w:val="auto"/>
                <w:kern w:val="0"/>
                <w:sz w:val="24"/>
                <w:szCs w:val="24"/>
              </w:rPr>
              <w:t>搭建智慧城市大脑管理平台，目前燃气安全场景已完成并上线运行，接入企业678.52公里燃气管道、300余具体点位的各项数据信息，逐步实现政企联管。</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kern w:val="2"/>
                <w:sz w:val="24"/>
                <w:szCs w:val="24"/>
                <w:shd w:val="clear" w:color="auto" w:fill="auto"/>
                <w:lang w:val="en-US" w:eastAsia="zh-CN" w:bidi="ar-SA"/>
              </w:rPr>
              <w:t>4.</w:t>
            </w:r>
            <w:r>
              <w:rPr>
                <w:rFonts w:hint="eastAsia" w:ascii="仿宋_GB2312" w:hAnsi="仿宋_GB2312" w:eastAsia="仿宋_GB2312" w:cs="仿宋_GB2312"/>
                <w:b/>
                <w:bCs/>
                <w:color w:val="auto"/>
                <w:kern w:val="2"/>
                <w:sz w:val="24"/>
                <w:szCs w:val="24"/>
                <w:lang w:val="en-US" w:eastAsia="zh-CN" w:bidi="ar-SA"/>
              </w:rPr>
              <w:t>四川省成都市探索完善老旧燃气管网“1+1”信息化监管平台建设。</w:t>
            </w:r>
            <w:r>
              <w:rPr>
                <w:rFonts w:hint="eastAsia" w:ascii="仿宋_GB2312" w:hAnsi="仿宋_GB2312" w:eastAsia="仿宋_GB2312" w:cs="仿宋_GB2312"/>
                <w:color w:val="auto"/>
                <w:sz w:val="24"/>
                <w:szCs w:val="24"/>
              </w:rPr>
              <w:t>成都市目前</w:t>
            </w:r>
            <w:r>
              <w:rPr>
                <w:rFonts w:hint="eastAsia" w:ascii="仿宋_GB2312" w:hAnsi="仿宋_GB2312" w:eastAsia="仿宋_GB2312" w:cs="仿宋_GB2312"/>
                <w:color w:val="auto"/>
                <w:sz w:val="24"/>
                <w:szCs w:val="24"/>
                <w:lang w:val="en-US" w:eastAsia="zh-CN"/>
              </w:rPr>
              <w:t>推进</w:t>
            </w:r>
            <w:r>
              <w:rPr>
                <w:rFonts w:hint="eastAsia" w:ascii="仿宋_GB2312" w:hAnsi="仿宋_GB2312" w:eastAsia="仿宋_GB2312" w:cs="仿宋_GB2312"/>
                <w:color w:val="auto"/>
                <w:sz w:val="24"/>
                <w:szCs w:val="24"/>
              </w:rPr>
              <w:t>燃气等经营企业建设“一库一平台”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“一库”是指老旧管网基础数据库，包括企业基本信息、燃气设施信息、用户信息等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“一平台”是指“智慧蓉城”平台，可实现气源供应保障、管网运行数据实时监测、场站运行监测和户内安检等功能。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8"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shd w:val="clear" w:color="auto" w:fill="auto"/>
                <w:vertAlign w:val="baseline"/>
                <w:lang w:val="en-US" w:eastAsia="zh-CN"/>
              </w:rPr>
            </w:pPr>
            <w:r>
              <w:rPr>
                <w:rFonts w:hint="eastAsia" w:ascii="楷体_GB2312" w:hAnsi="楷体_GB2312" w:eastAsia="楷体_GB2312" w:cs="楷体_GB2312"/>
                <w:b/>
                <w:bCs/>
                <w:color w:val="auto"/>
                <w:sz w:val="24"/>
                <w:szCs w:val="24"/>
                <w:shd w:val="clear" w:color="auto" w:fill="auto"/>
                <w:vertAlign w:val="baseline"/>
                <w:lang w:val="en-US" w:eastAsia="zh-CN"/>
              </w:rPr>
              <w:t>（四）加强管道和设施运维养护</w:t>
            </w:r>
          </w:p>
        </w:tc>
        <w:tc>
          <w:tcPr>
            <w:tcW w:w="1088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82" w:firstLineChars="200"/>
              <w:jc w:val="both"/>
              <w:textAlignment w:val="auto"/>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1.北京市推进专用排水管线设施专业化运行管理。</w:t>
            </w:r>
            <w:r>
              <w:rPr>
                <w:rFonts w:hint="eastAsia" w:ascii="仿宋_GB2312" w:hAnsi="仿宋_GB2312" w:eastAsia="仿宋_GB2312" w:cs="仿宋_GB2312"/>
                <w:color w:val="auto"/>
                <w:kern w:val="2"/>
                <w:sz w:val="24"/>
                <w:szCs w:val="24"/>
                <w:shd w:val="clear" w:color="auto" w:fill="auto"/>
                <w:lang w:val="en-US" w:eastAsia="zh-CN" w:bidi="ar-SA"/>
              </w:rPr>
              <w:t>按照“平等协商、保本微利、按效付费”原则，组织研究制定专用排水设施社会化专业化维护服务工作的意见，鼓励社会单位与水务企业签订维护服务合同，对居民小区、单位大院、产业园区等内部的专用排水设施实行社会化专业化维护服务，提高专用排水管线运行效能。</w:t>
            </w:r>
          </w:p>
          <w:p>
            <w:pPr>
              <w:pStyle w:val="3"/>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pPr>
            <w:r>
              <w:rPr>
                <w:rFonts w:hint="eastAsia" w:ascii="仿宋_GB2312" w:hAnsi="仿宋_GB2312" w:eastAsia="仿宋_GB2312" w:cs="仿宋_GB2312"/>
                <w:b/>
                <w:bCs/>
                <w:color w:val="auto"/>
                <w:kern w:val="2"/>
                <w:sz w:val="24"/>
                <w:szCs w:val="24"/>
                <w:shd w:val="clear" w:color="auto" w:fill="auto"/>
                <w:lang w:val="en-US" w:eastAsia="zh-CN" w:bidi="ar-SA"/>
              </w:rPr>
              <w:t>2.</w:t>
            </w:r>
            <w:r>
              <w:rPr>
                <w:rFonts w:hint="eastAsia" w:ascii="仿宋_GB2312" w:hAnsi="仿宋_GB2312" w:eastAsia="仿宋_GB2312" w:cs="仿宋_GB2312"/>
                <w:b/>
                <w:bCs/>
                <w:color w:val="auto"/>
                <w:kern w:val="2"/>
                <w:sz w:val="24"/>
                <w:szCs w:val="24"/>
                <w:shd w:val="clear" w:color="auto" w:fill="auto"/>
                <w:vertAlign w:val="baseline"/>
                <w:lang w:val="en-US" w:eastAsia="zh-CN" w:bidi="ar-SA"/>
              </w:rPr>
              <w:t>重庆市明确“1234”燃气管道安全数字化运维思路。</w:t>
            </w:r>
            <w:r>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t>基于大数据智能化监测、感知、运算、分析等技术，明确推进全市城镇燃气管道1张网和燃气管网地理信息系统、燃气行业综合管理系统2个平台建设，形成市、区县、企业3级应用场景，实现管道档案数字化、管道状态可视化、运行管理智能化、监督管理智慧化4大功能的</w:t>
            </w:r>
            <w:r>
              <w:rPr>
                <w:rFonts w:hint="eastAsia" w:ascii="仿宋_GB2312" w:hAnsi="仿宋_GB2312" w:eastAsia="仿宋_GB2312" w:cs="仿宋_GB2312"/>
                <w:color w:val="auto"/>
                <w:szCs w:val="24"/>
                <w:shd w:val="clear" w:color="auto" w:fill="auto"/>
              </w:rPr>
              <w:t>燃气管道安全</w:t>
            </w:r>
            <w:r>
              <w:rPr>
                <w:rFonts w:hint="eastAsia" w:ascii="仿宋_GB2312" w:hAnsi="仿宋_GB2312" w:eastAsia="仿宋_GB2312" w:cs="仿宋_GB2312"/>
                <w:b w:val="0"/>
                <w:bCs/>
                <w:color w:val="auto"/>
                <w:kern w:val="2"/>
                <w:sz w:val="24"/>
                <w:szCs w:val="24"/>
                <w:shd w:val="clear" w:color="auto" w:fill="auto"/>
                <w:vertAlign w:val="baseline"/>
                <w:lang w:val="en-US" w:eastAsia="zh-CN" w:bidi="ar-SA"/>
              </w:rPr>
              <w:t>数字化运维思路。</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kern w:val="2"/>
                <w:sz w:val="24"/>
                <w:szCs w:val="24"/>
                <w:highlight w:val="none"/>
                <w:shd w:val="clear" w:color="auto" w:fill="auto"/>
                <w:lang w:val="en-US" w:eastAsia="zh-CN" w:bidi="ar-SA"/>
              </w:rPr>
              <w:t>3.</w:t>
            </w:r>
            <w:r>
              <w:rPr>
                <w:rFonts w:hint="eastAsia" w:ascii="仿宋_GB2312" w:hAnsi="仿宋_GB2312" w:eastAsia="仿宋_GB2312" w:cs="仿宋_GB2312"/>
                <w:b/>
                <w:bCs/>
                <w:color w:val="auto"/>
                <w:sz w:val="24"/>
                <w:szCs w:val="24"/>
                <w:highlight w:val="none"/>
                <w:lang w:val="en-US" w:eastAsia="zh-CN"/>
              </w:rPr>
              <w:t>广东省广州市配</w:t>
            </w:r>
            <w:r>
              <w:rPr>
                <w:rFonts w:hint="eastAsia" w:ascii="仿宋_GB2312" w:hAnsi="仿宋_GB2312" w:eastAsia="仿宋_GB2312" w:cs="仿宋_GB2312"/>
                <w:b/>
                <w:bCs/>
                <w:color w:val="auto"/>
                <w:sz w:val="24"/>
                <w:szCs w:val="24"/>
                <w:lang w:val="en-US" w:eastAsia="zh-CN"/>
              </w:rPr>
              <w:t>备专业人员设备加强燃气管道巡查检测。</w:t>
            </w:r>
            <w:r>
              <w:rPr>
                <w:rFonts w:hint="eastAsia" w:ascii="仿宋_GB2312" w:hAnsi="仿宋_GB2312" w:eastAsia="仿宋_GB2312" w:cs="仿宋_GB2312"/>
                <w:color w:val="auto"/>
                <w:sz w:val="24"/>
                <w:szCs w:val="24"/>
              </w:rPr>
              <w:t>督促管道燃气企业，严格按照</w:t>
            </w:r>
            <w:r>
              <w:rPr>
                <w:rFonts w:hint="eastAsia" w:ascii="仿宋_GB2312" w:hAnsi="仿宋_GB2312" w:eastAsia="仿宋_GB2312" w:cs="仿宋_GB2312"/>
                <w:color w:val="auto"/>
                <w:sz w:val="24"/>
                <w:szCs w:val="24"/>
                <w:lang w:val="en-US" w:eastAsia="zh-CN"/>
              </w:rPr>
              <w:t>法规</w:t>
            </w:r>
            <w:r>
              <w:rPr>
                <w:rFonts w:hint="eastAsia" w:ascii="仿宋_GB2312" w:hAnsi="仿宋_GB2312" w:eastAsia="仿宋_GB2312" w:cs="仿宋_GB2312"/>
                <w:color w:val="auto"/>
                <w:sz w:val="24"/>
                <w:szCs w:val="24"/>
              </w:rPr>
              <w:t>要求配备有专业技能的巡查人员</w:t>
            </w:r>
            <w:r>
              <w:rPr>
                <w:rFonts w:hint="eastAsia" w:ascii="仿宋_GB2312" w:hAnsi="仿宋_GB2312" w:eastAsia="仿宋_GB2312" w:cs="仿宋_GB2312"/>
                <w:color w:val="auto"/>
                <w:sz w:val="24"/>
                <w:szCs w:val="24"/>
                <w:lang w:eastAsia="zh-CN"/>
              </w:rPr>
              <w:t>、配备</w:t>
            </w:r>
            <w:r>
              <w:rPr>
                <w:rFonts w:hint="eastAsia" w:ascii="仿宋_GB2312" w:hAnsi="仿宋_GB2312" w:eastAsia="仿宋_GB2312" w:cs="仿宋_GB2312"/>
                <w:color w:val="auto"/>
                <w:sz w:val="24"/>
                <w:szCs w:val="24"/>
              </w:rPr>
              <w:t>具有对埋地管道及立管区域燃气泄漏、成份判定、定位、信息传输等功能的机动连续检测设备，每3天对所属市政燃气管道全面巡查检测1次，每天对重点区域管道巡查检测1次。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r>
              <w:rPr>
                <w:rFonts w:hint="eastAsia" w:ascii="黑体" w:hAnsi="黑体" w:eastAsia="黑体" w:cs="黑体"/>
                <w:color w:val="auto"/>
                <w:sz w:val="24"/>
                <w:szCs w:val="24"/>
                <w:u w:val="none"/>
                <w:shd w:val="clear" w:color="auto" w:fill="auto"/>
                <w:vertAlign w:val="baseline"/>
                <w:lang w:val="en-US" w:eastAsia="zh-CN"/>
              </w:rPr>
              <w:t>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89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黑体" w:hAnsi="黑体" w:eastAsia="黑体" w:cs="黑体"/>
                <w:b w:val="0"/>
                <w:bCs w:val="0"/>
                <w:color w:val="auto"/>
                <w:sz w:val="24"/>
                <w:szCs w:val="24"/>
                <w:shd w:val="clear" w:color="auto" w:fill="auto"/>
                <w:vertAlign w:val="baseline"/>
                <w:lang w:eastAsia="zh-CN"/>
              </w:rPr>
              <w:t>加大政策支持力度</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highlight w:val="none"/>
                <w:shd w:val="clear" w:color="auto" w:fill="auto"/>
                <w:vertAlign w:val="baseline"/>
                <w:lang w:val="en-US" w:eastAsia="zh-CN"/>
              </w:rPr>
            </w:pPr>
            <w:r>
              <w:rPr>
                <w:rFonts w:hint="eastAsia" w:ascii="楷体_GB2312" w:hAnsi="楷体_GB2312" w:eastAsia="楷体_GB2312" w:cs="楷体_GB2312"/>
                <w:b/>
                <w:bCs/>
                <w:color w:val="auto"/>
                <w:sz w:val="24"/>
                <w:szCs w:val="24"/>
                <w:highlight w:val="none"/>
                <w:u w:val="none"/>
                <w:shd w:val="clear" w:color="auto" w:fill="auto"/>
                <w:vertAlign w:val="baseline"/>
                <w:lang w:eastAsia="zh-CN"/>
              </w:rPr>
              <w:t>（一）落实专业经营单位出资责任，建立资金合理共担机制</w:t>
            </w:r>
          </w:p>
        </w:tc>
        <w:tc>
          <w:tcPr>
            <w:tcW w:w="1088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82" w:firstLineChars="200"/>
              <w:jc w:val="both"/>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kern w:val="2"/>
                <w:sz w:val="24"/>
                <w:szCs w:val="24"/>
                <w:shd w:val="clear" w:color="auto" w:fill="auto"/>
                <w:lang w:val="en-US" w:eastAsia="zh-CN" w:bidi="ar-SA"/>
              </w:rPr>
              <w:t>1.</w:t>
            </w:r>
            <w:r>
              <w:rPr>
                <w:rFonts w:hint="eastAsia" w:ascii="仿宋_GB2312" w:hAnsi="仿宋_GB2312" w:eastAsia="仿宋_GB2312" w:cs="仿宋_GB2312"/>
                <w:b/>
                <w:bCs/>
                <w:color w:val="auto"/>
                <w:sz w:val="24"/>
                <w:szCs w:val="24"/>
                <w:shd w:val="clear" w:color="auto" w:fill="auto"/>
                <w:vertAlign w:val="baseline"/>
                <w:lang w:val="en-US" w:eastAsia="zh-CN"/>
              </w:rPr>
              <w:t>福建省漳州市探索“政府+企业+居民”实施模式。</w:t>
            </w:r>
            <w:r>
              <w:rPr>
                <w:rFonts w:hint="eastAsia" w:ascii="仿宋_GB2312" w:hAnsi="仿宋_GB2312" w:eastAsia="仿宋_GB2312" w:cs="仿宋_GB2312"/>
                <w:b w:val="0"/>
                <w:bCs w:val="0"/>
                <w:color w:val="auto"/>
                <w:sz w:val="24"/>
                <w:szCs w:val="24"/>
                <w:shd w:val="clear" w:color="auto" w:fill="auto"/>
                <w:vertAlign w:val="baseline"/>
                <w:lang w:val="en-US" w:eastAsia="zh-CN"/>
              </w:rPr>
              <w:t>按照“政府推动、企业为主、居民受益”的原则，出台《漳州市居民户内燃气设施安全更新改造方案》，建立了由政府（45%）、企业（45%）、居民（10%）共担改造资金的户内燃气设施安全更新改造新模式，用10个月时间完成全市31.9万户居民户内燃气设施安全更新改造工作，实现全市居民户内燃气设施安全更新改造全覆盖。</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仿宋_GB2312" w:hAnsi="仿宋_GB2312" w:eastAsia="仿宋_GB2312" w:cs="仿宋_GB2312"/>
                <w:b/>
                <w:bCs/>
                <w:color w:val="auto"/>
                <w:kern w:val="2"/>
                <w:sz w:val="24"/>
                <w:szCs w:val="24"/>
                <w:highlight w:val="none"/>
                <w:shd w:val="clear" w:color="auto" w:fill="auto"/>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kern w:val="2"/>
                <w:sz w:val="24"/>
                <w:szCs w:val="24"/>
                <w:highlight w:val="none"/>
                <w:shd w:val="clear" w:color="auto" w:fill="auto"/>
                <w:lang w:val="en-US" w:eastAsia="zh-CN" w:bidi="ar-SA"/>
              </w:rPr>
              <w:t>2.</w:t>
            </w:r>
            <w:r>
              <w:rPr>
                <w:rFonts w:hint="eastAsia" w:ascii="仿宋_GB2312" w:hAnsi="仿宋_GB2312" w:eastAsia="仿宋_GB2312" w:cs="仿宋_GB2312"/>
                <w:b/>
                <w:bCs/>
                <w:color w:val="auto"/>
                <w:sz w:val="24"/>
                <w:szCs w:val="24"/>
                <w:highlight w:val="none"/>
                <w:shd w:val="clear" w:color="auto" w:fill="auto"/>
                <w:vertAlign w:val="baseline"/>
                <w:lang w:val="en-US" w:eastAsia="zh-CN"/>
              </w:rPr>
              <w:t>河南省安阳市建立改造资金分担机制。</w:t>
            </w:r>
            <w:r>
              <w:rPr>
                <w:rFonts w:hint="eastAsia" w:ascii="仿宋_GB2312" w:hAnsi="仿宋_GB2312" w:eastAsia="仿宋_GB2312" w:cs="仿宋_GB2312"/>
                <w:b w:val="0"/>
                <w:bCs w:val="0"/>
                <w:color w:val="auto"/>
                <w:sz w:val="24"/>
                <w:szCs w:val="24"/>
                <w:shd w:val="clear" w:color="auto" w:fill="auto"/>
                <w:vertAlign w:val="baseline"/>
                <w:lang w:val="en-US" w:eastAsia="zh-CN"/>
              </w:rPr>
              <w:t>明确居民用户安全装置（自闭阀+不锈钢波纹管）加装政策，由“政府主导+企业共担”，由政府出资70%通过“微改造”方式提升居民用户用气安全水平，燃气企业承担30%并组织实施。各地政府、街道办乡镇、社区协同推进既有用户加装安全装置。</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val="0"/>
                <w:bCs w:val="0"/>
                <w:color w:val="auto"/>
                <w:sz w:val="24"/>
                <w:szCs w:val="24"/>
                <w:shd w:val="clear" w:color="auto" w:fill="auto"/>
                <w:vertAlign w:val="baseline"/>
                <w:lang w:val="en-US" w:eastAsia="zh-CN"/>
              </w:rPr>
            </w:pPr>
            <w:r>
              <w:rPr>
                <w:rFonts w:hint="eastAsia" w:ascii="仿宋_GB2312" w:hAnsi="仿宋_GB2312" w:eastAsia="仿宋_GB2312" w:cs="仿宋_GB2312"/>
                <w:b/>
                <w:bCs/>
                <w:color w:val="auto"/>
                <w:kern w:val="2"/>
                <w:sz w:val="24"/>
                <w:szCs w:val="24"/>
                <w:shd w:val="clear" w:color="auto" w:fill="auto"/>
                <w:lang w:val="en-US" w:eastAsia="zh-CN" w:bidi="ar-SA"/>
              </w:rPr>
              <w:t>3.</w:t>
            </w:r>
            <w:r>
              <w:rPr>
                <w:rFonts w:hint="eastAsia" w:ascii="仿宋_GB2312" w:hAnsi="仿宋_GB2312" w:eastAsia="仿宋_GB2312" w:cs="仿宋_GB2312"/>
                <w:b/>
                <w:bCs/>
                <w:color w:val="auto"/>
                <w:sz w:val="24"/>
                <w:szCs w:val="24"/>
                <w:shd w:val="clear" w:color="auto" w:fill="auto"/>
                <w:vertAlign w:val="baseline"/>
                <w:lang w:val="en-US" w:eastAsia="zh-CN"/>
              </w:rPr>
              <w:t>宁夏</w:t>
            </w:r>
            <w:r>
              <w:rPr>
                <w:rFonts w:hint="eastAsia" w:ascii="仿宋_GB2312" w:hAnsi="仿宋_GB2312" w:eastAsia="仿宋_GB2312" w:cs="仿宋_GB2312"/>
                <w:b/>
                <w:bCs/>
                <w:color w:val="auto"/>
                <w:sz w:val="24"/>
                <w:szCs w:val="24"/>
                <w:u w:val="none"/>
                <w:shd w:val="clear" w:color="auto" w:fill="auto"/>
                <w:vertAlign w:val="baseline"/>
                <w:lang w:val="en-US" w:eastAsia="zh-CN"/>
              </w:rPr>
              <w:t>回族自治区</w:t>
            </w:r>
            <w:r>
              <w:rPr>
                <w:rFonts w:hint="eastAsia" w:ascii="仿宋_GB2312" w:hAnsi="仿宋_GB2312" w:eastAsia="仿宋_GB2312" w:cs="仿宋_GB2312"/>
                <w:b/>
                <w:bCs/>
                <w:color w:val="auto"/>
                <w:sz w:val="24"/>
                <w:szCs w:val="24"/>
                <w:shd w:val="clear" w:color="auto" w:fill="auto"/>
                <w:vertAlign w:val="baseline"/>
                <w:lang w:val="en-US" w:eastAsia="zh-CN"/>
              </w:rPr>
              <w:t>吴忠市探索资金合理共担机制。</w:t>
            </w:r>
            <w:r>
              <w:rPr>
                <w:rFonts w:hint="eastAsia" w:ascii="仿宋_GB2312" w:hAnsi="仿宋_GB2312" w:eastAsia="仿宋_GB2312" w:cs="仿宋_GB2312"/>
                <w:b w:val="0"/>
                <w:bCs w:val="0"/>
                <w:color w:val="auto"/>
                <w:kern w:val="2"/>
                <w:sz w:val="24"/>
                <w:szCs w:val="24"/>
                <w:shd w:val="clear" w:color="auto" w:fill="auto"/>
                <w:lang w:val="en-US" w:eastAsia="zh-CN" w:bidi="ar-SA"/>
              </w:rPr>
              <w:t>鼓励引导专业经营单位要依法履行对其服务范围内城市燃气管道等老化更新改造的主要出资责任，通过与企业协商，供水、供暖企业按照80%，供气企业按照65%比例筹集改造资金；工商业等用户承担业主专有部分城市燃气管道等老化更新改造的出资责任；居民家中安装自闭阀项目改造资金由专业经营单位、政府、用户合理共担机制，按照5：3：2的比例筹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楷体_GB2312" w:hAnsi="楷体_GB2312" w:eastAsia="楷体_GB2312" w:cs="楷体_GB2312"/>
                <w:b/>
                <w:bCs/>
                <w:color w:val="auto"/>
                <w:sz w:val="24"/>
                <w:szCs w:val="24"/>
                <w:u w:val="none"/>
                <w:shd w:val="clear" w:color="auto" w:fill="auto"/>
                <w:vertAlign w:val="baseline"/>
                <w:lang w:val="en-US" w:eastAsia="zh-CN"/>
              </w:rPr>
              <w:t>（二）加大财政资金支持力度</w:t>
            </w:r>
          </w:p>
        </w:tc>
        <w:tc>
          <w:tcPr>
            <w:tcW w:w="1088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仿宋_GB2312" w:hAnsi="仿宋_GB2312" w:eastAsia="仿宋_GB2312" w:cs="仿宋_GB2312"/>
                <w:b w:val="0"/>
                <w:bCs w:val="0"/>
                <w:color w:val="auto"/>
                <w:sz w:val="24"/>
                <w:szCs w:val="24"/>
                <w:u w:val="none"/>
                <w:shd w:val="clear" w:color="auto" w:fill="auto"/>
                <w:vertAlign w:val="baseline"/>
                <w:lang w:val="en-US" w:eastAsia="zh-CN"/>
              </w:rPr>
            </w:pPr>
            <w:r>
              <w:rPr>
                <w:rFonts w:hint="eastAsia" w:ascii="仿宋_GB2312" w:hAnsi="仿宋_GB2312" w:eastAsia="仿宋_GB2312" w:cs="仿宋_GB2312"/>
                <w:b/>
                <w:bCs/>
                <w:color w:val="auto"/>
                <w:kern w:val="2"/>
                <w:sz w:val="24"/>
                <w:szCs w:val="24"/>
                <w:highlight w:val="none"/>
                <w:shd w:val="clear" w:color="auto" w:fill="auto"/>
                <w:lang w:val="en-US" w:eastAsia="zh-CN" w:bidi="ar-SA"/>
              </w:rPr>
              <w:t>1.</w:t>
            </w:r>
            <w:r>
              <w:rPr>
                <w:rFonts w:hint="eastAsia" w:ascii="仿宋_GB2312" w:hAnsi="仿宋_GB2312" w:eastAsia="仿宋_GB2312" w:cs="仿宋_GB2312"/>
                <w:b/>
                <w:bCs/>
                <w:color w:val="auto"/>
                <w:sz w:val="24"/>
                <w:szCs w:val="24"/>
                <w:highlight w:val="none"/>
                <w:u w:val="none"/>
                <w:shd w:val="clear" w:color="auto" w:fill="auto"/>
                <w:vertAlign w:val="baseline"/>
                <w:lang w:val="en-US" w:eastAsia="zh-CN"/>
              </w:rPr>
              <w:t>湖南省级财政加大资金配套力度。</w:t>
            </w:r>
            <w:r>
              <w:rPr>
                <w:rFonts w:hint="eastAsia" w:ascii="仿宋_GB2312" w:hAnsi="仿宋_GB2312" w:eastAsia="仿宋_GB2312" w:cs="仿宋_GB2312"/>
                <w:b w:val="0"/>
                <w:bCs w:val="0"/>
                <w:color w:val="auto"/>
                <w:sz w:val="24"/>
                <w:szCs w:val="24"/>
                <w:highlight w:val="none"/>
                <w:u w:val="none"/>
                <w:shd w:val="clear" w:color="auto" w:fill="auto"/>
                <w:vertAlign w:val="baseline"/>
                <w:lang w:val="en-US" w:eastAsia="zh-CN"/>
              </w:rPr>
              <w:t>经省人</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民政府同意，省住房和城乡建设厅、省发展和改革委员会、省</w:t>
            </w:r>
            <w:r>
              <w:rPr>
                <w:rFonts w:hint="eastAsia" w:ascii="仿宋_GB2312" w:hAnsi="仿宋_GB2312" w:eastAsia="仿宋_GB2312" w:cs="仿宋_GB2312"/>
                <w:b w:val="0"/>
                <w:bCs w:val="0"/>
                <w:color w:val="auto"/>
                <w:sz w:val="24"/>
                <w:szCs w:val="24"/>
                <w:shd w:val="clear" w:color="auto" w:fill="auto"/>
                <w:vertAlign w:val="baseline"/>
                <w:lang w:val="en-US" w:eastAsia="zh-CN"/>
              </w:rPr>
              <w:t>财政厅</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印发《湖南省城市燃气管道等老化更新改造实施方案（2023-2035年）的通知》，2023年省财政划拨4800万元，专项用于燃气管道隐患排查整治工作。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color w:val="auto"/>
                <w:kern w:val="2"/>
                <w:sz w:val="24"/>
                <w:szCs w:val="24"/>
                <w:shd w:val="clear" w:color="auto" w:fill="auto"/>
                <w:lang w:val="en-US" w:eastAsia="zh-CN" w:bidi="ar-SA"/>
              </w:rPr>
              <w:t>2.</w:t>
            </w:r>
            <w:r>
              <w:rPr>
                <w:rFonts w:hint="eastAsia" w:ascii="仿宋_GB2312" w:hAnsi="仿宋_GB2312" w:eastAsia="仿宋_GB2312" w:cs="仿宋_GB2312"/>
                <w:b/>
                <w:bCs/>
                <w:color w:val="auto"/>
                <w:sz w:val="24"/>
                <w:szCs w:val="24"/>
              </w:rPr>
              <w:t>广东省加大</w:t>
            </w:r>
            <w:r>
              <w:rPr>
                <w:rFonts w:hint="eastAsia" w:ascii="仿宋_GB2312" w:hAnsi="仿宋_GB2312" w:eastAsia="仿宋_GB2312" w:cs="仿宋_GB2312"/>
                <w:b/>
                <w:bCs/>
                <w:color w:val="auto"/>
                <w:sz w:val="24"/>
                <w:szCs w:val="24"/>
                <w:lang w:val="en-US" w:eastAsia="zh-CN"/>
              </w:rPr>
              <w:t>燃气隐患整改</w:t>
            </w:r>
            <w:r>
              <w:rPr>
                <w:rFonts w:hint="eastAsia" w:ascii="仿宋_GB2312" w:hAnsi="仿宋_GB2312" w:eastAsia="仿宋_GB2312" w:cs="仿宋_GB2312"/>
                <w:b/>
                <w:bCs/>
                <w:color w:val="auto"/>
                <w:sz w:val="24"/>
                <w:szCs w:val="24"/>
              </w:rPr>
              <w:t>财政支持力度。</w:t>
            </w:r>
            <w:r>
              <w:rPr>
                <w:rFonts w:hint="eastAsia" w:ascii="仿宋_GB2312" w:hAnsi="仿宋_GB2312" w:eastAsia="仿宋_GB2312" w:cs="仿宋_GB2312"/>
                <w:b w:val="0"/>
                <w:bCs w:val="0"/>
                <w:color w:val="auto"/>
                <w:sz w:val="24"/>
                <w:szCs w:val="24"/>
                <w:lang w:eastAsia="zh-CN"/>
              </w:rPr>
              <w:t>按照</w:t>
            </w:r>
            <w:r>
              <w:rPr>
                <w:rFonts w:hint="eastAsia" w:ascii="仿宋_GB2312" w:hAnsi="仿宋_GB2312" w:eastAsia="仿宋_GB2312" w:cs="仿宋_GB2312"/>
                <w:b w:val="0"/>
                <w:bCs w:val="0"/>
                <w:color w:val="auto"/>
                <w:sz w:val="24"/>
                <w:szCs w:val="24"/>
              </w:rPr>
              <w:t>政府</w:t>
            </w:r>
            <w:r>
              <w:rPr>
                <w:rFonts w:hint="eastAsia" w:ascii="仿宋_GB2312" w:hAnsi="仿宋_GB2312" w:eastAsia="仿宋_GB2312" w:cs="仿宋_GB2312"/>
                <w:bCs/>
                <w:color w:val="auto"/>
                <w:sz w:val="24"/>
                <w:szCs w:val="24"/>
              </w:rPr>
              <w:t>适当出资激励，用户对提升用气安全的保障举措合理出资的共担</w:t>
            </w:r>
            <w:r>
              <w:rPr>
                <w:rFonts w:hint="eastAsia" w:ascii="仿宋_GB2312" w:hAnsi="仿宋_GB2312" w:eastAsia="仿宋_GB2312" w:cs="仿宋_GB2312"/>
                <w:bCs/>
                <w:color w:val="auto"/>
                <w:sz w:val="24"/>
                <w:szCs w:val="24"/>
                <w:lang w:eastAsia="zh-CN"/>
              </w:rPr>
              <w:t>思路，</w:t>
            </w:r>
            <w:r>
              <w:rPr>
                <w:rFonts w:hint="eastAsia" w:ascii="仿宋_GB2312" w:hAnsi="仿宋_GB2312" w:eastAsia="仿宋_GB2312" w:cs="仿宋_GB2312"/>
                <w:bCs/>
                <w:color w:val="auto"/>
                <w:sz w:val="24"/>
                <w:szCs w:val="24"/>
              </w:rPr>
              <w:t>2022年，省财政安排2500万元专项资金支持市政燃气管道普查及安全隐患排查等工作。2023年起，争取省财政2023-2025年累计安排1个亿的专项资金支持燃气管道老化更新改造，目前已下达1500万元</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按15元/户的标准</w:t>
            </w:r>
            <w:r>
              <w:rPr>
                <w:rFonts w:hint="eastAsia" w:ascii="仿宋_GB2312" w:hAnsi="仿宋_GB2312" w:eastAsia="仿宋_GB2312" w:cs="仿宋_GB2312"/>
                <w:bCs/>
                <w:color w:val="auto"/>
                <w:sz w:val="24"/>
                <w:szCs w:val="24"/>
                <w:lang w:val="en-US" w:eastAsia="zh-CN"/>
              </w:rPr>
              <w:t>,对</w:t>
            </w:r>
            <w:r>
              <w:rPr>
                <w:rFonts w:hint="eastAsia" w:ascii="仿宋_GB2312" w:hAnsi="仿宋_GB2312" w:eastAsia="仿宋_GB2312" w:cs="仿宋_GB2312"/>
                <w:bCs/>
                <w:color w:val="auto"/>
                <w:sz w:val="24"/>
                <w:szCs w:val="24"/>
                <w:lang w:eastAsia="zh-CN"/>
              </w:rPr>
              <w:t>已</w:t>
            </w:r>
            <w:r>
              <w:rPr>
                <w:rFonts w:hint="eastAsia" w:ascii="仿宋_GB2312" w:hAnsi="仿宋_GB2312" w:eastAsia="仿宋_GB2312" w:cs="仿宋_GB2312"/>
                <w:bCs/>
                <w:color w:val="auto"/>
                <w:sz w:val="24"/>
                <w:szCs w:val="24"/>
              </w:rPr>
              <w:t>完成燃气橡胶软管更换</w:t>
            </w:r>
            <w:r>
              <w:rPr>
                <w:rFonts w:hint="eastAsia" w:ascii="仿宋_GB2312" w:hAnsi="仿宋_GB2312" w:eastAsia="仿宋_GB2312" w:cs="仿宋_GB2312"/>
                <w:bCs/>
                <w:color w:val="auto"/>
                <w:sz w:val="24"/>
                <w:szCs w:val="24"/>
                <w:lang w:eastAsia="zh-CN"/>
              </w:rPr>
              <w:t>的</w:t>
            </w:r>
            <w:r>
              <w:rPr>
                <w:rFonts w:hint="eastAsia" w:ascii="仿宋_GB2312" w:hAnsi="仿宋_GB2312" w:eastAsia="仿宋_GB2312" w:cs="仿宋_GB2312"/>
                <w:bCs/>
                <w:color w:val="auto"/>
                <w:sz w:val="24"/>
                <w:szCs w:val="24"/>
              </w:rPr>
              <w:t>15个地市共100万户居民</w:t>
            </w:r>
            <w:r>
              <w:rPr>
                <w:rFonts w:hint="eastAsia" w:ascii="仿宋_GB2312" w:hAnsi="仿宋_GB2312" w:eastAsia="仿宋_GB2312" w:cs="仿宋_GB2312"/>
                <w:bCs/>
                <w:color w:val="auto"/>
                <w:sz w:val="24"/>
                <w:szCs w:val="24"/>
                <w:lang w:eastAsia="zh-CN"/>
              </w:rPr>
              <w:t>进行</w:t>
            </w:r>
            <w:r>
              <w:rPr>
                <w:rFonts w:hint="eastAsia" w:ascii="仿宋_GB2312" w:hAnsi="仿宋_GB2312" w:eastAsia="仿宋_GB2312" w:cs="仿宋_GB2312"/>
                <w:bCs/>
                <w:color w:val="auto"/>
                <w:sz w:val="24"/>
                <w:szCs w:val="24"/>
              </w:rPr>
              <w:t>奖</w:t>
            </w:r>
            <w:r>
              <w:rPr>
                <w:rFonts w:hint="eastAsia" w:ascii="仿宋_GB2312" w:hAnsi="仿宋_GB2312" w:eastAsia="仿宋_GB2312" w:cs="仿宋_GB2312"/>
                <w:bCs/>
                <w:color w:val="auto"/>
                <w:sz w:val="24"/>
                <w:szCs w:val="24"/>
                <w:lang w:eastAsia="zh-CN"/>
              </w:rPr>
              <w:t>励</w:t>
            </w:r>
            <w:r>
              <w:rPr>
                <w:rFonts w:hint="eastAsia" w:ascii="仿宋_GB2312" w:hAnsi="仿宋_GB2312" w:eastAsia="仿宋_GB2312" w:cs="仿宋_GB2312"/>
                <w:bCs/>
                <w:color w:val="auto"/>
                <w:sz w:val="24"/>
                <w:szCs w:val="24"/>
              </w:rPr>
              <w:t>补助。</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kern w:val="2"/>
                <w:sz w:val="24"/>
                <w:szCs w:val="24"/>
                <w:shd w:val="clear" w:color="auto" w:fill="auto"/>
                <w:lang w:val="en-US" w:eastAsia="zh-CN" w:bidi="ar-SA"/>
              </w:rPr>
              <w:t>3.</w:t>
            </w:r>
            <w:r>
              <w:rPr>
                <w:rFonts w:hint="eastAsia" w:ascii="仿宋_GB2312" w:hAnsi="仿宋_GB2312" w:eastAsia="仿宋_GB2312" w:cs="仿宋_GB2312"/>
                <w:b/>
                <w:bCs/>
                <w:color w:val="auto"/>
                <w:sz w:val="24"/>
                <w:szCs w:val="24"/>
                <w:lang w:val="en-US" w:eastAsia="zh-CN"/>
              </w:rPr>
              <w:t>新疆生产建设兵团通过发行一般债券加大改造资金支持力度。</w:t>
            </w:r>
            <w:r>
              <w:rPr>
                <w:rFonts w:hint="eastAsia" w:ascii="仿宋_GB2312" w:hAnsi="仿宋_GB2312" w:eastAsia="仿宋_GB2312" w:cs="仿宋_GB2312"/>
                <w:b w:val="0"/>
                <w:bCs w:val="0"/>
                <w:color w:val="auto"/>
                <w:sz w:val="24"/>
                <w:szCs w:val="24"/>
                <w:shd w:val="clear" w:color="auto" w:fill="auto"/>
                <w:lang w:val="en-US" w:eastAsia="zh-CN"/>
              </w:rPr>
              <w:t>城镇老旧供热管道改造，预计总投资约21.99亿元，其中14.42亿元由市财政通过发行一般债券予以解决，占改造总投资的65.6%。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楷体_GB2312" w:hAnsi="楷体_GB2312" w:eastAsia="楷体_GB2312" w:cs="楷体_GB2312"/>
                <w:b/>
                <w:bCs/>
                <w:color w:val="auto"/>
                <w:sz w:val="24"/>
                <w:szCs w:val="24"/>
                <w:highlight w:val="none"/>
                <w:u w:val="none"/>
                <w:shd w:val="clear" w:color="auto" w:fill="auto"/>
                <w:vertAlign w:val="baseline"/>
                <w:lang w:eastAsia="zh-CN"/>
              </w:rPr>
              <w:t>（</w:t>
            </w:r>
            <w:r>
              <w:rPr>
                <w:rFonts w:hint="eastAsia" w:ascii="楷体_GB2312" w:hAnsi="楷体_GB2312" w:eastAsia="楷体_GB2312" w:cs="楷体_GB2312"/>
                <w:b/>
                <w:bCs/>
                <w:color w:val="auto"/>
                <w:sz w:val="24"/>
                <w:szCs w:val="24"/>
                <w:highlight w:val="none"/>
                <w:u w:val="none"/>
                <w:shd w:val="clear" w:color="auto" w:fill="auto"/>
                <w:vertAlign w:val="baseline"/>
                <w:lang w:val="en-US" w:eastAsia="zh-CN"/>
              </w:rPr>
              <w:t>三</w:t>
            </w:r>
            <w:r>
              <w:rPr>
                <w:rFonts w:hint="eastAsia" w:ascii="楷体_GB2312" w:hAnsi="楷体_GB2312" w:eastAsia="楷体_GB2312" w:cs="楷体_GB2312"/>
                <w:b/>
                <w:bCs/>
                <w:color w:val="auto"/>
                <w:sz w:val="24"/>
                <w:szCs w:val="24"/>
                <w:highlight w:val="none"/>
                <w:u w:val="none"/>
                <w:shd w:val="clear" w:color="auto" w:fill="auto"/>
                <w:vertAlign w:val="baseline"/>
                <w:lang w:eastAsia="zh-CN"/>
              </w:rPr>
              <w:t>）加大融资保障力度</w:t>
            </w:r>
          </w:p>
        </w:tc>
        <w:tc>
          <w:tcPr>
            <w:tcW w:w="108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jc w:val="both"/>
              <w:textAlignment w:val="auto"/>
              <w:outlineLvl w:val="9"/>
              <w:rPr>
                <w:rFonts w:hint="eastAsia" w:ascii="仿宋_GB2312" w:hAnsi="仿宋_GB2312" w:eastAsia="仿宋_GB2312" w:cs="仿宋_GB2312"/>
                <w:b w:val="0"/>
                <w:bCs w:val="0"/>
                <w:color w:val="auto"/>
                <w:sz w:val="24"/>
                <w:szCs w:val="24"/>
                <w:u w:val="none"/>
                <w:shd w:val="clear" w:color="auto" w:fill="auto"/>
                <w:vertAlign w:val="baseline"/>
                <w:lang w:val="en-US" w:eastAsia="zh-Hans"/>
              </w:rPr>
            </w:pPr>
            <w:r>
              <w:rPr>
                <w:rFonts w:hint="eastAsia" w:ascii="仿宋_GB2312" w:hAnsi="仿宋_GB2312" w:eastAsia="仿宋_GB2312" w:cs="仿宋_GB2312"/>
                <w:b/>
                <w:bCs/>
                <w:color w:val="auto"/>
                <w:kern w:val="2"/>
                <w:sz w:val="24"/>
                <w:szCs w:val="24"/>
                <w:shd w:val="clear" w:color="auto" w:fill="auto"/>
                <w:lang w:val="en-US" w:eastAsia="zh-CN" w:bidi="ar-SA"/>
              </w:rPr>
              <w:t>1.</w:t>
            </w:r>
            <w:r>
              <w:rPr>
                <w:rFonts w:hint="eastAsia" w:ascii="仿宋_GB2312" w:hAnsi="仿宋_GB2312" w:eastAsia="仿宋_GB2312" w:cs="仿宋_GB2312"/>
                <w:b/>
                <w:bCs/>
                <w:color w:val="auto"/>
                <w:sz w:val="24"/>
                <w:szCs w:val="24"/>
                <w:u w:val="none"/>
                <w:shd w:val="clear" w:color="auto" w:fill="auto"/>
                <w:vertAlign w:val="baseline"/>
                <w:lang w:val="en-US" w:eastAsia="zh-CN"/>
              </w:rPr>
              <w:t>江西省</w:t>
            </w:r>
            <w:r>
              <w:rPr>
                <w:rFonts w:hint="eastAsia" w:ascii="仿宋_GB2312" w:hAnsi="仿宋_GB2312" w:eastAsia="仿宋_GB2312" w:cs="仿宋_GB2312"/>
                <w:b/>
                <w:bCs/>
                <w:color w:val="auto"/>
                <w:sz w:val="24"/>
                <w:szCs w:val="24"/>
                <w:u w:val="none"/>
                <w:shd w:val="clear" w:color="auto" w:fill="auto"/>
                <w:vertAlign w:val="baseline"/>
                <w:lang w:val="en-US" w:eastAsia="zh-Hans"/>
              </w:rPr>
              <w:t>联合国开行江西省分行</w:t>
            </w:r>
            <w:r>
              <w:rPr>
                <w:rFonts w:hint="eastAsia" w:ascii="仿宋_GB2312" w:hAnsi="仿宋_GB2312" w:eastAsia="仿宋_GB2312" w:cs="仿宋_GB2312"/>
                <w:b/>
                <w:bCs/>
                <w:color w:val="auto"/>
                <w:sz w:val="24"/>
                <w:szCs w:val="24"/>
                <w:u w:val="none"/>
                <w:shd w:val="clear" w:color="auto" w:fill="auto"/>
                <w:vertAlign w:val="baseline"/>
                <w:lang w:val="en-US" w:eastAsia="zh-CN"/>
              </w:rPr>
              <w:t>加大融资保障力度。</w:t>
            </w:r>
            <w:r>
              <w:rPr>
                <w:rFonts w:hint="eastAsia" w:ascii="仿宋_GB2312" w:hAnsi="仿宋_GB2312" w:eastAsia="仿宋_GB2312" w:cs="仿宋_GB2312"/>
                <w:b w:val="0"/>
                <w:bCs w:val="0"/>
                <w:color w:val="auto"/>
                <w:sz w:val="24"/>
                <w:szCs w:val="24"/>
                <w:u w:val="none"/>
                <w:shd w:val="clear" w:color="auto" w:fill="auto"/>
                <w:vertAlign w:val="baseline"/>
                <w:lang w:val="en-US" w:eastAsia="zh-Hans"/>
              </w:rPr>
              <w:t>印发《关于建立市政基础设施项目动态项目储备库和相关机制的通知》，组建开发性金融支持市政基础设施建设工作协调机制，建立动态项目储备库</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w:t>
            </w:r>
            <w:r>
              <w:rPr>
                <w:rFonts w:hint="eastAsia" w:ascii="仿宋_GB2312" w:hAnsi="仿宋_GB2312" w:eastAsia="仿宋_GB2312" w:cs="仿宋_GB2312"/>
                <w:b w:val="0"/>
                <w:bCs w:val="0"/>
                <w:color w:val="auto"/>
                <w:sz w:val="24"/>
                <w:szCs w:val="24"/>
                <w:u w:val="none"/>
                <w:shd w:val="clear" w:color="auto" w:fill="auto"/>
                <w:vertAlign w:val="baseline"/>
                <w:lang w:val="en-US" w:eastAsia="zh-Hans"/>
              </w:rPr>
              <w:t>开辟“绿色通道”</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w:t>
            </w:r>
            <w:r>
              <w:rPr>
                <w:rFonts w:hint="eastAsia" w:ascii="仿宋_GB2312" w:hAnsi="仿宋_GB2312" w:eastAsia="仿宋_GB2312" w:cs="仿宋_GB2312"/>
                <w:b w:val="0"/>
                <w:bCs w:val="0"/>
                <w:color w:val="auto"/>
                <w:sz w:val="24"/>
                <w:szCs w:val="24"/>
                <w:u w:val="none"/>
                <w:shd w:val="clear" w:color="auto" w:fill="auto"/>
                <w:vertAlign w:val="baseline"/>
                <w:lang w:val="en-US" w:eastAsia="zh-Hans"/>
              </w:rPr>
              <w:t>对储备库中的城市燃气管道老化更新改造等项目，优先开展尽职调查、优先进行审查审批、优先安排贷款投放、优先给与利率优惠。</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color w:val="auto"/>
                <w:sz w:val="24"/>
                <w:szCs w:val="24"/>
                <w:u w:val="none"/>
                <w:shd w:val="clear" w:color="auto" w:fill="auto"/>
                <w:vertAlign w:val="baseline"/>
                <w:lang w:val="en-US" w:eastAsia="zh-CN"/>
              </w:rPr>
            </w:pPr>
            <w:r>
              <w:rPr>
                <w:rFonts w:hint="eastAsia" w:ascii="仿宋_GB2312" w:hAnsi="仿宋_GB2312" w:eastAsia="仿宋_GB2312" w:cs="仿宋_GB2312"/>
                <w:b/>
                <w:bCs/>
                <w:color w:val="auto"/>
                <w:kern w:val="2"/>
                <w:sz w:val="24"/>
                <w:szCs w:val="24"/>
                <w:shd w:val="clear" w:color="auto" w:fill="auto"/>
                <w:lang w:val="en-US" w:eastAsia="zh-CN" w:bidi="ar-SA"/>
              </w:rPr>
              <w:t>2.</w:t>
            </w:r>
            <w:r>
              <w:rPr>
                <w:rFonts w:hint="eastAsia" w:ascii="仿宋_GB2312" w:hAnsi="仿宋_GB2312" w:eastAsia="仿宋_GB2312" w:cs="仿宋_GB2312"/>
                <w:b/>
                <w:bCs/>
                <w:color w:val="auto"/>
                <w:sz w:val="24"/>
                <w:szCs w:val="24"/>
                <w:u w:val="none"/>
                <w:shd w:val="clear" w:color="auto" w:fill="auto"/>
                <w:vertAlign w:val="baseline"/>
                <w:lang w:val="en-US" w:eastAsia="zh-CN"/>
              </w:rPr>
              <w:t>宁夏回族自治区银川市积极争取基础设施基金。</w:t>
            </w:r>
            <w:r>
              <w:rPr>
                <w:rFonts w:hint="eastAsia" w:ascii="仿宋_GB2312" w:hAnsi="仿宋_GB2312" w:eastAsia="仿宋_GB2312" w:cs="仿宋_GB2312"/>
                <w:b w:val="0"/>
                <w:bCs w:val="0"/>
                <w:color w:val="auto"/>
                <w:sz w:val="24"/>
                <w:szCs w:val="24"/>
                <w:u w:val="none"/>
                <w:shd w:val="clear" w:color="auto" w:fill="auto"/>
                <w:vertAlign w:val="baseline"/>
                <w:lang w:val="en-US" w:eastAsia="zh-Hans"/>
              </w:rPr>
              <w:t>宁夏</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回族</w:t>
            </w:r>
            <w:r>
              <w:rPr>
                <w:rFonts w:hint="eastAsia" w:ascii="仿宋_GB2312" w:hAnsi="仿宋_GB2312" w:eastAsia="仿宋_GB2312" w:cs="仿宋_GB2312"/>
                <w:b w:val="0"/>
                <w:bCs w:val="0"/>
                <w:color w:val="auto"/>
                <w:sz w:val="24"/>
                <w:szCs w:val="24"/>
                <w:u w:val="none"/>
                <w:shd w:val="clear" w:color="auto" w:fill="auto"/>
                <w:vertAlign w:val="baseline"/>
                <w:lang w:val="en-US" w:eastAsia="zh-Hans"/>
              </w:rPr>
              <w:t>自治区</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发展和改革</w:t>
            </w:r>
            <w:r>
              <w:rPr>
                <w:rFonts w:hint="eastAsia" w:ascii="仿宋_GB2312" w:hAnsi="仿宋_GB2312" w:eastAsia="仿宋_GB2312" w:cs="仿宋_GB2312"/>
                <w:b w:val="0"/>
                <w:bCs w:val="0"/>
                <w:color w:val="auto"/>
                <w:sz w:val="24"/>
                <w:szCs w:val="24"/>
                <w:u w:val="none"/>
                <w:shd w:val="clear" w:color="auto" w:fill="auto"/>
                <w:vertAlign w:val="baseline"/>
                <w:lang w:val="en-US" w:eastAsia="zh-Hans"/>
              </w:rPr>
              <w:t>委、财政厅与国</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家</w:t>
            </w:r>
            <w:r>
              <w:rPr>
                <w:rFonts w:hint="eastAsia" w:ascii="仿宋_GB2312" w:hAnsi="仿宋_GB2312" w:eastAsia="仿宋_GB2312" w:cs="仿宋_GB2312"/>
                <w:b w:val="0"/>
                <w:bCs w:val="0"/>
                <w:color w:val="auto"/>
                <w:sz w:val="24"/>
                <w:szCs w:val="24"/>
                <w:u w:val="none"/>
                <w:shd w:val="clear" w:color="auto" w:fill="auto"/>
                <w:vertAlign w:val="baseline"/>
                <w:lang w:val="en-US" w:eastAsia="zh-Hans"/>
              </w:rPr>
              <w:t>开</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发银</w:t>
            </w:r>
            <w:r>
              <w:rPr>
                <w:rFonts w:hint="eastAsia" w:ascii="仿宋_GB2312" w:hAnsi="仿宋_GB2312" w:eastAsia="仿宋_GB2312" w:cs="仿宋_GB2312"/>
                <w:b w:val="0"/>
                <w:bCs w:val="0"/>
                <w:color w:val="auto"/>
                <w:sz w:val="24"/>
                <w:szCs w:val="24"/>
                <w:u w:val="none"/>
                <w:shd w:val="clear" w:color="auto" w:fill="auto"/>
                <w:vertAlign w:val="baseline"/>
                <w:lang w:val="en-US" w:eastAsia="zh-Hans"/>
              </w:rPr>
              <w:t>行宁夏分行建立即时沟通对接机制，推动落实项目前期工作</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，已</w:t>
            </w:r>
            <w:r>
              <w:rPr>
                <w:rFonts w:hint="eastAsia" w:ascii="仿宋_GB2312" w:hAnsi="仿宋_GB2312" w:eastAsia="仿宋_GB2312" w:cs="仿宋_GB2312"/>
                <w:b w:val="0"/>
                <w:bCs w:val="0"/>
                <w:color w:val="auto"/>
                <w:sz w:val="24"/>
                <w:szCs w:val="24"/>
                <w:u w:val="none"/>
                <w:shd w:val="clear" w:color="auto" w:fill="auto"/>
                <w:vertAlign w:val="baseline"/>
                <w:lang w:val="en-US" w:eastAsia="zh-Hans"/>
              </w:rPr>
              <w:t>成功投放全区首笔基础设施基金0.55亿元</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楷体_GB2312" w:hAnsi="楷体_GB2312" w:eastAsia="楷体_GB2312" w:cs="楷体_GB2312"/>
                <w:b/>
                <w:bCs/>
                <w:color w:val="auto"/>
                <w:sz w:val="24"/>
                <w:szCs w:val="24"/>
                <w:u w:val="none"/>
                <w:shd w:val="clear" w:color="auto" w:fill="auto"/>
                <w:vertAlign w:val="baseline"/>
                <w:lang w:val="en-US" w:eastAsia="zh-CN"/>
              </w:rPr>
              <w:t>（四）落实税费减免政策</w:t>
            </w:r>
          </w:p>
        </w:tc>
        <w:tc>
          <w:tcPr>
            <w:tcW w:w="10885" w:type="dxa"/>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color w:val="auto"/>
                <w:sz w:val="24"/>
                <w:szCs w:val="24"/>
                <w:u w:val="none"/>
                <w:shd w:val="clear" w:color="auto" w:fill="auto"/>
                <w:vertAlign w:val="baseline"/>
                <w:lang w:val="en-US" w:eastAsia="zh-CN"/>
              </w:rPr>
            </w:pPr>
            <w:r>
              <w:rPr>
                <w:rFonts w:hint="eastAsia" w:ascii="仿宋_GB2312" w:hAnsi="仿宋_GB2312" w:eastAsia="仿宋_GB2312" w:cs="仿宋_GB2312"/>
                <w:b/>
                <w:bCs/>
                <w:color w:val="auto"/>
                <w:sz w:val="24"/>
                <w:szCs w:val="24"/>
                <w:u w:val="none"/>
                <w:shd w:val="clear" w:color="auto" w:fill="auto"/>
                <w:vertAlign w:val="baseline"/>
                <w:lang w:val="en-US" w:eastAsia="zh-CN"/>
              </w:rPr>
              <w:t>河南省安阳市减免破路费用及绿化费用。</w:t>
            </w:r>
            <w:r>
              <w:rPr>
                <w:rFonts w:hint="eastAsia" w:ascii="仿宋_GB2312" w:hAnsi="仿宋_GB2312" w:eastAsia="仿宋_GB2312" w:cs="仿宋_GB2312"/>
                <w:b w:val="0"/>
                <w:bCs w:val="0"/>
                <w:color w:val="auto"/>
                <w:sz w:val="24"/>
                <w:szCs w:val="24"/>
                <w:u w:val="none"/>
                <w:shd w:val="clear" w:color="auto" w:fill="auto"/>
                <w:vertAlign w:val="baseline"/>
                <w:lang w:val="en-US" w:eastAsia="zh-CN"/>
              </w:rPr>
              <w:t>出台专项政策，对涉及燃气管道等更新改造的项目，减免破路费用及绿化费用，税收方面给予一定比例的增值税和所得税返还。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47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r>
              <w:rPr>
                <w:rFonts w:hint="eastAsia" w:ascii="黑体" w:hAnsi="黑体" w:eastAsia="黑体" w:cs="黑体"/>
                <w:color w:val="auto"/>
                <w:sz w:val="24"/>
                <w:szCs w:val="24"/>
                <w:u w:val="none"/>
                <w:shd w:val="clear" w:color="auto" w:fill="auto"/>
                <w:vertAlign w:val="baseline"/>
                <w:lang w:val="en-US" w:eastAsia="zh-CN"/>
              </w:rPr>
              <w:t>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89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u w:val="none"/>
                <w:shd w:val="clear" w:color="auto" w:fill="auto"/>
                <w:vertAlign w:val="baseline"/>
                <w:lang w:val="en-US" w:eastAsia="zh-CN"/>
              </w:rPr>
            </w:pPr>
            <w:r>
              <w:rPr>
                <w:rFonts w:hint="eastAsia" w:ascii="黑体" w:hAnsi="黑体" w:eastAsia="黑体" w:cs="黑体"/>
                <w:b w:val="0"/>
                <w:bCs w:val="0"/>
                <w:color w:val="auto"/>
                <w:sz w:val="24"/>
                <w:szCs w:val="24"/>
                <w:u w:val="none"/>
                <w:shd w:val="clear" w:color="auto" w:fill="auto"/>
                <w:vertAlign w:val="baseline"/>
                <w:lang w:val="en-US" w:eastAsia="zh-CN"/>
              </w:rPr>
              <w:t>完善配套措施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b w:val="0"/>
                <w:bCs w:val="0"/>
                <w:color w:val="auto"/>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楷体_GB2312" w:hAnsi="楷体_GB2312" w:eastAsia="楷体_GB2312" w:cs="楷体_GB2312"/>
                <w:b/>
                <w:bCs/>
                <w:color w:val="auto"/>
                <w:sz w:val="24"/>
                <w:szCs w:val="24"/>
                <w:highlight w:val="none"/>
                <w:u w:val="none"/>
                <w:shd w:val="clear" w:color="auto" w:fill="auto"/>
                <w:vertAlign w:val="baseline"/>
                <w:lang w:eastAsia="zh-CN"/>
              </w:rPr>
              <w:t>（</w:t>
            </w:r>
            <w:r>
              <w:rPr>
                <w:rFonts w:hint="eastAsia" w:ascii="楷体_GB2312" w:hAnsi="楷体_GB2312" w:eastAsia="楷体_GB2312" w:cs="楷体_GB2312"/>
                <w:b/>
                <w:bCs/>
                <w:color w:val="auto"/>
                <w:sz w:val="24"/>
                <w:szCs w:val="24"/>
                <w:highlight w:val="none"/>
                <w:u w:val="none"/>
                <w:shd w:val="clear" w:color="auto" w:fill="auto"/>
                <w:vertAlign w:val="baseline"/>
                <w:lang w:val="en-US" w:eastAsia="zh-CN"/>
              </w:rPr>
              <w:t>一</w:t>
            </w:r>
            <w:r>
              <w:rPr>
                <w:rFonts w:hint="eastAsia" w:ascii="楷体_GB2312" w:hAnsi="楷体_GB2312" w:eastAsia="楷体_GB2312" w:cs="楷体_GB2312"/>
                <w:b/>
                <w:bCs/>
                <w:color w:val="auto"/>
                <w:sz w:val="24"/>
                <w:szCs w:val="24"/>
                <w:highlight w:val="none"/>
                <w:u w:val="none"/>
                <w:shd w:val="clear" w:color="auto" w:fill="auto"/>
                <w:vertAlign w:val="baseline"/>
                <w:lang w:eastAsia="zh-CN"/>
              </w:rPr>
              <w:t>）加快项目审批</w:t>
            </w:r>
          </w:p>
        </w:tc>
        <w:tc>
          <w:tcPr>
            <w:tcW w:w="1088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b/>
                <w:bCs/>
                <w:color w:val="auto"/>
                <w:kern w:val="2"/>
                <w:sz w:val="24"/>
                <w:szCs w:val="24"/>
                <w:highlight w:val="none"/>
                <w:shd w:val="clear" w:color="auto" w:fill="auto"/>
                <w:lang w:val="en-US" w:eastAsia="zh-CN" w:bidi="ar-SA"/>
              </w:rPr>
              <w:t>1.北京市分类精简项目审批事项</w:t>
            </w:r>
            <w:r>
              <w:rPr>
                <w:rFonts w:hint="eastAsia" w:ascii="仿宋_GB2312" w:hAnsi="仿宋_GB2312" w:eastAsia="仿宋_GB2312" w:cs="仿宋_GB2312"/>
                <w:color w:val="auto"/>
                <w:kern w:val="2"/>
                <w:sz w:val="24"/>
                <w:szCs w:val="24"/>
                <w:highlight w:val="none"/>
                <w:shd w:val="clear" w:color="auto" w:fill="auto"/>
                <w:lang w:val="en-US" w:eastAsia="zh-CN" w:bidi="ar-SA"/>
              </w:rPr>
              <w:t>。根据</w:t>
            </w:r>
            <w:r>
              <w:rPr>
                <w:rFonts w:hint="eastAsia" w:ascii="仿宋_GB2312" w:hAnsi="仿宋_GB2312" w:eastAsia="仿宋_GB2312" w:cs="仿宋_GB2312"/>
                <w:color w:val="auto"/>
                <w:kern w:val="2"/>
                <w:sz w:val="24"/>
                <w:szCs w:val="24"/>
                <w:shd w:val="clear" w:color="auto" w:fill="auto"/>
                <w:lang w:val="en-US" w:eastAsia="zh-CN" w:bidi="ar-SA"/>
              </w:rPr>
              <w:t>管道老化更新改造项目的位置、规模及复杂程度，按照重要项目、一般项目和小型项目三个类型，分别精简工程实施所涉及的审批事项、环节和材料，并统筹制定管线年度更新改造消隐计划形成项目汇编，对列入项目汇编的“原管径原路由”管线消隐计划项目，无需核发施工许可证。</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color w:val="auto"/>
                <w:sz w:val="24"/>
                <w:szCs w:val="24"/>
                <w:u w:val="none"/>
                <w:shd w:val="clear" w:color="auto" w:fill="auto"/>
                <w:vertAlign w:val="baseline"/>
                <w:lang w:val="en-US" w:eastAsia="zh-CN"/>
              </w:rPr>
            </w:pPr>
            <w:r>
              <w:rPr>
                <w:rFonts w:hint="eastAsia" w:ascii="仿宋_GB2312" w:hAnsi="仿宋_GB2312" w:eastAsia="仿宋_GB2312" w:cs="仿宋_GB2312"/>
                <w:b/>
                <w:bCs/>
                <w:color w:val="auto"/>
                <w:kern w:val="2"/>
                <w:sz w:val="24"/>
                <w:szCs w:val="24"/>
                <w:shd w:val="clear" w:color="auto" w:fill="auto"/>
                <w:lang w:val="en-US" w:eastAsia="zh-CN" w:bidi="ar-SA"/>
              </w:rPr>
              <w:t>2.陕西省</w:t>
            </w:r>
            <w:r>
              <w:rPr>
                <w:rFonts w:hint="eastAsia" w:ascii="仿宋_GB2312" w:hAnsi="仿宋_GB2312" w:eastAsia="仿宋_GB2312" w:cs="仿宋_GB2312"/>
                <w:b/>
                <w:bCs/>
                <w:color w:val="auto"/>
                <w:sz w:val="24"/>
                <w:szCs w:val="24"/>
                <w:shd w:val="clear" w:color="auto" w:fill="auto"/>
                <w:lang w:eastAsia="zh-CN"/>
              </w:rPr>
              <w:t>建立项目审批</w:t>
            </w:r>
            <w:r>
              <w:rPr>
                <w:rFonts w:hint="eastAsia" w:ascii="仿宋_GB2312" w:hAnsi="仿宋_GB2312" w:eastAsia="仿宋_GB2312" w:cs="仿宋_GB2312"/>
                <w:b/>
                <w:bCs/>
                <w:color w:val="auto"/>
                <w:sz w:val="24"/>
                <w:szCs w:val="24"/>
                <w:shd w:val="clear" w:color="auto" w:fill="auto"/>
              </w:rPr>
              <w:t>“绿色通道”</w:t>
            </w:r>
            <w:r>
              <w:rPr>
                <w:rFonts w:hint="eastAsia" w:ascii="仿宋_GB2312" w:hAnsi="仿宋_GB2312" w:eastAsia="仿宋_GB2312" w:cs="仿宋_GB2312"/>
                <w:b/>
                <w:bCs/>
                <w:color w:val="auto"/>
                <w:sz w:val="24"/>
                <w:szCs w:val="24"/>
                <w:shd w:val="clear" w:color="auto" w:fill="auto"/>
                <w:lang w:eastAsia="zh-CN"/>
              </w:rPr>
              <w:t>。</w:t>
            </w:r>
            <w:r>
              <w:rPr>
                <w:rFonts w:hint="eastAsia" w:ascii="仿宋_GB2312" w:hAnsi="仿宋_GB2312" w:eastAsia="仿宋_GB2312" w:cs="仿宋_GB2312"/>
                <w:color w:val="auto"/>
                <w:kern w:val="2"/>
                <w:sz w:val="24"/>
                <w:szCs w:val="24"/>
                <w:shd w:val="clear" w:color="auto" w:fill="auto"/>
                <w:lang w:val="en-US" w:eastAsia="zh-CN" w:bidi="ar-SA"/>
              </w:rPr>
              <w:t>印发《关于试行简化特定政府投资项目审批管理的通知》，对于总投资在3000万元（含）以下且不涉及新增建设用地的非跨县（区）的管网建设（含排水、供热、燃气设施建设和改造）项目，可将项目建议书、可行性研究报告、初步设计合并为初步设计（代可行性研究报告）一次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楷体_GB2312" w:hAnsi="楷体_GB2312" w:eastAsia="楷体_GB2312" w:cs="楷体_GB2312"/>
                <w:b/>
                <w:bCs/>
                <w:color w:val="auto"/>
                <w:sz w:val="24"/>
                <w:szCs w:val="24"/>
                <w:u w:val="none"/>
                <w:shd w:val="clear" w:color="auto" w:fill="auto"/>
                <w:vertAlign w:val="baseline"/>
                <w:lang w:val="en-US" w:eastAsia="zh-CN"/>
              </w:rPr>
              <w:t>（二）切实做好价格管理工作</w:t>
            </w:r>
          </w:p>
        </w:tc>
        <w:tc>
          <w:tcPr>
            <w:tcW w:w="10885" w:type="dxa"/>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color w:val="auto"/>
                <w:sz w:val="24"/>
                <w:szCs w:val="24"/>
                <w:u w:val="none"/>
                <w:shd w:val="clear" w:color="auto" w:fill="auto"/>
                <w:vertAlign w:val="baseline"/>
                <w:lang w:val="en-US" w:eastAsia="zh-CN"/>
              </w:rPr>
            </w:pPr>
            <w:r>
              <w:rPr>
                <w:rFonts w:hint="eastAsia" w:ascii="仿宋_GB2312" w:hAnsi="仿宋_GB2312" w:eastAsia="仿宋_GB2312" w:cs="仿宋_GB2312"/>
                <w:b/>
                <w:bCs/>
                <w:color w:val="auto"/>
                <w:sz w:val="24"/>
                <w:szCs w:val="24"/>
                <w:lang w:val="en-US" w:eastAsia="zh-CN"/>
              </w:rPr>
              <w:t>广州市探索</w:t>
            </w:r>
            <w:r>
              <w:rPr>
                <w:rFonts w:hint="eastAsia" w:ascii="仿宋_GB2312" w:hAnsi="仿宋_GB2312" w:eastAsia="仿宋_GB2312" w:cs="仿宋_GB2312"/>
                <w:b/>
                <w:bCs/>
                <w:color w:val="auto"/>
                <w:sz w:val="24"/>
                <w:szCs w:val="24"/>
              </w:rPr>
              <w:t>理顺价格机制。</w:t>
            </w:r>
            <w:r>
              <w:rPr>
                <w:rFonts w:hint="eastAsia" w:ascii="仿宋_GB2312" w:hAnsi="仿宋_GB2312" w:eastAsia="仿宋_GB2312" w:cs="仿宋_GB2312"/>
                <w:color w:val="auto"/>
                <w:sz w:val="24"/>
                <w:szCs w:val="24"/>
              </w:rPr>
              <w:t>探索将城市燃气</w:t>
            </w:r>
            <w:r>
              <w:rPr>
                <w:rFonts w:hint="eastAsia" w:ascii="仿宋_GB2312" w:hAnsi="仿宋_GB2312" w:eastAsia="仿宋_GB2312" w:cs="仿宋_GB2312"/>
                <w:color w:val="auto"/>
                <w:sz w:val="24"/>
                <w:szCs w:val="24"/>
                <w:lang w:eastAsia="zh-CN"/>
              </w:rPr>
              <w:t>管道</w:t>
            </w:r>
            <w:r>
              <w:rPr>
                <w:rFonts w:hint="eastAsia" w:ascii="仿宋_GB2312" w:hAnsi="仿宋_GB2312" w:eastAsia="仿宋_GB2312" w:cs="仿宋_GB2312"/>
                <w:color w:val="auto"/>
                <w:sz w:val="24"/>
                <w:szCs w:val="24"/>
              </w:rPr>
              <w:t>老化更新改造投资、维修及安全生产投入等成本费用</w:t>
            </w:r>
            <w:r>
              <w:rPr>
                <w:rFonts w:hint="eastAsia" w:ascii="仿宋_GB2312" w:hAnsi="仿宋_GB2312" w:eastAsia="仿宋_GB2312" w:cs="仿宋_GB2312"/>
                <w:color w:val="auto"/>
                <w:sz w:val="24"/>
                <w:szCs w:val="24"/>
                <w:lang w:eastAsia="zh-CN"/>
              </w:rPr>
              <w:t>计入</w:t>
            </w:r>
            <w:r>
              <w:rPr>
                <w:rFonts w:hint="eastAsia" w:ascii="仿宋_GB2312" w:hAnsi="仿宋_GB2312" w:eastAsia="仿宋_GB2312" w:cs="仿宋_GB2312"/>
                <w:color w:val="auto"/>
                <w:sz w:val="24"/>
                <w:szCs w:val="24"/>
              </w:rPr>
              <w:t>定价成本，第一次启动广州市非居民管道燃气销售价格动态调整，从2023年1月20日起最高限价提升为4.60元/立方米。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楷体_GB2312" w:hAnsi="楷体_GB2312" w:eastAsia="楷体_GB2312" w:cs="楷体_GB2312"/>
                <w:b/>
                <w:bCs/>
                <w:color w:val="auto"/>
                <w:sz w:val="24"/>
                <w:szCs w:val="24"/>
                <w:highlight w:val="none"/>
                <w:u w:val="none"/>
                <w:shd w:val="clear" w:color="auto" w:fill="auto"/>
                <w:vertAlign w:val="baseline"/>
                <w:lang w:eastAsia="zh-CN"/>
              </w:rPr>
              <w:t>（</w:t>
            </w:r>
            <w:r>
              <w:rPr>
                <w:rFonts w:hint="eastAsia" w:ascii="楷体_GB2312" w:hAnsi="楷体_GB2312" w:eastAsia="楷体_GB2312" w:cs="楷体_GB2312"/>
                <w:b/>
                <w:bCs/>
                <w:color w:val="auto"/>
                <w:sz w:val="24"/>
                <w:szCs w:val="24"/>
                <w:highlight w:val="none"/>
                <w:u w:val="none"/>
                <w:shd w:val="clear" w:color="auto" w:fill="auto"/>
                <w:vertAlign w:val="baseline"/>
                <w:lang w:val="en-US" w:eastAsia="zh-CN"/>
              </w:rPr>
              <w:t>三</w:t>
            </w:r>
            <w:r>
              <w:rPr>
                <w:rFonts w:hint="eastAsia" w:ascii="楷体_GB2312" w:hAnsi="楷体_GB2312" w:eastAsia="楷体_GB2312" w:cs="楷体_GB2312"/>
                <w:b/>
                <w:bCs/>
                <w:color w:val="auto"/>
                <w:sz w:val="24"/>
                <w:szCs w:val="24"/>
                <w:highlight w:val="none"/>
                <w:u w:val="none"/>
                <w:shd w:val="clear" w:color="auto" w:fill="auto"/>
                <w:vertAlign w:val="baseline"/>
                <w:lang w:eastAsia="zh-CN"/>
              </w:rPr>
              <w:t>）加强技术标准支撑</w:t>
            </w:r>
          </w:p>
        </w:tc>
        <w:tc>
          <w:tcPr>
            <w:tcW w:w="10885" w:type="dxa"/>
            <w:vAlign w:val="center"/>
          </w:tcPr>
          <w:p>
            <w:pPr>
              <w:pStyle w:val="3"/>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b/>
                <w:bCs/>
                <w:strike w:val="0"/>
                <w:dstrike w:val="0"/>
                <w:color w:val="auto"/>
                <w:kern w:val="2"/>
                <w:sz w:val="24"/>
                <w:szCs w:val="24"/>
                <w:shd w:val="clear" w:color="auto" w:fill="auto"/>
                <w:lang w:val="en-US" w:eastAsia="zh-CN" w:bidi="ar-SA"/>
              </w:rPr>
              <w:t>1.</w:t>
            </w:r>
            <w:r>
              <w:rPr>
                <w:rFonts w:hint="eastAsia" w:ascii="仿宋_GB2312" w:hAnsi="仿宋_GB2312" w:eastAsia="仿宋_GB2312" w:cs="仿宋_GB2312"/>
                <w:b/>
                <w:bCs/>
                <w:strike w:val="0"/>
                <w:dstrike w:val="0"/>
                <w:color w:val="auto"/>
                <w:sz w:val="24"/>
                <w:szCs w:val="24"/>
                <w:lang w:val="en-US" w:eastAsia="zh-CN"/>
              </w:rPr>
              <w:t>江西省组建城镇燃气行业专家库。</w:t>
            </w:r>
            <w:r>
              <w:rPr>
                <w:rFonts w:hint="eastAsia" w:ascii="仿宋_GB2312" w:hAnsi="仿宋_GB2312" w:eastAsia="仿宋_GB2312" w:cs="仿宋_GB2312"/>
                <w:strike w:val="0"/>
                <w:dstrike w:val="0"/>
                <w:color w:val="auto"/>
                <w:sz w:val="24"/>
                <w:szCs w:val="24"/>
                <w:lang w:val="en-US" w:eastAsia="zh-CN"/>
              </w:rPr>
              <w:t>印发《关于公布江西省市政公用工程建设专家库成员名单的通知》，正式组建行业专家库，为强化行业管理，推进城市燃气管道老化更新改造和隐患排查整治，组织安全生产标准化建设及参与事故案件调查分析等提供专业咨询和技术指导。</w:t>
            </w:r>
          </w:p>
          <w:p>
            <w:pPr>
              <w:pStyle w:val="3"/>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color w:val="auto"/>
                <w:sz w:val="24"/>
                <w:szCs w:val="24"/>
                <w:u w:val="none"/>
                <w:shd w:val="clear" w:color="auto" w:fill="auto"/>
                <w:vertAlign w:val="baseline"/>
                <w:lang w:val="en-US" w:eastAsia="zh-CN"/>
              </w:rPr>
            </w:pPr>
            <w:r>
              <w:rPr>
                <w:rFonts w:hint="eastAsia" w:ascii="仿宋_GB2312" w:hAnsi="仿宋_GB2312" w:eastAsia="仿宋_GB2312" w:cs="仿宋_GB2312"/>
                <w:b/>
                <w:bCs/>
                <w:color w:val="auto"/>
                <w:kern w:val="2"/>
                <w:sz w:val="24"/>
                <w:szCs w:val="24"/>
                <w:shd w:val="clear" w:color="auto" w:fill="auto"/>
                <w:lang w:val="en-US" w:eastAsia="zh-CN" w:bidi="ar-SA"/>
              </w:rPr>
              <w:t>2.</w:t>
            </w:r>
            <w:r>
              <w:rPr>
                <w:rFonts w:hint="eastAsia" w:ascii="仿宋_GB2312" w:hAnsi="仿宋_GB2312" w:eastAsia="仿宋_GB2312" w:cs="仿宋_GB2312"/>
                <w:b/>
                <w:bCs/>
                <w:color w:val="auto"/>
                <w:sz w:val="24"/>
                <w:szCs w:val="24"/>
                <w:lang w:val="en-US" w:eastAsia="zh-CN"/>
              </w:rPr>
              <w:t>广州市完善技术支持措施。</w:t>
            </w:r>
            <w:r>
              <w:rPr>
                <w:rFonts w:hint="eastAsia" w:ascii="仿宋_GB2312" w:hAnsi="仿宋_GB2312" w:eastAsia="仿宋_GB2312" w:cs="仿宋_GB2312"/>
                <w:bCs/>
                <w:color w:val="auto"/>
                <w:sz w:val="24"/>
                <w:szCs w:val="24"/>
              </w:rPr>
              <w:t>印发实施《广州市老化燃气管道设施更新改造工作技术指引》《广州市燃气管道设施老化评估工作指南》，按照因地制宜、一区一策为项目实施提供</w:t>
            </w:r>
            <w:r>
              <w:rPr>
                <w:rFonts w:hint="eastAsia" w:ascii="仿宋_GB2312" w:hAnsi="仿宋_GB2312" w:eastAsia="仿宋_GB2312" w:cs="仿宋_GB2312"/>
                <w:bCs/>
                <w:color w:val="auto"/>
                <w:sz w:val="24"/>
                <w:szCs w:val="24"/>
                <w:lang w:eastAsia="zh-CN"/>
              </w:rPr>
              <w:t>技术</w:t>
            </w:r>
            <w:r>
              <w:rPr>
                <w:rFonts w:hint="eastAsia" w:ascii="仿宋_GB2312" w:hAnsi="仿宋_GB2312" w:eastAsia="仿宋_GB2312" w:cs="仿宋_GB2312"/>
                <w:bCs/>
                <w:color w:val="auto"/>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楷体_GB2312" w:hAnsi="楷体_GB2312" w:eastAsia="楷体_GB2312" w:cs="楷体_GB2312"/>
                <w:b/>
                <w:bCs/>
                <w:color w:val="auto"/>
                <w:sz w:val="24"/>
                <w:szCs w:val="24"/>
                <w:u w:val="none"/>
                <w:shd w:val="clear" w:color="auto" w:fill="auto"/>
                <w:vertAlign w:val="baseline"/>
                <w:lang w:val="en-US" w:eastAsia="zh-CN"/>
              </w:rPr>
              <w:t>（四）强化市场治理和监管</w:t>
            </w:r>
          </w:p>
        </w:tc>
        <w:tc>
          <w:tcPr>
            <w:tcW w:w="10885" w:type="dxa"/>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color w:val="auto"/>
                <w:sz w:val="24"/>
                <w:szCs w:val="24"/>
                <w:u w:val="none"/>
                <w:shd w:val="clear" w:color="auto" w:fill="auto"/>
                <w:vertAlign w:val="baseline"/>
                <w:lang w:val="en-US" w:eastAsia="zh-CN"/>
              </w:rPr>
            </w:pPr>
            <w:r>
              <w:rPr>
                <w:rFonts w:hint="eastAsia" w:ascii="仿宋_GB2312" w:hAnsi="仿宋_GB2312" w:eastAsia="仿宋_GB2312" w:cs="仿宋_GB2312"/>
                <w:b/>
                <w:bCs/>
                <w:color w:val="auto"/>
                <w:sz w:val="24"/>
                <w:szCs w:val="24"/>
              </w:rPr>
              <w:t>山东省潍坊市推进市场规模化、专业化发展。</w:t>
            </w:r>
            <w:r>
              <w:rPr>
                <w:rFonts w:hint="eastAsia" w:ascii="仿宋_GB2312" w:hAnsi="仿宋_GB2312" w:eastAsia="仿宋_GB2312" w:cs="仿宋_GB2312"/>
                <w:b w:val="0"/>
                <w:bCs w:val="0"/>
                <w:color w:val="auto"/>
                <w:sz w:val="24"/>
                <w:szCs w:val="24"/>
              </w:rPr>
              <w:t>2022年潍坊市累计撤并老旧液化</w:t>
            </w:r>
            <w:r>
              <w:rPr>
                <w:rFonts w:hint="eastAsia" w:ascii="仿宋_GB2312" w:hAnsi="仿宋_GB2312" w:eastAsia="仿宋_GB2312" w:cs="仿宋_GB2312"/>
                <w:b w:val="0"/>
                <w:bCs w:val="0"/>
                <w:color w:val="auto"/>
                <w:sz w:val="24"/>
                <w:szCs w:val="24"/>
                <w:lang w:eastAsia="zh-CN"/>
              </w:rPr>
              <w:t>石油</w:t>
            </w:r>
            <w:r>
              <w:rPr>
                <w:rFonts w:hint="eastAsia" w:ascii="仿宋_GB2312" w:hAnsi="仿宋_GB2312" w:eastAsia="仿宋_GB2312" w:cs="仿宋_GB2312"/>
                <w:b w:val="0"/>
                <w:bCs w:val="0"/>
                <w:color w:val="auto"/>
                <w:sz w:val="24"/>
                <w:szCs w:val="24"/>
              </w:rPr>
              <w:t>气站91座</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完成96万只钢瓶建档赋码，初步建立统一化、专业化配送体系</w:t>
            </w:r>
            <w:r>
              <w:rPr>
                <w:rFonts w:hint="eastAsia" w:ascii="仿宋_GB2312" w:hAnsi="仿宋_GB2312" w:eastAsia="仿宋_GB2312" w:cs="仿宋_GB2312"/>
                <w:b w:val="0"/>
                <w:bCs w:val="0"/>
                <w:color w:val="auto"/>
                <w:sz w:val="24"/>
                <w:szCs w:val="24"/>
                <w:lang w:eastAsia="zh-CN"/>
              </w:rPr>
              <w:t>，同时</w:t>
            </w:r>
            <w:r>
              <w:rPr>
                <w:rFonts w:hint="eastAsia" w:ascii="仿宋_GB2312" w:hAnsi="仿宋_GB2312" w:eastAsia="仿宋_GB2312" w:cs="仿宋_GB2312"/>
                <w:b w:val="0"/>
                <w:bCs w:val="0"/>
                <w:color w:val="auto"/>
                <w:sz w:val="24"/>
                <w:szCs w:val="24"/>
              </w:rPr>
              <w:t>持续推进餐饮场所“瓶改管”“气改电”，年内累计完成餐饮经营单位“瓶改管”1200余家、“气改电”800余家，全市148个大中型商超瓶装液化石油气</w:t>
            </w:r>
            <w:r>
              <w:rPr>
                <w:rFonts w:hint="eastAsia" w:ascii="仿宋_GB2312" w:hAnsi="仿宋_GB2312" w:eastAsia="仿宋_GB2312" w:cs="仿宋_GB2312"/>
                <w:b w:val="0"/>
                <w:bCs w:val="0"/>
                <w:color w:val="auto"/>
                <w:sz w:val="24"/>
                <w:szCs w:val="24"/>
                <w:lang w:eastAsia="zh-CN"/>
              </w:rPr>
              <w:t>全部替换。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楷体_GB2312" w:hAnsi="楷体_GB2312" w:eastAsia="楷体_GB2312" w:cs="楷体_GB2312"/>
                <w:b/>
                <w:bCs/>
                <w:color w:val="auto"/>
                <w:sz w:val="24"/>
                <w:szCs w:val="24"/>
                <w:highlight w:val="none"/>
                <w:u w:val="none"/>
                <w:shd w:val="clear" w:color="auto" w:fill="auto"/>
                <w:vertAlign w:val="baseline"/>
                <w:lang w:eastAsia="zh-CN"/>
              </w:rPr>
              <w:t>（</w:t>
            </w:r>
            <w:r>
              <w:rPr>
                <w:rFonts w:hint="eastAsia" w:ascii="楷体_GB2312" w:hAnsi="楷体_GB2312" w:eastAsia="楷体_GB2312" w:cs="楷体_GB2312"/>
                <w:b/>
                <w:bCs/>
                <w:color w:val="auto"/>
                <w:sz w:val="24"/>
                <w:szCs w:val="24"/>
                <w:highlight w:val="none"/>
                <w:u w:val="none"/>
                <w:shd w:val="clear" w:color="auto" w:fill="auto"/>
                <w:vertAlign w:val="baseline"/>
                <w:lang w:val="en-US" w:eastAsia="zh-CN"/>
              </w:rPr>
              <w:t>五</w:t>
            </w:r>
            <w:r>
              <w:rPr>
                <w:rFonts w:hint="eastAsia" w:ascii="楷体_GB2312" w:hAnsi="楷体_GB2312" w:eastAsia="楷体_GB2312" w:cs="楷体_GB2312"/>
                <w:b/>
                <w:bCs/>
                <w:color w:val="auto"/>
                <w:sz w:val="24"/>
                <w:szCs w:val="24"/>
                <w:highlight w:val="none"/>
                <w:u w:val="none"/>
                <w:shd w:val="clear" w:color="auto" w:fill="auto"/>
                <w:vertAlign w:val="baseline"/>
                <w:lang w:eastAsia="zh-CN"/>
              </w:rPr>
              <w:t>）推动法治化和规范化管理</w:t>
            </w:r>
          </w:p>
        </w:tc>
        <w:tc>
          <w:tcPr>
            <w:tcW w:w="10885" w:type="dxa"/>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color w:val="auto"/>
                <w:sz w:val="24"/>
                <w:szCs w:val="24"/>
                <w:u w:val="none"/>
                <w:shd w:val="clear" w:color="auto" w:fill="auto"/>
                <w:vertAlign w:val="baseline"/>
                <w:lang w:val="en-US" w:eastAsia="zh-CN"/>
              </w:rPr>
            </w:pPr>
            <w:r>
              <w:rPr>
                <w:rFonts w:hint="eastAsia" w:ascii="仿宋_GB2312" w:hAnsi="仿宋_GB2312" w:eastAsia="仿宋_GB2312" w:cs="仿宋_GB2312"/>
                <w:b/>
                <w:bCs/>
                <w:color w:val="auto"/>
                <w:kern w:val="0"/>
                <w:sz w:val="24"/>
                <w:szCs w:val="24"/>
              </w:rPr>
              <w:t>湖北省宜昌市严格监管执法。</w:t>
            </w:r>
            <w:r>
              <w:rPr>
                <w:rFonts w:hint="eastAsia" w:ascii="仿宋_GB2312" w:hAnsi="仿宋_GB2312" w:eastAsia="仿宋_GB2312" w:cs="仿宋_GB2312"/>
                <w:color w:val="auto"/>
                <w:kern w:val="0"/>
                <w:sz w:val="24"/>
                <w:szCs w:val="24"/>
                <w:lang w:eastAsia="zh-CN"/>
              </w:rPr>
              <w:t>印发</w:t>
            </w:r>
            <w:r>
              <w:rPr>
                <w:rFonts w:hint="eastAsia" w:ascii="仿宋_GB2312" w:hAnsi="仿宋_GB2312" w:eastAsia="仿宋_GB2312" w:cs="仿宋_GB2312"/>
                <w:color w:val="auto"/>
                <w:kern w:val="0"/>
                <w:sz w:val="24"/>
                <w:szCs w:val="24"/>
              </w:rPr>
              <w:t>《关于严格规范工程建设管理确保供水燃气管线设施安全的紧急通知》，实施严格“四项要件”核查制度，对燃气管线设施保护范围内的施工项目实施动态监管，施工破坏管线事件下降75%</w:t>
            </w:r>
            <w:r>
              <w:rPr>
                <w:rFonts w:hint="eastAsia" w:ascii="仿宋_GB2312" w:hAnsi="仿宋_GB2312" w:eastAsia="仿宋_GB2312" w:cs="仿宋_GB2312"/>
                <w:color w:val="auto"/>
                <w:kern w:val="0"/>
                <w:sz w:val="24"/>
                <w:szCs w:val="24"/>
                <w:lang w:val="zh-CN"/>
              </w:rPr>
              <w:t>。建立</w:t>
            </w:r>
            <w:r>
              <w:rPr>
                <w:rFonts w:hint="eastAsia" w:ascii="仿宋_GB2312" w:hAnsi="仿宋_GB2312" w:eastAsia="仿宋_GB2312" w:cs="仿宋_GB2312"/>
                <w:color w:val="auto"/>
                <w:kern w:val="0"/>
                <w:sz w:val="24"/>
                <w:szCs w:val="24"/>
              </w:rPr>
              <w:t>联合办理燃气领域违法违规案件工作机制，推动行政处罚和刑事司法高效衔接。2022年累计实施燃气领域处罚19次，罚没223.9万元，停止供气27</w:t>
            </w:r>
            <w:r>
              <w:rPr>
                <w:rFonts w:hint="eastAsia" w:ascii="仿宋_GB2312" w:hAnsi="仿宋_GB2312" w:eastAsia="仿宋_GB2312" w:cs="仿宋_GB2312"/>
                <w:b w:val="0"/>
                <w:bCs w:val="0"/>
                <w:color w:val="auto"/>
                <w:kern w:val="0"/>
                <w:sz w:val="24"/>
                <w:szCs w:val="24"/>
              </w:rPr>
              <w:t>家</w:t>
            </w:r>
            <w:r>
              <w:rPr>
                <w:rFonts w:hint="eastAsia" w:ascii="仿宋_GB2312" w:hAnsi="仿宋_GB2312" w:eastAsia="仿宋_GB2312" w:cs="仿宋_GB2312"/>
                <w:b w:val="0"/>
                <w:bCs w:val="0"/>
                <w:color w:val="auto"/>
                <w:kern w:val="0"/>
                <w:sz w:val="24"/>
                <w:szCs w:val="24"/>
                <w:lang w:eastAsia="zh-CN"/>
              </w:rPr>
              <w:t>，</w:t>
            </w:r>
            <w:r>
              <w:rPr>
                <w:rFonts w:hint="eastAsia" w:ascii="仿宋_GB2312" w:hAnsi="仿宋_GB2312" w:eastAsia="仿宋_GB2312" w:cs="仿宋_GB2312"/>
                <w:b w:val="0"/>
                <w:bCs w:val="0"/>
                <w:color w:val="auto"/>
                <w:kern w:val="0"/>
                <w:sz w:val="24"/>
                <w:szCs w:val="24"/>
              </w:rPr>
              <w:t>重塑营商环境。在全</w:t>
            </w:r>
            <w:r>
              <w:rPr>
                <w:rFonts w:hint="eastAsia" w:ascii="仿宋_GB2312" w:hAnsi="仿宋_GB2312" w:eastAsia="仿宋_GB2312" w:cs="仿宋_GB2312"/>
                <w:color w:val="auto"/>
                <w:kern w:val="0"/>
                <w:sz w:val="24"/>
                <w:szCs w:val="24"/>
              </w:rPr>
              <w:t>省率先实行红线外“零收费”，红线内安装工程“放开市场、自愿委托、清单管理、分档限价”。发布燃气准许收费项目清单，测算服务收费价格，燃气服务性综合费用降低30%以上，全市燃气投诉下降94%。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黑体" w:hAnsi="黑体" w:eastAsia="黑体" w:cs="黑体"/>
                <w:color w:val="auto"/>
                <w:sz w:val="24"/>
                <w:szCs w:val="24"/>
                <w:u w:val="none"/>
                <w:shd w:val="clear" w:color="auto" w:fill="auto"/>
                <w:vertAlign w:val="baseline"/>
                <w:lang w:val="en-US" w:eastAsia="zh-CN"/>
              </w:rPr>
            </w:pPr>
          </w:p>
        </w:tc>
        <w:tc>
          <w:tcPr>
            <w:tcW w:w="8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_GB2312" w:hAnsi="楷体_GB2312" w:eastAsia="楷体_GB2312" w:cs="楷体_GB2312"/>
                <w:b/>
                <w:bCs/>
                <w:color w:val="auto"/>
                <w:sz w:val="24"/>
                <w:szCs w:val="24"/>
                <w:u w:val="none"/>
                <w:shd w:val="clear" w:color="auto" w:fill="auto"/>
                <w:vertAlign w:val="baseline"/>
                <w:lang w:val="en-US" w:eastAsia="zh-CN"/>
              </w:rPr>
            </w:pPr>
            <w:r>
              <w:rPr>
                <w:rFonts w:hint="eastAsia" w:ascii="楷体_GB2312" w:hAnsi="楷体_GB2312" w:eastAsia="楷体_GB2312" w:cs="楷体_GB2312"/>
                <w:b/>
                <w:bCs/>
                <w:color w:val="auto"/>
                <w:sz w:val="24"/>
                <w:szCs w:val="24"/>
                <w:u w:val="none"/>
                <w:shd w:val="clear" w:color="auto" w:fill="auto"/>
                <w:vertAlign w:val="baseline"/>
                <w:lang w:val="en-US" w:eastAsia="zh-CN"/>
              </w:rPr>
              <w:t>（六）强化组织保障</w:t>
            </w:r>
          </w:p>
        </w:tc>
        <w:tc>
          <w:tcPr>
            <w:tcW w:w="1088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 xml:space="preserve">    1.</w:t>
            </w:r>
            <w:r>
              <w:rPr>
                <w:rFonts w:hint="eastAsia" w:ascii="仿宋_GB2312" w:hAnsi="仿宋_GB2312" w:eastAsia="仿宋_GB2312" w:cs="仿宋_GB2312"/>
                <w:b/>
                <w:bCs/>
                <w:sz w:val="24"/>
                <w:szCs w:val="24"/>
                <w:lang w:eastAsia="zh-CN"/>
              </w:rPr>
              <w:t>江西省注重工作调度和</w:t>
            </w:r>
            <w:r>
              <w:rPr>
                <w:rFonts w:hint="eastAsia" w:ascii="仿宋_GB2312" w:hAnsi="仿宋_GB2312" w:eastAsia="仿宋_GB2312" w:cs="仿宋_GB2312"/>
                <w:b/>
                <w:bCs/>
                <w:sz w:val="24"/>
                <w:szCs w:val="24"/>
              </w:rPr>
              <w:t>跟踪督导</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rPr>
              <w:t>实行每半月调度、不定时开展工作提醒，</w:t>
            </w:r>
            <w:r>
              <w:rPr>
                <w:rFonts w:hint="eastAsia" w:ascii="仿宋_GB2312" w:hAnsi="仿宋_GB2312" w:eastAsia="仿宋_GB2312" w:cs="仿宋_GB2312"/>
                <w:sz w:val="24"/>
                <w:szCs w:val="24"/>
                <w:lang w:eastAsia="zh-CN"/>
              </w:rPr>
              <w:t>并以</w:t>
            </w:r>
            <w:r>
              <w:rPr>
                <w:rFonts w:hint="eastAsia" w:ascii="仿宋_GB2312" w:hAnsi="仿宋_GB2312" w:eastAsia="仿宋_GB2312" w:cs="仿宋_GB2312"/>
                <w:sz w:val="24"/>
                <w:szCs w:val="24"/>
              </w:rPr>
              <w:t>省安委会名义书面对滞后的设区市政府发工作通报、提示函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对个别工作进展缓慢地区进行约谈和现场督导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传导工作压力</w:t>
            </w:r>
            <w:r>
              <w:rPr>
                <w:rFonts w:hint="eastAsia" w:ascii="仿宋_GB2312" w:hAnsi="仿宋_GB2312" w:eastAsia="仿宋_GB2312" w:cs="仿宋_GB2312"/>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color w:val="auto"/>
                <w:sz w:val="24"/>
                <w:szCs w:val="24"/>
                <w:u w:val="none"/>
                <w:shd w:val="clear" w:color="auto" w:fill="auto"/>
                <w:vertAlign w:val="baseline"/>
                <w:lang w:val="en-US" w:eastAsia="zh-CN"/>
              </w:rPr>
            </w:pPr>
            <w:r>
              <w:rPr>
                <w:rFonts w:hint="eastAsia" w:ascii="仿宋_GB2312" w:hAnsi="仿宋_GB2312" w:eastAsia="仿宋_GB2312" w:cs="仿宋_GB2312"/>
                <w:b/>
                <w:bCs/>
                <w:color w:val="auto"/>
                <w:kern w:val="2"/>
                <w:sz w:val="24"/>
                <w:szCs w:val="24"/>
                <w:shd w:val="clear" w:color="auto" w:fill="auto"/>
                <w:vertAlign w:val="baseline"/>
                <w:lang w:val="en-US" w:eastAsia="zh-CN" w:bidi="ar-SA"/>
              </w:rPr>
              <w:t>2.江苏省南京市树立“蓝精宁”党员服务队品牌形象。</w:t>
            </w:r>
            <w:r>
              <w:rPr>
                <w:rFonts w:hint="eastAsia" w:ascii="仿宋_GB2312" w:hAnsi="仿宋_GB2312" w:eastAsia="仿宋_GB2312" w:cs="仿宋_GB2312"/>
                <w:b w:val="0"/>
                <w:bCs w:val="0"/>
                <w:color w:val="auto"/>
                <w:kern w:val="2"/>
                <w:sz w:val="24"/>
                <w:szCs w:val="24"/>
                <w:shd w:val="clear" w:color="auto" w:fill="auto"/>
                <w:vertAlign w:val="baseline"/>
                <w:lang w:val="en-US" w:eastAsia="zh-CN" w:bidi="ar-SA"/>
              </w:rPr>
              <w:t>在实施更新改造工作中，党员干部发挥模范带头作用，积极下沉一线，宣传燃气安全知识、燃气事故警示及安全使用规范，讲解户内燃气管线等设施安全使用操作和注意事项，同时各单位有序安排施工区域、时序、工期，做好交通专项疏导，最大限度减少对群众生活的影响。</w:t>
            </w:r>
          </w:p>
        </w:tc>
      </w:tr>
    </w:tbl>
    <w:p>
      <w:pPr>
        <w:pStyle w:val="7"/>
        <w:ind w:left="0" w:leftChars="0" w:firstLine="0" w:firstLineChars="0"/>
        <w:rPr>
          <w:rFonts w:hint="eastAsia" w:ascii="仿宋_GB2312" w:hAnsi="仿宋_GB2312" w:eastAsia="仿宋_GB2312" w:cs="仿宋_GB2312"/>
          <w:sz w:val="32"/>
          <w:szCs w:val="32"/>
          <w:lang w:val="en-US" w:eastAsia="zh-CN"/>
        </w:rPr>
      </w:pPr>
    </w:p>
    <w:p>
      <w:bookmarkStart w:id="0" w:name="_GoBack"/>
      <w:bookmarkEnd w:id="0"/>
    </w:p>
    <w:sectPr>
      <w:footerReference r:id="rId3" w:type="default"/>
      <w:pgSz w:w="16838" w:h="11906" w:orient="landscape"/>
      <w:pgMar w:top="1417" w:right="1417" w:bottom="1417" w:left="1417" w:header="283" w:footer="850" w:gutter="0"/>
      <w:pgBorders w:offsetFrom="page">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2D858D-215D-458F-B48F-4AEEE816C3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3A138A0-9794-45CE-A5D3-DF8EF0727825}"/>
  </w:font>
  <w:font w:name="方正小标宋_GBK">
    <w:panose1 w:val="02000000000000000000"/>
    <w:charset w:val="86"/>
    <w:family w:val="auto"/>
    <w:pitch w:val="default"/>
    <w:sig w:usb0="A00002BF" w:usb1="38CF7CFA" w:usb2="00082016" w:usb3="00000000" w:csb0="00040001" w:csb1="00000000"/>
    <w:embedRegular r:id="rId3" w:fontKey="{6B359111-A72D-4991-B26C-EB5A1A0381EC}"/>
  </w:font>
  <w:font w:name="楷体_GB2312">
    <w:altName w:val="楷体"/>
    <w:panose1 w:val="02010609030101010101"/>
    <w:charset w:val="86"/>
    <w:family w:val="auto"/>
    <w:pitch w:val="default"/>
    <w:sig w:usb0="00000000" w:usb1="00000000" w:usb2="00000000" w:usb3="00000000" w:csb0="00040000" w:csb1="00000000"/>
    <w:embedRegular r:id="rId4" w:fontKey="{B120B905-98A4-4226-835E-5938BD575675}"/>
  </w:font>
  <w:font w:name="仿宋_GB2312">
    <w:altName w:val="仿宋"/>
    <w:panose1 w:val="02010609030101010101"/>
    <w:charset w:val="86"/>
    <w:family w:val="auto"/>
    <w:pitch w:val="default"/>
    <w:sig w:usb0="00000000" w:usb1="00000000" w:usb2="00000000" w:usb3="00000000" w:csb0="00040000" w:csb1="00000000"/>
    <w:embedRegular r:id="rId5" w:fontKey="{35342061-84A9-477D-A5AC-3B3D0F5A770E}"/>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sz w:val="21"/>
                              <w:szCs w:val="21"/>
                              <w:lang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1"/>
                              <w:szCs w:val="21"/>
                              <w:lang w:val="en-US" w:eastAsia="zh-CN"/>
                            </w:rPr>
                            <w:t xml:space="preserve"> </w:t>
                          </w:r>
                          <w:r>
                            <w:rPr>
                              <w:rFonts w:hint="eastAsia" w:ascii="方正仿宋_GBK" w:hAnsi="方正仿宋_GBK" w:eastAsia="方正仿宋_GBK" w:cs="方正仿宋_GBK"/>
                              <w:sz w:val="21"/>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sz w:val="21"/>
                        <w:szCs w:val="21"/>
                        <w:lang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1"/>
                        <w:szCs w:val="21"/>
                        <w:lang w:val="en-US" w:eastAsia="zh-CN"/>
                      </w:rPr>
                      <w:t xml:space="preserve"> </w:t>
                    </w:r>
                    <w:r>
                      <w:rPr>
                        <w:rFonts w:hint="eastAsia" w:ascii="方正仿宋_GBK" w:hAnsi="方正仿宋_GBK" w:eastAsia="方正仿宋_GBK" w:cs="方正仿宋_GBK"/>
                        <w:sz w:val="21"/>
                        <w:szCs w:val="21"/>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ZDFiOTYwY2FkZGZkNDgxMzdmMWNlMjJhODM1NGIifQ=="/>
  </w:docVars>
  <w:rsids>
    <w:rsidRoot w:val="00000000"/>
    <w:rsid w:val="24F1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宋体"/>
      <w:sz w:val="21"/>
      <w:szCs w:val="21"/>
      <w:lang w:val="en-US" w:eastAsia="zh-CN" w:bidi="ar-SA"/>
    </w:rPr>
  </w:style>
  <w:style w:type="paragraph" w:styleId="3">
    <w:name w:val="Normal Indent"/>
    <w:basedOn w:val="1"/>
    <w:next w:val="1"/>
    <w:qFormat/>
    <w:uiPriority w:val="0"/>
    <w:pPr>
      <w:spacing w:line="360" w:lineRule="auto"/>
      <w:ind w:firstLine="420" w:firstLineChars="200"/>
    </w:pPr>
    <w:rPr>
      <w:rFonts w:ascii="Calibri" w:hAnsi="Calibri" w:eastAsia="宋体" w:cs="Times New Roman"/>
      <w:sz w:val="24"/>
    </w:rPr>
  </w:style>
  <w:style w:type="paragraph" w:styleId="4">
    <w:name w:val="Body Text"/>
    <w:basedOn w:val="1"/>
    <w:next w:val="1"/>
    <w:qFormat/>
    <w:uiPriority w:val="0"/>
    <w:pPr>
      <w:spacing w:after="120" w:afterLines="0"/>
    </w:pPr>
  </w:style>
  <w:style w:type="paragraph" w:styleId="5">
    <w:name w:val="Body Text Indent"/>
    <w:basedOn w:val="1"/>
    <w:semiHidden/>
    <w:unhideWhenUsed/>
    <w:qFormat/>
    <w:uiPriority w:val="99"/>
    <w:pPr>
      <w:spacing w:after="120" w:afterLines="0" w:afterAutospacing="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semiHidden/>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2023-05-10T06:35:39Z</dcterms:created>
  <dc:creator>yanglinyi</dc:creator>
  <cp:lastModifiedBy>tinykerman</cp:lastModifiedBy>
  <dcterms:modified xsi:type="dcterms:W3CDTF">2023-05-10T06:35:52Z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51425D5841CE46708EDF9A0392F8F178_12</vt:lpwstr>
  </property>
</Properties>
</file>