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白云区广海路地块一（石井水泥厂西地块）10～12#楼、13～15#楼超限高层建筑工程抗震设防专家组审查意见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4日，广东省超限高层建筑工程抗震设防审查专家委员会专家组成专家组，召开白云区广海路地块一（石井水泥厂西地块）10～12#楼、13～15#楼超限高层建筑工程抗震设防专项审查会。专家听取了建设单位广州市品灏房地产开发有限公司、设计单位广州地铁设计研究院股份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该项目位于广州市白云区石井街道，东侧为</w:t>
      </w:r>
      <w:bookmarkStart w:id="0" w:name="_GoBack"/>
      <w:bookmarkEnd w:id="0"/>
      <w:r>
        <w:rPr>
          <w:rFonts w:hint="eastAsia" w:ascii="仿宋_GB2312" w:hAnsi="仿宋_GB2312" w:eastAsia="仿宋_GB2312" w:cs="仿宋_GB2312"/>
          <w:sz w:val="32"/>
          <w:szCs w:val="32"/>
          <w:u w:val="none"/>
          <w:lang w:val="en-US" w:eastAsia="zh-CN" w:bidi="ar-SA"/>
        </w:rPr>
        <w:t>黄金围大道（规划路），南至广海路（规划棠槎路），西至珠江西航道，北至煤涌、紧邻槎头车辆段。本次超限审查部分为10-12#楼、13-15#楼六栋塔楼及其连为整体的裙房，建筑功能为住宅。</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无地下室。10-12#楼塔楼26层、建筑面积约41250㎡，与塔楼连为整体的裙房3层、建筑面积约32859㎡，合计74109㎡，结构主要屋面高度95.050m。13-15#楼，塔楼8层、建筑面积约15300㎡，与塔楼连为整体的裙房3层、建筑面积约11200㎡，合计26500㎡，结构主要屋面高度40.250m。本地区抗震设防烈度7度(0.10g)，抗震设防类别为丙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10～12#楼场地类别为Ⅱ类，采用大直径嵌岩灌注桩基础，主体采用钢筋混凝土剪力墙结构体系，存在扭转不规则和偏心布置、凹凸不规则和组合平面（细腰）、尺寸突变（多塔）、局部不规则（局部穿层墙柱、个别构件转换）、抗扭刚度弱等五项不规则项，属于A级高度的超限高层建筑，抗震性能目标为C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13～15#楼场地类别为Ⅲ类，采用大直径嵌岩灌注桩基础，主体采用钢筋混凝土剪力墙结构体系，存在扭转不规则、楼板不连续、尺寸突变（多塔）、局部不规则（局部的穿层柱、个别竖向构件转换）等四项不规则项，属于A级高度的超限高层建筑，抗震性能目标为D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MIDAS或ETABS两个程序对结构按《高层建筑混凝土结构技术规程》JGJ3-2010进行了小震反应谱分析，补充了YJK小震弹性时程分析和中、大震等效弹性计算分析，并采用了PKPM-SAUSAGE进行了罕遇地震动力弹塑性时程分析。计算结果表明，结构的各项控制性指标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本项目10～12#塔楼采用了叠合楼板、预制楼梯、预制沉箱、轻质内隔墙条板等预制构件，其对主体结构抗震安全的影响、与主体结构连接节点构造等应进行专项论证。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1.补充小震作用下多塔模型分析计算，并与单塔模型计算结果比较，取包络设计。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2.建议10-12#楼增设X方向剪力墙，平面周边小墙肢及端柱应按框架柱设计。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3.体型收进层上、下各二层塔楼周边竖向构件的抗震构造等级应提高一级；支承框架梁的连梁，其抗震性能水准应提高。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4.补充完善各细腰部位楼板的地震作用应力分析，必要时采取加强措施，顶部楼层细腰部位楼板宜进一步加厚。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5.短肢剪力墙设计应满足《高规》第7.2.2条的要求。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6.建议13-15＃楼抗震性能目标取C级。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7.进一步补充完善桩的水平承载力验算。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FBBF039"/>
    <w:rsid w:val="6F31594E"/>
    <w:rsid w:val="6F5FCB4B"/>
    <w:rsid w:val="6F7E7C50"/>
    <w:rsid w:val="6FF75223"/>
    <w:rsid w:val="73AD9665"/>
    <w:rsid w:val="76D77BF1"/>
    <w:rsid w:val="76F1AF60"/>
    <w:rsid w:val="7B7DA62D"/>
    <w:rsid w:val="7BDD2781"/>
    <w:rsid w:val="7CFFAAFE"/>
    <w:rsid w:val="7F7F09FE"/>
    <w:rsid w:val="7F9F5CF1"/>
    <w:rsid w:val="A77BE352"/>
    <w:rsid w:val="BEFFEFC0"/>
    <w:rsid w:val="D15BE299"/>
    <w:rsid w:val="D7B7C8B0"/>
    <w:rsid w:val="DBEF0BE8"/>
    <w:rsid w:val="DD6B3ECB"/>
    <w:rsid w:val="F1F7E76A"/>
    <w:rsid w:val="FAD32107"/>
    <w:rsid w:val="FAFF5B6B"/>
    <w:rsid w:val="FEBF0C58"/>
    <w:rsid w:val="FEF7E6BB"/>
    <w:rsid w:val="FFBF7466"/>
    <w:rsid w:val="FFBFACC6"/>
    <w:rsid w:val="FFDA6413"/>
    <w:rsid w:val="FFFAC66B"/>
    <w:rsid w:val="FFFD9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2023-03-14T02:23:00Z</dcterms:created>
  <dc:creator> 曾姿</dc:creator>
  <cp:lastModifiedBy>szj</cp:lastModifiedBy>
  <dcterms:modified xsi:type="dcterms:W3CDTF">2023-04-10T15:22:19Z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