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sz w:val="48"/>
          <w:szCs w:val="48"/>
          <w:lang w:val="en-US" w:eastAsia="zh-CN"/>
        </w:rPr>
      </w:pPr>
      <w:r>
        <w:rPr>
          <w:rFonts w:hint="eastAsia" w:ascii="宋体" w:hAnsi="宋体" w:eastAsia="宋体" w:cs="Times New Roman"/>
          <w:b/>
          <w:bCs/>
          <w:sz w:val="48"/>
          <w:szCs w:val="48"/>
          <w:lang w:val="en-US" w:eastAsia="zh-CN"/>
        </w:rPr>
        <w:t>广东省房屋市政工程有限空间</w:t>
      </w: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sz w:val="48"/>
          <w:szCs w:val="48"/>
          <w:lang w:val="en-US" w:eastAsia="zh-CN"/>
        </w:rPr>
      </w:pPr>
      <w:r>
        <w:rPr>
          <w:rFonts w:hint="eastAsia" w:ascii="宋体" w:hAnsi="宋体" w:eastAsia="宋体" w:cs="Times New Roman"/>
          <w:b/>
          <w:bCs/>
          <w:sz w:val="48"/>
          <w:szCs w:val="48"/>
          <w:lang w:val="en-US" w:eastAsia="zh-CN"/>
        </w:rPr>
        <w:t>安全作业指引</w:t>
      </w: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sz w:val="48"/>
          <w:szCs w:val="48"/>
          <w:lang w:val="en-US" w:eastAsia="zh-CN"/>
        </w:rPr>
      </w:pPr>
      <w:r>
        <w:rPr>
          <w:rFonts w:hint="eastAsia" w:ascii="宋体" w:hAnsi="宋体" w:eastAsia="宋体" w:cs="Times New Roman"/>
          <w:b/>
          <w:bCs/>
          <w:sz w:val="48"/>
          <w:szCs w:val="48"/>
          <w:lang w:val="en-US" w:eastAsia="zh-CN"/>
        </w:rPr>
        <w:t>（征求意见稿）</w:t>
      </w: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kinsoku/>
        <w:wordWrap/>
        <w:overflowPunct/>
        <w:topLinePunct w:val="0"/>
        <w:autoSpaceDE/>
        <w:autoSpaceDN/>
        <w:bidi w:val="0"/>
        <w:spacing w:line="360" w:lineRule="auto"/>
        <w:textAlignment w:val="auto"/>
        <w:rPr>
          <w:rFonts w:hint="eastAsia"/>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r>
        <w:rPr>
          <w:rFonts w:hint="eastAsia" w:ascii="宋体" w:hAnsi="宋体" w:eastAsia="宋体" w:cs="Times New Roman"/>
          <w:b/>
          <w:bCs/>
          <w:color w:val="auto"/>
          <w:sz w:val="40"/>
          <w:szCs w:val="40"/>
          <w:highlight w:val="none"/>
        </w:rPr>
        <w:t>广东省住房和城乡建设厅</w:t>
      </w:r>
    </w:p>
    <w:p>
      <w:pPr>
        <w:pageBreakBefore w:val="0"/>
        <w:widowControl/>
        <w:kinsoku/>
        <w:wordWrap/>
        <w:overflowPunct/>
        <w:topLinePunct w:val="0"/>
        <w:autoSpaceDE/>
        <w:autoSpaceDN/>
        <w:bidi w:val="0"/>
        <w:spacing w:line="360" w:lineRule="auto"/>
        <w:jc w:val="center"/>
        <w:textAlignment w:val="auto"/>
        <w:rPr>
          <w:rFonts w:hint="eastAsia" w:ascii="宋体" w:hAnsi="宋体" w:eastAsia="宋体" w:cs="Times New Roman"/>
          <w:b/>
          <w:bCs/>
          <w:color w:val="auto"/>
          <w:sz w:val="40"/>
          <w:szCs w:val="40"/>
          <w:highlight w:val="none"/>
        </w:rPr>
      </w:pPr>
      <w:r>
        <w:rPr>
          <w:rFonts w:hint="eastAsia" w:ascii="宋体" w:hAnsi="宋体" w:eastAsia="宋体" w:cs="Times New Roman"/>
          <w:b/>
          <w:bCs/>
          <w:color w:val="auto"/>
          <w:sz w:val="40"/>
          <w:szCs w:val="40"/>
          <w:highlight w:val="none"/>
        </w:rPr>
        <w:t>202</w:t>
      </w:r>
      <w:r>
        <w:rPr>
          <w:rFonts w:hint="eastAsia" w:ascii="宋体" w:hAnsi="宋体" w:eastAsia="宋体" w:cs="Times New Roman"/>
          <w:b/>
          <w:bCs/>
          <w:color w:val="auto"/>
          <w:sz w:val="40"/>
          <w:szCs w:val="40"/>
          <w:highlight w:val="none"/>
          <w:lang w:val="en-US" w:eastAsia="zh-CN"/>
        </w:rPr>
        <w:t>3</w:t>
      </w:r>
      <w:r>
        <w:rPr>
          <w:rFonts w:hint="eastAsia" w:ascii="宋体" w:hAnsi="宋体" w:eastAsia="宋体" w:cs="Times New Roman"/>
          <w:b/>
          <w:bCs/>
          <w:color w:val="auto"/>
          <w:sz w:val="40"/>
          <w:szCs w:val="40"/>
          <w:highlight w:val="none"/>
        </w:rPr>
        <w:t>年</w:t>
      </w:r>
      <w:r>
        <w:rPr>
          <w:rFonts w:hint="eastAsia" w:ascii="宋体" w:hAnsi="宋体" w:eastAsia="宋体" w:cs="Times New Roman"/>
          <w:b/>
          <w:bCs/>
          <w:color w:val="auto"/>
          <w:sz w:val="40"/>
          <w:szCs w:val="40"/>
          <w:highlight w:val="none"/>
          <w:lang w:val="en-US" w:eastAsia="zh-CN"/>
        </w:rPr>
        <w:t>3</w:t>
      </w:r>
      <w:r>
        <w:rPr>
          <w:rFonts w:hint="eastAsia" w:ascii="宋体" w:hAnsi="宋体" w:eastAsia="宋体" w:cs="Times New Roman"/>
          <w:b/>
          <w:bCs/>
          <w:color w:val="auto"/>
          <w:sz w:val="40"/>
          <w:szCs w:val="40"/>
          <w:highlight w:val="none"/>
        </w:rPr>
        <w:t>月</w:t>
      </w:r>
    </w:p>
    <w:p>
      <w:pPr>
        <w:rPr>
          <w:rFonts w:hint="eastAsia" w:ascii="宋体" w:hAnsi="宋体" w:eastAsia="宋体" w:cs="宋体"/>
        </w:rPr>
        <w:sectPr>
          <w:pgSz w:w="11906" w:h="16838"/>
          <w:pgMar w:top="1440" w:right="1800" w:bottom="1440" w:left="1800" w:header="851" w:footer="992" w:gutter="0"/>
          <w:cols w:space="425" w:num="1"/>
          <w:docGrid w:type="lines" w:linePitch="312" w:charSpace="0"/>
        </w:sectPr>
      </w:pPr>
    </w:p>
    <w:p>
      <w:pPr>
        <w:pStyle w:val="9"/>
        <w:tabs>
          <w:tab w:val="right" w:leader="dot" w:pos="8306"/>
        </w:tabs>
        <w:jc w:val="center"/>
        <w:rPr>
          <w:rFonts w:hint="default" w:ascii="宋体" w:hAnsi="宋体" w:eastAsia="宋体" w:cs="宋体"/>
          <w:b w:val="0"/>
          <w:bCs w:val="0"/>
          <w:color w:val="auto"/>
          <w:sz w:val="40"/>
          <w:szCs w:val="40"/>
          <w:highlight w:val="none"/>
          <w:lang w:val="en-US" w:eastAsia="zh-CN"/>
        </w:rPr>
      </w:pPr>
      <w:bookmarkStart w:id="0" w:name="_Toc11036"/>
      <w:r>
        <w:rPr>
          <w:rFonts w:hint="eastAsia" w:ascii="宋体" w:hAnsi="宋体" w:eastAsia="宋体" w:cs="宋体"/>
          <w:b w:val="0"/>
          <w:bCs w:val="0"/>
          <w:color w:val="auto"/>
          <w:sz w:val="40"/>
          <w:szCs w:val="40"/>
          <w:highlight w:val="none"/>
          <w:lang w:val="en-US" w:eastAsia="zh-CN"/>
        </w:rPr>
        <w:t>目录</w:t>
      </w:r>
    </w:p>
    <w:p>
      <w:pPr>
        <w:pStyle w:val="9"/>
        <w:tabs>
          <w:tab w:val="right" w:leader="dot" w:pos="8306"/>
        </w:tabs>
        <w:rPr>
          <w:rFonts w:hint="eastAsia" w:ascii="宋体" w:hAnsi="宋体" w:eastAsia="宋体" w:cs="宋体"/>
          <w:sz w:val="32"/>
          <w:szCs w:val="40"/>
        </w:rPr>
      </w:pPr>
      <w:bookmarkStart w:id="1" w:name="_Toc22485"/>
      <w:r>
        <w:rPr>
          <w:rFonts w:hint="eastAsia" w:ascii="宋体" w:hAnsi="宋体" w:eastAsia="宋体" w:cs="宋体"/>
          <w:b/>
          <w:bCs/>
          <w:color w:val="auto"/>
          <w:sz w:val="48"/>
          <w:szCs w:val="48"/>
          <w:highlight w:val="none"/>
          <w:lang w:val="en-US" w:eastAsia="zh-CN"/>
        </w:rPr>
        <w:fldChar w:fldCharType="begin"/>
      </w:r>
      <w:r>
        <w:rPr>
          <w:rFonts w:hint="eastAsia" w:ascii="宋体" w:hAnsi="宋体" w:eastAsia="宋体" w:cs="宋体"/>
          <w:b/>
          <w:bCs/>
          <w:color w:val="auto"/>
          <w:sz w:val="48"/>
          <w:szCs w:val="48"/>
          <w:highlight w:val="none"/>
          <w:lang w:val="en-US" w:eastAsia="zh-CN"/>
        </w:rPr>
        <w:instrText xml:space="preserve">TOC \o "1-1" \h \u </w:instrText>
      </w:r>
      <w:r>
        <w:rPr>
          <w:rFonts w:hint="eastAsia" w:ascii="宋体" w:hAnsi="宋体" w:eastAsia="宋体" w:cs="宋体"/>
          <w:b/>
          <w:bCs/>
          <w:color w:val="auto"/>
          <w:sz w:val="48"/>
          <w:szCs w:val="48"/>
          <w:highlight w:val="none"/>
          <w:lang w:val="en-US" w:eastAsia="zh-CN"/>
        </w:rPr>
        <w:fldChar w:fldCharType="separate"/>
      </w:r>
      <w:r>
        <w:rPr>
          <w:rFonts w:hint="eastAsia" w:ascii="宋体" w:hAnsi="宋体" w:eastAsia="宋体" w:cs="宋体"/>
          <w:bCs/>
          <w:color w:val="auto"/>
          <w:sz w:val="32"/>
          <w:szCs w:val="48"/>
          <w:highlight w:val="none"/>
          <w:lang w:val="en-US" w:eastAsia="zh-CN"/>
        </w:rPr>
        <w:fldChar w:fldCharType="begin"/>
      </w:r>
      <w:r>
        <w:rPr>
          <w:rFonts w:hint="eastAsia" w:ascii="宋体" w:hAnsi="宋体" w:eastAsia="宋体" w:cs="宋体"/>
          <w:bCs/>
          <w:sz w:val="32"/>
          <w:szCs w:val="48"/>
          <w:highlight w:val="none"/>
          <w:lang w:val="en-US" w:eastAsia="zh-CN"/>
        </w:rPr>
        <w:instrText xml:space="preserve"> HYPERLINK \l _Toc6265 </w:instrText>
      </w:r>
      <w:r>
        <w:rPr>
          <w:rFonts w:hint="eastAsia" w:ascii="宋体" w:hAnsi="宋体" w:eastAsia="宋体" w:cs="宋体"/>
          <w:bCs/>
          <w:sz w:val="32"/>
          <w:szCs w:val="48"/>
          <w:highlight w:val="none"/>
          <w:lang w:val="en-US" w:eastAsia="zh-CN"/>
        </w:rPr>
        <w:fldChar w:fldCharType="separate"/>
      </w:r>
      <w:r>
        <w:rPr>
          <w:rFonts w:hint="eastAsia" w:ascii="宋体" w:hAnsi="宋体" w:eastAsia="宋体" w:cs="宋体"/>
          <w:bCs/>
          <w:sz w:val="32"/>
          <w:szCs w:val="48"/>
          <w:highlight w:val="none"/>
          <w:lang w:val="en-US" w:eastAsia="zh-CN"/>
        </w:rPr>
        <w:t>1引言</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_Toc6265 \h </w:instrText>
      </w:r>
      <w:r>
        <w:rPr>
          <w:rFonts w:hint="eastAsia" w:ascii="宋体" w:hAnsi="宋体" w:eastAsia="宋体" w:cs="宋体"/>
          <w:sz w:val="32"/>
          <w:szCs w:val="40"/>
        </w:rPr>
        <w:fldChar w:fldCharType="separate"/>
      </w:r>
      <w:r>
        <w:rPr>
          <w:rFonts w:hint="eastAsia" w:ascii="宋体" w:hAnsi="宋体" w:eastAsia="宋体" w:cs="宋体"/>
          <w:sz w:val="32"/>
          <w:szCs w:val="40"/>
        </w:rPr>
        <w:t>1</w:t>
      </w:r>
      <w:r>
        <w:rPr>
          <w:rFonts w:hint="eastAsia" w:ascii="宋体" w:hAnsi="宋体" w:eastAsia="宋体" w:cs="宋体"/>
          <w:sz w:val="32"/>
          <w:szCs w:val="40"/>
        </w:rPr>
        <w:fldChar w:fldCharType="end"/>
      </w:r>
      <w:r>
        <w:rPr>
          <w:rFonts w:hint="eastAsia" w:ascii="宋体" w:hAnsi="宋体" w:eastAsia="宋体" w:cs="宋体"/>
          <w:bCs/>
          <w:color w:val="auto"/>
          <w:sz w:val="32"/>
          <w:szCs w:val="48"/>
          <w:highlight w:val="none"/>
          <w:lang w:val="en-US" w:eastAsia="zh-CN"/>
        </w:rPr>
        <w:fldChar w:fldCharType="end"/>
      </w:r>
    </w:p>
    <w:p>
      <w:pPr>
        <w:pStyle w:val="9"/>
        <w:tabs>
          <w:tab w:val="right" w:leader="dot" w:pos="8306"/>
        </w:tabs>
        <w:rPr>
          <w:rFonts w:hint="eastAsia" w:ascii="宋体" w:hAnsi="宋体" w:eastAsia="宋体" w:cs="宋体"/>
          <w:sz w:val="32"/>
          <w:szCs w:val="40"/>
        </w:rPr>
      </w:pPr>
      <w:r>
        <w:rPr>
          <w:rFonts w:hint="eastAsia" w:ascii="宋体" w:hAnsi="宋体" w:eastAsia="宋体" w:cs="宋体"/>
          <w:bCs/>
          <w:color w:val="auto"/>
          <w:sz w:val="32"/>
          <w:szCs w:val="48"/>
          <w:highlight w:val="none"/>
          <w:lang w:val="en-US" w:eastAsia="zh-CN"/>
        </w:rPr>
        <w:fldChar w:fldCharType="begin"/>
      </w:r>
      <w:r>
        <w:rPr>
          <w:rFonts w:hint="eastAsia" w:ascii="宋体" w:hAnsi="宋体" w:eastAsia="宋体" w:cs="宋体"/>
          <w:bCs/>
          <w:sz w:val="32"/>
          <w:szCs w:val="48"/>
          <w:highlight w:val="none"/>
          <w:lang w:val="en-US" w:eastAsia="zh-CN"/>
        </w:rPr>
        <w:instrText xml:space="preserve"> HYPERLINK \l _Toc1201 </w:instrText>
      </w:r>
      <w:r>
        <w:rPr>
          <w:rFonts w:hint="eastAsia" w:ascii="宋体" w:hAnsi="宋体" w:eastAsia="宋体" w:cs="宋体"/>
          <w:bCs/>
          <w:sz w:val="32"/>
          <w:szCs w:val="48"/>
          <w:highlight w:val="none"/>
          <w:lang w:val="en-US" w:eastAsia="zh-CN"/>
        </w:rPr>
        <w:fldChar w:fldCharType="separate"/>
      </w:r>
      <w:r>
        <w:rPr>
          <w:rFonts w:hint="eastAsia" w:ascii="宋体" w:hAnsi="宋体" w:eastAsia="宋体" w:cs="宋体"/>
          <w:bCs/>
          <w:sz w:val="32"/>
          <w:szCs w:val="48"/>
          <w:highlight w:val="none"/>
          <w:lang w:val="en-US" w:eastAsia="zh-CN"/>
        </w:rPr>
        <w:t>2基本要求</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_Toc1201 \h </w:instrText>
      </w:r>
      <w:r>
        <w:rPr>
          <w:rFonts w:hint="eastAsia" w:ascii="宋体" w:hAnsi="宋体" w:eastAsia="宋体" w:cs="宋体"/>
          <w:sz w:val="32"/>
          <w:szCs w:val="40"/>
        </w:rPr>
        <w:fldChar w:fldCharType="separate"/>
      </w:r>
      <w:r>
        <w:rPr>
          <w:rFonts w:hint="eastAsia" w:ascii="宋体" w:hAnsi="宋体" w:eastAsia="宋体" w:cs="宋体"/>
          <w:sz w:val="32"/>
          <w:szCs w:val="40"/>
        </w:rPr>
        <w:t>1</w:t>
      </w:r>
      <w:r>
        <w:rPr>
          <w:rFonts w:hint="eastAsia" w:ascii="宋体" w:hAnsi="宋体" w:eastAsia="宋体" w:cs="宋体"/>
          <w:sz w:val="32"/>
          <w:szCs w:val="40"/>
        </w:rPr>
        <w:fldChar w:fldCharType="end"/>
      </w:r>
      <w:r>
        <w:rPr>
          <w:rFonts w:hint="eastAsia" w:ascii="宋体" w:hAnsi="宋体" w:eastAsia="宋体" w:cs="宋体"/>
          <w:bCs/>
          <w:color w:val="auto"/>
          <w:sz w:val="32"/>
          <w:szCs w:val="48"/>
          <w:highlight w:val="none"/>
          <w:lang w:val="en-US" w:eastAsia="zh-CN"/>
        </w:rPr>
        <w:fldChar w:fldCharType="end"/>
      </w:r>
    </w:p>
    <w:p>
      <w:pPr>
        <w:pStyle w:val="9"/>
        <w:tabs>
          <w:tab w:val="right" w:leader="dot" w:pos="8306"/>
        </w:tabs>
        <w:rPr>
          <w:rFonts w:hint="eastAsia" w:ascii="宋体" w:hAnsi="宋体" w:eastAsia="宋体" w:cs="宋体"/>
          <w:sz w:val="32"/>
          <w:szCs w:val="40"/>
        </w:rPr>
      </w:pPr>
      <w:r>
        <w:rPr>
          <w:rFonts w:hint="eastAsia" w:ascii="宋体" w:hAnsi="宋体" w:eastAsia="宋体" w:cs="宋体"/>
          <w:bCs/>
          <w:color w:val="auto"/>
          <w:sz w:val="32"/>
          <w:szCs w:val="48"/>
          <w:highlight w:val="none"/>
          <w:lang w:val="en-US" w:eastAsia="zh-CN"/>
        </w:rPr>
        <w:fldChar w:fldCharType="begin"/>
      </w:r>
      <w:r>
        <w:rPr>
          <w:rFonts w:hint="eastAsia" w:ascii="宋体" w:hAnsi="宋体" w:eastAsia="宋体" w:cs="宋体"/>
          <w:bCs/>
          <w:sz w:val="32"/>
          <w:szCs w:val="48"/>
          <w:highlight w:val="none"/>
          <w:lang w:val="en-US" w:eastAsia="zh-CN"/>
        </w:rPr>
        <w:instrText xml:space="preserve"> HYPERLINK \l _Toc1668 </w:instrText>
      </w:r>
      <w:r>
        <w:rPr>
          <w:rFonts w:hint="eastAsia" w:ascii="宋体" w:hAnsi="宋体" w:eastAsia="宋体" w:cs="宋体"/>
          <w:bCs/>
          <w:sz w:val="32"/>
          <w:szCs w:val="48"/>
          <w:highlight w:val="none"/>
          <w:lang w:val="en-US" w:eastAsia="zh-CN"/>
        </w:rPr>
        <w:fldChar w:fldCharType="separate"/>
      </w:r>
      <w:r>
        <w:rPr>
          <w:rFonts w:hint="eastAsia" w:ascii="宋体" w:hAnsi="宋体" w:eastAsia="宋体" w:cs="宋体"/>
          <w:bCs/>
          <w:sz w:val="32"/>
          <w:szCs w:val="48"/>
          <w:highlight w:val="none"/>
          <w:lang w:val="en-US" w:eastAsia="zh-CN"/>
        </w:rPr>
        <w:t>3有限空间作业</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_Toc1668 \h </w:instrText>
      </w:r>
      <w:r>
        <w:rPr>
          <w:rFonts w:hint="eastAsia" w:ascii="宋体" w:hAnsi="宋体" w:eastAsia="宋体" w:cs="宋体"/>
          <w:sz w:val="32"/>
          <w:szCs w:val="40"/>
        </w:rPr>
        <w:fldChar w:fldCharType="separate"/>
      </w:r>
      <w:r>
        <w:rPr>
          <w:rFonts w:hint="eastAsia" w:ascii="宋体" w:hAnsi="宋体" w:eastAsia="宋体" w:cs="宋体"/>
          <w:sz w:val="32"/>
          <w:szCs w:val="40"/>
        </w:rPr>
        <w:t>2</w:t>
      </w:r>
      <w:r>
        <w:rPr>
          <w:rFonts w:hint="eastAsia" w:ascii="宋体" w:hAnsi="宋体" w:eastAsia="宋体" w:cs="宋体"/>
          <w:sz w:val="32"/>
          <w:szCs w:val="40"/>
        </w:rPr>
        <w:fldChar w:fldCharType="end"/>
      </w:r>
      <w:r>
        <w:rPr>
          <w:rFonts w:hint="eastAsia" w:ascii="宋体" w:hAnsi="宋体" w:eastAsia="宋体" w:cs="宋体"/>
          <w:bCs/>
          <w:color w:val="auto"/>
          <w:sz w:val="32"/>
          <w:szCs w:val="48"/>
          <w:highlight w:val="none"/>
          <w:lang w:val="en-US" w:eastAsia="zh-CN"/>
        </w:rPr>
        <w:fldChar w:fldCharType="end"/>
      </w:r>
    </w:p>
    <w:p>
      <w:pPr>
        <w:pStyle w:val="9"/>
        <w:tabs>
          <w:tab w:val="right" w:leader="dot" w:pos="8306"/>
        </w:tabs>
        <w:rPr>
          <w:rFonts w:hint="eastAsia" w:ascii="宋体" w:hAnsi="宋体" w:eastAsia="宋体" w:cs="宋体"/>
          <w:sz w:val="32"/>
          <w:szCs w:val="40"/>
        </w:rPr>
      </w:pPr>
      <w:r>
        <w:rPr>
          <w:rFonts w:hint="eastAsia" w:ascii="宋体" w:hAnsi="宋体" w:eastAsia="宋体" w:cs="宋体"/>
          <w:bCs/>
          <w:color w:val="auto"/>
          <w:sz w:val="32"/>
          <w:szCs w:val="48"/>
          <w:highlight w:val="none"/>
          <w:lang w:val="en-US" w:eastAsia="zh-CN"/>
        </w:rPr>
        <w:fldChar w:fldCharType="begin"/>
      </w:r>
      <w:r>
        <w:rPr>
          <w:rFonts w:hint="eastAsia" w:ascii="宋体" w:hAnsi="宋体" w:eastAsia="宋体" w:cs="宋体"/>
          <w:bCs/>
          <w:sz w:val="32"/>
          <w:szCs w:val="48"/>
          <w:highlight w:val="none"/>
          <w:lang w:val="en-US" w:eastAsia="zh-CN"/>
        </w:rPr>
        <w:instrText xml:space="preserve"> HYPERLINK \l _Toc6216 </w:instrText>
      </w:r>
      <w:r>
        <w:rPr>
          <w:rFonts w:hint="eastAsia" w:ascii="宋体" w:hAnsi="宋体" w:eastAsia="宋体" w:cs="宋体"/>
          <w:bCs/>
          <w:sz w:val="32"/>
          <w:szCs w:val="48"/>
          <w:highlight w:val="none"/>
          <w:lang w:val="en-US" w:eastAsia="zh-CN"/>
        </w:rPr>
        <w:fldChar w:fldCharType="separate"/>
      </w:r>
      <w:r>
        <w:rPr>
          <w:rFonts w:hint="eastAsia" w:ascii="宋体" w:hAnsi="宋体" w:eastAsia="宋体" w:cs="宋体"/>
          <w:bCs/>
          <w:sz w:val="32"/>
          <w:szCs w:val="48"/>
          <w:highlight w:val="none"/>
          <w:lang w:val="en-US" w:eastAsia="zh-CN"/>
        </w:rPr>
        <w:t>4事故应急救援</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_Toc6216 \h </w:instrText>
      </w:r>
      <w:r>
        <w:rPr>
          <w:rFonts w:hint="eastAsia" w:ascii="宋体" w:hAnsi="宋体" w:eastAsia="宋体" w:cs="宋体"/>
          <w:sz w:val="32"/>
          <w:szCs w:val="40"/>
        </w:rPr>
        <w:fldChar w:fldCharType="separate"/>
      </w:r>
      <w:r>
        <w:rPr>
          <w:rFonts w:hint="eastAsia" w:ascii="宋体" w:hAnsi="宋体" w:eastAsia="宋体" w:cs="宋体"/>
          <w:sz w:val="32"/>
          <w:szCs w:val="40"/>
        </w:rPr>
        <w:t>6</w:t>
      </w:r>
      <w:r>
        <w:rPr>
          <w:rFonts w:hint="eastAsia" w:ascii="宋体" w:hAnsi="宋体" w:eastAsia="宋体" w:cs="宋体"/>
          <w:sz w:val="32"/>
          <w:szCs w:val="40"/>
        </w:rPr>
        <w:fldChar w:fldCharType="end"/>
      </w:r>
      <w:r>
        <w:rPr>
          <w:rFonts w:hint="eastAsia" w:ascii="宋体" w:hAnsi="宋体" w:eastAsia="宋体" w:cs="宋体"/>
          <w:bCs/>
          <w:color w:val="auto"/>
          <w:sz w:val="32"/>
          <w:szCs w:val="48"/>
          <w:highlight w:val="none"/>
          <w:lang w:val="en-US" w:eastAsia="zh-CN"/>
        </w:rPr>
        <w:fldChar w:fldCharType="end"/>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outlineLvl w:val="0"/>
        <w:rPr>
          <w:rFonts w:hint="eastAsia" w:ascii="宋体" w:hAnsi="宋体" w:eastAsia="宋体" w:cs="宋体"/>
          <w:b/>
          <w:bCs/>
          <w:color w:val="auto"/>
          <w:sz w:val="32"/>
          <w:szCs w:val="32"/>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bCs/>
          <w:color w:val="auto"/>
          <w:sz w:val="32"/>
          <w:szCs w:val="48"/>
          <w:highlight w:val="none"/>
          <w:lang w:val="en-US" w:eastAsia="zh-CN"/>
        </w:rPr>
        <w:fldChar w:fldCharType="end"/>
      </w:r>
      <w:bookmarkStart w:id="2" w:name="_Toc6265"/>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1引言</w:t>
      </w:r>
      <w:bookmarkEnd w:id="0"/>
      <w:bookmarkEnd w:id="1"/>
      <w:bookmarkEnd w:id="2"/>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val="en-US" w:eastAsia="zh-CN"/>
        </w:rPr>
        <w:t>切实</w:t>
      </w:r>
      <w:r>
        <w:rPr>
          <w:rFonts w:hint="eastAsia" w:ascii="宋体" w:hAnsi="宋体" w:eastAsia="宋体" w:cs="宋体"/>
          <w:color w:val="auto"/>
          <w:sz w:val="24"/>
          <w:highlight w:val="none"/>
        </w:rPr>
        <w:t>加强</w:t>
      </w:r>
      <w:r>
        <w:rPr>
          <w:rFonts w:hint="eastAsia" w:ascii="宋体" w:hAnsi="宋体" w:eastAsia="宋体" w:cs="宋体"/>
          <w:color w:val="auto"/>
          <w:sz w:val="24"/>
          <w:highlight w:val="none"/>
          <w:lang w:val="en-US" w:eastAsia="zh-CN"/>
        </w:rPr>
        <w:t>房屋市政工程</w:t>
      </w:r>
      <w:r>
        <w:rPr>
          <w:rFonts w:hint="eastAsia" w:ascii="宋体" w:hAnsi="宋体" w:eastAsia="宋体" w:cs="宋体"/>
          <w:color w:val="auto"/>
          <w:sz w:val="24"/>
          <w:highlight w:val="none"/>
        </w:rPr>
        <w:t>有限空间作业的安全管理，保障有限空间</w:t>
      </w:r>
      <w:r>
        <w:rPr>
          <w:rFonts w:hint="eastAsia" w:ascii="宋体" w:hAnsi="宋体" w:eastAsia="宋体" w:cs="宋体"/>
          <w:color w:val="auto"/>
          <w:sz w:val="24"/>
          <w:highlight w:val="none"/>
          <w:lang w:eastAsia="zh-CN"/>
        </w:rPr>
        <w:t>作业人员</w:t>
      </w:r>
      <w:r>
        <w:rPr>
          <w:rFonts w:hint="eastAsia" w:ascii="宋体" w:hAnsi="宋体" w:eastAsia="宋体" w:cs="宋体"/>
          <w:color w:val="auto"/>
          <w:sz w:val="24"/>
          <w:highlight w:val="none"/>
        </w:rPr>
        <w:t>的安全和健康，提高有限空间作业的安全技术水平，特制订本指引。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限空间是指封闭或部分封闭、进出口受限但人员可以进入、未被设计为固定工作场所、自然通风不良，易造成有毒有害、易燃易爆物质积聚或氧含量不足的空间。有限空间作业是指作业人员进入有限空间实施的施工作业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设单位、勘察单位、设计单位、施工单位、监理单位以及其他与房屋市政工程有限空间安全生产有关的单位，必须遵守有限空间管理相关法律法规规章、标准规范和规范性文件，依法承担有限空间安全生产企业主体责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textAlignment w:val="auto"/>
        <w:outlineLvl w:val="0"/>
        <w:rPr>
          <w:rFonts w:hint="default" w:ascii="宋体" w:hAnsi="宋体" w:eastAsia="宋体" w:cs="宋体"/>
          <w:b/>
          <w:bCs/>
          <w:color w:val="auto"/>
          <w:sz w:val="32"/>
          <w:szCs w:val="32"/>
          <w:highlight w:val="none"/>
          <w:lang w:val="en-US" w:eastAsia="zh-CN"/>
        </w:rPr>
      </w:pPr>
      <w:bookmarkStart w:id="3" w:name="_Toc888"/>
      <w:bookmarkStart w:id="4" w:name="_Toc6536"/>
      <w:bookmarkStart w:id="5" w:name="_Toc1201"/>
      <w:r>
        <w:rPr>
          <w:rFonts w:hint="eastAsia" w:ascii="宋体" w:hAnsi="宋体" w:eastAsia="宋体" w:cs="宋体"/>
          <w:b/>
          <w:bCs/>
          <w:color w:val="auto"/>
          <w:sz w:val="32"/>
          <w:szCs w:val="32"/>
          <w:highlight w:val="none"/>
          <w:lang w:val="en-US" w:eastAsia="zh-CN"/>
        </w:rPr>
        <w:t>2基本要求</w:t>
      </w:r>
      <w:bookmarkEnd w:id="3"/>
      <w:bookmarkEnd w:id="4"/>
      <w:bookmarkEnd w:id="5"/>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2.1安全管理制度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存在有限空间作业的</w:t>
      </w:r>
      <w:r>
        <w:rPr>
          <w:rFonts w:hint="eastAsia" w:ascii="宋体" w:hAnsi="宋体" w:eastAsia="宋体" w:cs="宋体"/>
          <w:color w:val="auto"/>
          <w:sz w:val="24"/>
          <w:highlight w:val="none"/>
          <w:lang w:val="en-US" w:eastAsia="zh-CN"/>
        </w:rPr>
        <w:t>施工</w:t>
      </w:r>
      <w:r>
        <w:rPr>
          <w:rFonts w:hint="default" w:ascii="宋体" w:hAnsi="宋体" w:eastAsia="宋体" w:cs="宋体"/>
          <w:color w:val="auto"/>
          <w:sz w:val="24"/>
          <w:highlight w:val="none"/>
          <w:lang w:val="en-US" w:eastAsia="zh-CN"/>
        </w:rPr>
        <w:t>单位应建立健全有限空间作业安全管理制度和安全操作规程，管理制度主要包括责任制、作业审批制度、现场管理制度、安全教育培训制度、应急管理制度等</w:t>
      </w:r>
      <w:r>
        <w:rPr>
          <w:rFonts w:hint="eastAsia" w:ascii="宋体" w:hAnsi="宋体" w:eastAsia="宋体" w:cs="宋体"/>
          <w:color w:val="auto"/>
          <w:sz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2.2发包管理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建设单位不具备有限空间作业安全生产条件的，不能作业，应将存在有限空间作业的工程发包给具备相应安全生产条件的承包单位实施，</w:t>
      </w:r>
      <w:r>
        <w:rPr>
          <w:rFonts w:hint="eastAsia" w:ascii="宋体" w:hAnsi="宋体" w:eastAsia="宋体" w:cs="宋体"/>
          <w:sz w:val="24"/>
        </w:rPr>
        <w:t>即应满足有限空间作业安全所需的安全生产责任制、安全生产规章制度、安全操作规程、安全防护设备、应急救援装备、人员资质和应急处置能力等方面的要求</w:t>
      </w:r>
      <w:r>
        <w:rPr>
          <w:rFonts w:hint="eastAsia" w:ascii="宋体" w:hAnsi="宋体" w:eastAsia="宋体" w:cs="宋体"/>
          <w:sz w:val="24"/>
          <w:lang w:eastAsia="zh-CN"/>
        </w:rPr>
        <w:t>，</w:t>
      </w:r>
      <w:r>
        <w:rPr>
          <w:rFonts w:hint="eastAsia" w:ascii="宋体" w:hAnsi="宋体" w:eastAsia="宋体" w:cs="宋体"/>
          <w:sz w:val="24"/>
          <w:szCs w:val="24"/>
          <w:lang w:val="en-US" w:eastAsia="zh-CN"/>
        </w:rPr>
        <w:t>建设单位对作业安全承担主体责任，承包单位对其承包的有限空间作业安全承担直接责任，应严格按照有限空间作业安全要求开展作业。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单位应与承包单位签订安全生产管理协议，明确双方的安全管理职责，或在合同中明确约定各自的安全生产管理职责。建设单位应对承包单位作业方案、内部审批手续等事宜进行审批，对承包单位的安全生产工作统一协调、管理，定期进行安全检查，发现安全问题的，应当及时督促整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2.3</w:t>
      </w:r>
      <w:r>
        <w:rPr>
          <w:rFonts w:hint="default" w:ascii="宋体" w:hAnsi="宋体" w:eastAsia="宋体" w:cs="宋体"/>
          <w:b/>
          <w:bCs/>
          <w:color w:val="auto"/>
          <w:sz w:val="24"/>
          <w:highlight w:val="none"/>
          <w:lang w:val="en-US" w:eastAsia="zh-CN"/>
        </w:rPr>
        <w:t>管理台账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存在有限空间的</w:t>
      </w:r>
      <w:r>
        <w:rPr>
          <w:rFonts w:hint="eastAsia" w:ascii="宋体" w:hAnsi="宋体" w:eastAsia="宋体" w:cs="宋体"/>
          <w:color w:val="auto"/>
          <w:sz w:val="24"/>
          <w:highlight w:val="none"/>
          <w:lang w:val="en-US" w:eastAsia="zh-CN"/>
        </w:rPr>
        <w:t>施工</w:t>
      </w:r>
      <w:r>
        <w:rPr>
          <w:rFonts w:hint="default" w:ascii="宋体" w:hAnsi="宋体" w:eastAsia="宋体" w:cs="宋体"/>
          <w:color w:val="auto"/>
          <w:sz w:val="24"/>
          <w:highlight w:val="none"/>
          <w:lang w:val="en-US" w:eastAsia="zh-CN"/>
        </w:rPr>
        <w:t>单位应根据有限空间定义，辨识本单位所辖范围内的有限空间，确定有限空间的数量、位置、名称、主要危险有害因素、可能的事故及后果、防护要求，作业主体等基本情况，建立有限空间管理台账，并及时更新。</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2.4安全警示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对辨识出的有限空间作业场所，应在显著位置设置安全警示标志或安全告知牌，以提醒人员增强风险防控意识并采取相应的防护措施。</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2.5安全专项培训</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施工</w:t>
      </w:r>
      <w:r>
        <w:rPr>
          <w:rFonts w:hint="default" w:ascii="宋体" w:hAnsi="宋体" w:eastAsia="宋体" w:cs="宋体"/>
          <w:sz w:val="24"/>
          <w:szCs w:val="24"/>
          <w:lang w:val="en-US" w:eastAsia="zh-CN"/>
        </w:rPr>
        <w:t>单位应对有限空间作业分管负责人、安全管理人员、作业现场负责人、监护人员、作业人员、应急救援人员进行专项安全培训。参加培训的人员应在培训记录上签字确认，</w:t>
      </w:r>
      <w:r>
        <w:rPr>
          <w:rFonts w:hint="eastAsia" w:ascii="宋体" w:hAnsi="宋体" w:eastAsia="宋体" w:cs="宋体"/>
          <w:sz w:val="24"/>
          <w:szCs w:val="24"/>
          <w:lang w:val="en-US" w:eastAsia="zh-CN"/>
        </w:rPr>
        <w:t>并</w:t>
      </w:r>
      <w:r>
        <w:rPr>
          <w:rFonts w:hint="default" w:ascii="宋体" w:hAnsi="宋体" w:eastAsia="宋体" w:cs="宋体"/>
          <w:sz w:val="24"/>
          <w:szCs w:val="24"/>
          <w:lang w:val="en-US" w:eastAsia="zh-CN"/>
        </w:rPr>
        <w:t>妥善保存培训相关材料</w:t>
      </w:r>
      <w:r>
        <w:rPr>
          <w:rFonts w:hint="eastAsia" w:ascii="宋体" w:hAnsi="宋体" w:eastAsia="宋体" w:cs="宋体"/>
          <w:sz w:val="24"/>
          <w:szCs w:val="24"/>
          <w:lang w:val="en-US" w:eastAsia="zh-CN"/>
        </w:rPr>
        <w:t>。如有限空间监护作业被纳入特种作业目录中，则监护者应持有效的地下有限空间作业特种作业操作证。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2.6</w:t>
      </w:r>
      <w:r>
        <w:rPr>
          <w:rFonts w:hint="default" w:ascii="宋体" w:hAnsi="宋体" w:eastAsia="宋体" w:cs="宋体"/>
          <w:b/>
          <w:bCs/>
          <w:color w:val="auto"/>
          <w:sz w:val="24"/>
          <w:highlight w:val="none"/>
          <w:lang w:val="en-US" w:eastAsia="zh-CN"/>
        </w:rPr>
        <w:t>安全防护设备设施</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施工</w:t>
      </w:r>
      <w:r>
        <w:rPr>
          <w:rFonts w:hint="eastAsia" w:ascii="宋体" w:hAnsi="宋体" w:eastAsia="宋体" w:cs="宋体"/>
          <w:sz w:val="24"/>
          <w:szCs w:val="24"/>
          <w:lang w:val="en-US" w:eastAsia="zh-CN"/>
        </w:rPr>
        <w:t>单位</w:t>
      </w:r>
      <w:r>
        <w:rPr>
          <w:rFonts w:hint="default" w:ascii="宋体" w:hAnsi="宋体" w:eastAsia="宋体" w:cs="宋体"/>
          <w:sz w:val="24"/>
          <w:szCs w:val="24"/>
          <w:lang w:val="en-US" w:eastAsia="zh-CN"/>
        </w:rPr>
        <w:t>应配置安全防护设备、个体防护用品和应急救援装备，使用的设备、设施必须符合国家有关安全标准，具有相应的合格证书。</w:t>
      </w:r>
      <w:r>
        <w:rPr>
          <w:rFonts w:hint="eastAsia" w:ascii="宋体" w:hAnsi="宋体" w:eastAsia="宋体" w:cs="宋体"/>
          <w:sz w:val="24"/>
          <w:szCs w:val="24"/>
          <w:lang w:val="en-US" w:eastAsia="zh-CN"/>
        </w:rPr>
        <w:t>对设备应</w:t>
      </w:r>
      <w:r>
        <w:rPr>
          <w:rFonts w:hint="default" w:ascii="宋体" w:hAnsi="宋体" w:eastAsia="宋体" w:cs="宋体"/>
          <w:sz w:val="24"/>
          <w:szCs w:val="24"/>
          <w:lang w:val="en-US" w:eastAsia="zh-CN"/>
        </w:rPr>
        <w:t>加强管理和维护保养，确保处于完好状态，发现影响安全使用时，应及时修复或更换。</w:t>
      </w:r>
    </w:p>
    <w:p>
      <w:pPr>
        <w:pStyle w:val="2"/>
        <w:rPr>
          <w:rFonts w:hint="eastAsia" w:ascii="黑体" w:eastAsia="黑体"/>
          <w:color w:val="auto"/>
          <w:sz w:val="28"/>
          <w:szCs w:val="28"/>
          <w:highlight w:val="none"/>
          <w:u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textAlignment w:val="auto"/>
        <w:outlineLvl w:val="0"/>
        <w:rPr>
          <w:rFonts w:hint="eastAsia" w:ascii="宋体" w:hAnsi="宋体" w:eastAsia="宋体" w:cs="宋体"/>
          <w:b/>
          <w:bCs/>
          <w:color w:val="auto"/>
          <w:sz w:val="32"/>
          <w:szCs w:val="32"/>
          <w:highlight w:val="none"/>
          <w:lang w:val="en-US" w:eastAsia="zh-CN"/>
        </w:rPr>
      </w:pPr>
      <w:bookmarkStart w:id="6" w:name="_Toc721"/>
      <w:bookmarkStart w:id="7" w:name="_Toc28660"/>
      <w:bookmarkStart w:id="8" w:name="_Toc1668"/>
      <w:r>
        <w:rPr>
          <w:rFonts w:hint="eastAsia" w:ascii="宋体" w:hAnsi="宋体" w:eastAsia="宋体" w:cs="宋体"/>
          <w:b/>
          <w:bCs/>
          <w:color w:val="auto"/>
          <w:sz w:val="32"/>
          <w:szCs w:val="32"/>
          <w:highlight w:val="none"/>
          <w:lang w:val="en-US" w:eastAsia="zh-CN"/>
        </w:rPr>
        <w:t>3有限空间作业</w:t>
      </w:r>
      <w:bookmarkEnd w:id="6"/>
      <w:bookmarkEnd w:id="7"/>
      <w:bookmarkEnd w:id="8"/>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1"/>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本部分规定了有限空间作业的要求，</w:t>
      </w:r>
      <w:r>
        <w:rPr>
          <w:rFonts w:hint="eastAsia" w:ascii="宋体" w:hAnsi="宋体" w:eastAsia="宋体" w:cs="宋体"/>
          <w:sz w:val="24"/>
          <w:szCs w:val="24"/>
          <w:lang w:val="en-US" w:eastAsia="zh-CN"/>
        </w:rPr>
        <w:t>有限空间作业各阶段风险防控关键要素</w:t>
      </w:r>
      <w:r>
        <w:rPr>
          <w:rFonts w:hint="default" w:ascii="宋体" w:hAnsi="宋体" w:eastAsia="宋体" w:cs="宋体"/>
          <w:sz w:val="24"/>
          <w:szCs w:val="24"/>
          <w:lang w:val="en-US" w:eastAsia="zh-CN"/>
        </w:rPr>
        <w:t>见</w:t>
      </w:r>
      <w:r>
        <w:rPr>
          <w:rFonts w:hint="eastAsia" w:ascii="宋体" w:hAnsi="宋体" w:eastAsia="宋体" w:cs="宋体"/>
          <w:sz w:val="24"/>
          <w:szCs w:val="24"/>
          <w:lang w:val="en-US" w:eastAsia="zh-CN"/>
        </w:rPr>
        <w:t>下图：</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0" w:firstLineChars="0"/>
        <w:jc w:val="center"/>
        <w:textAlignment w:val="auto"/>
        <w:rPr>
          <w:rFonts w:hint="eastAsia" w:ascii="宋体" w:hAnsi="宋体" w:eastAsia="宋体" w:cs="宋体"/>
          <w:sz w:val="24"/>
          <w:szCs w:val="24"/>
          <w:lang w:val="en-US" w:eastAsia="zh-CN"/>
        </w:rPr>
      </w:pPr>
      <w:r>
        <w:drawing>
          <wp:inline distT="0" distB="0" distL="114300" distR="114300">
            <wp:extent cx="4312285" cy="1740535"/>
            <wp:effectExtent l="0" t="0" r="12065"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4312285" cy="1740535"/>
                    </a:xfrm>
                    <a:prstGeom prst="rect">
                      <a:avLst/>
                    </a:prstGeom>
                    <a:noFill/>
                    <a:ln>
                      <a:noFill/>
                    </a:ln>
                  </pic:spPr>
                </pic:pic>
              </a:graphicData>
            </a:graphic>
          </wp:inline>
        </w:drawing>
      </w:r>
    </w:p>
    <w:p>
      <w:pPr>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2"/>
          <w:szCs w:val="22"/>
          <w:highlight w:val="none"/>
          <w:u w:val="none"/>
          <w:lang w:val="en-US" w:eastAsia="zh-CN"/>
        </w:rPr>
        <w:t>有限空间作业各阶段风险防控关键要素</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3.1作业前准备</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3.1.1作业方案制定与审批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作业前</w:t>
      </w:r>
      <w:r>
        <w:rPr>
          <w:rFonts w:hint="eastAsia" w:ascii="宋体" w:hAnsi="宋体" w:eastAsia="宋体" w:cs="宋体"/>
          <w:sz w:val="24"/>
          <w:szCs w:val="24"/>
          <w:lang w:val="en-US" w:eastAsia="zh-CN"/>
        </w:rPr>
        <w:t>，施工单位</w:t>
      </w:r>
      <w:r>
        <w:rPr>
          <w:rFonts w:hint="default" w:ascii="宋体" w:hAnsi="宋体" w:eastAsia="宋体" w:cs="宋体"/>
          <w:sz w:val="24"/>
          <w:szCs w:val="24"/>
          <w:lang w:val="en-US" w:eastAsia="zh-CN"/>
        </w:rPr>
        <w:t>应如实提供有限空间类型、内部设施及外部环境等基本信息</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应对作业环境进行安全风险辨识，分析存在的危险有害因素，提出消除、控制危害的措施，编制作业方案，并经本单位相关人员审核和批准。应严格执行有限空间作业审批制度。作业前对作业方案、人员、设备等方面进行审批，并签字确认，未经审批不得擅自开展有限空间作业</w:t>
      </w:r>
      <w:r>
        <w:rPr>
          <w:rFonts w:hint="eastAsia" w:ascii="宋体" w:hAnsi="宋体" w:eastAsia="宋体" w:cs="宋体"/>
          <w:sz w:val="24"/>
          <w:szCs w:val="24"/>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lang w:val="en-US" w:eastAsia="zh-CN"/>
        </w:rPr>
        <w:t>有限空间作业必须履行审批手续，执行许可制度。可参照《有限空间作业申</w:t>
      </w:r>
      <w:r>
        <w:rPr>
          <w:rFonts w:hint="default" w:ascii="宋体" w:hAnsi="宋体" w:eastAsia="宋体" w:cs="宋体"/>
          <w:sz w:val="24"/>
          <w:szCs w:val="24"/>
          <w:highlight w:val="none"/>
          <w:lang w:val="en-US" w:eastAsia="zh-CN"/>
        </w:rPr>
        <w:t>请表》及《有限空间安全作业表》见附表A、B。</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3.1.2安全交底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施工</w:t>
      </w:r>
      <w:r>
        <w:rPr>
          <w:rFonts w:hint="default" w:ascii="宋体" w:hAnsi="宋体" w:eastAsia="宋体" w:cs="宋体"/>
          <w:sz w:val="24"/>
          <w:szCs w:val="24"/>
          <w:lang w:val="en-US" w:eastAsia="zh-CN"/>
        </w:rPr>
        <w:t>现场负责人应对实施作业的全体人员进行安全交底，告知作业内容、作业现场可能存在的安全风险、作业安全要求及应急处置措施等，并履行签字确认手续。</w:t>
      </w:r>
      <w:r>
        <w:rPr>
          <w:rFonts w:hint="eastAsia" w:ascii="宋体" w:hAnsi="宋体" w:eastAsia="宋体" w:cs="宋体"/>
          <w:sz w:val="24"/>
          <w:szCs w:val="24"/>
          <w:lang w:val="en-US" w:eastAsia="zh-CN"/>
        </w:rPr>
        <w:t>有限空间作业班组应每日开展安全“晨会”，对作业现场存在的安全风险和防范措施进行交底。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3.1.3设备检查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施工单位应对安全防护设备、个体防护用品、应急救援装备、作业设备和用具的齐备性和安全性进行检查，发现问题应立即修复或更换。当有限空间可能为易燃易爆环境时，设备和用具应符合防爆安全要求。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3.1.4封闭作业区域</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单位应在有限空间作业前使用围挡锥筒、警戒线、护栏等有效设施封闭作业区域，并在作业区域显著位置设置有限空间作业安全警示标志或安全告知牌，防止无关人员进入危险区域。占道作业的，应设置相应的交通安全设施。夜间作业的，应设置警示灯，地面人员应穿着高可视警示服。</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3.1.5</w:t>
      </w:r>
      <w:r>
        <w:rPr>
          <w:rFonts w:hint="default" w:ascii="宋体" w:hAnsi="宋体" w:eastAsia="宋体" w:cs="宋体"/>
          <w:sz w:val="24"/>
          <w:szCs w:val="24"/>
          <w:lang w:val="en-US" w:eastAsia="zh-CN"/>
        </w:rPr>
        <w:t>开启出入口</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应站在有限空间外上风侧开启出入口，进行强制通风，然后使用气体检测设备检测有限空间内气体。</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安全隔离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施工区域周边存在安全隐患情况时，应采取关闭阀门、加装盲板、封堵、导流等隔离措施，阻断有毒有害气体、蒸气、水、尘埃或泥沙等威胁作业安全的物质涌入有限空间的通路。</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作业环境级别判定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lang w:val="en-US" w:eastAsia="zh-CN"/>
        </w:rPr>
        <w:t>有限空间作业应严格履行“先通风后检测再作业”的原则，检测结果应填写</w:t>
      </w:r>
      <w:r>
        <w:rPr>
          <w:rFonts w:hint="default" w:ascii="宋体" w:hAnsi="宋体" w:eastAsia="宋体" w:cs="宋体"/>
          <w:sz w:val="24"/>
          <w:szCs w:val="24"/>
          <w:highlight w:val="none"/>
          <w:lang w:val="en-US" w:eastAsia="zh-CN"/>
        </w:rPr>
        <w:t>气体检测记录表（见附表</w:t>
      </w:r>
      <w:r>
        <w:rPr>
          <w:rFonts w:hint="eastAsia" w:ascii="宋体" w:hAnsi="宋体" w:eastAsia="宋体" w:cs="宋体"/>
          <w:sz w:val="24"/>
          <w:szCs w:val="24"/>
          <w:highlight w:val="none"/>
          <w:lang w:val="en-US" w:eastAsia="zh-CN"/>
        </w:rPr>
        <w:t>G</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施工</w:t>
      </w:r>
      <w:r>
        <w:rPr>
          <w:rFonts w:hint="default" w:ascii="宋体" w:hAnsi="宋体" w:eastAsia="宋体" w:cs="宋体"/>
          <w:sz w:val="24"/>
          <w:szCs w:val="24"/>
          <w:highlight w:val="none"/>
          <w:lang w:val="en-US" w:eastAsia="zh-CN"/>
        </w:rPr>
        <w:t>负责人根据气体检测数据，依据本指引的相关规定对有限空间作业环境危险有害程度进行分级（见附表</w:t>
      </w:r>
      <w:r>
        <w:rPr>
          <w:rFonts w:hint="eastAsia" w:ascii="宋体" w:hAnsi="宋体" w:eastAsia="宋体" w:cs="宋体"/>
          <w:sz w:val="24"/>
          <w:szCs w:val="24"/>
          <w:highlight w:val="none"/>
          <w:lang w:val="en-US" w:eastAsia="zh-CN"/>
        </w:rPr>
        <w:t>F</w:t>
      </w:r>
      <w:r>
        <w:rPr>
          <w:rFonts w:hint="default" w:ascii="宋体" w:hAnsi="宋体" w:eastAsia="宋体" w:cs="宋体"/>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检测，有限空间内气体浓度不合格的，必须对有限空间进行强制通风。通风时，应输送清洁空气，严禁使用纯氧。单开口的有限空间，通风设备出风口应置于作业区底部进行送风，多开口的有限空间，应采用送、排风相结合的通风方式，确保有效通风。通风后，应对有限空间内气体再次进行检测。检测结果合格，方可作业；检测结果不合格，还应继续进行强制通风，直到检测结果合格为止。2级和1级环境应依据本指引通风量要求进行强制通风，达到3级环境条件方可实施作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个体防护</w:t>
      </w:r>
      <w:r>
        <w:rPr>
          <w:rFonts w:hint="eastAsia" w:ascii="宋体" w:hAnsi="宋体" w:eastAsia="宋体" w:cs="宋体"/>
          <w:sz w:val="24"/>
          <w:szCs w:val="24"/>
          <w:lang w:val="en-US" w:eastAsia="zh-CN"/>
        </w:rPr>
        <w:t>与</w:t>
      </w:r>
      <w:r>
        <w:rPr>
          <w:rFonts w:hint="default" w:ascii="宋体" w:hAnsi="宋体" w:eastAsia="宋体" w:cs="宋体"/>
          <w:sz w:val="24"/>
          <w:szCs w:val="24"/>
          <w:lang w:val="en-US" w:eastAsia="zh-CN"/>
        </w:rPr>
        <w:t>电气、照明和通讯</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lang w:val="en-US" w:eastAsia="zh-CN"/>
        </w:rPr>
        <w:t>检测结果合格后，作业人员在进入前还应根据作业环境选择并佩戴符合要求</w:t>
      </w:r>
      <w:r>
        <w:rPr>
          <w:rFonts w:hint="default" w:ascii="宋体" w:hAnsi="宋体" w:eastAsia="宋体" w:cs="宋体"/>
          <w:sz w:val="24"/>
          <w:szCs w:val="24"/>
          <w:highlight w:val="none"/>
          <w:lang w:val="en-US" w:eastAsia="zh-CN"/>
        </w:rPr>
        <w:t>的个体防护用品与安全防护设备，主要有：安全帽、全身式安全带、安全绳、呼吸防护用品、便携式气体检测报警仪、照明灯和对讲机等。</w:t>
      </w:r>
      <w:r>
        <w:rPr>
          <w:rFonts w:hint="eastAsia" w:ascii="宋体" w:hAnsi="宋体" w:eastAsia="宋体" w:cs="宋体"/>
          <w:sz w:val="24"/>
          <w:szCs w:val="24"/>
          <w:highlight w:val="none"/>
          <w:lang w:val="en-US" w:eastAsia="zh-CN"/>
        </w:rPr>
        <w:t>应</w:t>
      </w:r>
      <w:r>
        <w:rPr>
          <w:rFonts w:hint="default" w:ascii="宋体" w:hAnsi="宋体" w:eastAsia="宋体" w:cs="宋体"/>
          <w:sz w:val="24"/>
          <w:szCs w:val="24"/>
          <w:highlight w:val="none"/>
          <w:lang w:val="en-US" w:eastAsia="zh-CN"/>
        </w:rPr>
        <w:t>当按照</w:t>
      </w:r>
      <w:r>
        <w:rPr>
          <w:rFonts w:hint="eastAsia" w:ascii="宋体" w:hAnsi="宋体" w:eastAsia="宋体" w:cs="宋体"/>
          <w:sz w:val="24"/>
          <w:szCs w:val="24"/>
          <w:highlight w:val="none"/>
          <w:lang w:val="en-US" w:eastAsia="zh-CN"/>
        </w:rPr>
        <w:t>设备</w:t>
      </w:r>
      <w:r>
        <w:rPr>
          <w:rFonts w:hint="default" w:ascii="宋体" w:hAnsi="宋体" w:eastAsia="宋体" w:cs="宋体"/>
          <w:sz w:val="24"/>
          <w:szCs w:val="24"/>
          <w:highlight w:val="none"/>
          <w:lang w:val="en-US" w:eastAsia="zh-CN"/>
        </w:rPr>
        <w:t>配备标准发放防护用品，并作好登记（见附表</w:t>
      </w:r>
      <w:r>
        <w:rPr>
          <w:rFonts w:hint="eastAsia" w:ascii="宋体" w:hAnsi="宋体" w:eastAsia="宋体" w:cs="宋体"/>
          <w:sz w:val="24"/>
          <w:szCs w:val="24"/>
          <w:highlight w:val="none"/>
          <w:lang w:val="en-US" w:eastAsia="zh-CN"/>
        </w:rPr>
        <w:t>H</w:t>
      </w:r>
      <w:r>
        <w:rPr>
          <w:rFonts w:hint="default" w:ascii="宋体" w:hAnsi="宋体" w:eastAsia="宋体" w:cs="宋体"/>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3.2有限空间作业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3.2.1</w:t>
      </w:r>
      <w:r>
        <w:rPr>
          <w:rFonts w:hint="default" w:ascii="宋体" w:hAnsi="宋体" w:eastAsia="宋体" w:cs="宋体"/>
          <w:sz w:val="24"/>
          <w:szCs w:val="24"/>
          <w:lang w:val="en-US" w:eastAsia="zh-CN"/>
        </w:rPr>
        <w:t>有限空间作业必须符合下列规定：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a）作业时，应进行全过程气体检测；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b）严禁在1级和2级环境中作业，进入3级环境中作业时，监护者应对作业面气体浓度进行实时监测。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佩戴气体防护装具、安全带、安全帽等防护用品；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d）进入有限空间须设临时爬梯；</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e）有限空间内水泵运行时，符合安全规程；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f）有限空间作业必须严格控制作业人数，有限空间内一次的</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不宜超过2人，同时配备的专职监护者人数不得少于2人，监护人员不得擅离职守；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g）监护人员应密切观察</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情况，随时检查有限空间内设备安全运行情况（空压机、供气管、通讯、安全绳）等，发现问题及时采取措施；</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h）管径小于0.8m的管道严禁</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进入；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i）有限空间内人员连续作业时间不得超过一小时；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j）潜水作业应符合《公路工程施工安全技术规程》（JTJ076-2015）相关要求；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k）作业现场应配备抢救器具，以便在非常情况下抢救</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w:t>
      </w:r>
    </w:p>
    <w:p>
      <w:pPr>
        <w:pStyle w:val="14"/>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2"/>
        <w:rPr>
          <w:rFonts w:hint="eastAsia" w:ascii="宋体" w:hAnsi="宋体" w:eastAsia="宋体" w:cs="宋体"/>
          <w:b w:val="0"/>
          <w:color w:val="auto"/>
          <w:sz w:val="24"/>
          <w:highlight w:val="none"/>
        </w:rPr>
      </w:pPr>
      <w:r>
        <w:rPr>
          <w:rFonts w:hint="eastAsia" w:ascii="宋体" w:hAnsi="宋体" w:eastAsia="宋体" w:cs="宋体"/>
          <w:b w:val="0"/>
          <w:sz w:val="24"/>
          <w:lang w:val="en-US" w:eastAsia="zh-CN"/>
        </w:rPr>
        <w:t>3.2.2</w:t>
      </w:r>
      <w:r>
        <w:rPr>
          <w:rFonts w:hint="eastAsia" w:ascii="宋体" w:hAnsi="宋体" w:eastAsia="宋体" w:cs="宋体"/>
          <w:b w:val="0"/>
          <w:color w:val="auto"/>
          <w:sz w:val="24"/>
          <w:highlight w:val="none"/>
        </w:rPr>
        <w:t>有限空间作业</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两把锁管理制度</w:t>
      </w:r>
      <w:r>
        <w:rPr>
          <w:rFonts w:hint="eastAsia" w:ascii="宋体" w:hAnsi="宋体" w:eastAsia="宋体" w:cs="宋体"/>
          <w:b w:val="0"/>
          <w:color w:val="auto"/>
          <w:sz w:val="24"/>
          <w:highlight w:val="none"/>
          <w:lang w:eastAsia="zh-CN"/>
        </w:rPr>
        <w:t>”</w:t>
      </w:r>
    </w:p>
    <w:p>
      <w:pPr>
        <w:pStyle w:val="14"/>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Arial Unicode MS"/>
          <w:color w:val="auto"/>
          <w:sz w:val="24"/>
          <w:highlight w:val="none"/>
          <w:lang w:eastAsia="zh-CN"/>
        </w:rPr>
      </w:pPr>
      <w:r>
        <w:rPr>
          <w:rFonts w:hint="eastAsia" w:ascii="宋体" w:hAnsi="宋体" w:eastAsia="宋体" w:cs="Arial Unicode MS"/>
          <w:color w:val="auto"/>
          <w:sz w:val="24"/>
          <w:highlight w:val="none"/>
        </w:rPr>
        <w:t>作业点位实施封闭“两把锁”管理</w:t>
      </w:r>
      <w:r>
        <w:rPr>
          <w:rFonts w:hint="eastAsia" w:ascii="宋体" w:hAnsi="宋体" w:eastAsia="宋体" w:cs="Arial Unicode MS"/>
          <w:color w:val="auto"/>
          <w:sz w:val="24"/>
          <w:highlight w:val="none"/>
          <w:lang w:eastAsia="zh-CN"/>
        </w:rPr>
        <w:t>。有限空间作业点位非作业状态应全封闭围蔽并上两把锁，两把锁钥匙分别由项目施工单位项目经理、监理单位总监理工程师保管。有限空间作业点位显著位置设置安全警示标志，严格按照施工方案设置相关安全防护措施。</w:t>
      </w:r>
    </w:p>
    <w:p>
      <w:pPr>
        <w:pStyle w:val="14"/>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Arial Unicode MS"/>
          <w:color w:val="auto"/>
          <w:sz w:val="24"/>
          <w:highlight w:val="none"/>
          <w:lang w:eastAsia="zh-CN"/>
        </w:rPr>
      </w:pPr>
      <w:r>
        <w:rPr>
          <w:rFonts w:hint="eastAsia" w:ascii="宋体" w:hAnsi="宋体" w:eastAsia="宋体" w:cs="Arial Unicode MS"/>
          <w:color w:val="auto"/>
          <w:sz w:val="24"/>
          <w:highlight w:val="none"/>
        </w:rPr>
        <w:t>建立有限空间作业每日围蔽开锁制作业制度。施工单位项目经理、监理单位总监理工程师应重点审核以下有限空间安全作业条件，符合安全作业条件，并在《有限空间作业两把锁开锁作业核查表》（详见附</w:t>
      </w:r>
      <w:r>
        <w:rPr>
          <w:rFonts w:hint="eastAsia" w:ascii="宋体" w:hAnsi="宋体" w:eastAsia="宋体" w:cs="Arial Unicode MS"/>
          <w:color w:val="auto"/>
          <w:sz w:val="24"/>
          <w:highlight w:val="none"/>
          <w:lang w:val="en-US" w:eastAsia="zh-CN"/>
        </w:rPr>
        <w:t>表</w:t>
      </w:r>
      <w:r>
        <w:rPr>
          <w:rFonts w:hint="eastAsia" w:ascii="宋体" w:hAnsi="宋体" w:eastAsia="宋体" w:cs="Arial Unicode MS"/>
          <w:color w:val="auto"/>
          <w:sz w:val="24"/>
          <w:highlight w:val="none"/>
          <w:lang w:eastAsia="zh-CN"/>
        </w:rPr>
        <w:t>C</w:t>
      </w:r>
      <w:r>
        <w:rPr>
          <w:rFonts w:hint="eastAsia" w:ascii="宋体" w:hAnsi="宋体" w:eastAsia="宋体" w:cs="Arial Unicode MS"/>
          <w:color w:val="auto"/>
          <w:sz w:val="24"/>
          <w:highlight w:val="none"/>
        </w:rPr>
        <w:t>）记录签名方可开锁，准许开展有限空间作业。</w:t>
      </w:r>
    </w:p>
    <w:p>
      <w:pPr>
        <w:pStyle w:val="14"/>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Arial Unicode MS"/>
          <w:color w:val="auto"/>
          <w:sz w:val="24"/>
          <w:highlight w:val="none"/>
          <w:lang w:eastAsia="zh-CN"/>
        </w:rPr>
      </w:pPr>
      <w:r>
        <w:rPr>
          <w:rFonts w:hint="eastAsia" w:ascii="宋体" w:hAnsi="宋体" w:eastAsia="宋体" w:cs="Arial Unicode MS"/>
          <w:color w:val="auto"/>
          <w:sz w:val="24"/>
          <w:highlight w:val="none"/>
        </w:rPr>
        <w:t>建立有限空间作业每日上锁撤场制度。施工单位项目经理、监理单位总监理工程师应重点审核以下有限空间作业撤场条件，符合条件，并在《有限空间作业两把锁上锁撤场核查表》（详见附</w:t>
      </w:r>
      <w:r>
        <w:rPr>
          <w:rFonts w:hint="eastAsia" w:ascii="宋体" w:hAnsi="宋体" w:eastAsia="宋体" w:cs="Arial Unicode MS"/>
          <w:color w:val="auto"/>
          <w:sz w:val="24"/>
          <w:highlight w:val="none"/>
          <w:lang w:val="en-US" w:eastAsia="zh-CN"/>
        </w:rPr>
        <w:t>表</w:t>
      </w:r>
      <w:r>
        <w:rPr>
          <w:rFonts w:hint="eastAsia" w:ascii="宋体" w:hAnsi="宋体" w:eastAsia="宋体" w:cs="Arial Unicode MS"/>
          <w:color w:val="auto"/>
          <w:sz w:val="24"/>
          <w:highlight w:val="none"/>
          <w:lang w:eastAsia="zh-CN"/>
        </w:rPr>
        <w:t>D</w:t>
      </w:r>
      <w:r>
        <w:rPr>
          <w:rFonts w:hint="eastAsia" w:ascii="宋体" w:hAnsi="宋体" w:eastAsia="宋体" w:cs="Arial Unicode MS"/>
          <w:color w:val="auto"/>
          <w:sz w:val="24"/>
          <w:highlight w:val="none"/>
        </w:rPr>
        <w:t>）记录签名方可上锁，准许人员撤场并上锁有限空间作业点位围蔽设施。</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eastAsia" w:ascii="宋体" w:hAnsi="宋体" w:eastAsia="宋体" w:cs="宋体"/>
          <w:sz w:val="24"/>
          <w:lang w:eastAsia="zh-CN"/>
        </w:rPr>
      </w:pPr>
      <w:r>
        <w:rPr>
          <w:rFonts w:hint="eastAsia" w:ascii="宋体" w:hAnsi="宋体" w:eastAsia="宋体" w:cs="宋体"/>
          <w:sz w:val="24"/>
          <w:szCs w:val="24"/>
          <w:lang w:val="en-US" w:eastAsia="zh-CN"/>
        </w:rPr>
        <w:t>3.2.3</w:t>
      </w:r>
      <w:r>
        <w:rPr>
          <w:rFonts w:hint="eastAsia" w:ascii="宋体" w:hAnsi="宋体" w:eastAsia="宋体" w:cs="宋体"/>
          <w:sz w:val="24"/>
        </w:rPr>
        <w:t>有限空间作业时应严格落实“七不”措施</w:t>
      </w:r>
      <w:r>
        <w:rPr>
          <w:rFonts w:hint="eastAsia" w:ascii="宋体" w:hAnsi="宋体" w:eastAsia="宋体" w:cs="宋体"/>
          <w:sz w:val="24"/>
          <w:lang w:eastAsia="zh-CN"/>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宋体" w:hAnsi="宋体" w:eastAsia="宋体" w:cs="宋体"/>
          <w:sz w:val="24"/>
        </w:rPr>
      </w:pPr>
      <w:r>
        <w:rPr>
          <w:rFonts w:hint="default" w:ascii="宋体" w:hAnsi="宋体" w:eastAsia="宋体" w:cs="宋体"/>
          <w:sz w:val="24"/>
        </w:rPr>
        <w:t>未经风险辨识不作业</w:t>
      </w:r>
      <w:r>
        <w:rPr>
          <w:rFonts w:hint="eastAsia" w:ascii="宋体" w:hAnsi="宋体" w:eastAsia="宋体" w:cs="宋体"/>
          <w:sz w:val="24"/>
          <w:lang w:eastAsia="zh-CN"/>
        </w:rPr>
        <w:t>；</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未经通风和检测合格不作业；</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不佩戴劳动防护用品不作业；</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没有监护不作业；</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电气设备不符合规定不作业；</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未经审批不作业；</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未经培训演练不作业。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3.2.4</w:t>
      </w:r>
      <w:r>
        <w:rPr>
          <w:rFonts w:hint="default" w:ascii="宋体" w:hAnsi="宋体" w:eastAsia="宋体" w:cs="宋体"/>
          <w:sz w:val="24"/>
          <w:szCs w:val="24"/>
          <w:lang w:val="en-US" w:eastAsia="zh-CN"/>
        </w:rPr>
        <w:t>在进行有限空间作业时，</w:t>
      </w:r>
      <w:r>
        <w:rPr>
          <w:rFonts w:hint="eastAsia" w:ascii="宋体" w:hAnsi="宋体" w:eastAsia="宋体" w:cs="宋体"/>
          <w:sz w:val="24"/>
          <w:szCs w:val="24"/>
          <w:lang w:val="en-US" w:eastAsia="zh-CN"/>
        </w:rPr>
        <w:t>施工单位</w:t>
      </w:r>
      <w:r>
        <w:rPr>
          <w:rFonts w:hint="default" w:ascii="宋体" w:hAnsi="宋体" w:eastAsia="宋体" w:cs="宋体"/>
          <w:sz w:val="24"/>
          <w:szCs w:val="24"/>
          <w:lang w:val="en-US" w:eastAsia="zh-CN"/>
        </w:rPr>
        <w:t>现场责任工程师、专职安全员</w:t>
      </w:r>
      <w:r>
        <w:rPr>
          <w:rFonts w:hint="eastAsia" w:ascii="宋体" w:hAnsi="宋体" w:eastAsia="宋体" w:cs="宋体"/>
          <w:sz w:val="24"/>
          <w:szCs w:val="24"/>
          <w:lang w:val="en-US" w:eastAsia="zh-CN"/>
        </w:rPr>
        <w:t>与监理单位相关人员</w:t>
      </w:r>
      <w:r>
        <w:rPr>
          <w:rFonts w:hint="default" w:ascii="宋体" w:hAnsi="宋体" w:eastAsia="宋体" w:cs="宋体"/>
          <w:sz w:val="24"/>
          <w:szCs w:val="24"/>
          <w:lang w:val="en-US" w:eastAsia="zh-CN"/>
        </w:rPr>
        <w:t>全程旁站，不得擅离职守，对现场作业条件进行确认，与作业人员保持信息沟通，发现异常情况时发出撤离警报，并协助作业人员撤离。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作业期间发生下列情况之一时，</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应立即撤离有限空间：</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出现身体不适。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b）安全防护设备或个体防护装备失效。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c）气体检测报警仪报警。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d）监护者或</w:t>
      </w:r>
      <w:r>
        <w:rPr>
          <w:rFonts w:hint="eastAsia" w:ascii="宋体" w:hAnsi="宋体" w:eastAsia="宋体" w:cs="宋体"/>
          <w:sz w:val="24"/>
          <w:szCs w:val="24"/>
          <w:lang w:val="en-US" w:eastAsia="zh-CN"/>
        </w:rPr>
        <w:t>施工</w:t>
      </w:r>
      <w:r>
        <w:rPr>
          <w:rFonts w:hint="default" w:ascii="宋体" w:hAnsi="宋体" w:eastAsia="宋体" w:cs="宋体"/>
          <w:sz w:val="24"/>
          <w:szCs w:val="24"/>
          <w:lang w:val="en-US" w:eastAsia="zh-CN"/>
        </w:rPr>
        <w:t>负责人下达撤离命令。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e）出现其他安全隐患的。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3.2.5作业监护与通风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作业过程中，应根据实际情况采取适当的方式对有限空间作业面进行实时监测，一种是监护人员在有限空间外使用泵吸式气体检测报警仪对作业面进行监护检测；另一种是作业人员自行佩戴便携式气体检测报警仪对作业面进行个体检测。除实时监测外，作业过程中还应持续进行通风。当有限空间内进行涂装、防水、防腐，以及焊接等动火作业时，应持续进行机械通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3.3</w:t>
      </w:r>
      <w:r>
        <w:rPr>
          <w:rFonts w:hint="default" w:ascii="宋体" w:hAnsi="宋体" w:eastAsia="宋体" w:cs="宋体"/>
          <w:b/>
          <w:bCs/>
          <w:sz w:val="24"/>
          <w:szCs w:val="24"/>
          <w:lang w:val="en-US" w:eastAsia="zh-CN"/>
        </w:rPr>
        <w:t>作业后清理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有限空间作业完成后，作业人员应将全部设备和工具带离有限空间。清点人员和设备，确保有限空间内无人员和设备遗留后，关闭进出口。解除本次作业前采取的隔离、封闭措施，恢复现场环境后安全撤离作业现场</w:t>
      </w:r>
      <w:r>
        <w:rPr>
          <w:rFonts w:hint="eastAsia" w:ascii="宋体" w:hAnsi="宋体" w:eastAsia="宋体" w:cs="宋体"/>
          <w:sz w:val="24"/>
          <w:szCs w:val="24"/>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textAlignment w:val="auto"/>
        <w:outlineLvl w:val="0"/>
        <w:rPr>
          <w:rFonts w:hint="default" w:ascii="宋体" w:hAnsi="宋体" w:eastAsia="宋体" w:cs="宋体"/>
          <w:b/>
          <w:bCs/>
          <w:color w:val="auto"/>
          <w:sz w:val="32"/>
          <w:szCs w:val="32"/>
          <w:highlight w:val="none"/>
          <w:lang w:val="en-US" w:eastAsia="zh-CN"/>
        </w:rPr>
      </w:pPr>
      <w:bookmarkStart w:id="9" w:name="_Toc27117"/>
      <w:bookmarkStart w:id="10" w:name="_Toc17761"/>
      <w:bookmarkStart w:id="11" w:name="_Toc6216"/>
      <w:r>
        <w:rPr>
          <w:rFonts w:hint="eastAsia" w:ascii="宋体" w:hAnsi="宋体" w:eastAsia="宋体" w:cs="宋体"/>
          <w:b/>
          <w:bCs/>
          <w:color w:val="auto"/>
          <w:sz w:val="32"/>
          <w:szCs w:val="32"/>
          <w:highlight w:val="none"/>
          <w:lang w:val="en-US" w:eastAsia="zh-CN"/>
        </w:rPr>
        <w:t>4事故应急救援</w:t>
      </w:r>
      <w:bookmarkEnd w:id="9"/>
      <w:bookmarkEnd w:id="10"/>
      <w:bookmarkEnd w:id="11"/>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r>
        <w:rPr>
          <w:rFonts w:hint="eastAsia" w:ascii="宋体" w:hAnsi="宋体" w:eastAsia="宋体" w:cs="宋体"/>
          <w:sz w:val="24"/>
        </w:rPr>
        <w:t>施工现场事故频发的有限空间作业包括：防水施工、暗挖施工、顶管施工、盾构施工、拆模作业、电气焊作业、油漆喷涂作业、防腐保温作业、冬季明火保温施工、人工挖孔桩作业；各类管井保养维修清理及升级改造作业、清淤作业、内燃机（水泵、汽柴油发电机等）作业等。</w:t>
      </w:r>
      <w:r>
        <w:rPr>
          <w:rFonts w:hint="eastAsia" w:ascii="宋体" w:hAnsi="宋体" w:eastAsia="宋体" w:cs="宋体"/>
          <w:sz w:val="24"/>
          <w:szCs w:val="24"/>
          <w:lang w:val="en-US" w:eastAsia="zh-CN"/>
        </w:rPr>
        <w:t>施工单位</w:t>
      </w:r>
      <w:r>
        <w:rPr>
          <w:rFonts w:hint="default" w:ascii="宋体" w:hAnsi="宋体" w:eastAsia="宋体" w:cs="宋体"/>
          <w:sz w:val="24"/>
          <w:szCs w:val="24"/>
          <w:lang w:val="en-US" w:eastAsia="zh-CN"/>
        </w:rPr>
        <w:t>应严格按照《有限空间作业事故安全施救指南》（国家安全生产应急救援中心）的要求做好“应急准备”工作，如发生有限空间作业事故应及时启动“救援实施”工作，严格执行有限空间作业事故安全施救基本流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4.2施工单位</w:t>
      </w:r>
      <w:r>
        <w:rPr>
          <w:rFonts w:hint="default" w:ascii="宋体" w:hAnsi="宋体" w:eastAsia="宋体" w:cs="宋体"/>
          <w:sz w:val="24"/>
          <w:szCs w:val="24"/>
          <w:lang w:val="en-US" w:eastAsia="zh-CN"/>
        </w:rPr>
        <w:t>必须制定中毒、窒息淹溺、高处坠落、触电、物体打击、机械伤害、灼烫、坍塌、掩埋和高温高湿等安全风险事故应急救援预案，并定期进行</w:t>
      </w:r>
      <w:r>
        <w:rPr>
          <w:rFonts w:hint="eastAsia" w:ascii="宋体" w:hAnsi="宋体" w:cs="宋体"/>
          <w:sz w:val="24"/>
          <w:lang w:val="en-US" w:eastAsia="zh-CN"/>
        </w:rPr>
        <w:t>应急救援</w:t>
      </w:r>
      <w:r>
        <w:rPr>
          <w:rFonts w:hint="default" w:ascii="宋体" w:hAnsi="宋体" w:eastAsia="宋体" w:cs="宋体"/>
          <w:sz w:val="24"/>
          <w:szCs w:val="24"/>
          <w:lang w:val="en-US" w:eastAsia="zh-CN"/>
        </w:rPr>
        <w:t>演练。</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4.3施工</w:t>
      </w:r>
      <w:r>
        <w:rPr>
          <w:rFonts w:hint="default" w:ascii="宋体" w:hAnsi="宋体" w:eastAsia="宋体" w:cs="宋体"/>
          <w:sz w:val="24"/>
        </w:rPr>
        <w:t>单位</w:t>
      </w:r>
      <w:r>
        <w:rPr>
          <w:rFonts w:hint="eastAsia" w:ascii="宋体" w:hAnsi="宋体" w:eastAsia="宋体" w:cs="宋体"/>
          <w:sz w:val="24"/>
          <w:lang w:val="en-US" w:eastAsia="zh-CN"/>
        </w:rPr>
        <w:t>应</w:t>
      </w:r>
      <w:r>
        <w:rPr>
          <w:rFonts w:hint="default" w:ascii="宋体" w:hAnsi="宋体" w:eastAsia="宋体" w:cs="宋体"/>
          <w:sz w:val="24"/>
        </w:rPr>
        <w:t>将有限空间作业事故应急演练纳入本单位应急演练计划，组织开展桌面推演、现场实操等形式的演练，提高有限空间作业事故应急救援能力。应急演练结束后，对演练效果进行评估，撰写评估报告，分析存在的问题，提出改进措施，修订完善应急预案或现场处置方案</w:t>
      </w:r>
      <w:r>
        <w:rPr>
          <w:rFonts w:hint="eastAsia" w:ascii="宋体" w:hAnsi="宋体" w:eastAsia="宋体" w:cs="宋体"/>
          <w:sz w:val="24"/>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w:t>
      </w:r>
      <w:r>
        <w:rPr>
          <w:rFonts w:hint="default" w:ascii="宋体" w:hAnsi="宋体" w:eastAsia="宋体" w:cs="宋体"/>
          <w:sz w:val="24"/>
          <w:szCs w:val="24"/>
          <w:lang w:val="en-US" w:eastAsia="zh-CN"/>
        </w:rPr>
        <w:t>发生安全风险事故</w:t>
      </w:r>
      <w:r>
        <w:rPr>
          <w:rFonts w:hint="eastAsia" w:ascii="宋体" w:hAnsi="宋体" w:eastAsia="宋体" w:cs="宋体"/>
          <w:sz w:val="24"/>
          <w:szCs w:val="24"/>
          <w:lang w:val="en-US" w:eastAsia="zh-CN"/>
        </w:rPr>
        <w:t>时</w:t>
      </w:r>
      <w:r>
        <w:rPr>
          <w:rFonts w:hint="default" w:ascii="宋体" w:hAnsi="宋体" w:eastAsia="宋体" w:cs="宋体"/>
          <w:sz w:val="24"/>
          <w:szCs w:val="24"/>
          <w:lang w:val="en-US" w:eastAsia="zh-CN"/>
        </w:rPr>
        <w:t>，监护人员应立即启动救援预案，用</w:t>
      </w:r>
      <w:r>
        <w:rPr>
          <w:rFonts w:hint="eastAsia" w:ascii="宋体" w:hAnsi="宋体" w:eastAsia="宋体" w:cs="宋体"/>
          <w:sz w:val="24"/>
          <w:szCs w:val="24"/>
          <w:lang w:val="en-US" w:eastAsia="zh-CN"/>
        </w:rPr>
        <w:t>作业人员</w:t>
      </w:r>
      <w:r>
        <w:rPr>
          <w:rFonts w:hint="default" w:ascii="宋体" w:hAnsi="宋体" w:eastAsia="宋体" w:cs="宋体"/>
          <w:sz w:val="24"/>
          <w:szCs w:val="24"/>
          <w:lang w:val="en-US" w:eastAsia="zh-CN"/>
        </w:rPr>
        <w:t>自身佩戴的安全带、安全绳将其迅速救出。同时报警请求救援，并立即按要求向上级有关部门报告。</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r>
        <w:rPr>
          <w:rFonts w:hint="default" w:ascii="宋体" w:hAnsi="宋体" w:eastAsia="宋体" w:cs="宋体"/>
          <w:sz w:val="24"/>
          <w:szCs w:val="24"/>
          <w:lang w:val="en-US" w:eastAsia="zh-CN"/>
        </w:rPr>
        <w:t>有限空间作业事故抢救时，抢救人员必须佩戴好便携式供压缩空气的隔离式呼吸器、五点式安全带，系好安全绳等，在做好个人安全防护和专人监护下进行，切忌盲目施救。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w:t>
      </w:r>
      <w:r>
        <w:rPr>
          <w:rFonts w:hint="default" w:ascii="宋体" w:hAnsi="宋体" w:eastAsia="宋体" w:cs="宋体"/>
          <w:sz w:val="24"/>
          <w:szCs w:val="24"/>
          <w:lang w:val="en-US" w:eastAsia="zh-CN"/>
        </w:rPr>
        <w:t>被救</w:t>
      </w:r>
      <w:r>
        <w:rPr>
          <w:rFonts w:hint="eastAsia" w:ascii="宋体" w:hAnsi="宋体" w:eastAsia="宋体" w:cs="宋体"/>
          <w:sz w:val="24"/>
          <w:szCs w:val="24"/>
          <w:lang w:val="en-US" w:eastAsia="zh-CN"/>
        </w:rPr>
        <w:t>人员救</w:t>
      </w:r>
      <w:r>
        <w:rPr>
          <w:rFonts w:hint="default" w:ascii="宋体" w:hAnsi="宋体" w:eastAsia="宋体" w:cs="宋体"/>
          <w:sz w:val="24"/>
          <w:szCs w:val="24"/>
          <w:lang w:val="en-US" w:eastAsia="zh-CN"/>
        </w:rPr>
        <w:t>出后应立即送往医院抢救或先将伤者迅速脱离现场，移至通风良好和有新鲜空气的地方，松解中毒、窒息者领扣和裤带，快速脱去被污染的衣物、鞋袜等，防止毒物继续进入体内，视伤者情况采取心肺复苏法施救。</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宋体"/>
          <w:sz w:val="24"/>
          <w:szCs w:val="24"/>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pageBreakBefore w:val="0"/>
        <w:kinsoku/>
        <w:wordWrap/>
        <w:overflowPunct/>
        <w:topLinePunct w:val="0"/>
        <w:autoSpaceDE/>
        <w:autoSpaceDN/>
        <w:bidi w:val="0"/>
        <w:spacing w:line="360" w:lineRule="auto"/>
        <w:ind w:firstLine="560" w:firstLineChars="200"/>
        <w:textAlignment w:val="auto"/>
        <w:outlineLvl w:val="0"/>
        <w:rPr>
          <w:rFonts w:ascii="黑体" w:eastAsia="黑体"/>
          <w:color w:val="auto"/>
          <w:sz w:val="28"/>
          <w:szCs w:val="28"/>
          <w:highlight w:val="none"/>
        </w:rPr>
      </w:pPr>
      <w:bookmarkStart w:id="12" w:name="_Toc7472"/>
      <w:bookmarkStart w:id="13" w:name="_Toc2409"/>
      <w:bookmarkStart w:id="14" w:name="_Toc3869"/>
      <w:bookmarkStart w:id="15" w:name="_Toc28577"/>
      <w:bookmarkStart w:id="16" w:name="_Toc10817"/>
      <w:bookmarkStart w:id="17" w:name="_Toc27731"/>
      <w:r>
        <w:rPr>
          <w:rFonts w:hint="eastAsia" w:ascii="黑体" w:eastAsia="黑体"/>
          <w:color w:val="auto"/>
          <w:sz w:val="28"/>
          <w:szCs w:val="28"/>
          <w:highlight w:val="none"/>
        </w:rPr>
        <w:t>附表A</w:t>
      </w:r>
      <w:bookmarkEnd w:id="12"/>
      <w:bookmarkEnd w:id="13"/>
      <w:bookmarkEnd w:id="14"/>
      <w:bookmarkEnd w:id="15"/>
      <w:bookmarkEnd w:id="16"/>
      <w:bookmarkEnd w:id="17"/>
    </w:p>
    <w:p>
      <w:pPr>
        <w:pageBreakBefore w:val="0"/>
        <w:kinsoku/>
        <w:wordWrap/>
        <w:overflowPunct/>
        <w:topLinePunct w:val="0"/>
        <w:autoSpaceDE/>
        <w:autoSpaceDN/>
        <w:bidi w:val="0"/>
        <w:spacing w:line="360" w:lineRule="auto"/>
        <w:jc w:val="center"/>
        <w:textAlignment w:val="auto"/>
        <w:rPr>
          <w:rFonts w:ascii="宋体" w:hAnsi="宋体"/>
          <w:color w:val="auto"/>
          <w:szCs w:val="21"/>
          <w:highlight w:val="none"/>
        </w:rPr>
      </w:pPr>
      <w:r>
        <w:rPr>
          <w:rFonts w:hint="eastAsia" w:ascii="黑体" w:eastAsia="黑体"/>
          <w:bCs/>
          <w:color w:val="auto"/>
          <w:sz w:val="28"/>
          <w:szCs w:val="28"/>
          <w:highlight w:val="none"/>
          <w:u w:val="double"/>
        </w:rPr>
        <w:t>有限空间安全作业申请表</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（章）</w:t>
      </w:r>
    </w:p>
    <w:tbl>
      <w:tblPr>
        <w:tblStyle w:val="1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551"/>
        <w:gridCol w:w="425"/>
        <w:gridCol w:w="1276"/>
        <w:gridCol w:w="14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545"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作业名称</w:t>
            </w:r>
          </w:p>
        </w:tc>
        <w:tc>
          <w:tcPr>
            <w:tcW w:w="7023" w:type="dxa"/>
            <w:gridSpan w:val="5"/>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lang w:eastAsia="zh-CN"/>
              </w:rPr>
              <w:t>单位</w:t>
            </w:r>
          </w:p>
        </w:tc>
        <w:tc>
          <w:tcPr>
            <w:tcW w:w="7023"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作业地点</w:t>
            </w:r>
          </w:p>
        </w:tc>
        <w:tc>
          <w:tcPr>
            <w:tcW w:w="7023"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rPr>
              <w:t>负责人</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监护者</w:t>
            </w:r>
          </w:p>
        </w:tc>
        <w:tc>
          <w:tcPr>
            <w:tcW w:w="2771"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作业人数</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作业人员</w:t>
            </w:r>
          </w:p>
        </w:tc>
        <w:tc>
          <w:tcPr>
            <w:tcW w:w="2771"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7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p>
        </w:tc>
        <w:tc>
          <w:tcPr>
            <w:tcW w:w="2771"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45" w:type="dxa"/>
            <w:tcBorders>
              <w:left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7023" w:type="dxa"/>
            <w:gridSpan w:val="5"/>
            <w:tcBorders>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作业前准备、</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管渠封堵、</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有限空间作业、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拆堵作业、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作业后清理、</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545" w:type="dxa"/>
            <w:tcBorders>
              <w:left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堵水作业前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准备工作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落实情况</w:t>
            </w:r>
          </w:p>
        </w:tc>
        <w:tc>
          <w:tcPr>
            <w:tcW w:w="7023" w:type="dxa"/>
            <w:gridSpan w:val="5"/>
            <w:tcBorders>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设置安全标志、</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设置安全警示标识、</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设置警示灯、</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设备安全检查、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开启出入口、</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气体检测、</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作业环境级别判定、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机械通风、</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二次气体检测、</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二次判定、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个体防护、</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电气设备和照明安全、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w:t>
            </w:r>
          </w:p>
        </w:tc>
        <w:tc>
          <w:tcPr>
            <w:tcW w:w="7023"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中毒、</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爆炸、</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个体防护、</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橡胶充气管塞爆裂、</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电气设备和照明安全、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tc>
        <w:tc>
          <w:tcPr>
            <w:tcW w:w="7023"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防毒用具、</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皮叉、</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防护服、</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防护鞋、</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手套、</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安全帽、</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安全色、</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安全带、</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职业用高可视性警示服、</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坠落防护 连接器、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坠落防护 缓冲器、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坠落防护 安全绳、</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坠落防护 速差自控器、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隔绝式呼吸防护用品、</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自给开路式压缩空气呼吸器、</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防晒及防暑降温药品和物品、</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作业前人员培训交底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tc>
        <w:tc>
          <w:tcPr>
            <w:tcW w:w="7023"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840" w:firstLineChars="40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45"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意见</w:t>
            </w:r>
          </w:p>
        </w:tc>
        <w:tc>
          <w:tcPr>
            <w:tcW w:w="2976"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418"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盖章</w:t>
            </w:r>
          </w:p>
        </w:tc>
        <w:tc>
          <w:tcPr>
            <w:tcW w:w="2629"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45"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单位意见</w:t>
            </w:r>
          </w:p>
        </w:tc>
        <w:tc>
          <w:tcPr>
            <w:tcW w:w="2976" w:type="dxa"/>
            <w:gridSpan w:val="2"/>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418" w:type="dxa"/>
            <w:gridSpan w:val="2"/>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单位公章</w:t>
            </w:r>
          </w:p>
        </w:tc>
        <w:tc>
          <w:tcPr>
            <w:tcW w:w="2629"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45"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监理单位意见</w:t>
            </w:r>
          </w:p>
        </w:tc>
        <w:tc>
          <w:tcPr>
            <w:tcW w:w="2976" w:type="dxa"/>
            <w:gridSpan w:val="2"/>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418" w:type="dxa"/>
            <w:gridSpan w:val="2"/>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监理单位公章</w:t>
            </w:r>
          </w:p>
        </w:tc>
        <w:tc>
          <w:tcPr>
            <w:tcW w:w="2629"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bl>
    <w:p>
      <w:pPr>
        <w:pageBreakBefore w:val="0"/>
        <w:kinsoku/>
        <w:wordWrap/>
        <w:overflowPunct/>
        <w:topLinePunct w:val="0"/>
        <w:autoSpaceDE/>
        <w:autoSpaceDN/>
        <w:bidi w:val="0"/>
        <w:spacing w:line="360" w:lineRule="auto"/>
        <w:ind w:firstLine="1680" w:firstLineChars="8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申报日期：      年  月  日</w:t>
      </w:r>
      <w:r>
        <w:rPr>
          <w:rFonts w:hint="eastAsia" w:ascii="宋体" w:hAnsi="宋体" w:eastAsia="宋体" w:cs="宋体"/>
          <w:color w:val="auto"/>
          <w:sz w:val="21"/>
          <w:szCs w:val="21"/>
          <w:highlight w:val="none"/>
        </w:rPr>
        <w:br w:type="page"/>
      </w:r>
    </w:p>
    <w:p>
      <w:pPr>
        <w:pageBreakBefore w:val="0"/>
        <w:kinsoku/>
        <w:wordWrap/>
        <w:overflowPunct/>
        <w:topLinePunct w:val="0"/>
        <w:autoSpaceDE/>
        <w:autoSpaceDN/>
        <w:bidi w:val="0"/>
        <w:spacing w:line="360" w:lineRule="auto"/>
        <w:ind w:firstLine="560" w:firstLineChars="200"/>
        <w:textAlignment w:val="auto"/>
        <w:outlineLvl w:val="0"/>
        <w:rPr>
          <w:rFonts w:hint="eastAsia" w:ascii="黑体" w:eastAsia="黑体"/>
          <w:color w:val="auto"/>
          <w:sz w:val="28"/>
          <w:szCs w:val="28"/>
          <w:highlight w:val="none"/>
          <w:lang w:eastAsia="zh-CN"/>
        </w:rPr>
      </w:pPr>
      <w:bookmarkStart w:id="18" w:name="_Toc8209"/>
      <w:bookmarkStart w:id="19" w:name="_Toc14507"/>
      <w:bookmarkStart w:id="20" w:name="_Toc13069"/>
      <w:bookmarkStart w:id="21" w:name="_Toc414"/>
      <w:bookmarkStart w:id="22" w:name="_Toc29077"/>
      <w:r>
        <w:rPr>
          <w:rFonts w:hint="eastAsia" w:ascii="黑体" w:eastAsia="黑体"/>
          <w:color w:val="auto"/>
          <w:sz w:val="28"/>
          <w:szCs w:val="28"/>
          <w:highlight w:val="none"/>
        </w:rPr>
        <w:t>附表</w:t>
      </w:r>
      <w:r>
        <w:rPr>
          <w:rFonts w:hint="eastAsia" w:ascii="黑体" w:eastAsia="黑体"/>
          <w:color w:val="auto"/>
          <w:sz w:val="28"/>
          <w:szCs w:val="28"/>
          <w:highlight w:val="none"/>
          <w:lang w:val="en-US" w:eastAsia="zh-CN"/>
        </w:rPr>
        <w:t>B</w:t>
      </w:r>
      <w:bookmarkEnd w:id="18"/>
      <w:bookmarkEnd w:id="19"/>
      <w:bookmarkEnd w:id="20"/>
      <w:bookmarkEnd w:id="21"/>
      <w:bookmarkEnd w:id="22"/>
    </w:p>
    <w:p>
      <w:pPr>
        <w:pageBreakBefore w:val="0"/>
        <w:kinsoku/>
        <w:wordWrap/>
        <w:overflowPunct/>
        <w:topLinePunct w:val="0"/>
        <w:autoSpaceDE/>
        <w:autoSpaceDN/>
        <w:bidi w:val="0"/>
        <w:spacing w:line="360" w:lineRule="auto"/>
        <w:jc w:val="center"/>
        <w:textAlignment w:val="auto"/>
        <w:rPr>
          <w:rFonts w:hint="eastAsia" w:ascii="黑体" w:eastAsia="黑体"/>
          <w:bCs/>
          <w:color w:val="auto"/>
          <w:sz w:val="28"/>
          <w:szCs w:val="28"/>
          <w:highlight w:val="none"/>
          <w:u w:val="double"/>
        </w:rPr>
      </w:pPr>
      <w:r>
        <w:rPr>
          <w:rFonts w:hint="eastAsia" w:ascii="黑体" w:eastAsia="黑体"/>
          <w:bCs/>
          <w:color w:val="auto"/>
          <w:sz w:val="28"/>
          <w:szCs w:val="28"/>
          <w:highlight w:val="none"/>
          <w:u w:val="double"/>
        </w:rPr>
        <w:t>有限空间安全作业表</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单位（章）</w:t>
      </w:r>
      <w:r>
        <w:rPr>
          <w:rFonts w:hint="eastAsia" w:ascii="宋体" w:hAnsi="宋体" w:eastAsia="宋体" w:cs="宋体"/>
          <w:color w:val="auto"/>
          <w:sz w:val="21"/>
          <w:szCs w:val="21"/>
          <w:highlight w:val="none"/>
          <w:lang w:eastAsia="zh-CN"/>
        </w:rPr>
        <w:t>：</w:t>
      </w:r>
    </w:p>
    <w:tbl>
      <w:tblPr>
        <w:tblStyle w:val="11"/>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45"/>
        <w:gridCol w:w="518"/>
        <w:gridCol w:w="527"/>
        <w:gridCol w:w="527"/>
        <w:gridCol w:w="543"/>
        <w:gridCol w:w="1031"/>
        <w:gridCol w:w="347"/>
        <w:gridCol w:w="350"/>
        <w:gridCol w:w="869"/>
        <w:gridCol w:w="20"/>
        <w:gridCol w:w="331"/>
        <w:gridCol w:w="196"/>
        <w:gridCol w:w="852"/>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gridSpan w:val="3"/>
            <w:tcBorders>
              <w:top w:val="single" w:color="auto" w:sz="12" w:space="0"/>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lang w:eastAsia="zh-CN"/>
              </w:rPr>
              <w:t>单位</w:t>
            </w:r>
          </w:p>
        </w:tc>
        <w:tc>
          <w:tcPr>
            <w:tcW w:w="1054" w:type="dxa"/>
            <w:gridSpan w:val="2"/>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921" w:type="dxa"/>
            <w:gridSpan w:val="3"/>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作业表填报人</w:t>
            </w:r>
          </w:p>
        </w:tc>
        <w:tc>
          <w:tcPr>
            <w:tcW w:w="1219" w:type="dxa"/>
            <w:gridSpan w:val="2"/>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99" w:type="dxa"/>
            <w:gridSpan w:val="4"/>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填报日期</w:t>
            </w:r>
          </w:p>
        </w:tc>
        <w:tc>
          <w:tcPr>
            <w:tcW w:w="1178" w:type="dxa"/>
            <w:tcBorders>
              <w:top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gridSpan w:val="3"/>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作业人</w:t>
            </w:r>
          </w:p>
        </w:tc>
        <w:tc>
          <w:tcPr>
            <w:tcW w:w="3325" w:type="dxa"/>
            <w:gridSpan w:val="6"/>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416"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监护人</w:t>
            </w:r>
          </w:p>
        </w:tc>
        <w:tc>
          <w:tcPr>
            <w:tcW w:w="2030" w:type="dxa"/>
            <w:gridSpan w:val="2"/>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gridSpan w:val="3"/>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作业地点</w:t>
            </w:r>
          </w:p>
        </w:tc>
        <w:tc>
          <w:tcPr>
            <w:tcW w:w="3325" w:type="dxa"/>
            <w:gridSpan w:val="6"/>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        路道街</w:t>
            </w:r>
          </w:p>
        </w:tc>
        <w:tc>
          <w:tcPr>
            <w:tcW w:w="1416" w:type="dxa"/>
            <w:gridSpan w:val="4"/>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井号</w:t>
            </w:r>
          </w:p>
        </w:tc>
        <w:tc>
          <w:tcPr>
            <w:tcW w:w="2030" w:type="dxa"/>
            <w:gridSpan w:val="2"/>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gridSpan w:val="4"/>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计划作业时间</w:t>
            </w:r>
          </w:p>
        </w:tc>
        <w:tc>
          <w:tcPr>
            <w:tcW w:w="2101"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586" w:type="dxa"/>
            <w:gridSpan w:val="4"/>
            <w:tcBorders>
              <w:top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作业任务</w:t>
            </w:r>
          </w:p>
        </w:tc>
        <w:tc>
          <w:tcPr>
            <w:tcW w:w="2557" w:type="dxa"/>
            <w:gridSpan w:val="4"/>
            <w:tcBorders>
              <w:top w:val="nil"/>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gridSpan w:val="2"/>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管径</w:t>
            </w:r>
          </w:p>
        </w:tc>
        <w:tc>
          <w:tcPr>
            <w:tcW w:w="104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07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水深</w:t>
            </w:r>
          </w:p>
        </w:tc>
        <w:tc>
          <w:tcPr>
            <w:tcW w:w="103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586"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潮汐影响</w:t>
            </w:r>
          </w:p>
        </w:tc>
        <w:tc>
          <w:tcPr>
            <w:tcW w:w="2557" w:type="dxa"/>
            <w:gridSpan w:val="4"/>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642" w:type="dxa"/>
            <w:tcBorders>
              <w:left w:val="single" w:color="auto" w:sz="12"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w:t>
            </w:r>
          </w:p>
        </w:tc>
        <w:tc>
          <w:tcPr>
            <w:tcW w:w="7634" w:type="dxa"/>
            <w:gridSpan w:val="14"/>
            <w:tcBorders>
              <w:bottom w:val="single" w:color="auto" w:sz="4"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1．提前开启井盖自然通风情况（井数和时间）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2．降水和照明情况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3．气体检测结果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拟采取的防毒、防爆手段（穿戴防护装具、人工通风情况）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trPr>
        <w:tc>
          <w:tcPr>
            <w:tcW w:w="2032" w:type="dxa"/>
            <w:gridSpan w:val="4"/>
            <w:tcBorders>
              <w:left w:val="single" w:color="auto" w:sz="12"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负责人意见</w:t>
            </w:r>
          </w:p>
        </w:tc>
        <w:tc>
          <w:tcPr>
            <w:tcW w:w="2101" w:type="dxa"/>
            <w:gridSpan w:val="3"/>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1917" w:type="dxa"/>
            <w:gridSpan w:val="5"/>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安全员意见</w:t>
            </w:r>
          </w:p>
        </w:tc>
        <w:tc>
          <w:tcPr>
            <w:tcW w:w="2226" w:type="dxa"/>
            <w:gridSpan w:val="3"/>
            <w:tcBorders>
              <w:bottom w:val="single" w:color="auto" w:sz="4"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trPr>
        <w:tc>
          <w:tcPr>
            <w:tcW w:w="4133" w:type="dxa"/>
            <w:gridSpan w:val="7"/>
            <w:tcBorders>
              <w:left w:val="single" w:color="auto" w:sz="12"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监理意见（专监）</w:t>
            </w:r>
          </w:p>
        </w:tc>
        <w:tc>
          <w:tcPr>
            <w:tcW w:w="4143" w:type="dxa"/>
            <w:gridSpan w:val="8"/>
            <w:tcBorders>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trPr>
        <w:tc>
          <w:tcPr>
            <w:tcW w:w="2032" w:type="dxa"/>
            <w:gridSpan w:val="4"/>
            <w:tcBorders>
              <w:left w:val="single" w:color="auto" w:sz="12"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年体检或作业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前体检结果</w:t>
            </w:r>
          </w:p>
        </w:tc>
        <w:tc>
          <w:tcPr>
            <w:tcW w:w="6244" w:type="dxa"/>
            <w:gridSpan w:val="11"/>
            <w:tcBorders>
              <w:bottom w:val="single" w:color="auto" w:sz="4"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2032" w:type="dxa"/>
            <w:gridSpan w:val="4"/>
            <w:tcBorders>
              <w:left w:val="single" w:color="auto" w:sz="12" w:space="0"/>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    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244" w:type="dxa"/>
            <w:gridSpan w:val="11"/>
            <w:tcBorders>
              <w:bottom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pPr>
        <w:pageBreakBefore w:val="0"/>
        <w:kinsoku/>
        <w:wordWrap/>
        <w:overflowPunct/>
        <w:topLinePunct w:val="0"/>
        <w:autoSpaceDE/>
        <w:autoSpaceDN/>
        <w:bidi w:val="0"/>
        <w:spacing w:line="240" w:lineRule="auto"/>
        <w:textAlignment w:val="auto"/>
        <w:rPr>
          <w:rFonts w:ascii="宋体" w:hAnsi="宋体"/>
          <w:color w:val="auto"/>
          <w:szCs w:val="21"/>
          <w:highlight w:val="none"/>
        </w:rPr>
      </w:pPr>
      <w:r>
        <w:rPr>
          <w:rFonts w:ascii="宋体" w:hAnsi="宋体"/>
          <w:color w:val="auto"/>
          <w:szCs w:val="21"/>
          <w:highlight w:val="none"/>
        </w:rPr>
        <w:br w:type="page"/>
      </w:r>
    </w:p>
    <w:p>
      <w:pPr>
        <w:pageBreakBefore w:val="0"/>
        <w:kinsoku/>
        <w:wordWrap/>
        <w:overflowPunct/>
        <w:topLinePunct w:val="0"/>
        <w:autoSpaceDE/>
        <w:autoSpaceDN/>
        <w:bidi w:val="0"/>
        <w:spacing w:line="360" w:lineRule="auto"/>
        <w:ind w:firstLine="560" w:firstLineChars="200"/>
        <w:jc w:val="left"/>
        <w:textAlignment w:val="auto"/>
        <w:outlineLvl w:val="0"/>
        <w:rPr>
          <w:rFonts w:hint="eastAsia" w:ascii="黑体" w:eastAsia="黑体"/>
          <w:color w:val="auto"/>
          <w:sz w:val="28"/>
          <w:szCs w:val="28"/>
          <w:highlight w:val="none"/>
          <w:lang w:val="en-US" w:eastAsia="zh-CN"/>
        </w:rPr>
      </w:pPr>
      <w:r>
        <w:rPr>
          <w:rFonts w:hint="eastAsia" w:ascii="黑体" w:eastAsia="黑体"/>
          <w:color w:val="auto"/>
          <w:sz w:val="28"/>
          <w:szCs w:val="28"/>
          <w:highlight w:val="none"/>
        </w:rPr>
        <w:t>附表</w:t>
      </w:r>
      <w:r>
        <w:rPr>
          <w:rFonts w:hint="eastAsia" w:ascii="黑体" w:eastAsia="黑体"/>
          <w:color w:val="auto"/>
          <w:sz w:val="28"/>
          <w:szCs w:val="28"/>
          <w:highlight w:val="none"/>
          <w:lang w:val="en-US" w:eastAsia="zh-CN"/>
        </w:rPr>
        <w:t>C</w:t>
      </w:r>
    </w:p>
    <w:p>
      <w:pPr>
        <w:pageBreakBefore w:val="0"/>
        <w:kinsoku/>
        <w:wordWrap/>
        <w:overflowPunct/>
        <w:topLinePunct w:val="0"/>
        <w:autoSpaceDE/>
        <w:autoSpaceDN/>
        <w:bidi w:val="0"/>
        <w:spacing w:line="360" w:lineRule="auto"/>
        <w:ind w:firstLine="0" w:firstLineChars="0"/>
        <w:jc w:val="center"/>
        <w:textAlignment w:val="auto"/>
        <w:outlineLvl w:val="9"/>
        <w:rPr>
          <w:rFonts w:hint="eastAsia" w:ascii="黑体" w:eastAsia="黑体"/>
          <w:bCs/>
          <w:color w:val="auto"/>
          <w:sz w:val="28"/>
          <w:szCs w:val="28"/>
          <w:highlight w:val="none"/>
          <w:u w:val="double"/>
        </w:rPr>
      </w:pPr>
      <w:r>
        <w:rPr>
          <w:rFonts w:hint="eastAsia" w:ascii="黑体" w:eastAsia="黑体"/>
          <w:bCs/>
          <w:color w:val="auto"/>
          <w:sz w:val="28"/>
          <w:szCs w:val="28"/>
          <w:highlight w:val="none"/>
          <w:u w:val="double"/>
        </w:rPr>
        <w:t>有限空间作业两把锁开锁作业核查表</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单位（章）</w:t>
      </w:r>
      <w:r>
        <w:rPr>
          <w:rFonts w:hint="eastAsia" w:ascii="宋体" w:hAnsi="宋体" w:eastAsia="宋体" w:cs="宋体"/>
          <w:color w:val="auto"/>
          <w:sz w:val="21"/>
          <w:szCs w:val="21"/>
          <w:highlight w:val="none"/>
          <w:lang w:eastAsia="zh-CN"/>
        </w:rPr>
        <w:t>：</w:t>
      </w:r>
    </w:p>
    <w:tbl>
      <w:tblPr>
        <w:tblStyle w:val="1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551"/>
        <w:gridCol w:w="1701"/>
        <w:gridCol w:w="126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545" w:type="dxa"/>
            <w:tcBorders>
              <w:top w:val="single" w:color="auto" w:sz="12" w:space="0"/>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作业名称</w:t>
            </w:r>
          </w:p>
        </w:tc>
        <w:tc>
          <w:tcPr>
            <w:tcW w:w="7023" w:type="dxa"/>
            <w:gridSpan w:val="4"/>
            <w:tcBorders>
              <w:top w:val="single" w:color="auto" w:sz="12" w:space="0"/>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w:t>
            </w:r>
          </w:p>
        </w:tc>
        <w:tc>
          <w:tcPr>
            <w:tcW w:w="7023" w:type="dxa"/>
            <w:gridSpan w:val="4"/>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作业地点</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作业日期</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单位负责人</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监护者</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作业人数</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人员</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主要作业内容</w:t>
            </w:r>
          </w:p>
        </w:tc>
        <w:tc>
          <w:tcPr>
            <w:tcW w:w="7023" w:type="dxa"/>
            <w:gridSpan w:val="4"/>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作业前准备、</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管渠封堵、</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井下作业、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拆堵作业、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作业后清理、</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545" w:type="dxa"/>
            <w:vMerge w:val="restart"/>
            <w:tcBorders>
              <w:lef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是否符合安全作业条件</w:t>
            </w:r>
          </w:p>
        </w:tc>
        <w:tc>
          <w:tcPr>
            <w:tcW w:w="5517" w:type="dxa"/>
            <w:gridSpan w:val="3"/>
            <w:tcBorders>
              <w:bottom w:val="single" w:color="auto" w:sz="4" w:space="0"/>
              <w:righ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是否全面辨识有限空间风险，并建档立册，在所有有限空间现场醒目位置设置安全警示标志。</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是否建立完善有限空间安全规章制度和作业流程，特别是强化作业前、作业中的通风和检测管控措施。</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是否为员工配备个人劳动保护用品，特别是配齐配全通风检测作业仪器、呼吸器等各类应急保障用品。</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是否落实有限空间作业中的安全监护措施，特别是按要求配备监护人员。</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是否确保有限空间作业现场设备设施安全，特别是电气设备符合防爆、安全等规定。</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是否严格落实有限空间作业许可申报审批管理。</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是否定期组织员工开展常态化有限空间作业安全培训，并且有计划地开展有限空间应急救援演练。</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45" w:type="dxa"/>
            <w:vMerge w:val="continue"/>
            <w:tcBorders>
              <w:left w:val="single" w:color="auto" w:sz="12" w:space="0"/>
              <w:bottom w:val="single" w:color="auto" w:sz="4"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是否结合施工现场作业条件，以有限空间作业风险识别、有限空间作业应急处置为重点，执行班前教育制度。</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作业人员确认</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color w:val="auto"/>
                <w:sz w:val="21"/>
                <w:szCs w:val="21"/>
                <w:shd w:val="clear"/>
                <w:lang w:val="en-US" w:eastAsia="zh-CN"/>
              </w:rPr>
            </w:pPr>
            <w:r>
              <w:rPr>
                <w:rFonts w:hint="eastAsia" w:ascii="宋体" w:hAnsi="宋体" w:eastAsia="宋体" w:cs="宋体"/>
                <w:color w:val="auto"/>
                <w:kern w:val="2"/>
                <w:sz w:val="21"/>
                <w:szCs w:val="21"/>
                <w:lang w:val="en-US" w:eastAsia="zh-CN" w:bidi="ar-SA"/>
              </w:rPr>
              <w:t>作业人员确认已掌握房</w:t>
            </w:r>
            <w:bookmarkStart w:id="35" w:name="_GoBack"/>
            <w:bookmarkEnd w:id="35"/>
            <w:r>
              <w:rPr>
                <w:rFonts w:hint="eastAsia" w:ascii="宋体" w:hAnsi="宋体" w:eastAsia="宋体" w:cs="宋体"/>
                <w:color w:val="auto"/>
                <w:kern w:val="2"/>
                <w:sz w:val="21"/>
                <w:szCs w:val="21"/>
                <w:lang w:val="en-US" w:eastAsia="zh-CN" w:bidi="ar-SA"/>
              </w:rPr>
              <w:t>屋市政工程有限空</w:t>
            </w:r>
            <w:r>
              <w:rPr>
                <w:rFonts w:hint="eastAsia" w:ascii="宋体" w:hAnsi="宋体" w:eastAsia="宋体" w:cs="宋体"/>
                <w:color w:val="auto"/>
                <w:sz w:val="21"/>
                <w:szCs w:val="21"/>
                <w:shd w:val="clear"/>
                <w:lang w:val="en-US" w:eastAsia="zh-CN"/>
              </w:rPr>
              <w:t>间作业“两把锁”管理制度的各项工作要求和入场开锁作业安全措施。</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项目经理核查意见</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lang w:eastAsia="zh-CN"/>
              </w:rPr>
              <w:t>符合安全作业条件，同意开锁作业。</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sym w:font="Wingdings 2" w:char="F0A3"/>
            </w:r>
            <w:r>
              <w:rPr>
                <w:rFonts w:hint="eastAsia" w:ascii="宋体" w:hAnsi="宋体" w:eastAsia="宋体" w:cs="宋体"/>
                <w:color w:val="auto"/>
                <w:sz w:val="21"/>
                <w:szCs w:val="21"/>
                <w:lang w:eastAsia="zh-CN"/>
              </w:rPr>
              <w:t>不符合安全作业条件，不同意开锁作业。</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总监理工程师核查意见</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lang w:eastAsia="zh-CN"/>
              </w:rPr>
              <w:t>符合安全作业条件，同意开锁作业。</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sym w:font="Wingdings 2" w:char="F0A3"/>
            </w:r>
            <w:r>
              <w:rPr>
                <w:rFonts w:hint="eastAsia" w:ascii="宋体" w:hAnsi="宋体" w:eastAsia="宋体" w:cs="宋体"/>
                <w:color w:val="auto"/>
                <w:sz w:val="21"/>
                <w:szCs w:val="21"/>
                <w:lang w:eastAsia="zh-CN"/>
              </w:rPr>
              <w:t>不符合安全作业条件，不同意开锁作业。</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签名：        </w:t>
            </w:r>
          </w:p>
        </w:tc>
      </w:tr>
    </w:tbl>
    <w:p>
      <w:pPr>
        <w:ind w:firstLine="1680" w:firstLineChars="800"/>
        <w:jc w:val="right"/>
        <w:rPr>
          <w:rFonts w:hint="eastAsia" w:ascii="宋体" w:hAnsi="宋体" w:eastAsia="宋体" w:cs="宋体"/>
          <w:color w:val="auto"/>
          <w:sz w:val="21"/>
          <w:szCs w:val="21"/>
          <w:highlight w:val="none"/>
        </w:rPr>
      </w:pPr>
    </w:p>
    <w:p>
      <w:pPr>
        <w:ind w:firstLine="1680" w:firstLineChars="800"/>
        <w:jc w:val="right"/>
        <w:rPr>
          <w:color w:val="auto"/>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核查</w:t>
      </w:r>
      <w:r>
        <w:rPr>
          <w:rFonts w:hint="eastAsia" w:ascii="宋体" w:hAnsi="宋体" w:eastAsia="宋体" w:cs="宋体"/>
          <w:color w:val="auto"/>
          <w:sz w:val="21"/>
          <w:szCs w:val="21"/>
          <w:highlight w:val="none"/>
        </w:rPr>
        <w:t>日期：      年  月  日</w:t>
      </w:r>
      <w:r>
        <w:rPr>
          <w:color w:val="auto"/>
          <w:highlight w:val="none"/>
        </w:rPr>
        <w:br w:type="page"/>
      </w:r>
    </w:p>
    <w:p>
      <w:pPr>
        <w:pageBreakBefore w:val="0"/>
        <w:kinsoku/>
        <w:wordWrap/>
        <w:overflowPunct/>
        <w:topLinePunct w:val="0"/>
        <w:autoSpaceDE/>
        <w:autoSpaceDN/>
        <w:bidi w:val="0"/>
        <w:spacing w:line="360" w:lineRule="auto"/>
        <w:ind w:firstLine="560" w:firstLineChars="200"/>
        <w:jc w:val="left"/>
        <w:textAlignment w:val="auto"/>
        <w:outlineLvl w:val="0"/>
        <w:rPr>
          <w:rFonts w:hint="eastAsia" w:ascii="黑体" w:eastAsia="黑体"/>
          <w:color w:val="auto"/>
          <w:sz w:val="28"/>
          <w:szCs w:val="28"/>
          <w:highlight w:val="none"/>
          <w:lang w:val="en-US" w:eastAsia="zh-CN"/>
        </w:rPr>
      </w:pPr>
      <w:r>
        <w:rPr>
          <w:rFonts w:hint="eastAsia" w:ascii="黑体" w:eastAsia="黑体"/>
          <w:color w:val="auto"/>
          <w:sz w:val="28"/>
          <w:szCs w:val="28"/>
          <w:highlight w:val="none"/>
        </w:rPr>
        <w:t>附表</w:t>
      </w:r>
      <w:r>
        <w:rPr>
          <w:rFonts w:hint="eastAsia" w:ascii="黑体" w:eastAsia="黑体"/>
          <w:color w:val="auto"/>
          <w:sz w:val="28"/>
          <w:szCs w:val="28"/>
          <w:highlight w:val="none"/>
          <w:lang w:val="en-US" w:eastAsia="zh-CN"/>
        </w:rPr>
        <w:t>D</w:t>
      </w:r>
    </w:p>
    <w:p>
      <w:pPr>
        <w:pageBreakBefore w:val="0"/>
        <w:kinsoku/>
        <w:wordWrap/>
        <w:overflowPunct/>
        <w:topLinePunct w:val="0"/>
        <w:autoSpaceDE/>
        <w:autoSpaceDN/>
        <w:bidi w:val="0"/>
        <w:spacing w:line="360" w:lineRule="auto"/>
        <w:ind w:firstLine="0" w:firstLineChars="0"/>
        <w:jc w:val="center"/>
        <w:textAlignment w:val="auto"/>
        <w:outlineLvl w:val="9"/>
        <w:rPr>
          <w:rFonts w:hint="eastAsia" w:ascii="黑体" w:eastAsia="黑体"/>
          <w:bCs/>
          <w:color w:val="auto"/>
          <w:sz w:val="28"/>
          <w:szCs w:val="28"/>
          <w:highlight w:val="none"/>
          <w:u w:val="double"/>
        </w:rPr>
      </w:pPr>
      <w:r>
        <w:rPr>
          <w:rFonts w:hint="eastAsia" w:ascii="黑体" w:eastAsia="黑体"/>
          <w:bCs/>
          <w:color w:val="auto"/>
          <w:sz w:val="28"/>
          <w:szCs w:val="28"/>
          <w:highlight w:val="none"/>
          <w:u w:val="double"/>
        </w:rPr>
        <w:t>有限空间作业两把锁上锁撤场核查表</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单位（章）</w:t>
      </w:r>
      <w:r>
        <w:rPr>
          <w:rFonts w:hint="eastAsia" w:ascii="宋体" w:hAnsi="宋体" w:eastAsia="宋体" w:cs="宋体"/>
          <w:color w:val="auto"/>
          <w:sz w:val="21"/>
          <w:szCs w:val="21"/>
          <w:highlight w:val="none"/>
          <w:lang w:eastAsia="zh-CN"/>
        </w:rPr>
        <w:t>：</w:t>
      </w:r>
    </w:p>
    <w:tbl>
      <w:tblPr>
        <w:tblStyle w:val="1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551"/>
        <w:gridCol w:w="1701"/>
        <w:gridCol w:w="126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atLeast"/>
        </w:trPr>
        <w:tc>
          <w:tcPr>
            <w:tcW w:w="1545" w:type="dxa"/>
            <w:tcBorders>
              <w:top w:val="single" w:color="auto" w:sz="12" w:space="0"/>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作业名称</w:t>
            </w:r>
          </w:p>
        </w:tc>
        <w:tc>
          <w:tcPr>
            <w:tcW w:w="7023" w:type="dxa"/>
            <w:gridSpan w:val="4"/>
            <w:tcBorders>
              <w:top w:val="single" w:color="auto" w:sz="12" w:space="0"/>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w:t>
            </w:r>
          </w:p>
        </w:tc>
        <w:tc>
          <w:tcPr>
            <w:tcW w:w="7023" w:type="dxa"/>
            <w:gridSpan w:val="4"/>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作业地点</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作业日期</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单位负责人</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监护者</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1545" w:type="dxa"/>
            <w:tcBorders>
              <w:left w:val="single" w:color="auto" w:sz="1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作业人数</w:t>
            </w:r>
          </w:p>
        </w:tc>
        <w:tc>
          <w:tcPr>
            <w:tcW w:w="2551" w:type="dxa"/>
            <w:vAlign w:val="center"/>
          </w:tcPr>
          <w:p>
            <w:pPr>
              <w:jc w:val="center"/>
              <w:rPr>
                <w:rFonts w:hint="eastAsia" w:ascii="宋体" w:hAnsi="宋体" w:eastAsia="宋体" w:cs="宋体"/>
                <w:color w:val="auto"/>
                <w:sz w:val="21"/>
                <w:szCs w:val="21"/>
                <w:highlight w:val="none"/>
              </w:rPr>
            </w:pPr>
          </w:p>
        </w:tc>
        <w:tc>
          <w:tcPr>
            <w:tcW w:w="170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人员</w:t>
            </w:r>
          </w:p>
        </w:tc>
        <w:tc>
          <w:tcPr>
            <w:tcW w:w="2771" w:type="dxa"/>
            <w:gridSpan w:val="2"/>
            <w:tcBorders>
              <w:right w:val="single" w:color="auto" w:sz="12" w:space="0"/>
            </w:tcBorders>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主要作业内容</w:t>
            </w:r>
          </w:p>
        </w:tc>
        <w:tc>
          <w:tcPr>
            <w:tcW w:w="7023" w:type="dxa"/>
            <w:gridSpan w:val="4"/>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作业前准备、</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气体检查、</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管渠封堵、</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井下作业、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拆堵作业、</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作业后清理、</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45" w:type="dxa"/>
            <w:vMerge w:val="restart"/>
            <w:tcBorders>
              <w:lef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是否符合安全撤场条件</w:t>
            </w: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进场作业人员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人，已撤出有限空间作业人员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人，有限空间内已无人员滞留。</w:t>
            </w:r>
          </w:p>
        </w:tc>
        <w:tc>
          <w:tcPr>
            <w:tcW w:w="1506" w:type="dxa"/>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是</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F0A3"/>
            </w:r>
            <w:r>
              <w:rPr>
                <w:rFonts w:hint="eastAsia" w:ascii="宋体" w:hAnsi="宋体" w:eastAsia="宋体" w:cs="宋体"/>
                <w:color w:val="auto"/>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进场作业设备和工具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台（套），已撤出有限空间作业设备和工具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台（套），有限空间内已无设备工具滞留。</w:t>
            </w:r>
          </w:p>
        </w:tc>
        <w:tc>
          <w:tcPr>
            <w:tcW w:w="1506" w:type="dxa"/>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是</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F0A3"/>
            </w:r>
            <w:r>
              <w:rPr>
                <w:rFonts w:hint="eastAsia" w:ascii="宋体" w:hAnsi="宋体" w:eastAsia="宋体" w:cs="宋体"/>
                <w:color w:val="auto"/>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45" w:type="dxa"/>
            <w:vMerge w:val="continue"/>
            <w:tcBorders>
              <w:left w:val="single" w:color="auto" w:sz="12" w:space="0"/>
            </w:tcBorders>
            <w:vAlign w:val="center"/>
          </w:tcPr>
          <w:p>
            <w:pPr>
              <w:rPr>
                <w:rFonts w:hint="eastAsia" w:ascii="宋体" w:hAnsi="宋体" w:eastAsia="宋体" w:cs="宋体"/>
                <w:color w:val="auto"/>
                <w:sz w:val="21"/>
                <w:szCs w:val="21"/>
                <w:highlight w:val="none"/>
                <w:lang w:eastAsia="zh-CN"/>
              </w:rPr>
            </w:pPr>
          </w:p>
        </w:tc>
        <w:tc>
          <w:tcPr>
            <w:tcW w:w="5517" w:type="dxa"/>
            <w:gridSpan w:val="3"/>
            <w:tcBorders>
              <w:bottom w:val="single" w:color="auto" w:sz="4" w:space="0"/>
              <w:right w:val="single" w:color="auto" w:sz="12"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是否已排除现场安全隐患，并围蔽有限空间作业点位。</w:t>
            </w:r>
          </w:p>
        </w:tc>
        <w:tc>
          <w:tcPr>
            <w:tcW w:w="1506" w:type="dxa"/>
            <w:tcBorders>
              <w:bottom w:val="single" w:color="auto" w:sz="4" w:space="0"/>
              <w:right w:val="single" w:color="auto" w:sz="12" w:space="0"/>
            </w:tcBorders>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作业人员确认</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sz w:val="21"/>
                <w:szCs w:val="21"/>
                <w:shd w:val="clear"/>
                <w:lang w:val="en-US" w:eastAsia="zh-CN"/>
              </w:rPr>
            </w:pPr>
            <w:r>
              <w:rPr>
                <w:rFonts w:hint="eastAsia" w:ascii="宋体" w:hAnsi="宋体" w:eastAsia="宋体" w:cs="宋体"/>
                <w:kern w:val="2"/>
                <w:sz w:val="21"/>
                <w:szCs w:val="21"/>
                <w:lang w:val="en-US" w:eastAsia="zh-CN" w:bidi="ar-SA"/>
              </w:rPr>
              <w:t>作业人员确认已掌握房屋市政工程有限空</w:t>
            </w:r>
            <w:r>
              <w:rPr>
                <w:rFonts w:hint="eastAsia" w:ascii="宋体" w:hAnsi="宋体" w:eastAsia="宋体" w:cs="宋体"/>
                <w:sz w:val="21"/>
                <w:szCs w:val="21"/>
                <w:shd w:val="clear"/>
                <w:lang w:val="en-US" w:eastAsia="zh-CN"/>
              </w:rPr>
              <w:t>间作业“两把锁”管理制度的各项工作要求和上锁撤场安全措施。</w:t>
            </w:r>
          </w:p>
          <w:p>
            <w:pPr>
              <w:jc w:val="both"/>
              <w:rPr>
                <w:rFonts w:hint="eastAsia" w:ascii="宋体" w:hAnsi="宋体" w:eastAsia="宋体" w:cs="宋体"/>
                <w:sz w:val="21"/>
                <w:szCs w:val="21"/>
                <w:shd w:val="clear"/>
                <w:lang w:val="en-US" w:eastAsia="zh-CN"/>
              </w:rPr>
            </w:pPr>
            <w:r>
              <w:rPr>
                <w:rFonts w:hint="eastAsia" w:ascii="宋体" w:hAnsi="宋体" w:eastAsia="宋体" w:cs="宋体"/>
                <w:sz w:val="21"/>
                <w:szCs w:val="21"/>
                <w:shd w:val="clear"/>
                <w:lang w:val="en-US" w:eastAsia="zh-CN"/>
              </w:rPr>
              <w:t>签名：</w:t>
            </w:r>
          </w:p>
          <w:p>
            <w:pPr>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项目经理核查意见</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符合安全撤场条件，同意上锁撤场。</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A3"/>
            </w:r>
            <w:r>
              <w:rPr>
                <w:rFonts w:hint="eastAsia" w:ascii="宋体" w:hAnsi="宋体" w:eastAsia="宋体" w:cs="宋体"/>
                <w:sz w:val="21"/>
                <w:szCs w:val="21"/>
                <w:lang w:eastAsia="zh-CN"/>
              </w:rPr>
              <w:t>不符合安全撤场条件，不同意上锁撤场。</w:t>
            </w:r>
          </w:p>
          <w:p>
            <w:pPr>
              <w:pStyle w:val="3"/>
              <w:rPr>
                <w:rFonts w:hint="eastAsia" w:ascii="宋体" w:hAnsi="宋体" w:eastAsia="宋体" w:cs="宋体"/>
                <w:sz w:val="21"/>
                <w:szCs w:val="21"/>
                <w:lang w:eastAsia="zh-CN"/>
              </w:rPr>
            </w:pP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545" w:type="dxa"/>
            <w:tcBorders>
              <w:left w:val="single" w:color="auto" w:sz="12" w:space="0"/>
              <w:bottom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总监理工程师核查意见</w:t>
            </w:r>
          </w:p>
        </w:tc>
        <w:tc>
          <w:tcPr>
            <w:tcW w:w="7023" w:type="dxa"/>
            <w:gridSpan w:val="4"/>
            <w:tcBorders>
              <w:bottom w:val="single" w:color="auto" w:sz="4" w:space="0"/>
              <w:right w:val="single" w:color="auto" w:sz="12" w:space="0"/>
            </w:tcBorders>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00A3"/>
            </w:r>
            <w:r>
              <w:rPr>
                <w:rFonts w:hint="eastAsia" w:ascii="宋体" w:hAnsi="宋体" w:eastAsia="宋体" w:cs="宋体"/>
                <w:sz w:val="21"/>
                <w:szCs w:val="21"/>
                <w:lang w:eastAsia="zh-CN"/>
              </w:rPr>
              <w:t>符合安全撤场条件，同意上锁撤场。</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A3"/>
            </w:r>
            <w:r>
              <w:rPr>
                <w:rFonts w:hint="eastAsia" w:ascii="宋体" w:hAnsi="宋体" w:eastAsia="宋体" w:cs="宋体"/>
                <w:sz w:val="21"/>
                <w:szCs w:val="21"/>
                <w:lang w:eastAsia="zh-CN"/>
              </w:rPr>
              <w:t>不符合安全撤场条件，不同意上锁撤场。</w:t>
            </w:r>
          </w:p>
          <w:p>
            <w:pPr>
              <w:pStyle w:val="3"/>
              <w:rPr>
                <w:rFonts w:hint="eastAsia" w:ascii="宋体" w:hAnsi="宋体" w:eastAsia="宋体" w:cs="宋体"/>
                <w:sz w:val="21"/>
                <w:szCs w:val="21"/>
                <w:lang w:eastAsia="zh-CN"/>
              </w:rPr>
            </w:pP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签名：        </w:t>
            </w:r>
          </w:p>
        </w:tc>
      </w:tr>
    </w:tbl>
    <w:p>
      <w:pPr>
        <w:ind w:firstLine="420" w:firstLineChars="200"/>
        <w:jc w:val="right"/>
        <w:rPr>
          <w:rFonts w:hint="eastAsia" w:ascii="宋体" w:hAnsi="宋体"/>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核查</w:t>
      </w:r>
      <w:r>
        <w:rPr>
          <w:rFonts w:hint="eastAsia" w:ascii="宋体" w:hAnsi="宋体" w:eastAsia="宋体" w:cs="宋体"/>
          <w:color w:val="auto"/>
          <w:sz w:val="21"/>
          <w:szCs w:val="21"/>
          <w:highlight w:val="none"/>
        </w:rPr>
        <w:t>日期：      年  月  日</w:t>
      </w:r>
    </w:p>
    <w:p>
      <w:pPr>
        <w:pageBreakBefore w:val="0"/>
        <w:kinsoku/>
        <w:wordWrap/>
        <w:overflowPunct/>
        <w:topLinePunct w:val="0"/>
        <w:autoSpaceDE/>
        <w:autoSpaceDN/>
        <w:bidi w:val="0"/>
        <w:spacing w:line="240" w:lineRule="auto"/>
        <w:ind w:firstLine="0" w:firstLineChars="0"/>
        <w:textAlignment w:val="auto"/>
        <w:outlineLvl w:val="9"/>
        <w:rPr>
          <w:rFonts w:hint="eastAsia" w:ascii="黑体" w:eastAsia="黑体"/>
          <w:color w:val="auto"/>
          <w:sz w:val="28"/>
          <w:szCs w:val="28"/>
          <w:highlight w:val="none"/>
        </w:rPr>
      </w:pPr>
      <w:r>
        <w:rPr>
          <w:rFonts w:hint="eastAsia" w:ascii="黑体" w:eastAsia="黑体"/>
          <w:color w:val="auto"/>
          <w:sz w:val="28"/>
          <w:szCs w:val="28"/>
          <w:highlight w:val="none"/>
        </w:rPr>
        <w:br w:type="page"/>
      </w:r>
    </w:p>
    <w:p>
      <w:pPr>
        <w:pageBreakBefore w:val="0"/>
        <w:kinsoku/>
        <w:wordWrap/>
        <w:overflowPunct/>
        <w:topLinePunct w:val="0"/>
        <w:autoSpaceDE/>
        <w:autoSpaceDN/>
        <w:bidi w:val="0"/>
        <w:spacing w:line="360" w:lineRule="auto"/>
        <w:ind w:firstLine="560" w:firstLineChars="200"/>
        <w:textAlignment w:val="auto"/>
        <w:outlineLvl w:val="0"/>
        <w:rPr>
          <w:rFonts w:hint="eastAsia" w:ascii="黑体" w:eastAsia="黑体"/>
          <w:color w:val="auto"/>
          <w:sz w:val="28"/>
          <w:szCs w:val="28"/>
          <w:highlight w:val="none"/>
          <w:lang w:eastAsia="zh-CN"/>
        </w:rPr>
      </w:pPr>
      <w:bookmarkStart w:id="23" w:name="_Toc9673"/>
      <w:bookmarkStart w:id="24" w:name="_Toc22709"/>
      <w:bookmarkStart w:id="25" w:name="_Toc31682"/>
      <w:bookmarkStart w:id="26" w:name="_Toc12402"/>
      <w:bookmarkStart w:id="27" w:name="_Toc25106"/>
      <w:bookmarkStart w:id="28" w:name="_Toc12462"/>
      <w:r>
        <w:rPr>
          <w:rFonts w:hint="eastAsia" w:ascii="黑体" w:eastAsia="黑体"/>
          <w:color w:val="auto"/>
          <w:sz w:val="28"/>
          <w:szCs w:val="28"/>
          <w:highlight w:val="none"/>
        </w:rPr>
        <w:t>附表</w:t>
      </w:r>
      <w:bookmarkEnd w:id="23"/>
      <w:bookmarkEnd w:id="24"/>
      <w:bookmarkEnd w:id="25"/>
      <w:bookmarkEnd w:id="26"/>
      <w:bookmarkEnd w:id="27"/>
      <w:bookmarkEnd w:id="28"/>
      <w:r>
        <w:rPr>
          <w:rFonts w:hint="eastAsia" w:ascii="黑体" w:eastAsia="黑体"/>
          <w:color w:val="auto"/>
          <w:sz w:val="28"/>
          <w:szCs w:val="28"/>
          <w:highlight w:val="none"/>
          <w:lang w:val="en-US" w:eastAsia="zh-CN"/>
        </w:rPr>
        <w:t>E</w:t>
      </w:r>
    </w:p>
    <w:p>
      <w:pPr>
        <w:pageBreakBefore w:val="0"/>
        <w:kinsoku/>
        <w:wordWrap/>
        <w:overflowPunct/>
        <w:topLinePunct w:val="0"/>
        <w:autoSpaceDE/>
        <w:autoSpaceDN/>
        <w:bidi w:val="0"/>
        <w:spacing w:line="360" w:lineRule="auto"/>
        <w:jc w:val="center"/>
        <w:textAlignment w:val="auto"/>
        <w:rPr>
          <w:rFonts w:hint="eastAsia" w:ascii="黑体" w:eastAsia="黑体"/>
          <w:bCs/>
          <w:color w:val="auto"/>
          <w:sz w:val="28"/>
          <w:szCs w:val="28"/>
          <w:highlight w:val="none"/>
          <w:u w:val="double"/>
          <w:lang w:val="en-US" w:eastAsia="zh-CN"/>
        </w:rPr>
      </w:pPr>
      <w:r>
        <w:rPr>
          <w:rFonts w:hint="eastAsia" w:ascii="黑体" w:eastAsia="黑体"/>
          <w:bCs/>
          <w:color w:val="auto"/>
          <w:sz w:val="28"/>
          <w:szCs w:val="28"/>
          <w:highlight w:val="none"/>
          <w:u w:val="double"/>
          <w:lang w:val="en-US" w:eastAsia="zh-CN"/>
        </w:rPr>
        <w:t>常见有害气体容许浓度和爆炸范围</w:t>
      </w: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51"/>
        <w:gridCol w:w="994"/>
        <w:gridCol w:w="1351"/>
        <w:gridCol w:w="1384"/>
        <w:gridCol w:w="162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08" w:type="dxa"/>
            <w:tcBorders>
              <w:top w:val="single" w:color="auto" w:sz="12" w:space="0"/>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51" w:type="dxa"/>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比重（取空气比重为1）</w:t>
            </w:r>
          </w:p>
        </w:tc>
        <w:tc>
          <w:tcPr>
            <w:tcW w:w="99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最高容许浓度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(mg/m3)</w:t>
            </w:r>
          </w:p>
        </w:tc>
        <w:tc>
          <w:tcPr>
            <w:tcW w:w="1351"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时间加权平均容许浓度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(mg/m3)</w:t>
            </w:r>
          </w:p>
        </w:tc>
        <w:tc>
          <w:tcPr>
            <w:tcW w:w="138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短时间接触容许浓度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(mg/m3)</w:t>
            </w:r>
          </w:p>
        </w:tc>
        <w:tc>
          <w:tcPr>
            <w:tcW w:w="1620" w:type="dxa"/>
            <w:tcBorders>
              <w:top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爆炸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范围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（容积）</w:t>
            </w:r>
          </w:p>
        </w:tc>
        <w:tc>
          <w:tcPr>
            <w:tcW w:w="1707" w:type="dxa"/>
            <w:tcBorders>
              <w:top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硫化氢</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4.3-45.5</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8" w:type="dxa"/>
            <w:vMerge w:val="restart"/>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化碳</w:t>
            </w:r>
          </w:p>
        </w:tc>
        <w:tc>
          <w:tcPr>
            <w:tcW w:w="951"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0.97</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620"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12.5-74.2</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008" w:type="dxa"/>
            <w:vMerge w:val="continue"/>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951"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62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海拔2000米～3000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008" w:type="dxa"/>
            <w:vMerge w:val="continue"/>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951"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62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氰化氢</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0.94</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5.6-12.8</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汽油</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1.4-7.6</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化氮</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不燃</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硝基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甲烷</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苯</w:t>
            </w:r>
          </w:p>
        </w:tc>
        <w:tc>
          <w:tcPr>
            <w:tcW w:w="9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99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84"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2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1.3-2.65</w:t>
            </w:r>
          </w:p>
        </w:tc>
        <w:tc>
          <w:tcPr>
            <w:tcW w:w="1707" w:type="dxa"/>
            <w:tcBorders>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left w:val="single" w:color="auto" w:sz="12" w:space="0"/>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甲烷</w:t>
            </w:r>
          </w:p>
        </w:tc>
        <w:tc>
          <w:tcPr>
            <w:tcW w:w="951" w:type="dxa"/>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0.55</w:t>
            </w:r>
          </w:p>
        </w:tc>
        <w:tc>
          <w:tcPr>
            <w:tcW w:w="994" w:type="dxa"/>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351" w:type="dxa"/>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1384" w:type="dxa"/>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1620" w:type="dxa"/>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5-15</w:t>
            </w:r>
          </w:p>
        </w:tc>
        <w:tc>
          <w:tcPr>
            <w:tcW w:w="1707" w:type="dxa"/>
            <w:tcBorders>
              <w:bottom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1时间加权平均容许浓度指以时间为权数规定的8小时工作日的平均容许接触水平。</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最高容许浓度指工作地点、在一个工作日内、任何时间均不应超过的有毒化学物质的浓度。</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短时间接触容许浓度指一个工作日内，任何一次接触不得超过的15分钟时间加权平均的容许接触水平。</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氧的最低含量应符合有限空间作业环境分级条件规定</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氢随井盖开启外溢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可免测</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当氧的含量符合要求时，氮和二氧化碳可免测。</w:t>
      </w:r>
    </w:p>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2经常接触最高容许值采用《工业企业设计卫生标准GBZ 1-2002》规定者。</w:t>
      </w:r>
    </w:p>
    <w:p>
      <w:pPr>
        <w:pageBreakBefore w:val="0"/>
        <w:kinsoku/>
        <w:wordWrap/>
        <w:overflowPunct/>
        <w:topLinePunct w:val="0"/>
        <w:autoSpaceDE/>
        <w:autoSpaceDN/>
        <w:bidi w:val="0"/>
        <w:spacing w:line="360" w:lineRule="auto"/>
        <w:textAlignment w:val="auto"/>
        <w:rPr>
          <w:rFonts w:ascii="宋体" w:hAnsi="宋体"/>
          <w:b/>
          <w:color w:val="auto"/>
          <w:szCs w:val="21"/>
          <w:highlight w:val="none"/>
        </w:rPr>
      </w:pPr>
      <w:r>
        <w:rPr>
          <w:rFonts w:hint="eastAsia" w:ascii="宋体" w:hAnsi="宋体" w:eastAsia="宋体" w:cs="宋体"/>
          <w:color w:val="auto"/>
          <w:sz w:val="21"/>
          <w:szCs w:val="21"/>
          <w:highlight w:val="none"/>
        </w:rPr>
        <w:t>3短时间接触阈限值指15min内有害气体浓度的加权平均值在工作日的任何时间，有害气体浓度不应大于此值。操作人员在此浓度下操作时间不应超过15min.同时每工作日最多重复出现4次，其时间间隔至少60min。</w:t>
      </w:r>
    </w:p>
    <w:p>
      <w:pPr>
        <w:pageBreakBefore w:val="0"/>
        <w:kinsoku/>
        <w:wordWrap/>
        <w:overflowPunct/>
        <w:topLinePunct w:val="0"/>
        <w:autoSpaceDE/>
        <w:autoSpaceDN/>
        <w:bidi w:val="0"/>
        <w:spacing w:line="360" w:lineRule="auto"/>
        <w:textAlignment w:val="auto"/>
        <w:rPr>
          <w:color w:val="auto"/>
          <w:highlight w:val="none"/>
        </w:rPr>
      </w:pPr>
    </w:p>
    <w:p>
      <w:pPr>
        <w:pageBreakBefore w:val="0"/>
        <w:kinsoku/>
        <w:wordWrap/>
        <w:overflowPunct/>
        <w:topLinePunct w:val="0"/>
        <w:autoSpaceDE/>
        <w:autoSpaceDN/>
        <w:bidi w:val="0"/>
        <w:spacing w:line="360" w:lineRule="auto"/>
        <w:ind w:firstLine="420" w:firstLineChars="200"/>
        <w:textAlignment w:val="auto"/>
        <w:rPr>
          <w:color w:val="auto"/>
          <w:highlight w:val="none"/>
        </w:rPr>
      </w:pPr>
    </w:p>
    <w:p>
      <w:pPr>
        <w:pageBreakBefore w:val="0"/>
        <w:kinsoku/>
        <w:wordWrap/>
        <w:overflowPunct/>
        <w:topLinePunct w:val="0"/>
        <w:autoSpaceDE/>
        <w:autoSpaceDN/>
        <w:bidi w:val="0"/>
        <w:spacing w:line="240" w:lineRule="auto"/>
        <w:ind w:firstLine="0" w:firstLineChars="0"/>
        <w:textAlignment w:val="auto"/>
        <w:rPr>
          <w:color w:val="auto"/>
          <w:highlight w:val="none"/>
        </w:rPr>
      </w:pPr>
      <w:r>
        <w:rPr>
          <w:color w:val="auto"/>
          <w:highlight w:val="none"/>
        </w:rPr>
        <w:br w:type="page"/>
      </w:r>
    </w:p>
    <w:p>
      <w:pPr>
        <w:pageBreakBefore w:val="0"/>
        <w:kinsoku/>
        <w:wordWrap/>
        <w:overflowPunct/>
        <w:topLinePunct w:val="0"/>
        <w:autoSpaceDE/>
        <w:autoSpaceDN/>
        <w:bidi w:val="0"/>
        <w:spacing w:line="360" w:lineRule="auto"/>
        <w:ind w:firstLine="560" w:firstLineChars="200"/>
        <w:textAlignment w:val="auto"/>
        <w:outlineLvl w:val="0"/>
        <w:rPr>
          <w:rFonts w:hint="eastAsia" w:ascii="黑体" w:eastAsia="黑体"/>
          <w:color w:val="auto"/>
          <w:sz w:val="28"/>
          <w:szCs w:val="28"/>
          <w:highlight w:val="none"/>
          <w:lang w:eastAsia="zh-CN"/>
        </w:rPr>
      </w:pPr>
      <w:bookmarkStart w:id="29" w:name="_Toc9649"/>
      <w:r>
        <w:rPr>
          <w:rFonts w:hint="eastAsia" w:ascii="黑体" w:eastAsia="黑体"/>
          <w:color w:val="auto"/>
          <w:sz w:val="28"/>
          <w:szCs w:val="28"/>
          <w:highlight w:val="none"/>
        </w:rPr>
        <w:t>附表</w:t>
      </w:r>
      <w:r>
        <w:rPr>
          <w:rFonts w:hint="eastAsia" w:ascii="黑体" w:eastAsia="黑体"/>
          <w:color w:val="auto"/>
          <w:sz w:val="28"/>
          <w:szCs w:val="28"/>
          <w:highlight w:val="none"/>
          <w:lang w:val="en-US" w:eastAsia="zh-CN"/>
        </w:rPr>
        <w:t>F</w:t>
      </w:r>
    </w:p>
    <w:p>
      <w:pPr>
        <w:pageBreakBefore w:val="0"/>
        <w:kinsoku/>
        <w:wordWrap/>
        <w:overflowPunct/>
        <w:topLinePunct w:val="0"/>
        <w:autoSpaceDE/>
        <w:autoSpaceDN/>
        <w:bidi w:val="0"/>
        <w:spacing w:line="360" w:lineRule="auto"/>
        <w:jc w:val="center"/>
        <w:textAlignment w:val="auto"/>
        <w:rPr>
          <w:rFonts w:hint="default" w:ascii="黑体" w:eastAsia="黑体"/>
          <w:bCs/>
          <w:color w:val="auto"/>
          <w:sz w:val="28"/>
          <w:szCs w:val="28"/>
          <w:highlight w:val="none"/>
          <w:u w:val="double"/>
          <w:lang w:val="en-US" w:eastAsia="zh-CN"/>
        </w:rPr>
      </w:pPr>
      <w:r>
        <w:rPr>
          <w:rFonts w:hint="eastAsia" w:ascii="黑体" w:eastAsia="黑体"/>
          <w:bCs/>
          <w:color w:val="auto"/>
          <w:sz w:val="28"/>
          <w:szCs w:val="28"/>
          <w:highlight w:val="none"/>
          <w:u w:val="double"/>
          <w:lang w:val="en-US" w:eastAsia="zh-CN"/>
        </w:rPr>
        <w:t>有限空间作业环境分级表</w:t>
      </w:r>
    </w:p>
    <w:tbl>
      <w:tblPr>
        <w:tblStyle w:val="12"/>
        <w:tblW w:w="4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级别</w:t>
            </w:r>
          </w:p>
        </w:tc>
        <w:tc>
          <w:tcPr>
            <w:tcW w:w="45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1级</w:t>
            </w:r>
          </w:p>
        </w:tc>
        <w:tc>
          <w:tcPr>
            <w:tcW w:w="45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符合下列条件之一的环境为1级：</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1）氧含量小于19.5%或大于23.5%；</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2）可燃性气体浓度大于爆炸下限（LEL）的10%；</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3）有毒有害气体浓度大于《工作场所有害因素职业接触限值 第1部分：化学有害因素》（GBZ 2.1-2019）规定的限值。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2级</w:t>
            </w:r>
          </w:p>
        </w:tc>
        <w:tc>
          <w:tcPr>
            <w:tcW w:w="45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氧含量为19.5%～23.5%，且符合下列条件之一的环境为2级：</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1）可燃性气体浓度大于爆炸下限（LEL）的5%且不大于爆炸下限（LEL）的10%；</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2）有毒有害气体浓度大于《工作场所有害因素职业接触限值 第1部分：化学有害因素》（GBZ 2.1-2019）规定限值的30%且不大于该规定的限值；</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3）作业过程中易发生缺氧，如热力井、燃气井等有限空间作业；</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4）作业过程中有毒有害或可燃性气体浓度可能突然升高，如污水井、化粪池等有限空间作业。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7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3级</w:t>
            </w:r>
          </w:p>
        </w:tc>
        <w:tc>
          <w:tcPr>
            <w:tcW w:w="45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符合下列所有条件的环境为3级：</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1）氧含量为19.5%～23.5%；</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2）可燃性气体浓度不大于爆炸下限（LEL）的5%；</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3）有毒有害气体浓度不大于《工作场所有害因素职业接触限值 第1部分：化学有害因素》（GBZ 2.1-2019）规定限值的30%；</w:t>
            </w:r>
          </w:p>
          <w:p>
            <w:pPr>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4）作业过程中各种气体浓度值保持稳定。</w:t>
            </w:r>
          </w:p>
        </w:tc>
      </w:tr>
    </w:tbl>
    <w:p>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pPr>
        <w:pageBreakBefore w:val="0"/>
        <w:kinsoku/>
        <w:wordWrap/>
        <w:overflowPunct/>
        <w:topLinePunct w:val="0"/>
        <w:autoSpaceDE/>
        <w:autoSpaceDN/>
        <w:bidi w:val="0"/>
        <w:spacing w:line="360" w:lineRule="auto"/>
        <w:textAlignment w:val="auto"/>
        <w:rPr>
          <w:rFonts w:hint="eastAsia"/>
          <w:lang w:val="en-US" w:eastAsia="zh-CN"/>
        </w:rPr>
      </w:pPr>
      <w:r>
        <w:rPr>
          <w:rFonts w:hint="eastAsia" w:ascii="宋体" w:hAnsi="宋体" w:eastAsia="宋体" w:cs="宋体"/>
          <w:color w:val="auto"/>
          <w:sz w:val="21"/>
          <w:szCs w:val="21"/>
          <w:highlight w:val="none"/>
          <w:lang w:val="en-US" w:eastAsia="zh-CN"/>
        </w:rPr>
        <w:t>有毒有害气体、可燃气体浓度的限值应选取《工作场所有害因素职业接触限值第1部分：</w:t>
      </w:r>
      <w:r>
        <w:rPr>
          <w:rFonts w:hint="eastAsia" w:ascii="宋体" w:hAnsi="宋体" w:eastAsia="宋体" w:cs="宋体"/>
          <w:sz w:val="21"/>
          <w:szCs w:val="21"/>
          <w:lang w:val="en-US" w:eastAsia="zh-CN"/>
        </w:rPr>
        <w:t>化学有害因素》（GBZ 2.1）规定的最高容许浓度或短时间接触容许浓度，无最高容许浓度和短时间接触容许浓度的物质，应选用时间加权平均容许浓度。</w:t>
      </w: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Theme="minorEastAsia" w:cstheme="minorBidi"/>
          <w:color w:val="auto"/>
          <w:kern w:val="2"/>
          <w:sz w:val="24"/>
          <w:szCs w:val="24"/>
          <w:highlight w:val="none"/>
          <w:lang w:val="en-US" w:eastAsia="zh-CN" w:bidi="ar-SA"/>
        </w:rPr>
      </w:pPr>
    </w:p>
    <w:p>
      <w:pPr>
        <w:pageBreakBefore w:val="0"/>
        <w:kinsoku/>
        <w:wordWrap/>
        <w:overflowPunct/>
        <w:topLinePunct w:val="0"/>
        <w:autoSpaceDE/>
        <w:autoSpaceDN/>
        <w:bidi w:val="0"/>
        <w:spacing w:line="240" w:lineRule="auto"/>
        <w:ind w:firstLine="0" w:firstLineChars="0"/>
        <w:textAlignment w:val="auto"/>
        <w:outlineLvl w:val="9"/>
        <w:rPr>
          <w:rFonts w:hint="eastAsia" w:ascii="黑体" w:eastAsia="黑体"/>
          <w:color w:val="auto"/>
          <w:sz w:val="28"/>
          <w:szCs w:val="28"/>
          <w:highlight w:val="none"/>
        </w:rPr>
      </w:pPr>
      <w:r>
        <w:rPr>
          <w:rFonts w:hint="eastAsia" w:ascii="黑体" w:eastAsia="黑体"/>
          <w:color w:val="auto"/>
          <w:sz w:val="28"/>
          <w:szCs w:val="28"/>
          <w:highlight w:val="none"/>
        </w:rPr>
        <w:br w:type="page"/>
      </w:r>
    </w:p>
    <w:p>
      <w:pPr>
        <w:pageBreakBefore w:val="0"/>
        <w:kinsoku/>
        <w:wordWrap/>
        <w:overflowPunct/>
        <w:topLinePunct w:val="0"/>
        <w:autoSpaceDE/>
        <w:autoSpaceDN/>
        <w:bidi w:val="0"/>
        <w:spacing w:line="360" w:lineRule="auto"/>
        <w:ind w:firstLine="560" w:firstLineChars="200"/>
        <w:textAlignment w:val="auto"/>
        <w:outlineLvl w:val="0"/>
        <w:rPr>
          <w:rFonts w:hint="eastAsia" w:ascii="黑体" w:eastAsia="黑体"/>
          <w:color w:val="auto"/>
          <w:sz w:val="28"/>
          <w:szCs w:val="28"/>
          <w:highlight w:val="none"/>
          <w:lang w:val="en-US" w:eastAsia="zh-CN"/>
        </w:rPr>
      </w:pPr>
      <w:bookmarkStart w:id="30" w:name="_Toc32209"/>
      <w:bookmarkStart w:id="31" w:name="_Toc20253"/>
      <w:bookmarkStart w:id="32" w:name="_Toc8339"/>
      <w:bookmarkStart w:id="33" w:name="_Toc24630"/>
      <w:bookmarkStart w:id="34" w:name="_Toc30021"/>
      <w:r>
        <w:rPr>
          <w:rFonts w:hint="eastAsia" w:ascii="黑体" w:eastAsia="黑体"/>
          <w:color w:val="auto"/>
          <w:sz w:val="28"/>
          <w:szCs w:val="28"/>
          <w:highlight w:val="none"/>
        </w:rPr>
        <w:t>附表</w:t>
      </w:r>
      <w:bookmarkEnd w:id="29"/>
      <w:bookmarkEnd w:id="30"/>
      <w:bookmarkEnd w:id="31"/>
      <w:bookmarkEnd w:id="32"/>
      <w:bookmarkEnd w:id="33"/>
      <w:bookmarkEnd w:id="34"/>
      <w:r>
        <w:rPr>
          <w:rFonts w:hint="eastAsia" w:ascii="黑体" w:eastAsia="黑体"/>
          <w:color w:val="auto"/>
          <w:sz w:val="28"/>
          <w:szCs w:val="28"/>
          <w:highlight w:val="none"/>
          <w:lang w:val="en-US" w:eastAsia="zh-CN"/>
        </w:rPr>
        <w:t>G</w:t>
      </w:r>
    </w:p>
    <w:p>
      <w:pPr>
        <w:pageBreakBefore w:val="0"/>
        <w:kinsoku/>
        <w:wordWrap/>
        <w:overflowPunct/>
        <w:topLinePunct w:val="0"/>
        <w:autoSpaceDE/>
        <w:autoSpaceDN/>
        <w:bidi w:val="0"/>
        <w:spacing w:line="360" w:lineRule="auto"/>
        <w:jc w:val="center"/>
        <w:textAlignment w:val="auto"/>
        <w:rPr>
          <w:rFonts w:hint="eastAsia" w:ascii="黑体" w:eastAsia="黑体"/>
          <w:bCs/>
          <w:color w:val="auto"/>
          <w:sz w:val="28"/>
          <w:szCs w:val="28"/>
          <w:highlight w:val="none"/>
          <w:u w:val="double"/>
          <w:lang w:val="en-US" w:eastAsia="zh-CN"/>
        </w:rPr>
      </w:pPr>
      <w:r>
        <w:rPr>
          <w:rFonts w:hint="eastAsia" w:ascii="黑体" w:eastAsia="黑体"/>
          <w:bCs/>
          <w:color w:val="auto"/>
          <w:sz w:val="28"/>
          <w:szCs w:val="28"/>
          <w:highlight w:val="none"/>
          <w:u w:val="double"/>
          <w:lang w:val="en-US" w:eastAsia="zh-CN"/>
        </w:rPr>
        <w:t>气体检测记录表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30"/>
        <w:gridCol w:w="729"/>
        <w:gridCol w:w="730"/>
        <w:gridCol w:w="1168"/>
        <w:gridCol w:w="1168"/>
        <w:gridCol w:w="1168"/>
        <w:gridCol w:w="116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60" w:type="dxa"/>
            <w:vMerge w:val="restart"/>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730" w:type="dxa"/>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检测位置</w:t>
            </w:r>
          </w:p>
        </w:tc>
        <w:tc>
          <w:tcPr>
            <w:tcW w:w="729" w:type="dxa"/>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检测时间</w:t>
            </w:r>
          </w:p>
        </w:tc>
        <w:tc>
          <w:tcPr>
            <w:tcW w:w="5402" w:type="dxa"/>
            <w:gridSpan w:val="5"/>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检测内容及数值</w:t>
            </w:r>
          </w:p>
        </w:tc>
        <w:tc>
          <w:tcPr>
            <w:tcW w:w="801" w:type="dxa"/>
            <w:vMerge w:val="restart"/>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作业环境级别判定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p>
        </w:tc>
        <w:tc>
          <w:tcPr>
            <w:tcW w:w="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氧气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可燃气体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%LEL)</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硫化氢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ppm</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mg/m</w:t>
            </w:r>
            <w:r>
              <w:rPr>
                <w:rFonts w:hint="eastAsia" w:ascii="宋体" w:hAnsi="宋体" w:eastAsia="宋体" w:cs="宋体"/>
                <w:b/>
                <w:bCs/>
                <w:color w:val="auto"/>
                <w:sz w:val="21"/>
                <w:szCs w:val="21"/>
                <w:highlight w:val="none"/>
                <w:vertAlign w:val="superscript"/>
              </w:rPr>
              <w:t>3</w:t>
            </w:r>
            <w:r>
              <w:rPr>
                <w:rFonts w:hint="eastAsia" w:ascii="宋体" w:hAnsi="宋体" w:eastAsia="宋体" w:cs="宋体"/>
                <w:b/>
                <w:bCs/>
                <w:color w:val="auto"/>
                <w:sz w:val="21"/>
                <w:szCs w:val="21"/>
                <w:highlight w:val="none"/>
              </w:rPr>
              <w:t>)</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一氧化碳</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ppm</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mg/m</w:t>
            </w:r>
            <w:r>
              <w:rPr>
                <w:rFonts w:hint="eastAsia" w:ascii="宋体" w:hAnsi="宋体" w:eastAsia="宋体" w:cs="宋体"/>
                <w:b/>
                <w:bCs/>
                <w:color w:val="auto"/>
                <w:sz w:val="21"/>
                <w:szCs w:val="21"/>
                <w:highlight w:val="none"/>
                <w:vertAlign w:val="superscript"/>
              </w:rPr>
              <w:t>3</w:t>
            </w:r>
            <w:r>
              <w:rPr>
                <w:rFonts w:hint="eastAsia" w:ascii="宋体" w:hAnsi="宋体" w:eastAsia="宋体" w:cs="宋体"/>
                <w:b/>
                <w:bCs/>
                <w:color w:val="auto"/>
                <w:sz w:val="21"/>
                <w:szCs w:val="21"/>
                <w:highlight w:val="none"/>
              </w:rPr>
              <w:t>)</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其他气体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ppm</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F0A3"/>
            </w:r>
            <w:r>
              <w:rPr>
                <w:rFonts w:hint="eastAsia" w:ascii="宋体" w:hAnsi="宋体" w:eastAsia="宋体" w:cs="宋体"/>
                <w:b/>
                <w:bCs/>
                <w:color w:val="auto"/>
                <w:sz w:val="21"/>
                <w:szCs w:val="21"/>
                <w:highlight w:val="none"/>
              </w:rPr>
              <w:t>mg/m</w:t>
            </w:r>
            <w:r>
              <w:rPr>
                <w:rFonts w:hint="eastAsia" w:ascii="宋体" w:hAnsi="宋体" w:eastAsia="宋体" w:cs="宋体"/>
                <w:b/>
                <w:bCs/>
                <w:color w:val="auto"/>
                <w:sz w:val="21"/>
                <w:szCs w:val="21"/>
                <w:highlight w:val="none"/>
                <w:vertAlign w:val="superscript"/>
              </w:rPr>
              <w:t>3</w:t>
            </w:r>
            <w:r>
              <w:rPr>
                <w:rFonts w:hint="eastAsia" w:ascii="宋体" w:hAnsi="宋体" w:eastAsia="宋体" w:cs="宋体"/>
                <w:b/>
                <w:bCs/>
                <w:color w:val="auto"/>
                <w:sz w:val="21"/>
                <w:szCs w:val="21"/>
                <w:highlight w:val="none"/>
              </w:rPr>
              <w:t>)</w:t>
            </w: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初始评估检测</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restart"/>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再次评估检测</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restart"/>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监护检测</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restart"/>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个体检测</w:t>
            </w: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restart"/>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2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3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01" w:type="dxa"/>
            <w:vMerge w:val="continue"/>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22" w:type="dxa"/>
            <w:gridSpan w:val="9"/>
            <w:tcBorders>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检测人员（签字）：</w:t>
            </w:r>
          </w:p>
          <w:p>
            <w:pPr>
              <w:pStyle w:val="2"/>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监理人员（专监签字）</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时间： 年 月 日</w:t>
            </w:r>
          </w:p>
        </w:tc>
      </w:tr>
    </w:tbl>
    <w:p>
      <w:pPr>
        <w:pageBreakBefore w:val="0"/>
        <w:kinsoku/>
        <w:wordWrap/>
        <w:overflowPunct/>
        <w:topLinePunct w:val="0"/>
        <w:autoSpaceDE/>
        <w:autoSpaceDN/>
        <w:bidi w:val="0"/>
        <w:spacing w:line="240" w:lineRule="auto"/>
        <w:jc w:val="left"/>
        <w:textAlignment w:val="auto"/>
        <w:rPr>
          <w:rFonts w:hint="default" w:ascii="黑体" w:eastAsia="黑体"/>
          <w:color w:val="auto"/>
          <w:sz w:val="28"/>
          <w:szCs w:val="28"/>
          <w:highlight w:val="none"/>
          <w:u w:val="none"/>
          <w:lang w:val="en-US" w:eastAsia="zh-CN"/>
        </w:rPr>
      </w:pPr>
      <w:r>
        <w:rPr>
          <w:rFonts w:hint="default" w:ascii="黑体" w:eastAsia="黑体"/>
          <w:color w:val="auto"/>
          <w:sz w:val="28"/>
          <w:szCs w:val="28"/>
          <w:highlight w:val="none"/>
          <w:u w:val="none"/>
          <w:lang w:val="en-US" w:eastAsia="zh-CN"/>
        </w:rPr>
        <w:br w:type="page"/>
      </w:r>
    </w:p>
    <w:p>
      <w:pPr>
        <w:pageBreakBefore w:val="0"/>
        <w:kinsoku/>
        <w:wordWrap/>
        <w:overflowPunct/>
        <w:topLinePunct w:val="0"/>
        <w:autoSpaceDE/>
        <w:autoSpaceDN/>
        <w:bidi w:val="0"/>
        <w:spacing w:line="360" w:lineRule="auto"/>
        <w:ind w:firstLine="560" w:firstLineChars="200"/>
        <w:textAlignment w:val="auto"/>
        <w:outlineLvl w:val="0"/>
        <w:rPr>
          <w:rFonts w:hint="eastAsia" w:ascii="黑体" w:eastAsia="黑体"/>
          <w:color w:val="auto"/>
          <w:sz w:val="28"/>
          <w:szCs w:val="28"/>
          <w:highlight w:val="none"/>
          <w:lang w:val="en-US" w:eastAsia="zh-CN"/>
        </w:rPr>
      </w:pPr>
      <w:r>
        <w:rPr>
          <w:rFonts w:hint="eastAsia" w:ascii="黑体" w:eastAsia="黑体"/>
          <w:color w:val="auto"/>
          <w:sz w:val="28"/>
          <w:szCs w:val="28"/>
          <w:highlight w:val="none"/>
        </w:rPr>
        <w:t>附表</w:t>
      </w:r>
      <w:r>
        <w:rPr>
          <w:rFonts w:hint="eastAsia" w:ascii="黑体" w:eastAsia="黑体"/>
          <w:color w:val="auto"/>
          <w:sz w:val="28"/>
          <w:szCs w:val="28"/>
          <w:highlight w:val="none"/>
          <w:lang w:val="en-US" w:eastAsia="zh-CN"/>
        </w:rPr>
        <w:t>H</w:t>
      </w:r>
    </w:p>
    <w:p>
      <w:pPr>
        <w:pageBreakBefore w:val="0"/>
        <w:kinsoku/>
        <w:wordWrap/>
        <w:overflowPunct/>
        <w:topLinePunct w:val="0"/>
        <w:autoSpaceDE/>
        <w:autoSpaceDN/>
        <w:bidi w:val="0"/>
        <w:spacing w:line="360" w:lineRule="auto"/>
        <w:jc w:val="center"/>
        <w:textAlignment w:val="auto"/>
        <w:rPr>
          <w:rFonts w:hint="eastAsia" w:ascii="黑体" w:eastAsia="黑体"/>
          <w:bCs/>
          <w:color w:val="auto"/>
          <w:sz w:val="28"/>
          <w:szCs w:val="28"/>
          <w:highlight w:val="none"/>
          <w:u w:val="double"/>
          <w:lang w:val="en-US" w:eastAsia="zh-CN"/>
        </w:rPr>
      </w:pPr>
      <w:r>
        <w:rPr>
          <w:rFonts w:hint="eastAsia" w:ascii="黑体" w:eastAsia="黑体"/>
          <w:bCs/>
          <w:color w:val="auto"/>
          <w:sz w:val="28"/>
          <w:szCs w:val="28"/>
          <w:highlight w:val="none"/>
          <w:u w:val="double"/>
          <w:lang w:val="en-US" w:eastAsia="zh-CN"/>
        </w:rPr>
        <w:t>防护用品发放登记表</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CN"/>
        </w:rPr>
        <w:t>：</w:t>
      </w:r>
    </w:p>
    <w:tbl>
      <w:tblPr>
        <w:tblStyle w:val="11"/>
        <w:tblpPr w:leftFromText="180" w:rightFromText="180" w:vertAnchor="text" w:tblpY="1"/>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78"/>
        <w:gridCol w:w="1142"/>
        <w:gridCol w:w="1515"/>
        <w:gridCol w:w="1035"/>
        <w:gridCol w:w="998"/>
        <w:gridCol w:w="1282"/>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1478"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岗位/工种</w:t>
            </w:r>
          </w:p>
        </w:tc>
        <w:tc>
          <w:tcPr>
            <w:tcW w:w="1142"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员工姓名</w:t>
            </w:r>
          </w:p>
        </w:tc>
        <w:tc>
          <w:tcPr>
            <w:tcW w:w="1515"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防护用品名称</w:t>
            </w:r>
          </w:p>
        </w:tc>
        <w:tc>
          <w:tcPr>
            <w:tcW w:w="1035"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型号</w:t>
            </w:r>
          </w:p>
        </w:tc>
        <w:tc>
          <w:tcPr>
            <w:tcW w:w="998"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数量</w:t>
            </w:r>
          </w:p>
        </w:tc>
        <w:tc>
          <w:tcPr>
            <w:tcW w:w="1282"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领用人签字</w:t>
            </w:r>
          </w:p>
        </w:tc>
        <w:tc>
          <w:tcPr>
            <w:tcW w:w="700" w:type="dxa"/>
            <w:vAlign w:val="center"/>
          </w:tcPr>
          <w:p>
            <w:pPr>
              <w:spacing w:line="480" w:lineRule="exact"/>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6" w:type="dxa"/>
            <w:vAlign w:val="center"/>
          </w:tcPr>
          <w:p>
            <w:pPr>
              <w:spacing w:line="480" w:lineRule="exact"/>
              <w:jc w:val="center"/>
              <w:rPr>
                <w:rFonts w:hint="eastAsia" w:ascii="仿宋_GB2312" w:hAnsi="仿宋_GB2312" w:eastAsia="仿宋_GB2312" w:cs="仿宋_GB2312"/>
                <w:szCs w:val="21"/>
              </w:rPr>
            </w:pPr>
          </w:p>
        </w:tc>
        <w:tc>
          <w:tcPr>
            <w:tcW w:w="1478" w:type="dxa"/>
            <w:vAlign w:val="center"/>
          </w:tcPr>
          <w:p>
            <w:pPr>
              <w:spacing w:line="480" w:lineRule="exact"/>
              <w:jc w:val="center"/>
              <w:rPr>
                <w:rFonts w:hint="eastAsia" w:ascii="仿宋_GB2312" w:hAnsi="仿宋_GB2312" w:eastAsia="仿宋_GB2312" w:cs="仿宋_GB2312"/>
                <w:szCs w:val="21"/>
              </w:rPr>
            </w:pPr>
          </w:p>
        </w:tc>
        <w:tc>
          <w:tcPr>
            <w:tcW w:w="1142" w:type="dxa"/>
            <w:vAlign w:val="center"/>
          </w:tcPr>
          <w:p>
            <w:pPr>
              <w:spacing w:line="480" w:lineRule="exact"/>
              <w:jc w:val="center"/>
              <w:rPr>
                <w:rFonts w:hint="eastAsia" w:ascii="仿宋_GB2312" w:hAnsi="仿宋_GB2312" w:eastAsia="仿宋_GB2312" w:cs="仿宋_GB2312"/>
                <w:szCs w:val="21"/>
              </w:rPr>
            </w:pPr>
          </w:p>
        </w:tc>
        <w:tc>
          <w:tcPr>
            <w:tcW w:w="1515" w:type="dxa"/>
            <w:vAlign w:val="center"/>
          </w:tcPr>
          <w:p>
            <w:pPr>
              <w:spacing w:line="480" w:lineRule="exact"/>
              <w:jc w:val="center"/>
              <w:rPr>
                <w:rFonts w:hint="eastAsia" w:ascii="仿宋_GB2312" w:hAnsi="仿宋_GB2312" w:eastAsia="仿宋_GB2312" w:cs="仿宋_GB2312"/>
                <w:szCs w:val="21"/>
              </w:rPr>
            </w:pPr>
          </w:p>
        </w:tc>
        <w:tc>
          <w:tcPr>
            <w:tcW w:w="1035" w:type="dxa"/>
            <w:vAlign w:val="center"/>
          </w:tcPr>
          <w:p>
            <w:pPr>
              <w:spacing w:line="480" w:lineRule="exact"/>
              <w:jc w:val="center"/>
              <w:rPr>
                <w:rFonts w:hint="eastAsia" w:ascii="仿宋_GB2312" w:hAnsi="仿宋_GB2312" w:eastAsia="仿宋_GB2312" w:cs="仿宋_GB2312"/>
                <w:szCs w:val="21"/>
              </w:rPr>
            </w:pPr>
          </w:p>
        </w:tc>
        <w:tc>
          <w:tcPr>
            <w:tcW w:w="998" w:type="dxa"/>
            <w:vAlign w:val="center"/>
          </w:tcPr>
          <w:p>
            <w:pPr>
              <w:spacing w:line="480" w:lineRule="exact"/>
              <w:jc w:val="center"/>
              <w:rPr>
                <w:rFonts w:hint="eastAsia" w:ascii="仿宋_GB2312" w:hAnsi="仿宋_GB2312" w:eastAsia="仿宋_GB2312" w:cs="仿宋_GB2312"/>
                <w:szCs w:val="21"/>
              </w:rPr>
            </w:pPr>
          </w:p>
        </w:tc>
        <w:tc>
          <w:tcPr>
            <w:tcW w:w="1282" w:type="dxa"/>
            <w:vAlign w:val="center"/>
          </w:tcPr>
          <w:p>
            <w:pPr>
              <w:spacing w:line="480" w:lineRule="exact"/>
              <w:jc w:val="center"/>
              <w:rPr>
                <w:rFonts w:hint="eastAsia" w:ascii="仿宋_GB2312" w:hAnsi="仿宋_GB2312" w:eastAsia="仿宋_GB2312" w:cs="仿宋_GB2312"/>
                <w:szCs w:val="21"/>
              </w:rPr>
            </w:pPr>
          </w:p>
        </w:tc>
        <w:tc>
          <w:tcPr>
            <w:tcW w:w="700" w:type="dxa"/>
            <w:vAlign w:val="center"/>
          </w:tcPr>
          <w:p>
            <w:pPr>
              <w:spacing w:line="480" w:lineRule="exact"/>
              <w:jc w:val="center"/>
              <w:rPr>
                <w:rFonts w:hint="eastAsia" w:ascii="仿宋_GB2312" w:hAnsi="仿宋_GB2312" w:eastAsia="仿宋_GB2312" w:cs="仿宋_GB2312"/>
                <w:szCs w:val="21"/>
              </w:rPr>
            </w:pPr>
          </w:p>
        </w:tc>
      </w:tr>
    </w:tbl>
    <w:p>
      <w:pPr>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1"/>
          <w:szCs w:val="21"/>
          <w:highlight w:val="none"/>
          <w:lang w:val="en-US" w:eastAsia="zh-CN"/>
        </w:rPr>
      </w:pPr>
    </w:p>
    <w:p>
      <w:pPr>
        <w:shd w:val="clear" w:color="auto" w:fill="FFFFFF"/>
        <w:spacing w:line="360" w:lineRule="auto"/>
        <w:rPr>
          <w:rFonts w:hint="eastAsia" w:ascii="宋体" w:hAnsi="宋体" w:eastAsia="宋体" w:cs="宋体"/>
          <w:sz w:val="21"/>
          <w:szCs w:val="21"/>
        </w:rPr>
      </w:pPr>
      <w:r>
        <w:rPr>
          <w:rFonts w:hint="eastAsia" w:ascii="宋体" w:hAnsi="宋体" w:eastAsia="宋体" w:cs="宋体"/>
          <w:sz w:val="21"/>
          <w:szCs w:val="21"/>
        </w:rPr>
        <w:t>发放人：                                日期：  年   月   日</w:t>
      </w:r>
    </w:p>
    <w:p>
      <w:pPr>
        <w:pStyle w:val="2"/>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DCB84"/>
    <w:multiLevelType w:val="singleLevel"/>
    <w:tmpl w:val="A0BDCB84"/>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811665D"/>
    <w:rsid w:val="0A4F1460"/>
    <w:rsid w:val="0B923CFA"/>
    <w:rsid w:val="12D44BF8"/>
    <w:rsid w:val="13D311C3"/>
    <w:rsid w:val="164E081E"/>
    <w:rsid w:val="165165DD"/>
    <w:rsid w:val="17995528"/>
    <w:rsid w:val="17E21B65"/>
    <w:rsid w:val="18806225"/>
    <w:rsid w:val="19996254"/>
    <w:rsid w:val="20FB39A3"/>
    <w:rsid w:val="2289236B"/>
    <w:rsid w:val="2811665D"/>
    <w:rsid w:val="28384E3A"/>
    <w:rsid w:val="287C6E21"/>
    <w:rsid w:val="29676C38"/>
    <w:rsid w:val="2F8337D6"/>
    <w:rsid w:val="303D77C8"/>
    <w:rsid w:val="30D43636"/>
    <w:rsid w:val="327821C9"/>
    <w:rsid w:val="37446A61"/>
    <w:rsid w:val="3CC03A3D"/>
    <w:rsid w:val="3D9C143E"/>
    <w:rsid w:val="4004001B"/>
    <w:rsid w:val="40252CEB"/>
    <w:rsid w:val="4B166E55"/>
    <w:rsid w:val="4FFB4947"/>
    <w:rsid w:val="53C5279D"/>
    <w:rsid w:val="61C45B06"/>
    <w:rsid w:val="66EF082E"/>
    <w:rsid w:val="6900318D"/>
    <w:rsid w:val="6AFD6D45"/>
    <w:rsid w:val="6C317EDA"/>
    <w:rsid w:val="6FBD0C3C"/>
    <w:rsid w:val="709871E6"/>
    <w:rsid w:val="719B38D4"/>
    <w:rsid w:val="73807ED8"/>
    <w:rsid w:val="74C35495"/>
    <w:rsid w:val="759233F8"/>
    <w:rsid w:val="7A870DB9"/>
    <w:rsid w:val="7C57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Body Text"/>
    <w:basedOn w:val="1"/>
    <w:next w:val="4"/>
    <w:qFormat/>
    <w:uiPriority w:val="0"/>
    <w:pPr>
      <w:spacing w:after="12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5">
    <w:name w:val="toc 3"/>
    <w:basedOn w:val="1"/>
    <w:next w:val="1"/>
    <w:qFormat/>
    <w:uiPriority w:val="0"/>
    <w:pPr>
      <w:ind w:left="840" w:leftChars="400"/>
    </w:pPr>
  </w:style>
  <w:style w:type="paragraph" w:styleId="6">
    <w:name w:val="Body Text Indent 2"/>
    <w:basedOn w:val="1"/>
    <w:next w:val="3"/>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qFormat/>
    <w:uiPriority w:val="34"/>
    <w:pPr>
      <w:ind w:firstLine="420" w:firstLineChars="200"/>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7218</Words>
  <Characters>7560</Characters>
  <Lines>0</Lines>
  <Paragraphs>0</Paragraphs>
  <TotalTime>32</TotalTime>
  <ScaleCrop>false</ScaleCrop>
  <LinksUpToDate>false</LinksUpToDate>
  <CharactersWithSpaces>7767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2022-08-02T13:14:00Z</dcterms:created>
  <dc:creator>Peer</dc:creator>
  <cp:lastModifiedBy>陌</cp:lastModifiedBy>
  <cp:lastPrinted>2023-03-20T01:32:00Z</cp:lastPrinted>
  <dcterms:modified xsi:type="dcterms:W3CDTF">2023-03-31T06:52:44Z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99B39F97C2F84EE0BD498D4E5A46D560</vt:lpwstr>
  </property>
</Properties>
</file>