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山海逸居二期保障房项目_6#超限高层建筑工程抗震设防专家组审查意见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2022年12月30日，广东省超限高层建筑工程抗震设防审查专家委员会专家组成专家组，召开</w:t>
      </w:r>
      <w:r>
        <w:rPr>
          <w:rFonts w:hint="eastAsia" w:ascii="仿宋_GB2312" w:hAnsi="仿宋_GB2312" w:eastAsia="仿宋_GB2312" w:cs="仿宋_GB2312"/>
          <w:sz w:val="32"/>
          <w:szCs w:val="32"/>
          <w:highlight w:val="none"/>
          <w:u w:val="none"/>
          <w:lang w:val="en-US" w:eastAsia="zh-CN" w:bidi="ar-SA"/>
        </w:rPr>
        <w:t>山海逸居二期保障房项目_6#</w:t>
      </w:r>
      <w:r>
        <w:rPr>
          <w:rFonts w:hint="eastAsia" w:ascii="仿宋_GB2312" w:hAnsi="仿宋_GB2312" w:eastAsia="仿宋_GB2312" w:cs="仿宋_GB2312"/>
          <w:sz w:val="32"/>
          <w:szCs w:val="32"/>
          <w:u w:val="none"/>
          <w:lang w:val="en-US" w:eastAsia="zh-CN" w:bidi="ar-SA"/>
        </w:rPr>
        <w:t>超限高层建筑工程抗震设防专项审查会。专家听取了设计单位深圳市清华苑建筑与规划设计研究有限公司关于该工程抗震设防设计的情况介绍，认真审阅送审资料，经讨论提出审查意见如下：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南山区招商街道赤湾六路18号，场地西北侧为少帝路，南侧为山海逸居一期小区，东侧为小南山隧道路。项目6#为超限高层建筑，地下3层，地上26层，从室外地面低点算起结构高度为81.10米，采用剪力墙结构。本工程抗震设防烈度7度(0.10g)，场地类别Ⅱ类，抗震设防类别丙类，抗震性能目标C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bookmarkEnd w:id="0"/>
      <w:r>
        <w:rPr>
          <w:rFonts w:hint="eastAsia" w:ascii="仿宋_GB2312" w:hAnsi="仿宋_GB2312" w:eastAsia="仿宋_GB2312" w:cs="仿宋_GB2312"/>
          <w:sz w:val="32"/>
          <w:szCs w:val="32"/>
          <w:u w:val="none"/>
          <w:lang w:val="en-US" w:eastAsia="zh-CN" w:bidi="ar-SA"/>
        </w:rPr>
        <w:t>6#存在扭转不规则、凹凸不规则、楼板不连续、局部穿层墙柱、局部转换等不规则项，属于A级高度的超限高层建筑工程。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building等软件进行了小震和中震作用下的结构分析；采用SAUSAGE软件进行结构大震作用下的动力弹塑性时程分析。计算结果表明，结构的各项控制性指标满足现行规范要求，所采取的抗震加强措施有效，可满足结构抗震安全性的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本项目采用了叠合楼板、轻质内隔墙条板、预制外墙板等预制构件，其对主体结构抗震安全的影响、与主体结构连接节点构造等应进行专项论证。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1.进一步分析弱连接楼盖的受力，采取相应的加强措施。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 框支框架中震作用下性能目标为弹性；完善转换结构的布置及分析，采取相应的加强措施。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 周边短翼缘墙及框架梁按框架-剪力墙分析，短翼缘墙满足框架柱的设计要求。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 结构整体计算应考虑地下室不平衡水、土压力及相应地震作用。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 三层通高（穿层）墙上下层相关部位应采用200mm厚现浇楼板，350mm厚穿层墙下层墙体适当加厚。</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6.针对凹凸不规则超限项应采取相应加强措施。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F75223"/>
    <w:rsid w:val="735BFA22"/>
    <w:rsid w:val="76D77BF1"/>
    <w:rsid w:val="7B7DA62D"/>
    <w:rsid w:val="7F7F09FE"/>
    <w:rsid w:val="7F9F5CF1"/>
    <w:rsid w:val="A77BE352"/>
    <w:rsid w:val="D15BE299"/>
    <w:rsid w:val="D7B7C8B0"/>
    <w:rsid w:val="DBEF0BE8"/>
    <w:rsid w:val="F1F7E76A"/>
    <w:rsid w:val="FAFF5B6B"/>
    <w:rsid w:val="FE7DD50E"/>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2023-03-12T10:23:00Z</dcterms:created>
  <dc:creator> 曾姿</dc:creator>
  <cp:lastModifiedBy> 曾姿</cp:lastModifiedBy>
  <dcterms:modified xsi:type="dcterms:W3CDTF">2023-03-21T11:42:10Z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