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罗湖区城建集团“工改保”项目超限高层建筑工程抗震设防专家组审查意见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9月2日，广东省超限高层建筑工程抗震设防审查专家委员会专家组成专家组，召开罗湖区城建集团“工改保”项目超限高层建筑工程抗震设防专项审查会。专家听取了设计单位洲宇设计集团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深圳市罗湖区笋岗街道宝安北路与梨园路交界西北角。建筑功能主要为保障性住房，塔楼附带一层裙房，设2层地下室，塔楼地上46层，主体结构高度147.05m，房屋总高度155.95m。抗震设防烈度7度(0.1g)，场地类别Ⅱ类，抗震设防类别丙类，抗震性能目标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本项目塔楼采用灌注桩，为部分框支剪力墙结构，存在扭转不规则、凹凸不规则、构件间断、局部不规则等不规则项，属于超B级高度的超限高层建筑。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针对上述超限高层建筑，设计单位采用YJK、ETABS等分析程序进行了小震和中震作用下的结构分析；采用SAUSAGE进行了罕遇地震动力弹塑性时程分析。计算结果表明，结构的各项控制性指标满足现行规范要求，所采</w:t>
      </w:r>
      <w:bookmarkStart w:id="0" w:name="_GoBack"/>
      <w:bookmarkEnd w:id="0"/>
      <w:r>
        <w:rPr>
          <w:rFonts w:hint="eastAsia" w:ascii="仿宋_GB2312" w:hAnsi="仿宋_GB2312" w:eastAsia="仿宋_GB2312" w:cs="仿宋_GB2312"/>
          <w:sz w:val="32"/>
          <w:szCs w:val="32"/>
          <w:u w:val="none"/>
          <w:lang w:val="en-US" w:eastAsia="zh-CN" w:bidi="ar-SA"/>
        </w:rPr>
        <w:t>取的抗震加强措施有效，可实现结构的抗震性能目标。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本项目塔楼标准层的装配式方案（预制叠合楼板、凸窗、轻质隔墙板等）对主体结构安全性影响及连接构造应进行专项论证。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1.应补充风洞试验；</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2.整体结构模型应包括出屋面小塔楼和夹层；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3.裙房离主楼的远侧宜增加剪力墙；</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4.优化取消中部转换剪力墙，应补充完善转换结构精细有限元的整体结构分析，并考虑竖向地震作用；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5.补充周边短翼缘墙按框架-剪力墙结构模型的分析计算，加强短翼缘墙的配筋和承载能力；</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6.连梁高度不宜过高。</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0399065D"/>
    <w:rsid w:val="16832BBD"/>
    <w:rsid w:val="1ACE63D1"/>
    <w:rsid w:val="3F761FA8"/>
    <w:rsid w:val="607B17DC"/>
    <w:rsid w:val="63585E05"/>
    <w:rsid w:val="6FF75223"/>
    <w:rsid w:val="76D77BF1"/>
    <w:rsid w:val="7B7DA62D"/>
    <w:rsid w:val="7F7F09FE"/>
    <w:rsid w:val="A77BE352"/>
    <w:rsid w:val="D15BE299"/>
    <w:rsid w:val="F1F7E76A"/>
    <w:rsid w:val="FFDA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687</Words>
  <Characters>726</Characters>
  <Lines>0</Lines>
  <Paragraphs>0</Paragraphs>
  <TotalTime>7</TotalTime>
  <ScaleCrop>false</ScaleCrop>
  <LinksUpToDate>false</LinksUpToDate>
  <CharactersWithSpaces>728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2023-03-10T18:23:00Z</dcterms:created>
  <dc:creator> 曾姿</dc:creator>
  <cp:lastModifiedBy>陌</cp:lastModifiedBy>
  <dcterms:modified xsi:type="dcterms:W3CDTF">2023-03-20T01:08:11Z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AFDD8AE303A54FC4905DEFE312596964</vt:lpwstr>
  </property>
</Properties>
</file>