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eastAsia="黑体"/>
          <w:sz w:val="32"/>
          <w:szCs w:val="32"/>
        </w:rPr>
      </w:pPr>
    </w:p>
    <w:p>
      <w:pPr>
        <w:rPr>
          <w:rFonts w:eastAsia="黑体"/>
          <w:sz w:val="32"/>
          <w:szCs w:val="32"/>
        </w:rPr>
      </w:pPr>
      <w:r>
        <w:rPr>
          <w:rFonts w:cs="Microsoft JhengHei"/>
          <w:sz w:val="44"/>
          <w:szCs w:val="44"/>
        </w:rPr>
        <w:drawing>
          <wp:anchor distT="0" distB="0" distL="114300" distR="114300" simplePos="0" relativeHeight="251659264" behindDoc="0" locked="0" layoutInCell="1" allowOverlap="1">
            <wp:simplePos x="0" y="0"/>
            <wp:positionH relativeFrom="page">
              <wp:posOffset>4654550</wp:posOffset>
            </wp:positionH>
            <wp:positionV relativeFrom="page">
              <wp:posOffset>1374775</wp:posOffset>
            </wp:positionV>
            <wp:extent cx="1720215" cy="800100"/>
            <wp:effectExtent l="0" t="0" r="0" b="0"/>
            <wp:wrapNone/>
            <wp:docPr id="10" name="图片 3" descr="说明: 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说明: G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720215" cy="800100"/>
                    </a:xfrm>
                    <a:prstGeom prst="rect">
                      <a:avLst/>
                    </a:prstGeom>
                    <a:noFill/>
                    <a:ln>
                      <a:noFill/>
                    </a:ln>
                  </pic:spPr>
                </pic:pic>
              </a:graphicData>
            </a:graphic>
          </wp:anchor>
        </w:drawing>
      </w:r>
    </w:p>
    <w:p>
      <w:pPr>
        <w:rPr>
          <w:rFonts w:eastAsia="MS Gothic"/>
          <w:b/>
          <w:sz w:val="84"/>
          <w:szCs w:val="84"/>
        </w:rPr>
      </w:pPr>
      <w:r>
        <w:rPr>
          <w:rFonts w:eastAsia="黑体"/>
          <w:spacing w:val="28"/>
          <w:sz w:val="48"/>
          <w:szCs w:val="48"/>
        </w:rPr>
        <w:t>广东省标准</w:t>
      </w:r>
    </w:p>
    <w:p>
      <w:bookmarkStart w:id="0" w:name="_Toc337542810"/>
    </w:p>
    <w:p>
      <w:pPr>
        <w:spacing w:line="400" w:lineRule="exact"/>
        <w:jc w:val="right"/>
        <w:rPr>
          <w:spacing w:val="17"/>
          <w:sz w:val="30"/>
          <w:szCs w:val="30"/>
        </w:rPr>
      </w:pPr>
      <w:bookmarkStart w:id="1" w:name="_Hlk122703219"/>
      <w:r>
        <w:rPr>
          <w:spacing w:val="23"/>
          <w:sz w:val="30"/>
          <w:szCs w:val="30"/>
        </w:rPr>
        <w:t>DBJ</w:t>
      </w:r>
      <w:r>
        <w:rPr>
          <w:rFonts w:hint="eastAsia"/>
          <w:spacing w:val="23"/>
          <w:sz w:val="30"/>
          <w:szCs w:val="30"/>
        </w:rPr>
        <w:t>15</w:t>
      </w:r>
      <w:r>
        <w:rPr>
          <w:spacing w:val="23"/>
          <w:sz w:val="30"/>
          <w:szCs w:val="30"/>
        </w:rPr>
        <w:t>-</w:t>
      </w:r>
      <w:r>
        <w:rPr>
          <w:rFonts w:hint="eastAsia"/>
          <w:spacing w:val="23"/>
          <w:sz w:val="30"/>
          <w:szCs w:val="30"/>
        </w:rPr>
        <w:t>XX</w:t>
      </w:r>
      <w:r>
        <w:rPr>
          <w:spacing w:val="23"/>
          <w:sz w:val="30"/>
          <w:szCs w:val="30"/>
        </w:rPr>
        <w:t>-</w:t>
      </w:r>
      <w:bookmarkEnd w:id="0"/>
      <w:r>
        <w:rPr>
          <w:sz w:val="30"/>
          <w:szCs w:val="30"/>
        </w:rPr>
        <w:t>2023</w:t>
      </w:r>
      <w:bookmarkEnd w:id="1"/>
    </w:p>
    <w:p>
      <w:pPr>
        <w:spacing w:line="400" w:lineRule="exact"/>
        <w:jc w:val="right"/>
        <w:rPr>
          <w:rFonts w:hint="default"/>
          <w:sz w:val="28"/>
          <w:szCs w:val="28"/>
        </w:rPr>
      </w:pPr>
      <w:r>
        <w:rPr>
          <w:sz w:val="28"/>
          <w:szCs w:val="28"/>
        </w:rPr>
        <mc:AlternateContent>
          <mc:Choice Requires="wps">
            <w:drawing>
              <wp:anchor distT="0" distB="0" distL="114300" distR="114300" simplePos="0" relativeHeight="251660288" behindDoc="0" locked="0" layoutInCell="1" allowOverlap="1">
                <wp:simplePos x="0" y="0"/>
                <wp:positionH relativeFrom="column">
                  <wp:posOffset>26035</wp:posOffset>
                </wp:positionH>
                <wp:positionV relativeFrom="paragraph">
                  <wp:posOffset>359410</wp:posOffset>
                </wp:positionV>
                <wp:extent cx="5486400" cy="41910"/>
                <wp:effectExtent l="0" t="0" r="0" b="15240"/>
                <wp:wrapNone/>
                <wp:docPr id="9" name="直线 3"/>
                <wp:cNvGraphicFramePr/>
                <a:graphic xmlns:a="http://schemas.openxmlformats.org/drawingml/2006/main">
                  <a:graphicData uri="http://schemas.microsoft.com/office/word/2010/wordprocessingShape">
                    <wps:wsp>
                      <wps:cNvCnPr>
                        <a:cxnSpLocks noChangeShapeType="1"/>
                      </wps:cNvCnPr>
                      <wps:spPr bwMode="auto">
                        <a:xfrm flipV="1">
                          <a:off x="0" y="0"/>
                          <a:ext cx="5486400" cy="41910"/>
                        </a:xfrm>
                        <a:prstGeom prst="line">
                          <a:avLst/>
                        </a:prstGeom>
                        <a:noFill/>
                        <a:ln w="9525">
                          <a:solidFill>
                            <a:srgbClr val="000000"/>
                          </a:solidFill>
                          <a:round/>
                        </a:ln>
                      </wps:spPr>
                      <wps:bodyPr/>
                    </wps:wsp>
                  </a:graphicData>
                </a:graphic>
              </wp:anchor>
            </w:drawing>
          </mc:Choice>
          <mc:Fallback>
            <w:pict>
              <v:line id="直线 3" o:spid="_x0000_s1026" o:spt="20" style="position:absolute;left:0pt;flip:y;margin-left:2.05pt;margin-top:28.3pt;height:3.3pt;width:432pt;z-index:251660288;mso-width-relative:page;mso-height-relative:page;" filled="f" stroked="t" coordsize="21600,21600" o:gfxdata="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tsWknUAAAABwEAAA8A&#10;AAAAAAAAAQAgAAAAIgAAAGRycy9kb3ducmV2LnhtbFBLAQIUABQAAAAIAIdO4kDByBkC4gEAAK8D&#10;AAAOAAAAAAAAAAEAIAAAACMBAABkcnMvZTJvRG9jLnhtbFBLBQYAAAAABgAGAFkBAAB3BQAAAAA=&#10;">
                <v:fill on="f" focussize="0,0"/>
                <v:stroke color="#000000" joinstyle="round"/>
                <v:imagedata o:title=""/>
                <o:lock v:ext="edit" aspectratio="f"/>
              </v:line>
            </w:pict>
          </mc:Fallback>
        </mc:AlternateContent>
      </w:r>
      <w:r>
        <w:rPr>
          <w:rFonts w:hint="eastAsia" w:ascii="黑体" w:hAnsi="黑体" w:eastAsia="黑体"/>
          <w:sz w:val="28"/>
          <w:szCs w:val="28"/>
        </w:rPr>
        <w:t>备案号JXXXXX-20</w:t>
      </w:r>
      <w:r>
        <w:rPr>
          <w:rFonts w:ascii="黑体" w:hAnsi="黑体" w:eastAsia="黑体"/>
          <w:sz w:val="28"/>
          <w:szCs w:val="28"/>
        </w:rPr>
        <w:t>2</w:t>
      </w:r>
      <w:r>
        <w:rPr>
          <w:rFonts w:hint="default" w:ascii="黑体" w:hAnsi="黑体" w:eastAsia="黑体"/>
          <w:sz w:val="28"/>
          <w:szCs w:val="28"/>
        </w:rPr>
        <w:t>3</w:t>
      </w:r>
    </w:p>
    <w:p>
      <w:pPr>
        <w:jc w:val="center"/>
        <w:rPr>
          <w:rFonts w:ascii="宋体" w:hAnsi="宋体"/>
          <w:b/>
          <w:sz w:val="48"/>
          <w:szCs w:val="48"/>
        </w:rPr>
      </w:pPr>
    </w:p>
    <w:p>
      <w:pPr>
        <w:jc w:val="center"/>
        <w:outlineLvl w:val="0"/>
        <w:rPr>
          <w:rFonts w:ascii="宋体" w:hAnsi="宋体"/>
          <w:b/>
          <w:sz w:val="48"/>
          <w:szCs w:val="48"/>
        </w:rPr>
      </w:pPr>
      <w:bookmarkStart w:id="2" w:name="_Toc375640674"/>
    </w:p>
    <w:p>
      <w:pPr>
        <w:jc w:val="center"/>
        <w:rPr>
          <w:rFonts w:hint="eastAsia" w:ascii="宋体" w:hAnsi="宋体" w:eastAsia="宋体"/>
          <w:b/>
          <w:sz w:val="48"/>
          <w:szCs w:val="48"/>
          <w:lang w:eastAsia="zh-CN"/>
        </w:rPr>
      </w:pPr>
      <w:bookmarkStart w:id="3" w:name="_Hlk122697316"/>
      <w:r>
        <w:rPr>
          <w:rFonts w:hint="eastAsia" w:ascii="宋体" w:hAnsi="宋体"/>
          <w:b/>
          <w:sz w:val="48"/>
          <w:szCs w:val="48"/>
        </w:rPr>
        <w:t>悬浮载体生物膜速净技术</w:t>
      </w:r>
      <w:bookmarkEnd w:id="3"/>
      <w:r>
        <w:rPr>
          <w:rFonts w:hint="eastAsia" w:ascii="宋体" w:hAnsi="宋体"/>
          <w:b/>
          <w:sz w:val="48"/>
          <w:szCs w:val="48"/>
        </w:rPr>
        <w:t>规程</w:t>
      </w:r>
    </w:p>
    <w:p>
      <w:pPr>
        <w:jc w:val="center"/>
        <w:rPr>
          <w:b/>
          <w:sz w:val="28"/>
          <w:szCs w:val="28"/>
        </w:rPr>
      </w:pPr>
      <w:r>
        <w:rPr>
          <w:b/>
          <w:sz w:val="28"/>
          <w:szCs w:val="28"/>
        </w:rPr>
        <w:t>Technical Specification for Rapid Purification of Biofilm &amp; Magnetic-separation process</w:t>
      </w:r>
    </w:p>
    <w:p>
      <w:pPr>
        <w:jc w:val="center"/>
        <w:outlineLvl w:val="0"/>
        <w:rPr>
          <w:rFonts w:ascii="宋体" w:hAnsi="宋体"/>
          <w:b/>
          <w:sz w:val="48"/>
          <w:szCs w:val="48"/>
        </w:rPr>
      </w:pPr>
      <w:bookmarkStart w:id="4" w:name="_Toc122709903"/>
      <w:r>
        <w:rPr>
          <w:rFonts w:hint="eastAsia"/>
          <w:b/>
          <w:sz w:val="30"/>
          <w:szCs w:val="30"/>
        </w:rPr>
        <w:t>（征求意见稿）</w:t>
      </w:r>
      <w:bookmarkEnd w:id="4"/>
    </w:p>
    <w:bookmarkEnd w:id="2"/>
    <w:p>
      <w:pPr>
        <w:jc w:val="center"/>
        <w:rPr>
          <w:b/>
          <w:sz w:val="30"/>
          <w:szCs w:val="30"/>
        </w:rPr>
      </w:pPr>
    </w:p>
    <w:p/>
    <w:p/>
    <w:p/>
    <w:p/>
    <w:p/>
    <w:p/>
    <w:p/>
    <w:p/>
    <w:p/>
    <w:p/>
    <w:p/>
    <w:p/>
    <w:p>
      <w:pPr>
        <w:tabs>
          <w:tab w:val="left" w:pos="6096"/>
        </w:tabs>
        <w:rPr>
          <w:rFonts w:eastAsia="黑体"/>
          <w:sz w:val="28"/>
          <w:szCs w:val="28"/>
        </w:rPr>
      </w:pPr>
      <w:r>
        <w:rPr>
          <w:rFonts w:eastAsia="黑体"/>
          <w:sz w:val="28"/>
          <w:szCs w:val="28"/>
        </w:rPr>
        <w:t>20</w:t>
      </w:r>
      <w:r>
        <w:rPr>
          <w:rFonts w:hint="eastAsia" w:eastAsia="黑体"/>
          <w:sz w:val="28"/>
          <w:szCs w:val="28"/>
        </w:rPr>
        <w:t>22</w:t>
      </w:r>
      <w:r>
        <w:rPr>
          <w:rFonts w:eastAsia="黑体"/>
          <w:sz w:val="28"/>
          <w:szCs w:val="28"/>
        </w:rPr>
        <w:t>-</w:t>
      </w:r>
      <w:r>
        <w:rPr>
          <w:rFonts w:hint="eastAsia" w:eastAsia="黑体"/>
          <w:sz w:val="28"/>
          <w:szCs w:val="28"/>
        </w:rPr>
        <w:t>XX</w:t>
      </w:r>
      <w:r>
        <w:rPr>
          <w:rFonts w:eastAsia="黑体"/>
          <w:sz w:val="28"/>
          <w:szCs w:val="28"/>
        </w:rPr>
        <w:t>-</w:t>
      </w:r>
      <w:r>
        <w:rPr>
          <w:rFonts w:hint="eastAsia" w:eastAsia="黑体"/>
          <w:sz w:val="28"/>
          <w:szCs w:val="28"/>
        </w:rPr>
        <w:t>XX</w:t>
      </w:r>
      <w:r>
        <w:rPr>
          <w:rFonts w:eastAsia="黑体"/>
          <w:sz w:val="28"/>
          <w:szCs w:val="28"/>
        </w:rPr>
        <w:t>发布</w:t>
      </w:r>
      <w:r>
        <w:rPr>
          <w:rFonts w:eastAsia="黑体"/>
          <w:sz w:val="28"/>
          <w:szCs w:val="28"/>
        </w:rPr>
        <w:tab/>
      </w:r>
      <w:r>
        <w:rPr>
          <w:rFonts w:eastAsia="黑体"/>
          <w:sz w:val="28"/>
          <w:szCs w:val="28"/>
        </w:rPr>
        <w:t>20</w:t>
      </w:r>
      <w:r>
        <w:rPr>
          <w:rFonts w:hint="eastAsia" w:eastAsia="黑体"/>
          <w:sz w:val="28"/>
          <w:szCs w:val="28"/>
        </w:rPr>
        <w:t>22</w:t>
      </w:r>
      <w:r>
        <w:rPr>
          <w:rFonts w:eastAsia="黑体"/>
          <w:sz w:val="28"/>
          <w:szCs w:val="28"/>
        </w:rPr>
        <w:t>-</w:t>
      </w:r>
      <w:r>
        <w:rPr>
          <w:rFonts w:hint="eastAsia" w:eastAsia="黑体"/>
          <w:sz w:val="28"/>
          <w:szCs w:val="28"/>
        </w:rPr>
        <w:t>XX</w:t>
      </w:r>
      <w:r>
        <w:rPr>
          <w:rFonts w:eastAsia="黑体"/>
          <w:sz w:val="28"/>
          <w:szCs w:val="28"/>
        </w:rPr>
        <w:t>-</w:t>
      </w:r>
      <w:r>
        <w:rPr>
          <w:rFonts w:hint="eastAsia" w:eastAsia="黑体"/>
          <w:sz w:val="28"/>
          <w:szCs w:val="28"/>
        </w:rPr>
        <w:t>XX</w:t>
      </w:r>
      <w:r>
        <w:rPr>
          <w:rFonts w:eastAsia="黑体"/>
          <w:sz w:val="28"/>
          <w:szCs w:val="28"/>
        </w:rPr>
        <w:t>实施</w:t>
      </w:r>
    </w:p>
    <w:p>
      <w:pPr>
        <w:tabs>
          <w:tab w:val="left" w:pos="8235"/>
        </w:tabs>
        <w:rPr>
          <w:rFonts w:eastAsia="黑体"/>
          <w:b/>
          <w:sz w:val="28"/>
          <w:szCs w:val="28"/>
        </w:rPr>
      </w:pPr>
      <w:r>
        <w:rPr>
          <w:rFonts w:eastAsia="黑体"/>
          <w:b/>
          <w:sz w:val="28"/>
          <w:szCs w:val="28"/>
        </w:rPr>
        <mc:AlternateContent>
          <mc:Choice Requires="wps">
            <w:drawing>
              <wp:anchor distT="0" distB="0" distL="114300" distR="114300" simplePos="0" relativeHeight="251660288" behindDoc="0" locked="0" layoutInCell="1" allowOverlap="1">
                <wp:simplePos x="0" y="0"/>
                <wp:positionH relativeFrom="column">
                  <wp:posOffset>-1905</wp:posOffset>
                </wp:positionH>
                <wp:positionV relativeFrom="paragraph">
                  <wp:posOffset>55245</wp:posOffset>
                </wp:positionV>
                <wp:extent cx="5231765" cy="0"/>
                <wp:effectExtent l="0" t="0" r="0" b="0"/>
                <wp:wrapNone/>
                <wp:docPr id="8" name="直线 4"/>
                <wp:cNvGraphicFramePr/>
                <a:graphic xmlns:a="http://schemas.openxmlformats.org/drawingml/2006/main">
                  <a:graphicData uri="http://schemas.microsoft.com/office/word/2010/wordprocessingShape">
                    <wps:wsp>
                      <wps:cNvCnPr>
                        <a:cxnSpLocks noChangeShapeType="1"/>
                      </wps:cNvCnPr>
                      <wps:spPr bwMode="auto">
                        <a:xfrm>
                          <a:off x="0" y="0"/>
                          <a:ext cx="5231765" cy="0"/>
                        </a:xfrm>
                        <a:prstGeom prst="line">
                          <a:avLst/>
                        </a:prstGeom>
                        <a:noFill/>
                        <a:ln w="9525">
                          <a:solidFill>
                            <a:srgbClr val="000000"/>
                          </a:solidFill>
                          <a:round/>
                        </a:ln>
                      </wps:spPr>
                      <wps:bodyPr/>
                    </wps:wsp>
                  </a:graphicData>
                </a:graphic>
              </wp:anchor>
            </w:drawing>
          </mc:Choice>
          <mc:Fallback>
            <w:pict>
              <v:line id="直线 4" o:spid="_x0000_s1026" o:spt="20" style="position:absolute;left:0pt;margin-left:-0.15pt;margin-top:4.35pt;height:0pt;width:411.95pt;z-index:251660288;mso-width-relative:page;mso-height-relative:page;" filled="f" stroked="t" coordsize="21600,21600" o:gfxdata="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AusEjTAAAABQEAAA8AAAAAAAAAAQAgAAAA&#10;IgAAAGRycy9kb3ducmV2LnhtbFBLAQIUABQAAAAIAIdO4kAPF4v61wEAAKEDAAAOAAAAAAAAAAEA&#10;IAAAACIBAABkcnMvZTJvRG9jLnhtbFBLBQYAAAAABgAGAFkBAABrBQAAAAA=&#10;">
                <v:fill on="f" focussize="0,0"/>
                <v:stroke color="#000000" joinstyle="round"/>
                <v:imagedata o:title=""/>
                <o:lock v:ext="edit" aspectratio="f"/>
              </v:line>
            </w:pict>
          </mc:Fallback>
        </mc:AlternateContent>
      </w:r>
      <w:r>
        <w:rPr>
          <w:rFonts w:eastAsia="黑体"/>
          <w:b/>
          <w:sz w:val="28"/>
          <w:szCs w:val="28"/>
        </w:rPr>
        <w:tab/>
      </w:r>
    </w:p>
    <w:p>
      <w:pPr>
        <w:jc w:val="center"/>
        <w:rPr>
          <w:rFonts w:eastAsia="黑体"/>
          <w:spacing w:val="20"/>
          <w:sz w:val="32"/>
          <w:szCs w:val="32"/>
        </w:rPr>
      </w:pPr>
      <w:r>
        <w:rPr>
          <w:rFonts w:eastAsia="黑体"/>
          <w:sz w:val="32"/>
          <w:szCs w:val="32"/>
        </w:rPr>
        <w:t>广东省住房和城乡建设厅</w:t>
      </w:r>
      <w:r>
        <w:rPr>
          <w:rFonts w:eastAsia="黑体"/>
          <w:spacing w:val="20"/>
          <w:sz w:val="32"/>
          <w:szCs w:val="32"/>
        </w:rPr>
        <w:t>发布</w:t>
      </w:r>
    </w:p>
    <w:tbl>
      <w:tblPr>
        <w:tblStyle w:val="22"/>
        <w:tblpPr w:leftFromText="180" w:rightFromText="180" w:vertAnchor="text" w:horzAnchor="page" w:tblpX="8520" w:tblpY="46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420" w:type="dxa"/>
            <w:vAlign w:val="center"/>
          </w:tcPr>
          <w:p>
            <w:pPr>
              <w:jc w:val="center"/>
            </w:pPr>
            <w:r>
              <w:rPr>
                <w:rFonts w:hint="eastAsia"/>
              </w:rPr>
              <w:t>本标准涉及专利</w:t>
            </w:r>
          </w:p>
        </w:tc>
      </w:tr>
    </w:tbl>
    <w:p>
      <w:pPr>
        <w:tabs>
          <w:tab w:val="left" w:pos="4162"/>
        </w:tabs>
        <w:spacing w:line="580" w:lineRule="exact"/>
        <w:rPr>
          <w:rFonts w:ascii="仿宋_GB2312" w:hAnsi="仿宋_GB2312" w:eastAsia="仿宋_GB2312" w:cs="仿宋_GB2312"/>
          <w:sz w:val="32"/>
          <w:szCs w:val="32"/>
        </w:rPr>
      </w:pPr>
    </w:p>
    <w:p>
      <w:pPr>
        <w:tabs>
          <w:tab w:val="left" w:pos="4162"/>
        </w:tabs>
        <w:spacing w:line="580" w:lineRule="exact"/>
        <w:rPr>
          <w:rFonts w:ascii="仿宋_GB2312" w:hAnsi="仿宋_GB2312" w:eastAsia="仿宋_GB2312" w:cs="仿宋_GB2312"/>
          <w:sz w:val="32"/>
          <w:szCs w:val="32"/>
        </w:rPr>
        <w:sectPr>
          <w:footerReference r:id="rId4" w:type="first"/>
          <w:footerReference r:id="rId3" w:type="default"/>
          <w:pgSz w:w="11906" w:h="16838"/>
          <w:pgMar w:top="1440" w:right="1800" w:bottom="1118" w:left="1800" w:header="851" w:footer="992" w:gutter="0"/>
          <w:pgNumType w:start="1"/>
          <w:cols w:space="720" w:num="1"/>
          <w:titlePg/>
          <w:docGrid w:type="lines" w:linePitch="312" w:charSpace="0"/>
        </w:sectPr>
      </w:pPr>
    </w:p>
    <w:p>
      <w:pPr>
        <w:spacing w:before="156" w:beforeLines="50" w:after="156" w:afterLines="50"/>
        <w:jc w:val="center"/>
        <w:outlineLvl w:val="0"/>
        <w:rPr>
          <w:b/>
          <w:snapToGrid w:val="0"/>
          <w:sz w:val="28"/>
          <w:szCs w:val="28"/>
        </w:rPr>
      </w:pPr>
      <w:bookmarkStart w:id="5" w:name="_Toc361670760"/>
      <w:bookmarkStart w:id="6" w:name="_Toc68280220"/>
      <w:bookmarkStart w:id="7" w:name="_Toc26989"/>
      <w:bookmarkStart w:id="8" w:name="_Toc57214125"/>
      <w:bookmarkStart w:id="9" w:name="_Toc361643744"/>
      <w:bookmarkStart w:id="10" w:name="_Toc361670618"/>
      <w:bookmarkStart w:id="11" w:name="_Toc362263593"/>
      <w:bookmarkStart w:id="12" w:name="_Toc362265218"/>
      <w:bookmarkStart w:id="13" w:name="_Toc103239314"/>
      <w:bookmarkStart w:id="14" w:name="_Toc57211983"/>
      <w:bookmarkStart w:id="15" w:name="_Toc57211760"/>
      <w:bookmarkStart w:id="16" w:name="_Toc57187524"/>
      <w:bookmarkStart w:id="17" w:name="_Toc47904570"/>
      <w:bookmarkStart w:id="18" w:name="_Toc96094604"/>
      <w:bookmarkStart w:id="19" w:name="_Toc374782955"/>
      <w:bookmarkStart w:id="20" w:name="_Toc57215394"/>
      <w:bookmarkStart w:id="21" w:name="_Toc361670217"/>
      <w:bookmarkStart w:id="22" w:name="_Toc66280190"/>
      <w:bookmarkStart w:id="23" w:name="_Toc122709904"/>
      <w:bookmarkStart w:id="24" w:name="_Toc57198803"/>
      <w:bookmarkStart w:id="25" w:name="_Toc96092785"/>
      <w:r>
        <w:rPr>
          <w:rFonts w:hint="eastAsia"/>
          <w:b/>
          <w:snapToGrid w:val="0"/>
          <w:sz w:val="28"/>
          <w:szCs w:val="28"/>
        </w:rPr>
        <w:t>前言</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pPr>
        <w:pStyle w:val="42"/>
        <w:ind w:firstLine="480"/>
      </w:pPr>
      <w:r>
        <w:t>根据</w:t>
      </w:r>
      <w:r>
        <w:rPr>
          <w:rFonts w:hint="eastAsia"/>
        </w:rPr>
        <w:t>广东省住房和城乡建设厅《关于下达广东省标准&lt;悬浮载体生物膜速净技术规程</w:t>
      </w:r>
      <w:r>
        <w:t>&gt;</w:t>
      </w:r>
      <w:r>
        <w:rPr>
          <w:rFonts w:hint="eastAsia"/>
        </w:rPr>
        <w:t>编制任务的通知》</w:t>
      </w:r>
      <w:r>
        <w:t>，</w:t>
      </w:r>
      <w:r>
        <w:rPr>
          <w:rFonts w:hint="eastAsia"/>
        </w:rPr>
        <w:t>编制组广泛开展调查研究，认真总结悬浮载体生物膜速净工艺的工程实践经验，参考国内外有关标准，编写了本规程。</w:t>
      </w:r>
    </w:p>
    <w:p>
      <w:pPr>
        <w:pStyle w:val="42"/>
        <w:ind w:firstLine="480"/>
      </w:pPr>
      <w:r>
        <w:t>本</w:t>
      </w:r>
      <w:r>
        <w:rPr>
          <w:rFonts w:hint="eastAsia"/>
        </w:rPr>
        <w:t>规程的</w:t>
      </w:r>
      <w:r>
        <w:t>主要技术内容</w:t>
      </w:r>
      <w:r>
        <w:rPr>
          <w:rFonts w:hint="eastAsia"/>
        </w:rPr>
        <w:t>是：1、总则；2、术语；3、基本规定；4、工艺设计；5、检测与控制；6、施工与安装；</w:t>
      </w:r>
      <w:r>
        <w:t>7</w:t>
      </w:r>
      <w:r>
        <w:rPr>
          <w:rFonts w:hint="eastAsia"/>
        </w:rPr>
        <w:t>、调试与验收；</w:t>
      </w:r>
      <w:r>
        <w:t>8</w:t>
      </w:r>
      <w:r>
        <w:rPr>
          <w:rFonts w:hint="eastAsia"/>
        </w:rPr>
        <w:t>、运行与维护。其中4、6、7、8全部条款涉及专利内容。本标准涉及专利单位共同承诺：同意在公平、合理、无歧视基础上，免费许可任何组织或者个人在实施该广东省地方标准时实施本专利。</w:t>
      </w:r>
    </w:p>
    <w:p>
      <w:pPr>
        <w:pStyle w:val="42"/>
        <w:ind w:firstLine="480"/>
      </w:pPr>
      <w:r>
        <w:rPr>
          <w:rFonts w:hint="eastAsia"/>
        </w:rPr>
        <w:t>本规程由广东省住房和城乡建设厅负责本规程的管理，由广东省建筑设计研究院有限公司负责具体技术内容解释。执行过程中，如有意见或建议，请寄送广东省建筑设计研究院有限公司（地址：广州市荔湾区流花路97号，邮编：510010）。</w:t>
      </w:r>
    </w:p>
    <w:p>
      <w:pPr>
        <w:pStyle w:val="42"/>
        <w:ind w:firstLine="480"/>
      </w:pPr>
      <w:r>
        <w:rPr>
          <w:rFonts w:hint="eastAsia"/>
        </w:rPr>
        <w:t>主编单位：广东省建筑设计研究院有限公司</w:t>
      </w:r>
    </w:p>
    <w:p>
      <w:pPr>
        <w:pStyle w:val="42"/>
        <w:ind w:firstLine="1680" w:firstLineChars="700"/>
      </w:pPr>
      <w:r>
        <w:rPr>
          <w:rFonts w:hint="eastAsia"/>
        </w:rPr>
        <w:t>青岛思普润水处理股份有限公司</w:t>
      </w:r>
    </w:p>
    <w:p>
      <w:pPr>
        <w:pStyle w:val="42"/>
        <w:ind w:firstLine="480"/>
      </w:pPr>
      <w:r>
        <w:rPr>
          <w:rFonts w:hint="eastAsia"/>
        </w:rPr>
        <w:t>参编单位：中国市政工程中南设计研究总院有限公司</w:t>
      </w:r>
    </w:p>
    <w:p>
      <w:pPr>
        <w:pStyle w:val="42"/>
        <w:ind w:firstLine="1680" w:firstLineChars="700"/>
      </w:pPr>
      <w:r>
        <w:rPr>
          <w:rFonts w:hint="eastAsia"/>
        </w:rPr>
        <w:t>肇庆市水务集团有限公司</w:t>
      </w:r>
    </w:p>
    <w:p>
      <w:pPr>
        <w:pStyle w:val="42"/>
        <w:ind w:firstLine="1680" w:firstLineChars="700"/>
      </w:pPr>
      <w:r>
        <w:rPr>
          <w:rFonts w:hint="eastAsia"/>
        </w:rPr>
        <w:t>首创爱华（天津）市政环境工程有限公司</w:t>
      </w:r>
    </w:p>
    <w:p>
      <w:pPr>
        <w:pStyle w:val="42"/>
        <w:ind w:firstLine="1680" w:firstLineChars="700"/>
      </w:pPr>
      <w:r>
        <w:rPr>
          <w:rFonts w:hint="eastAsia"/>
        </w:rPr>
        <w:t>广东省广业环保产业集团有限公司</w:t>
      </w:r>
    </w:p>
    <w:p>
      <w:pPr>
        <w:pStyle w:val="42"/>
        <w:ind w:firstLine="480"/>
      </w:pPr>
      <w:r>
        <w:t>主要起草人：</w:t>
      </w:r>
      <w:r>
        <w:rPr>
          <w:rFonts w:hint="eastAsia"/>
        </w:rPr>
        <w:t>李骏飞，吴迪，李德强，周家中，杨磊三，李树苑，彭明，刘敏，周华，韩文杰，周炜峙，刘海燕，陈虹，李彦斌，袁维芳，马少博，辛涛，殷建文，李洪禹，杨忠启，李德毅，刘伟凡，罗文剑，梁怿祯，张晶晶，韩建博，李旭东，王浩</w:t>
      </w:r>
    </w:p>
    <w:p>
      <w:pPr>
        <w:pStyle w:val="42"/>
        <w:ind w:firstLine="480"/>
      </w:pPr>
      <w:r>
        <w:rPr>
          <w:rFonts w:hint="eastAsia"/>
        </w:rPr>
        <w:t>主要审查人：</w:t>
      </w:r>
    </w:p>
    <w:p>
      <w:pPr>
        <w:tabs>
          <w:tab w:val="left" w:pos="4162"/>
        </w:tabs>
        <w:spacing w:line="360" w:lineRule="auto"/>
        <w:rPr>
          <w:rFonts w:ascii="仿宋_GB2312" w:hAnsi="仿宋_GB2312" w:eastAsia="仿宋_GB2312" w:cs="仿宋_GB2312"/>
          <w:sz w:val="32"/>
          <w:szCs w:val="32"/>
        </w:rPr>
      </w:pPr>
      <w:r>
        <w:rPr>
          <w:rFonts w:ascii="仿宋_GB2312" w:hAnsi="仿宋_GB2312" w:eastAsia="仿宋_GB2312" w:cs="仿宋_GB2312"/>
          <w:sz w:val="32"/>
          <w:szCs w:val="32"/>
        </w:rPr>
        <w:tab/>
      </w:r>
    </w:p>
    <w:p>
      <w:pPr>
        <w:widowControl/>
        <w:spacing w:line="360" w:lineRule="auto"/>
        <w:jc w:val="left"/>
        <w:rPr>
          <w:rFonts w:ascii="仿宋_GB2312" w:hAnsi="仿宋_GB2312" w:eastAsia="仿宋_GB2312" w:cs="仿宋_GB2312"/>
          <w:sz w:val="32"/>
          <w:szCs w:val="32"/>
        </w:rPr>
      </w:pPr>
      <w:r>
        <w:rPr>
          <w:rFonts w:ascii="仿宋_GB2312" w:hAnsi="仿宋_GB2312" w:eastAsia="仿宋_GB2312" w:cs="仿宋_GB2312"/>
          <w:sz w:val="32"/>
          <w:szCs w:val="32"/>
        </w:rPr>
        <w:br w:type="page"/>
      </w:r>
    </w:p>
    <w:p>
      <w:pPr>
        <w:pStyle w:val="34"/>
      </w:pPr>
      <w:r>
        <w:rPr>
          <w:rFonts w:hint="eastAsia"/>
        </w:rPr>
        <w:t xml:space="preserve">目 </w:t>
      </w:r>
      <w:r>
        <w:t xml:space="preserve"> </w:t>
      </w:r>
      <w:r>
        <w:rPr>
          <w:rFonts w:hint="eastAsia"/>
        </w:rPr>
        <w:t>录</w:t>
      </w:r>
    </w:p>
    <w:p>
      <w:pPr>
        <w:pStyle w:val="17"/>
        <w:tabs>
          <w:tab w:val="right" w:leader="dot" w:pos="8296"/>
        </w:tabs>
        <w:rPr>
          <w:rFonts w:asciiTheme="minorHAnsi" w:hAnsiTheme="minorHAnsi" w:eastAsiaTheme="minorEastAsia" w:cstheme="minorBidi"/>
          <w:sz w:val="21"/>
          <w:szCs w:val="22"/>
        </w:rPr>
      </w:pPr>
      <w:r>
        <w:rPr>
          <w:rFonts w:ascii="仿宋_GB2312" w:hAnsi="仿宋_GB2312" w:eastAsia="仿宋_GB2312" w:cs="仿宋_GB2312"/>
          <w:sz w:val="32"/>
          <w:szCs w:val="32"/>
        </w:rPr>
        <w:fldChar w:fldCharType="begin"/>
      </w:r>
      <w:r>
        <w:rPr>
          <w:rFonts w:ascii="仿宋_GB2312" w:hAnsi="仿宋_GB2312" w:eastAsia="仿宋_GB2312" w:cs="仿宋_GB2312"/>
          <w:sz w:val="32"/>
          <w:szCs w:val="32"/>
        </w:rPr>
        <w:instrText xml:space="preserve"> </w:instrText>
      </w:r>
      <w:r>
        <w:rPr>
          <w:rFonts w:hint="eastAsia" w:ascii="仿宋_GB2312" w:hAnsi="仿宋_GB2312" w:eastAsia="仿宋_GB2312" w:cs="仿宋_GB2312"/>
          <w:sz w:val="32"/>
          <w:szCs w:val="32"/>
        </w:rPr>
        <w:instrText xml:space="preserve">TOC \o "3-3" \h \z \t "标题 1,1,标题 2,2"</w:instrText>
      </w:r>
      <w:r>
        <w:rPr>
          <w:rFonts w:ascii="仿宋_GB2312" w:hAnsi="仿宋_GB2312" w:eastAsia="仿宋_GB2312" w:cs="仿宋_GB2312"/>
          <w:sz w:val="32"/>
          <w:szCs w:val="32"/>
        </w:rPr>
        <w:instrText xml:space="preserve"> </w:instrText>
      </w:r>
      <w:r>
        <w:rPr>
          <w:rFonts w:ascii="仿宋_GB2312" w:hAnsi="仿宋_GB2312" w:eastAsia="仿宋_GB2312" w:cs="仿宋_GB2312"/>
          <w:sz w:val="32"/>
          <w:szCs w:val="32"/>
        </w:rPr>
        <w:fldChar w:fldCharType="separate"/>
      </w:r>
      <w:r>
        <w:fldChar w:fldCharType="begin"/>
      </w:r>
      <w:r>
        <w:instrText xml:space="preserve"> HYPERLINK \l "_Toc122709317" </w:instrText>
      </w:r>
      <w:r>
        <w:fldChar w:fldCharType="separate"/>
      </w:r>
      <w:r>
        <w:rPr>
          <w:rStyle w:val="28"/>
          <w:lang w:bidi="zh-CN"/>
        </w:rPr>
        <w:t>1</w:t>
      </w:r>
      <w:r>
        <w:rPr>
          <w:rStyle w:val="28"/>
        </w:rPr>
        <w:t xml:space="preserve"> 总则</w:t>
      </w:r>
      <w:r>
        <w:tab/>
      </w:r>
      <w:r>
        <w:fldChar w:fldCharType="begin"/>
      </w:r>
      <w:r>
        <w:instrText xml:space="preserve"> PAGEREF _Toc122709317 \h </w:instrText>
      </w:r>
      <w:r>
        <w:fldChar w:fldCharType="separate"/>
      </w:r>
      <w:r>
        <w:t>1</w:t>
      </w:r>
      <w:r>
        <w:fldChar w:fldCharType="end"/>
      </w:r>
      <w:r>
        <w:fldChar w:fldCharType="end"/>
      </w:r>
    </w:p>
    <w:p>
      <w:pPr>
        <w:pStyle w:val="17"/>
        <w:tabs>
          <w:tab w:val="right" w:leader="dot" w:pos="8296"/>
        </w:tabs>
        <w:rPr>
          <w:rFonts w:asciiTheme="minorHAnsi" w:hAnsiTheme="minorHAnsi" w:eastAsiaTheme="minorEastAsia" w:cstheme="minorBidi"/>
          <w:sz w:val="21"/>
          <w:szCs w:val="22"/>
        </w:rPr>
      </w:pPr>
      <w:r>
        <w:fldChar w:fldCharType="begin"/>
      </w:r>
      <w:r>
        <w:instrText xml:space="preserve"> HYPERLINK \l "_Toc122709318" </w:instrText>
      </w:r>
      <w:r>
        <w:fldChar w:fldCharType="separate"/>
      </w:r>
      <w:r>
        <w:rPr>
          <w:rStyle w:val="28"/>
          <w:lang w:bidi="zh-CN"/>
        </w:rPr>
        <w:t>2</w:t>
      </w:r>
      <w:r>
        <w:rPr>
          <w:rStyle w:val="28"/>
        </w:rPr>
        <w:t xml:space="preserve"> 术语</w:t>
      </w:r>
      <w:r>
        <w:tab/>
      </w:r>
      <w:r>
        <w:fldChar w:fldCharType="begin"/>
      </w:r>
      <w:r>
        <w:instrText xml:space="preserve"> PAGEREF _Toc122709318 \h </w:instrText>
      </w:r>
      <w:r>
        <w:fldChar w:fldCharType="separate"/>
      </w:r>
      <w:r>
        <w:t>2</w:t>
      </w:r>
      <w:r>
        <w:fldChar w:fldCharType="end"/>
      </w:r>
      <w:r>
        <w:fldChar w:fldCharType="end"/>
      </w:r>
    </w:p>
    <w:p>
      <w:pPr>
        <w:pStyle w:val="17"/>
        <w:tabs>
          <w:tab w:val="right" w:leader="dot" w:pos="8296"/>
        </w:tabs>
        <w:rPr>
          <w:rFonts w:asciiTheme="minorHAnsi" w:hAnsiTheme="minorHAnsi" w:eastAsiaTheme="minorEastAsia" w:cstheme="minorBidi"/>
          <w:sz w:val="21"/>
          <w:szCs w:val="22"/>
        </w:rPr>
      </w:pPr>
      <w:r>
        <w:fldChar w:fldCharType="begin"/>
      </w:r>
      <w:r>
        <w:instrText xml:space="preserve"> HYPERLINK \l "_Toc122709319" </w:instrText>
      </w:r>
      <w:r>
        <w:fldChar w:fldCharType="separate"/>
      </w:r>
      <w:r>
        <w:rPr>
          <w:rStyle w:val="28"/>
          <w:lang w:bidi="zh-CN"/>
        </w:rPr>
        <w:t>3</w:t>
      </w:r>
      <w:r>
        <w:rPr>
          <w:rStyle w:val="28"/>
        </w:rPr>
        <w:t xml:space="preserve"> 基本规定</w:t>
      </w:r>
      <w:r>
        <w:tab/>
      </w:r>
      <w:r>
        <w:fldChar w:fldCharType="begin"/>
      </w:r>
      <w:r>
        <w:instrText xml:space="preserve"> PAGEREF _Toc122709319 \h </w:instrText>
      </w:r>
      <w:r>
        <w:fldChar w:fldCharType="separate"/>
      </w:r>
      <w:r>
        <w:t>4</w:t>
      </w:r>
      <w:r>
        <w:fldChar w:fldCharType="end"/>
      </w:r>
      <w:r>
        <w:fldChar w:fldCharType="end"/>
      </w:r>
    </w:p>
    <w:p>
      <w:pPr>
        <w:pStyle w:val="17"/>
        <w:tabs>
          <w:tab w:val="right" w:leader="dot" w:pos="8296"/>
        </w:tabs>
        <w:rPr>
          <w:rFonts w:asciiTheme="minorHAnsi" w:hAnsiTheme="minorHAnsi" w:eastAsiaTheme="minorEastAsia" w:cstheme="minorBidi"/>
          <w:sz w:val="21"/>
          <w:szCs w:val="22"/>
        </w:rPr>
      </w:pPr>
      <w:r>
        <w:fldChar w:fldCharType="begin"/>
      </w:r>
      <w:r>
        <w:instrText xml:space="preserve"> HYPERLINK \l "_Toc122709320" </w:instrText>
      </w:r>
      <w:r>
        <w:fldChar w:fldCharType="separate"/>
      </w:r>
      <w:r>
        <w:rPr>
          <w:rStyle w:val="28"/>
          <w:lang w:bidi="zh-CN"/>
        </w:rPr>
        <w:t>4</w:t>
      </w:r>
      <w:r>
        <w:rPr>
          <w:rStyle w:val="28"/>
        </w:rPr>
        <w:t xml:space="preserve"> 工艺设计</w:t>
      </w:r>
      <w:r>
        <w:tab/>
      </w:r>
      <w:r>
        <w:fldChar w:fldCharType="begin"/>
      </w:r>
      <w:r>
        <w:instrText xml:space="preserve"> PAGEREF _Toc122709320 \h </w:instrText>
      </w:r>
      <w:r>
        <w:fldChar w:fldCharType="separate"/>
      </w:r>
      <w:r>
        <w:t>6</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"_Toc122709321" </w:instrText>
      </w:r>
      <w:r>
        <w:fldChar w:fldCharType="separate"/>
      </w:r>
      <w:r>
        <w:rPr>
          <w:rStyle w:val="28"/>
        </w:rPr>
        <w:t>4.1 预处理</w:t>
      </w:r>
      <w:r>
        <w:tab/>
      </w:r>
      <w:r>
        <w:fldChar w:fldCharType="begin"/>
      </w:r>
      <w:r>
        <w:instrText xml:space="preserve"> PAGEREF _Toc122709321 \h </w:instrText>
      </w:r>
      <w:r>
        <w:fldChar w:fldCharType="separate"/>
      </w:r>
      <w:r>
        <w:t>6</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"_Toc122709322" </w:instrText>
      </w:r>
      <w:r>
        <w:fldChar w:fldCharType="separate"/>
      </w:r>
      <w:r>
        <w:rPr>
          <w:rStyle w:val="28"/>
        </w:rPr>
        <w:t>4.2 BFM-B段</w:t>
      </w:r>
      <w:r>
        <w:tab/>
      </w:r>
      <w:r>
        <w:fldChar w:fldCharType="begin"/>
      </w:r>
      <w:r>
        <w:instrText xml:space="preserve"> PAGEREF _Toc122709322 \h </w:instrText>
      </w:r>
      <w:r>
        <w:fldChar w:fldCharType="separate"/>
      </w:r>
      <w:r>
        <w:t>6</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"_Toc122709323" </w:instrText>
      </w:r>
      <w:r>
        <w:fldChar w:fldCharType="separate"/>
      </w:r>
      <w:r>
        <w:rPr>
          <w:rStyle w:val="28"/>
        </w:rPr>
        <w:t>4.3 BFM-M段</w:t>
      </w:r>
      <w:r>
        <w:tab/>
      </w:r>
      <w:r>
        <w:fldChar w:fldCharType="begin"/>
      </w:r>
      <w:r>
        <w:instrText xml:space="preserve"> PAGEREF _Toc122709323 \h </w:instrText>
      </w:r>
      <w:r>
        <w:fldChar w:fldCharType="separate"/>
      </w:r>
      <w:r>
        <w:t>11</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"_Toc122709324" </w:instrText>
      </w:r>
      <w:r>
        <w:fldChar w:fldCharType="separate"/>
      </w:r>
      <w:r>
        <w:rPr>
          <w:rStyle w:val="28"/>
        </w:rPr>
        <w:t>4.4 污泥产量</w:t>
      </w:r>
      <w:r>
        <w:tab/>
      </w:r>
      <w:r>
        <w:fldChar w:fldCharType="begin"/>
      </w:r>
      <w:r>
        <w:instrText xml:space="preserve"> PAGEREF _Toc122709324 \h </w:instrText>
      </w:r>
      <w:r>
        <w:fldChar w:fldCharType="separate"/>
      </w:r>
      <w:r>
        <w:t>13</w:t>
      </w:r>
      <w:r>
        <w:fldChar w:fldCharType="end"/>
      </w:r>
      <w:r>
        <w:fldChar w:fldCharType="end"/>
      </w:r>
    </w:p>
    <w:p>
      <w:pPr>
        <w:pStyle w:val="17"/>
        <w:tabs>
          <w:tab w:val="right" w:leader="dot" w:pos="8296"/>
        </w:tabs>
        <w:rPr>
          <w:rFonts w:asciiTheme="minorHAnsi" w:hAnsiTheme="minorHAnsi" w:eastAsiaTheme="minorEastAsia" w:cstheme="minorBidi"/>
          <w:sz w:val="21"/>
          <w:szCs w:val="22"/>
        </w:rPr>
      </w:pPr>
      <w:r>
        <w:fldChar w:fldCharType="begin"/>
      </w:r>
      <w:r>
        <w:instrText xml:space="preserve"> HYPERLINK \l "_Toc122709325" </w:instrText>
      </w:r>
      <w:r>
        <w:fldChar w:fldCharType="separate"/>
      </w:r>
      <w:r>
        <w:rPr>
          <w:rStyle w:val="28"/>
          <w:lang w:bidi="zh-CN"/>
        </w:rPr>
        <w:t>5</w:t>
      </w:r>
      <w:r>
        <w:rPr>
          <w:rStyle w:val="28"/>
        </w:rPr>
        <w:t xml:space="preserve"> 检测与控制</w:t>
      </w:r>
      <w:r>
        <w:tab/>
      </w:r>
      <w:r>
        <w:fldChar w:fldCharType="begin"/>
      </w:r>
      <w:r>
        <w:instrText xml:space="preserve"> PAGEREF _Toc122709325 \h </w:instrText>
      </w:r>
      <w:r>
        <w:fldChar w:fldCharType="separate"/>
      </w:r>
      <w:r>
        <w:t>15</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"_Toc122709326" </w:instrText>
      </w:r>
      <w:r>
        <w:fldChar w:fldCharType="separate"/>
      </w:r>
      <w:r>
        <w:rPr>
          <w:rStyle w:val="28"/>
        </w:rPr>
        <w:t>5.1 一般规定</w:t>
      </w:r>
      <w:r>
        <w:tab/>
      </w:r>
      <w:r>
        <w:fldChar w:fldCharType="begin"/>
      </w:r>
      <w:r>
        <w:instrText xml:space="preserve"> PAGEREF _Toc122709326 \h </w:instrText>
      </w:r>
      <w:r>
        <w:fldChar w:fldCharType="separate"/>
      </w:r>
      <w:r>
        <w:t>15</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"_Toc122709327" </w:instrText>
      </w:r>
      <w:r>
        <w:fldChar w:fldCharType="separate"/>
      </w:r>
      <w:r>
        <w:rPr>
          <w:rStyle w:val="28"/>
        </w:rPr>
        <w:t>5.2 检测</w:t>
      </w:r>
      <w:r>
        <w:tab/>
      </w:r>
      <w:r>
        <w:fldChar w:fldCharType="begin"/>
      </w:r>
      <w:r>
        <w:instrText xml:space="preserve"> PAGEREF _Toc122709327 \h </w:instrText>
      </w:r>
      <w:r>
        <w:fldChar w:fldCharType="separate"/>
      </w:r>
      <w:r>
        <w:t>15</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"_Toc122709328" </w:instrText>
      </w:r>
      <w:r>
        <w:fldChar w:fldCharType="separate"/>
      </w:r>
      <w:r>
        <w:rPr>
          <w:rStyle w:val="28"/>
        </w:rPr>
        <w:t>5.3 控制</w:t>
      </w:r>
      <w:r>
        <w:tab/>
      </w:r>
      <w:r>
        <w:fldChar w:fldCharType="begin"/>
      </w:r>
      <w:r>
        <w:instrText xml:space="preserve"> PAGEREF _Toc122709328 \h </w:instrText>
      </w:r>
      <w:r>
        <w:fldChar w:fldCharType="separate"/>
      </w:r>
      <w:r>
        <w:t>15</w:t>
      </w:r>
      <w:r>
        <w:fldChar w:fldCharType="end"/>
      </w:r>
      <w:r>
        <w:fldChar w:fldCharType="end"/>
      </w:r>
    </w:p>
    <w:p>
      <w:pPr>
        <w:pStyle w:val="17"/>
        <w:tabs>
          <w:tab w:val="right" w:leader="dot" w:pos="8296"/>
        </w:tabs>
        <w:rPr>
          <w:rFonts w:asciiTheme="minorHAnsi" w:hAnsiTheme="minorHAnsi" w:eastAsiaTheme="minorEastAsia" w:cstheme="minorBidi"/>
          <w:sz w:val="21"/>
          <w:szCs w:val="22"/>
        </w:rPr>
      </w:pPr>
      <w:r>
        <w:fldChar w:fldCharType="begin"/>
      </w:r>
      <w:r>
        <w:instrText xml:space="preserve"> HYPERLINK \l "_Toc122709329" </w:instrText>
      </w:r>
      <w:r>
        <w:fldChar w:fldCharType="separate"/>
      </w:r>
      <w:r>
        <w:rPr>
          <w:rStyle w:val="28"/>
          <w:lang w:bidi="zh-CN"/>
        </w:rPr>
        <w:t>6</w:t>
      </w:r>
      <w:r>
        <w:rPr>
          <w:rStyle w:val="28"/>
        </w:rPr>
        <w:t xml:space="preserve"> 施工与安装</w:t>
      </w:r>
      <w:r>
        <w:tab/>
      </w:r>
      <w:r>
        <w:fldChar w:fldCharType="begin"/>
      </w:r>
      <w:r>
        <w:instrText xml:space="preserve"> PAGEREF _Toc122709329 \h </w:instrText>
      </w:r>
      <w:r>
        <w:fldChar w:fldCharType="separate"/>
      </w:r>
      <w:r>
        <w:t>17</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"_Toc122709330" </w:instrText>
      </w:r>
      <w:r>
        <w:fldChar w:fldCharType="separate"/>
      </w:r>
      <w:r>
        <w:rPr>
          <w:rStyle w:val="28"/>
        </w:rPr>
        <w:t>6.1 一般规定</w:t>
      </w:r>
      <w:r>
        <w:tab/>
      </w:r>
      <w:r>
        <w:fldChar w:fldCharType="begin"/>
      </w:r>
      <w:r>
        <w:instrText xml:space="preserve"> PAGEREF _Toc122709330 \h </w:instrText>
      </w:r>
      <w:r>
        <w:fldChar w:fldCharType="separate"/>
      </w:r>
      <w:r>
        <w:t>17</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"_Toc122709331" </w:instrText>
      </w:r>
      <w:r>
        <w:fldChar w:fldCharType="separate"/>
      </w:r>
      <w:r>
        <w:rPr>
          <w:rStyle w:val="28"/>
        </w:rPr>
        <w:t>6.2 施工</w:t>
      </w:r>
      <w:r>
        <w:tab/>
      </w:r>
      <w:r>
        <w:fldChar w:fldCharType="begin"/>
      </w:r>
      <w:r>
        <w:instrText xml:space="preserve"> PAGEREF _Toc122709331 \h </w:instrText>
      </w:r>
      <w:r>
        <w:fldChar w:fldCharType="separate"/>
      </w:r>
      <w:r>
        <w:t>17</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"_Toc122709332" </w:instrText>
      </w:r>
      <w:r>
        <w:fldChar w:fldCharType="separate"/>
      </w:r>
      <w:r>
        <w:rPr>
          <w:rStyle w:val="28"/>
        </w:rPr>
        <w:t>6.3 安装</w:t>
      </w:r>
      <w:r>
        <w:tab/>
      </w:r>
      <w:r>
        <w:fldChar w:fldCharType="begin"/>
      </w:r>
      <w:r>
        <w:instrText xml:space="preserve"> PAGEREF _Toc122709332 \h </w:instrText>
      </w:r>
      <w:r>
        <w:fldChar w:fldCharType="separate"/>
      </w:r>
      <w:r>
        <w:t>20</w:t>
      </w:r>
      <w:r>
        <w:fldChar w:fldCharType="end"/>
      </w:r>
      <w:r>
        <w:fldChar w:fldCharType="end"/>
      </w:r>
    </w:p>
    <w:p>
      <w:pPr>
        <w:pStyle w:val="17"/>
        <w:tabs>
          <w:tab w:val="right" w:leader="dot" w:pos="8296"/>
        </w:tabs>
        <w:rPr>
          <w:rFonts w:asciiTheme="minorHAnsi" w:hAnsiTheme="minorHAnsi" w:eastAsiaTheme="minorEastAsia" w:cstheme="minorBidi"/>
          <w:sz w:val="21"/>
          <w:szCs w:val="22"/>
        </w:rPr>
      </w:pPr>
      <w:r>
        <w:fldChar w:fldCharType="begin"/>
      </w:r>
      <w:r>
        <w:instrText xml:space="preserve"> HYPERLINK \l "_Toc122709333" </w:instrText>
      </w:r>
      <w:r>
        <w:fldChar w:fldCharType="separate"/>
      </w:r>
      <w:r>
        <w:rPr>
          <w:rStyle w:val="28"/>
          <w:lang w:bidi="zh-CN"/>
        </w:rPr>
        <w:t>7</w:t>
      </w:r>
      <w:r>
        <w:rPr>
          <w:rStyle w:val="28"/>
        </w:rPr>
        <w:t xml:space="preserve"> 调试与验收</w:t>
      </w:r>
      <w:r>
        <w:tab/>
      </w:r>
      <w:r>
        <w:fldChar w:fldCharType="begin"/>
      </w:r>
      <w:r>
        <w:instrText xml:space="preserve"> PAGEREF _Toc122709333 \h </w:instrText>
      </w:r>
      <w:r>
        <w:fldChar w:fldCharType="separate"/>
      </w:r>
      <w:r>
        <w:t>25</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"_Toc122709334" </w:instrText>
      </w:r>
      <w:r>
        <w:fldChar w:fldCharType="separate"/>
      </w:r>
      <w:r>
        <w:rPr>
          <w:rStyle w:val="28"/>
        </w:rPr>
        <w:t>7.1 一般规定</w:t>
      </w:r>
      <w:r>
        <w:tab/>
      </w:r>
      <w:r>
        <w:fldChar w:fldCharType="begin"/>
      </w:r>
      <w:r>
        <w:instrText xml:space="preserve"> PAGEREF _Toc122709334 \h </w:instrText>
      </w:r>
      <w:r>
        <w:fldChar w:fldCharType="separate"/>
      </w:r>
      <w:r>
        <w:t>25</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"_Toc122709335" </w:instrText>
      </w:r>
      <w:r>
        <w:fldChar w:fldCharType="separate"/>
      </w:r>
      <w:r>
        <w:rPr>
          <w:rStyle w:val="28"/>
        </w:rPr>
        <w:t>7.2 调试</w:t>
      </w:r>
      <w:r>
        <w:tab/>
      </w:r>
      <w:r>
        <w:fldChar w:fldCharType="begin"/>
      </w:r>
      <w:r>
        <w:instrText xml:space="preserve"> PAGEREF _Toc122709335 \h </w:instrText>
      </w:r>
      <w:r>
        <w:fldChar w:fldCharType="separate"/>
      </w:r>
      <w:r>
        <w:t>25</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"_Toc122709336" </w:instrText>
      </w:r>
      <w:r>
        <w:fldChar w:fldCharType="separate"/>
      </w:r>
      <w:r>
        <w:rPr>
          <w:rStyle w:val="28"/>
        </w:rPr>
        <w:t>7.3 验收</w:t>
      </w:r>
      <w:r>
        <w:tab/>
      </w:r>
      <w:r>
        <w:fldChar w:fldCharType="begin"/>
      </w:r>
      <w:r>
        <w:instrText xml:space="preserve"> PAGEREF _Toc122709336 \h </w:instrText>
      </w:r>
      <w:r>
        <w:fldChar w:fldCharType="separate"/>
      </w:r>
      <w:r>
        <w:t>26</w:t>
      </w:r>
      <w:r>
        <w:fldChar w:fldCharType="end"/>
      </w:r>
      <w:r>
        <w:fldChar w:fldCharType="end"/>
      </w:r>
    </w:p>
    <w:p>
      <w:pPr>
        <w:pStyle w:val="17"/>
        <w:tabs>
          <w:tab w:val="right" w:leader="dot" w:pos="8296"/>
        </w:tabs>
        <w:rPr>
          <w:rFonts w:asciiTheme="minorHAnsi" w:hAnsiTheme="minorHAnsi" w:eastAsiaTheme="minorEastAsia" w:cstheme="minorBidi"/>
          <w:sz w:val="21"/>
          <w:szCs w:val="22"/>
        </w:rPr>
      </w:pPr>
      <w:r>
        <w:fldChar w:fldCharType="begin"/>
      </w:r>
      <w:r>
        <w:instrText xml:space="preserve"> HYPERLINK \l "_Toc122709337" </w:instrText>
      </w:r>
      <w:r>
        <w:fldChar w:fldCharType="separate"/>
      </w:r>
      <w:r>
        <w:rPr>
          <w:rStyle w:val="28"/>
          <w:lang w:bidi="zh-CN"/>
        </w:rPr>
        <w:t>8</w:t>
      </w:r>
      <w:r>
        <w:rPr>
          <w:rStyle w:val="28"/>
        </w:rPr>
        <w:t xml:space="preserve"> 运行与维护</w:t>
      </w:r>
      <w:r>
        <w:tab/>
      </w:r>
      <w:r>
        <w:fldChar w:fldCharType="begin"/>
      </w:r>
      <w:r>
        <w:instrText xml:space="preserve"> PAGEREF _Toc122709337 \h </w:instrText>
      </w:r>
      <w:r>
        <w:fldChar w:fldCharType="separate"/>
      </w:r>
      <w:r>
        <w:t>31</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"_Toc122709338" </w:instrText>
      </w:r>
      <w:r>
        <w:fldChar w:fldCharType="separate"/>
      </w:r>
      <w:r>
        <w:rPr>
          <w:rStyle w:val="28"/>
        </w:rPr>
        <w:t>8.1 一般规定</w:t>
      </w:r>
      <w:r>
        <w:tab/>
      </w:r>
      <w:r>
        <w:fldChar w:fldCharType="begin"/>
      </w:r>
      <w:r>
        <w:instrText xml:space="preserve"> PAGEREF _Toc122709338 \h </w:instrText>
      </w:r>
      <w:r>
        <w:fldChar w:fldCharType="separate"/>
      </w:r>
      <w:r>
        <w:t>31</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"_Toc122709339" </w:instrText>
      </w:r>
      <w:r>
        <w:fldChar w:fldCharType="separate"/>
      </w:r>
      <w:r>
        <w:rPr>
          <w:rStyle w:val="28"/>
        </w:rPr>
        <w:t>8.2 运行</w:t>
      </w:r>
      <w:r>
        <w:tab/>
      </w:r>
      <w:r>
        <w:fldChar w:fldCharType="begin"/>
      </w:r>
      <w:r>
        <w:instrText xml:space="preserve"> PAGEREF _Toc122709339 \h </w:instrText>
      </w:r>
      <w:r>
        <w:fldChar w:fldCharType="separate"/>
      </w:r>
      <w:r>
        <w:t>31</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"_Toc122709340" </w:instrText>
      </w:r>
      <w:r>
        <w:fldChar w:fldCharType="separate"/>
      </w:r>
      <w:r>
        <w:rPr>
          <w:rStyle w:val="28"/>
        </w:rPr>
        <w:t>8.3 维护</w:t>
      </w:r>
      <w:r>
        <w:tab/>
      </w:r>
      <w:r>
        <w:fldChar w:fldCharType="begin"/>
      </w:r>
      <w:r>
        <w:instrText xml:space="preserve"> PAGEREF _Toc122709340 \h </w:instrText>
      </w:r>
      <w:r>
        <w:fldChar w:fldCharType="separate"/>
      </w:r>
      <w:r>
        <w:t>33</w:t>
      </w:r>
      <w:r>
        <w:fldChar w:fldCharType="end"/>
      </w:r>
      <w:r>
        <w:fldChar w:fldCharType="end"/>
      </w:r>
    </w:p>
    <w:p>
      <w:pPr>
        <w:pStyle w:val="17"/>
        <w:tabs>
          <w:tab w:val="right" w:leader="dot" w:pos="8296"/>
        </w:tabs>
        <w:rPr>
          <w:rFonts w:asciiTheme="minorHAnsi" w:hAnsiTheme="minorHAnsi" w:eastAsiaTheme="minorEastAsia" w:cstheme="minorBidi"/>
          <w:sz w:val="21"/>
          <w:szCs w:val="22"/>
        </w:rPr>
      </w:pPr>
      <w:r>
        <w:fldChar w:fldCharType="begin"/>
      </w:r>
      <w:r>
        <w:instrText xml:space="preserve"> HYPERLINK \l "_Toc122709341" </w:instrText>
      </w:r>
      <w:r>
        <w:fldChar w:fldCharType="separate"/>
      </w:r>
      <w:r>
        <w:rPr>
          <w:rStyle w:val="28"/>
        </w:rPr>
        <w:t>本规程用词说明</w:t>
      </w:r>
      <w:r>
        <w:tab/>
      </w:r>
      <w:r>
        <w:fldChar w:fldCharType="begin"/>
      </w:r>
      <w:r>
        <w:instrText xml:space="preserve"> PAGEREF _Toc122709341 \h </w:instrText>
      </w:r>
      <w:r>
        <w:fldChar w:fldCharType="separate"/>
      </w:r>
      <w:r>
        <w:t>35</w:t>
      </w:r>
      <w:r>
        <w:fldChar w:fldCharType="end"/>
      </w:r>
      <w:r>
        <w:fldChar w:fldCharType="end"/>
      </w:r>
    </w:p>
    <w:p>
      <w:pPr>
        <w:pStyle w:val="17"/>
        <w:tabs>
          <w:tab w:val="right" w:leader="dot" w:pos="8296"/>
        </w:tabs>
        <w:rPr>
          <w:rFonts w:asciiTheme="minorHAnsi" w:hAnsiTheme="minorHAnsi" w:eastAsiaTheme="minorEastAsia" w:cstheme="minorBidi"/>
          <w:sz w:val="21"/>
          <w:szCs w:val="22"/>
        </w:rPr>
      </w:pPr>
      <w:r>
        <w:fldChar w:fldCharType="begin"/>
      </w:r>
      <w:r>
        <w:instrText xml:space="preserve"> HYPERLINK \l "_Toc122709342" </w:instrText>
      </w:r>
      <w:r>
        <w:fldChar w:fldCharType="separate"/>
      </w:r>
      <w:r>
        <w:rPr>
          <w:rStyle w:val="28"/>
        </w:rPr>
        <w:t>引用标准名录</w:t>
      </w:r>
      <w:r>
        <w:tab/>
      </w:r>
      <w:r>
        <w:fldChar w:fldCharType="begin"/>
      </w:r>
      <w:r>
        <w:instrText xml:space="preserve"> PAGEREF _Toc122709342 \h </w:instrText>
      </w:r>
      <w:r>
        <w:fldChar w:fldCharType="separate"/>
      </w:r>
      <w:r>
        <w:t>36</w:t>
      </w:r>
      <w:r>
        <w:fldChar w:fldCharType="end"/>
      </w:r>
      <w:r>
        <w:fldChar w:fldCharType="end"/>
      </w:r>
    </w:p>
    <w:p>
      <w:pPr>
        <w:pStyle w:val="17"/>
        <w:tabs>
          <w:tab w:val="right" w:leader="dot" w:pos="8296"/>
        </w:tabs>
        <w:rPr>
          <w:rFonts w:asciiTheme="minorHAnsi" w:hAnsiTheme="minorHAnsi" w:eastAsiaTheme="minorEastAsia" w:cstheme="minorBidi"/>
          <w:sz w:val="21"/>
          <w:szCs w:val="22"/>
        </w:rPr>
      </w:pPr>
      <w:r>
        <w:fldChar w:fldCharType="begin"/>
      </w:r>
      <w:r>
        <w:instrText xml:space="preserve"> HYPERLINK \l "_Toc122709343" </w:instrText>
      </w:r>
      <w:r>
        <w:fldChar w:fldCharType="separate"/>
      </w:r>
      <w:r>
        <w:rPr>
          <w:rStyle w:val="28"/>
          <w:rFonts w:hint="eastAsia"/>
        </w:rPr>
        <w:t>附：条文说明</w:t>
      </w:r>
      <w:r>
        <w:tab/>
      </w:r>
      <w:r>
        <w:fldChar w:fldCharType="begin"/>
      </w:r>
      <w:r>
        <w:instrText xml:space="preserve"> PAGEREF _Toc122709343 \h </w:instrText>
      </w:r>
      <w:r>
        <w:fldChar w:fldCharType="separate"/>
      </w:r>
      <w:r>
        <w:t>37</w:t>
      </w:r>
      <w:r>
        <w:fldChar w:fldCharType="end"/>
      </w:r>
      <w:r>
        <w:fldChar w:fldCharType="end"/>
      </w:r>
    </w:p>
    <w:p>
      <w:pPr>
        <w:tabs>
          <w:tab w:val="left" w:pos="4162"/>
        </w:tabs>
        <w:spacing w:line="580" w:lineRule="exact"/>
        <w:rPr>
          <w:rFonts w:ascii="仿宋_GB2312" w:hAnsi="仿宋_GB2312" w:eastAsia="仿宋_GB2312" w:cs="仿宋_GB2312"/>
          <w:sz w:val="32"/>
          <w:szCs w:val="32"/>
        </w:rPr>
      </w:pPr>
      <w:r>
        <w:rPr>
          <w:rFonts w:ascii="仿宋_GB2312" w:hAnsi="仿宋_GB2312" w:eastAsia="仿宋_GB2312" w:cs="仿宋_GB2312"/>
          <w:sz w:val="32"/>
          <w:szCs w:val="32"/>
        </w:rPr>
        <w:fldChar w:fldCharType="end"/>
      </w:r>
    </w:p>
    <w:p>
      <w:pPr>
        <w:rPr>
          <w:rFonts w:ascii="仿宋_GB2312" w:hAnsi="仿宋_GB2312" w:eastAsia="仿宋_GB2312" w:cs="仿宋_GB2312"/>
          <w:sz w:val="32"/>
          <w:szCs w:val="32"/>
        </w:rPr>
        <w:sectPr>
          <w:footerReference r:id="rId5" w:type="default"/>
          <w:pgSz w:w="11906" w:h="16838"/>
          <w:pgMar w:top="1440" w:right="1800" w:bottom="1118" w:left="1800" w:header="851" w:footer="992" w:gutter="0"/>
          <w:pgNumType w:start="1"/>
          <w:cols w:space="720" w:num="1"/>
          <w:titlePg/>
          <w:docGrid w:type="lines" w:linePitch="312" w:charSpace="0"/>
        </w:sectPr>
      </w:pPr>
    </w:p>
    <w:p>
      <w:pPr>
        <w:pStyle w:val="34"/>
      </w:pPr>
      <w:r>
        <w:rPr>
          <w:rFonts w:hint="eastAsia"/>
        </w:rPr>
        <w:t>Contents</w:t>
      </w:r>
    </w:p>
    <w:p>
      <w:pPr>
        <w:pStyle w:val="17"/>
        <w:tabs>
          <w:tab w:val="right" w:leader="dot" w:pos="8296"/>
        </w:tabs>
        <w:rPr>
          <w:rFonts w:asciiTheme="minorHAnsi" w:hAnsiTheme="minorHAnsi" w:eastAsiaTheme="minorEastAsia" w:cstheme="minorBidi"/>
          <w:sz w:val="21"/>
          <w:szCs w:val="22"/>
        </w:rPr>
      </w:pPr>
      <w:r>
        <w:rPr>
          <w:rFonts w:ascii="仿宋_GB2312" w:hAnsi="仿宋_GB2312" w:eastAsia="仿宋_GB2312" w:cs="仿宋_GB2312"/>
          <w:sz w:val="32"/>
          <w:szCs w:val="32"/>
        </w:rPr>
        <w:fldChar w:fldCharType="begin"/>
      </w:r>
      <w:r>
        <w:rPr>
          <w:rFonts w:ascii="仿宋_GB2312" w:hAnsi="仿宋_GB2312" w:eastAsia="仿宋_GB2312" w:cs="仿宋_GB2312"/>
          <w:sz w:val="32"/>
          <w:szCs w:val="32"/>
        </w:rPr>
        <w:instrText xml:space="preserve"> </w:instrText>
      </w:r>
      <w:r>
        <w:rPr>
          <w:rFonts w:hint="eastAsia" w:ascii="仿宋_GB2312" w:hAnsi="仿宋_GB2312" w:eastAsia="仿宋_GB2312" w:cs="仿宋_GB2312"/>
          <w:sz w:val="32"/>
          <w:szCs w:val="32"/>
        </w:rPr>
        <w:instrText xml:space="preserve">TOC \o "3-3" \h \z \t "标题 1,1,标题 2,2"</w:instrText>
      </w:r>
      <w:r>
        <w:rPr>
          <w:rFonts w:ascii="仿宋_GB2312" w:hAnsi="仿宋_GB2312" w:eastAsia="仿宋_GB2312" w:cs="仿宋_GB2312"/>
          <w:sz w:val="32"/>
          <w:szCs w:val="32"/>
        </w:rPr>
        <w:instrText xml:space="preserve"> </w:instrText>
      </w:r>
      <w:r>
        <w:rPr>
          <w:rFonts w:ascii="仿宋_GB2312" w:hAnsi="仿宋_GB2312" w:eastAsia="仿宋_GB2312" w:cs="仿宋_GB2312"/>
          <w:sz w:val="32"/>
          <w:szCs w:val="32"/>
        </w:rPr>
        <w:fldChar w:fldCharType="separate"/>
      </w:r>
      <w:r>
        <w:fldChar w:fldCharType="begin"/>
      </w:r>
      <w:r>
        <w:instrText xml:space="preserve"> HYPERLINK \l "_Toc122709394" </w:instrText>
      </w:r>
      <w:r>
        <w:fldChar w:fldCharType="separate"/>
      </w:r>
      <w:r>
        <w:rPr>
          <w:rStyle w:val="28"/>
          <w:lang w:bidi="zh-CN"/>
        </w:rPr>
        <w:t>1</w:t>
      </w:r>
      <w:r>
        <w:rPr>
          <w:rStyle w:val="28"/>
        </w:rPr>
        <w:t xml:space="preserve"> </w:t>
      </w:r>
      <w:r>
        <w:rPr>
          <w:rStyle w:val="28"/>
          <w:rFonts w:hint="eastAsia"/>
        </w:rPr>
        <w:t>General</w:t>
      </w:r>
      <w:r>
        <w:rPr>
          <w:rStyle w:val="28"/>
        </w:rPr>
        <w:t xml:space="preserve"> Provisions</w:t>
      </w:r>
      <w:r>
        <w:tab/>
      </w:r>
      <w:r>
        <w:fldChar w:fldCharType="begin"/>
      </w:r>
      <w:r>
        <w:instrText xml:space="preserve"> PAGEREF _Toc122709394 \h </w:instrText>
      </w:r>
      <w:r>
        <w:fldChar w:fldCharType="separate"/>
      </w:r>
      <w:r>
        <w:t>1</w:t>
      </w:r>
      <w:r>
        <w:fldChar w:fldCharType="end"/>
      </w:r>
      <w:r>
        <w:fldChar w:fldCharType="end"/>
      </w:r>
    </w:p>
    <w:p>
      <w:pPr>
        <w:pStyle w:val="17"/>
        <w:tabs>
          <w:tab w:val="right" w:leader="dot" w:pos="8296"/>
        </w:tabs>
        <w:rPr>
          <w:rFonts w:asciiTheme="minorHAnsi" w:hAnsiTheme="minorHAnsi" w:eastAsiaTheme="minorEastAsia" w:cstheme="minorBidi"/>
          <w:sz w:val="21"/>
          <w:szCs w:val="22"/>
        </w:rPr>
      </w:pPr>
      <w:r>
        <w:fldChar w:fldCharType="begin"/>
      </w:r>
      <w:r>
        <w:instrText xml:space="preserve"> HYPERLINK \l "_Toc122709395" </w:instrText>
      </w:r>
      <w:r>
        <w:fldChar w:fldCharType="separate"/>
      </w:r>
      <w:r>
        <w:rPr>
          <w:rStyle w:val="28"/>
          <w:lang w:bidi="zh-CN"/>
        </w:rPr>
        <w:t>2</w:t>
      </w:r>
      <w:r>
        <w:rPr>
          <w:rStyle w:val="28"/>
        </w:rPr>
        <w:t xml:space="preserve"> </w:t>
      </w:r>
      <w:r>
        <w:rPr>
          <w:rStyle w:val="28"/>
          <w:rFonts w:hint="eastAsia"/>
        </w:rPr>
        <w:t>T</w:t>
      </w:r>
      <w:r>
        <w:rPr>
          <w:rStyle w:val="28"/>
        </w:rPr>
        <w:t>erms</w:t>
      </w:r>
      <w:r>
        <w:tab/>
      </w:r>
      <w:r>
        <w:fldChar w:fldCharType="begin"/>
      </w:r>
      <w:r>
        <w:instrText xml:space="preserve"> PAGEREF _Toc122709395 \h </w:instrText>
      </w:r>
      <w:r>
        <w:fldChar w:fldCharType="separate"/>
      </w:r>
      <w:r>
        <w:t>2</w:t>
      </w:r>
      <w:r>
        <w:fldChar w:fldCharType="end"/>
      </w:r>
      <w:r>
        <w:fldChar w:fldCharType="end"/>
      </w:r>
    </w:p>
    <w:p>
      <w:pPr>
        <w:pStyle w:val="17"/>
        <w:tabs>
          <w:tab w:val="right" w:leader="dot" w:pos="8296"/>
        </w:tabs>
        <w:rPr>
          <w:rFonts w:asciiTheme="minorHAnsi" w:hAnsiTheme="minorHAnsi" w:eastAsiaTheme="minorEastAsia" w:cstheme="minorBidi"/>
          <w:sz w:val="21"/>
          <w:szCs w:val="22"/>
        </w:rPr>
      </w:pPr>
      <w:r>
        <w:fldChar w:fldCharType="begin"/>
      </w:r>
      <w:r>
        <w:instrText xml:space="preserve"> HYPERLINK \l "_Toc122709396" </w:instrText>
      </w:r>
      <w:r>
        <w:fldChar w:fldCharType="separate"/>
      </w:r>
      <w:r>
        <w:rPr>
          <w:rStyle w:val="28"/>
          <w:lang w:bidi="zh-CN"/>
        </w:rPr>
        <w:t>3</w:t>
      </w:r>
      <w:r>
        <w:rPr>
          <w:rStyle w:val="28"/>
        </w:rPr>
        <w:t xml:space="preserve"> </w:t>
      </w:r>
      <w:r>
        <w:rPr>
          <w:rStyle w:val="28"/>
          <w:rFonts w:hint="eastAsia"/>
        </w:rPr>
        <w:t>B</w:t>
      </w:r>
      <w:r>
        <w:rPr>
          <w:rStyle w:val="28"/>
        </w:rPr>
        <w:t>asic Requirements</w:t>
      </w:r>
      <w:r>
        <w:tab/>
      </w:r>
      <w:r>
        <w:fldChar w:fldCharType="begin"/>
      </w:r>
      <w:r>
        <w:instrText xml:space="preserve"> PAGEREF _Toc122709396 \h </w:instrText>
      </w:r>
      <w:r>
        <w:fldChar w:fldCharType="separate"/>
      </w:r>
      <w:r>
        <w:t>4</w:t>
      </w:r>
      <w:r>
        <w:fldChar w:fldCharType="end"/>
      </w:r>
      <w:r>
        <w:fldChar w:fldCharType="end"/>
      </w:r>
    </w:p>
    <w:p>
      <w:pPr>
        <w:pStyle w:val="17"/>
        <w:tabs>
          <w:tab w:val="right" w:leader="dot" w:pos="8296"/>
        </w:tabs>
        <w:rPr>
          <w:rFonts w:asciiTheme="minorHAnsi" w:hAnsiTheme="minorHAnsi" w:eastAsiaTheme="minorEastAsia" w:cstheme="minorBidi"/>
          <w:sz w:val="21"/>
          <w:szCs w:val="22"/>
        </w:rPr>
      </w:pPr>
      <w:r>
        <w:fldChar w:fldCharType="begin"/>
      </w:r>
      <w:r>
        <w:instrText xml:space="preserve"> HYPERLINK \l "_Toc122709397" </w:instrText>
      </w:r>
      <w:r>
        <w:fldChar w:fldCharType="separate"/>
      </w:r>
      <w:r>
        <w:rPr>
          <w:rStyle w:val="28"/>
          <w:lang w:bidi="zh-CN"/>
        </w:rPr>
        <w:t>4</w:t>
      </w:r>
      <w:r>
        <w:rPr>
          <w:rStyle w:val="28"/>
        </w:rPr>
        <w:t xml:space="preserve"> Technological Design</w:t>
      </w:r>
      <w:r>
        <w:tab/>
      </w:r>
      <w:r>
        <w:fldChar w:fldCharType="begin"/>
      </w:r>
      <w:r>
        <w:instrText xml:space="preserve"> PAGEREF _Toc122709397 \h </w:instrText>
      </w:r>
      <w:r>
        <w:fldChar w:fldCharType="separate"/>
      </w:r>
      <w:r>
        <w:t>6</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"_Toc122709398" </w:instrText>
      </w:r>
      <w:r>
        <w:fldChar w:fldCharType="separate"/>
      </w:r>
      <w:r>
        <w:rPr>
          <w:rStyle w:val="28"/>
        </w:rPr>
        <w:t>4.1 Pretreatment</w:t>
      </w:r>
      <w:r>
        <w:tab/>
      </w:r>
      <w:r>
        <w:fldChar w:fldCharType="begin"/>
      </w:r>
      <w:r>
        <w:instrText xml:space="preserve"> PAGEREF _Toc122709398 \h </w:instrText>
      </w:r>
      <w:r>
        <w:fldChar w:fldCharType="separate"/>
      </w:r>
      <w:r>
        <w:t>6</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"_Toc122709399" </w:instrText>
      </w:r>
      <w:r>
        <w:fldChar w:fldCharType="separate"/>
      </w:r>
      <w:r>
        <w:rPr>
          <w:rStyle w:val="28"/>
        </w:rPr>
        <w:t>4.2 BFM-B Process</w:t>
      </w:r>
      <w:r>
        <w:tab/>
      </w:r>
      <w:r>
        <w:fldChar w:fldCharType="begin"/>
      </w:r>
      <w:r>
        <w:instrText xml:space="preserve"> PAGEREF _Toc122709399 \h </w:instrText>
      </w:r>
      <w:r>
        <w:fldChar w:fldCharType="separate"/>
      </w:r>
      <w:r>
        <w:t>6</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"_Toc122709400" </w:instrText>
      </w:r>
      <w:r>
        <w:fldChar w:fldCharType="separate"/>
      </w:r>
      <w:r>
        <w:rPr>
          <w:rStyle w:val="28"/>
        </w:rPr>
        <w:t>4.3 BFM-M Process</w:t>
      </w:r>
      <w:r>
        <w:tab/>
      </w:r>
      <w:r>
        <w:fldChar w:fldCharType="begin"/>
      </w:r>
      <w:r>
        <w:instrText xml:space="preserve"> PAGEREF _Toc122709400 \h </w:instrText>
      </w:r>
      <w:r>
        <w:fldChar w:fldCharType="separate"/>
      </w:r>
      <w:r>
        <w:t>11</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"_Toc122709401" </w:instrText>
      </w:r>
      <w:r>
        <w:fldChar w:fldCharType="separate"/>
      </w:r>
      <w:r>
        <w:rPr>
          <w:rStyle w:val="28"/>
        </w:rPr>
        <w:t>4.4 Sludge Yield</w:t>
      </w:r>
      <w:r>
        <w:tab/>
      </w:r>
      <w:r>
        <w:fldChar w:fldCharType="begin"/>
      </w:r>
      <w:r>
        <w:instrText xml:space="preserve"> PAGEREF _Toc122709401 \h </w:instrText>
      </w:r>
      <w:r>
        <w:fldChar w:fldCharType="separate"/>
      </w:r>
      <w:r>
        <w:t>13</w:t>
      </w:r>
      <w:r>
        <w:fldChar w:fldCharType="end"/>
      </w:r>
      <w:r>
        <w:fldChar w:fldCharType="end"/>
      </w:r>
    </w:p>
    <w:p>
      <w:pPr>
        <w:pStyle w:val="17"/>
        <w:tabs>
          <w:tab w:val="right" w:leader="dot" w:pos="8296"/>
        </w:tabs>
        <w:rPr>
          <w:rFonts w:asciiTheme="minorHAnsi" w:hAnsiTheme="minorHAnsi" w:eastAsiaTheme="minorEastAsia" w:cstheme="minorBidi"/>
          <w:sz w:val="21"/>
          <w:szCs w:val="22"/>
        </w:rPr>
      </w:pPr>
      <w:r>
        <w:fldChar w:fldCharType="begin"/>
      </w:r>
      <w:r>
        <w:instrText xml:space="preserve"> HYPERLINK \l "_Toc122709402" </w:instrText>
      </w:r>
      <w:r>
        <w:fldChar w:fldCharType="separate"/>
      </w:r>
      <w:r>
        <w:rPr>
          <w:rStyle w:val="28"/>
          <w:lang w:bidi="zh-CN"/>
        </w:rPr>
        <w:t>5</w:t>
      </w:r>
      <w:r>
        <w:rPr>
          <w:rStyle w:val="28"/>
        </w:rPr>
        <w:t xml:space="preserve"> </w:t>
      </w:r>
      <w:r>
        <w:rPr>
          <w:rStyle w:val="28"/>
          <w:rFonts w:hint="eastAsia"/>
        </w:rPr>
        <w:t>M</w:t>
      </w:r>
      <w:r>
        <w:rPr>
          <w:rStyle w:val="28"/>
        </w:rPr>
        <w:t>onitoring and Control</w:t>
      </w:r>
      <w:r>
        <w:tab/>
      </w:r>
      <w:r>
        <w:fldChar w:fldCharType="begin"/>
      </w:r>
      <w:r>
        <w:instrText xml:space="preserve"> PAGEREF _Toc122709402 \h </w:instrText>
      </w:r>
      <w:r>
        <w:fldChar w:fldCharType="separate"/>
      </w:r>
      <w:r>
        <w:t>15</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"_Toc122709403" </w:instrText>
      </w:r>
      <w:r>
        <w:fldChar w:fldCharType="separate"/>
      </w:r>
      <w:r>
        <w:rPr>
          <w:rStyle w:val="28"/>
        </w:rPr>
        <w:t>5.1 General Requirements</w:t>
      </w:r>
      <w:r>
        <w:tab/>
      </w:r>
      <w:r>
        <w:fldChar w:fldCharType="begin"/>
      </w:r>
      <w:r>
        <w:instrText xml:space="preserve"> PAGEREF _Toc122709403 \h </w:instrText>
      </w:r>
      <w:r>
        <w:fldChar w:fldCharType="separate"/>
      </w:r>
      <w:r>
        <w:t>15</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"_Toc122709404" </w:instrText>
      </w:r>
      <w:r>
        <w:fldChar w:fldCharType="separate"/>
      </w:r>
      <w:r>
        <w:rPr>
          <w:rStyle w:val="28"/>
        </w:rPr>
        <w:t>5.2 Monitoring</w:t>
      </w:r>
      <w:r>
        <w:tab/>
      </w:r>
      <w:r>
        <w:fldChar w:fldCharType="begin"/>
      </w:r>
      <w:r>
        <w:instrText xml:space="preserve"> PAGEREF _Toc122709404 \h </w:instrText>
      </w:r>
      <w:r>
        <w:fldChar w:fldCharType="separate"/>
      </w:r>
      <w:r>
        <w:t>15</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"_Toc122709405" </w:instrText>
      </w:r>
      <w:r>
        <w:fldChar w:fldCharType="separate"/>
      </w:r>
      <w:r>
        <w:rPr>
          <w:rStyle w:val="28"/>
        </w:rPr>
        <w:t>5.3 Control</w:t>
      </w:r>
      <w:r>
        <w:tab/>
      </w:r>
      <w:r>
        <w:fldChar w:fldCharType="begin"/>
      </w:r>
      <w:r>
        <w:instrText xml:space="preserve"> PAGEREF _Toc122709405 \h </w:instrText>
      </w:r>
      <w:r>
        <w:fldChar w:fldCharType="separate"/>
      </w:r>
      <w:r>
        <w:t>15</w:t>
      </w:r>
      <w:r>
        <w:fldChar w:fldCharType="end"/>
      </w:r>
      <w:r>
        <w:fldChar w:fldCharType="end"/>
      </w:r>
    </w:p>
    <w:p>
      <w:pPr>
        <w:pStyle w:val="17"/>
        <w:tabs>
          <w:tab w:val="right" w:leader="dot" w:pos="8296"/>
        </w:tabs>
        <w:rPr>
          <w:rFonts w:asciiTheme="minorHAnsi" w:hAnsiTheme="minorHAnsi" w:eastAsiaTheme="minorEastAsia" w:cstheme="minorBidi"/>
          <w:sz w:val="21"/>
          <w:szCs w:val="22"/>
        </w:rPr>
      </w:pPr>
      <w:r>
        <w:fldChar w:fldCharType="begin"/>
      </w:r>
      <w:r>
        <w:instrText xml:space="preserve"> HYPERLINK \l "_Toc122709406" </w:instrText>
      </w:r>
      <w:r>
        <w:fldChar w:fldCharType="separate"/>
      </w:r>
      <w:r>
        <w:rPr>
          <w:rStyle w:val="28"/>
          <w:lang w:bidi="zh-CN"/>
        </w:rPr>
        <w:t>6</w:t>
      </w:r>
      <w:r>
        <w:rPr>
          <w:rStyle w:val="28"/>
        </w:rPr>
        <w:t xml:space="preserve"> Construction and Installation</w:t>
      </w:r>
      <w:r>
        <w:tab/>
      </w:r>
      <w:r>
        <w:fldChar w:fldCharType="begin"/>
      </w:r>
      <w:r>
        <w:instrText xml:space="preserve"> PAGEREF _Toc122709406 \h </w:instrText>
      </w:r>
      <w:r>
        <w:fldChar w:fldCharType="separate"/>
      </w:r>
      <w:r>
        <w:t>17</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"_Toc122709407" </w:instrText>
      </w:r>
      <w:r>
        <w:fldChar w:fldCharType="separate"/>
      </w:r>
      <w:r>
        <w:rPr>
          <w:rStyle w:val="28"/>
        </w:rPr>
        <w:t>6.1 General Requirements</w:t>
      </w:r>
      <w:r>
        <w:tab/>
      </w:r>
      <w:r>
        <w:fldChar w:fldCharType="begin"/>
      </w:r>
      <w:r>
        <w:instrText xml:space="preserve"> PAGEREF _Toc122709407 \h </w:instrText>
      </w:r>
      <w:r>
        <w:fldChar w:fldCharType="separate"/>
      </w:r>
      <w:r>
        <w:t>17</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"_Toc122709408" </w:instrText>
      </w:r>
      <w:r>
        <w:fldChar w:fldCharType="separate"/>
      </w:r>
      <w:r>
        <w:rPr>
          <w:rStyle w:val="28"/>
        </w:rPr>
        <w:t>6.2 Construction</w:t>
      </w:r>
      <w:r>
        <w:tab/>
      </w:r>
      <w:r>
        <w:fldChar w:fldCharType="begin"/>
      </w:r>
      <w:r>
        <w:instrText xml:space="preserve"> PAGEREF _Toc122709408 \h </w:instrText>
      </w:r>
      <w:r>
        <w:fldChar w:fldCharType="separate"/>
      </w:r>
      <w:r>
        <w:t>17</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"_Toc122709409" </w:instrText>
      </w:r>
      <w:r>
        <w:fldChar w:fldCharType="separate"/>
      </w:r>
      <w:r>
        <w:rPr>
          <w:rStyle w:val="28"/>
        </w:rPr>
        <w:t>6.3 Installation</w:t>
      </w:r>
      <w:r>
        <w:tab/>
      </w:r>
      <w:r>
        <w:fldChar w:fldCharType="begin"/>
      </w:r>
      <w:r>
        <w:instrText xml:space="preserve"> PAGEREF _Toc122709409 \h </w:instrText>
      </w:r>
      <w:r>
        <w:fldChar w:fldCharType="separate"/>
      </w:r>
      <w:r>
        <w:t>20</w:t>
      </w:r>
      <w:r>
        <w:fldChar w:fldCharType="end"/>
      </w:r>
      <w:r>
        <w:fldChar w:fldCharType="end"/>
      </w:r>
    </w:p>
    <w:p>
      <w:pPr>
        <w:pStyle w:val="17"/>
        <w:tabs>
          <w:tab w:val="right" w:leader="dot" w:pos="8296"/>
        </w:tabs>
        <w:rPr>
          <w:rFonts w:asciiTheme="minorHAnsi" w:hAnsiTheme="minorHAnsi" w:eastAsiaTheme="minorEastAsia" w:cstheme="minorBidi"/>
          <w:sz w:val="21"/>
          <w:szCs w:val="22"/>
        </w:rPr>
      </w:pPr>
      <w:r>
        <w:fldChar w:fldCharType="begin"/>
      </w:r>
      <w:r>
        <w:instrText xml:space="preserve"> HYPERLINK \l "_Toc122709410" </w:instrText>
      </w:r>
      <w:r>
        <w:fldChar w:fldCharType="separate"/>
      </w:r>
      <w:r>
        <w:rPr>
          <w:rStyle w:val="28"/>
          <w:lang w:bidi="zh-CN"/>
        </w:rPr>
        <w:t>7</w:t>
      </w:r>
      <w:r>
        <w:rPr>
          <w:rStyle w:val="28"/>
        </w:rPr>
        <w:t xml:space="preserve"> Commissioning and Acceptanc</w:t>
      </w:r>
      <w:r>
        <w:rPr>
          <w:rStyle w:val="28"/>
          <w:rFonts w:hint="eastAsia"/>
        </w:rPr>
        <w:t>e</w:t>
      </w:r>
      <w:r>
        <w:tab/>
      </w:r>
      <w:r>
        <w:fldChar w:fldCharType="begin"/>
      </w:r>
      <w:r>
        <w:instrText xml:space="preserve"> PAGEREF _Toc122709410 \h </w:instrText>
      </w:r>
      <w:r>
        <w:fldChar w:fldCharType="separate"/>
      </w:r>
      <w:r>
        <w:t>25</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"_Toc122709411" </w:instrText>
      </w:r>
      <w:r>
        <w:fldChar w:fldCharType="separate"/>
      </w:r>
      <w:r>
        <w:rPr>
          <w:rStyle w:val="28"/>
        </w:rPr>
        <w:t>7.1</w:t>
      </w:r>
      <w:r>
        <w:t xml:space="preserve"> </w:t>
      </w:r>
      <w:r>
        <w:rPr>
          <w:rStyle w:val="28"/>
        </w:rPr>
        <w:t>General Requirements</w:t>
      </w:r>
      <w:r>
        <w:tab/>
      </w:r>
      <w:r>
        <w:fldChar w:fldCharType="begin"/>
      </w:r>
      <w:r>
        <w:instrText xml:space="preserve"> PAGEREF _Toc122709411 \h </w:instrText>
      </w:r>
      <w:r>
        <w:fldChar w:fldCharType="separate"/>
      </w:r>
      <w:r>
        <w:t>25</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"_Toc122709412" </w:instrText>
      </w:r>
      <w:r>
        <w:fldChar w:fldCharType="separate"/>
      </w:r>
      <w:r>
        <w:rPr>
          <w:rStyle w:val="28"/>
        </w:rPr>
        <w:t>7.2 Commissioning</w:t>
      </w:r>
      <w:r>
        <w:tab/>
      </w:r>
      <w:r>
        <w:fldChar w:fldCharType="begin"/>
      </w:r>
      <w:r>
        <w:instrText xml:space="preserve"> PAGEREF _Toc122709412 \h </w:instrText>
      </w:r>
      <w:r>
        <w:fldChar w:fldCharType="separate"/>
      </w:r>
      <w:r>
        <w:t>25</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"_Toc122709413" </w:instrText>
      </w:r>
      <w:r>
        <w:fldChar w:fldCharType="separate"/>
      </w:r>
      <w:r>
        <w:rPr>
          <w:rStyle w:val="28"/>
        </w:rPr>
        <w:t>7.3 Acceptance</w:t>
      </w:r>
      <w:r>
        <w:tab/>
      </w:r>
      <w:r>
        <w:fldChar w:fldCharType="begin"/>
      </w:r>
      <w:r>
        <w:instrText xml:space="preserve"> PAGEREF _Toc122709413 \h </w:instrText>
      </w:r>
      <w:r>
        <w:fldChar w:fldCharType="separate"/>
      </w:r>
      <w:r>
        <w:t>26</w:t>
      </w:r>
      <w:r>
        <w:fldChar w:fldCharType="end"/>
      </w:r>
      <w:r>
        <w:fldChar w:fldCharType="end"/>
      </w:r>
    </w:p>
    <w:p>
      <w:pPr>
        <w:pStyle w:val="17"/>
        <w:tabs>
          <w:tab w:val="right" w:leader="dot" w:pos="8296"/>
        </w:tabs>
        <w:rPr>
          <w:rFonts w:asciiTheme="minorHAnsi" w:hAnsiTheme="minorHAnsi" w:eastAsiaTheme="minorEastAsia" w:cstheme="minorBidi"/>
          <w:sz w:val="21"/>
          <w:szCs w:val="22"/>
        </w:rPr>
      </w:pPr>
      <w:r>
        <w:fldChar w:fldCharType="begin"/>
      </w:r>
      <w:r>
        <w:instrText xml:space="preserve"> HYPERLINK \l "_Toc122709414" </w:instrText>
      </w:r>
      <w:r>
        <w:fldChar w:fldCharType="separate"/>
      </w:r>
      <w:r>
        <w:rPr>
          <w:rStyle w:val="28"/>
          <w:lang w:bidi="zh-CN"/>
        </w:rPr>
        <w:t>8</w:t>
      </w:r>
      <w:r>
        <w:rPr>
          <w:rStyle w:val="28"/>
        </w:rPr>
        <w:t xml:space="preserve"> Running and Maintenanc</w:t>
      </w:r>
      <w:r>
        <w:rPr>
          <w:rStyle w:val="28"/>
          <w:rFonts w:hint="eastAsia"/>
        </w:rPr>
        <w:t>e</w:t>
      </w:r>
      <w:r>
        <w:tab/>
      </w:r>
      <w:r>
        <w:fldChar w:fldCharType="begin"/>
      </w:r>
      <w:r>
        <w:instrText xml:space="preserve"> PAGEREF _Toc122709414 \h </w:instrText>
      </w:r>
      <w:r>
        <w:fldChar w:fldCharType="separate"/>
      </w:r>
      <w:r>
        <w:t>31</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"_Toc122709415" </w:instrText>
      </w:r>
      <w:r>
        <w:fldChar w:fldCharType="separate"/>
      </w:r>
      <w:r>
        <w:rPr>
          <w:rStyle w:val="28"/>
        </w:rPr>
        <w:t>8.1 General Requirements</w:t>
      </w:r>
      <w:r>
        <w:tab/>
      </w:r>
      <w:r>
        <w:fldChar w:fldCharType="begin"/>
      </w:r>
      <w:r>
        <w:instrText xml:space="preserve"> PAGEREF _Toc122709415 \h </w:instrText>
      </w:r>
      <w:r>
        <w:fldChar w:fldCharType="separate"/>
      </w:r>
      <w:r>
        <w:t>31</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"_Toc122709416" </w:instrText>
      </w:r>
      <w:r>
        <w:fldChar w:fldCharType="separate"/>
      </w:r>
      <w:r>
        <w:rPr>
          <w:rStyle w:val="28"/>
        </w:rPr>
        <w:t>8.2 Running</w:t>
      </w:r>
      <w:r>
        <w:tab/>
      </w:r>
      <w:r>
        <w:fldChar w:fldCharType="begin"/>
      </w:r>
      <w:r>
        <w:instrText xml:space="preserve"> PAGEREF _Toc122709416 \h </w:instrText>
      </w:r>
      <w:r>
        <w:fldChar w:fldCharType="separate"/>
      </w:r>
      <w:r>
        <w:t>31</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"_Toc122709417" </w:instrText>
      </w:r>
      <w:r>
        <w:fldChar w:fldCharType="separate"/>
      </w:r>
      <w:r>
        <w:rPr>
          <w:rStyle w:val="28"/>
        </w:rPr>
        <w:t>8.3 Maintenance</w:t>
      </w:r>
      <w:r>
        <w:tab/>
      </w:r>
      <w:r>
        <w:fldChar w:fldCharType="begin"/>
      </w:r>
      <w:r>
        <w:instrText xml:space="preserve"> PAGEREF _Toc122709417 \h </w:instrText>
      </w:r>
      <w:r>
        <w:fldChar w:fldCharType="separate"/>
      </w:r>
      <w:r>
        <w:t>33</w:t>
      </w:r>
      <w:r>
        <w:fldChar w:fldCharType="end"/>
      </w:r>
      <w:r>
        <w:fldChar w:fldCharType="end"/>
      </w:r>
    </w:p>
    <w:p>
      <w:pPr>
        <w:pStyle w:val="17"/>
        <w:tabs>
          <w:tab w:val="right" w:leader="dot" w:pos="8296"/>
        </w:tabs>
        <w:rPr>
          <w:rFonts w:asciiTheme="minorHAnsi" w:hAnsiTheme="minorHAnsi" w:eastAsiaTheme="minorEastAsia" w:cstheme="minorBidi"/>
          <w:sz w:val="21"/>
          <w:szCs w:val="22"/>
        </w:rPr>
      </w:pPr>
      <w:r>
        <w:fldChar w:fldCharType="begin"/>
      </w:r>
      <w:r>
        <w:instrText xml:space="preserve"> HYPERLINK \l "_Toc122709418" </w:instrText>
      </w:r>
      <w:r>
        <w:fldChar w:fldCharType="separate"/>
      </w:r>
      <w:r>
        <w:rPr>
          <w:rStyle w:val="28"/>
          <w:rFonts w:hint="eastAsia"/>
        </w:rPr>
        <w:t>E</w:t>
      </w:r>
      <w:r>
        <w:rPr>
          <w:rStyle w:val="28"/>
        </w:rPr>
        <w:t>xplanation of wording in this specification</w:t>
      </w:r>
      <w:r>
        <w:tab/>
      </w:r>
      <w:r>
        <w:fldChar w:fldCharType="begin"/>
      </w:r>
      <w:r>
        <w:instrText xml:space="preserve"> PAGEREF _Toc122709418 \h </w:instrText>
      </w:r>
      <w:r>
        <w:fldChar w:fldCharType="separate"/>
      </w:r>
      <w:r>
        <w:t>35</w:t>
      </w:r>
      <w:r>
        <w:fldChar w:fldCharType="end"/>
      </w:r>
      <w:r>
        <w:fldChar w:fldCharType="end"/>
      </w:r>
    </w:p>
    <w:p>
      <w:pPr>
        <w:pStyle w:val="17"/>
        <w:tabs>
          <w:tab w:val="right" w:leader="dot" w:pos="8296"/>
        </w:tabs>
        <w:rPr>
          <w:rFonts w:asciiTheme="minorHAnsi" w:hAnsiTheme="minorHAnsi" w:eastAsiaTheme="minorEastAsia" w:cstheme="minorBidi"/>
          <w:sz w:val="21"/>
          <w:szCs w:val="22"/>
        </w:rPr>
      </w:pPr>
      <w:r>
        <w:fldChar w:fldCharType="begin"/>
      </w:r>
      <w:r>
        <w:instrText xml:space="preserve"> HYPERLINK \l "_Toc122709419" </w:instrText>
      </w:r>
      <w:r>
        <w:fldChar w:fldCharType="separate"/>
      </w:r>
      <w:r>
        <w:rPr>
          <w:rStyle w:val="28"/>
        </w:rPr>
        <w:t>List of quoted standards</w:t>
      </w:r>
      <w:r>
        <w:tab/>
      </w:r>
      <w:r>
        <w:fldChar w:fldCharType="begin"/>
      </w:r>
      <w:r>
        <w:instrText xml:space="preserve"> PAGEREF _Toc122709419 \h </w:instrText>
      </w:r>
      <w:r>
        <w:fldChar w:fldCharType="separate"/>
      </w:r>
      <w:r>
        <w:t>36</w:t>
      </w:r>
      <w:r>
        <w:fldChar w:fldCharType="end"/>
      </w:r>
      <w:r>
        <w:fldChar w:fldCharType="end"/>
      </w:r>
    </w:p>
    <w:p>
      <w:pPr>
        <w:pStyle w:val="17"/>
        <w:tabs>
          <w:tab w:val="right" w:leader="dot" w:pos="8296"/>
        </w:tabs>
        <w:rPr>
          <w:rFonts w:asciiTheme="minorHAnsi" w:hAnsiTheme="minorHAnsi" w:eastAsiaTheme="minorEastAsia" w:cstheme="minorBidi"/>
          <w:sz w:val="21"/>
          <w:szCs w:val="22"/>
        </w:rPr>
      </w:pPr>
      <w:r>
        <w:fldChar w:fldCharType="begin"/>
      </w:r>
      <w:r>
        <w:instrText xml:space="preserve"> HYPERLINK \l "_Toc122709420" </w:instrText>
      </w:r>
      <w:r>
        <w:fldChar w:fldCharType="separate"/>
      </w:r>
      <w:r>
        <w:rPr>
          <w:rStyle w:val="28"/>
          <w:rFonts w:hint="eastAsia"/>
        </w:rPr>
        <w:t>A</w:t>
      </w:r>
      <w:r>
        <w:rPr>
          <w:rStyle w:val="28"/>
        </w:rPr>
        <w:t>ddition</w:t>
      </w:r>
      <w:r>
        <w:rPr>
          <w:rStyle w:val="28"/>
          <w:rFonts w:hint="eastAsia"/>
        </w:rPr>
        <w:t>：</w:t>
      </w:r>
      <w:r>
        <w:rPr>
          <w:rStyle w:val="28"/>
        </w:rPr>
        <w:t>Explanation of provisions</w:t>
      </w:r>
      <w:r>
        <w:tab/>
      </w:r>
      <w:r>
        <w:fldChar w:fldCharType="begin"/>
      </w:r>
      <w:r>
        <w:instrText xml:space="preserve"> PAGEREF _Toc122709420 \h </w:instrText>
      </w:r>
      <w:r>
        <w:fldChar w:fldCharType="separate"/>
      </w:r>
      <w:r>
        <w:t>37</w:t>
      </w:r>
      <w:r>
        <w:fldChar w:fldCharType="end"/>
      </w:r>
      <w:r>
        <w:fldChar w:fldCharType="end"/>
      </w:r>
    </w:p>
    <w:p>
      <w:pPr>
        <w:rPr>
          <w:rFonts w:ascii="仿宋_GB2312" w:hAnsi="仿宋_GB2312" w:eastAsia="仿宋_GB2312" w:cs="仿宋_GB2312"/>
          <w:sz w:val="32"/>
          <w:szCs w:val="32"/>
        </w:rPr>
      </w:pPr>
      <w:r>
        <w:rPr>
          <w:rFonts w:ascii="仿宋_GB2312" w:hAnsi="仿宋_GB2312" w:eastAsia="仿宋_GB2312" w:cs="仿宋_GB2312"/>
          <w:sz w:val="32"/>
          <w:szCs w:val="32"/>
        </w:rPr>
        <w:fldChar w:fldCharType="end"/>
      </w:r>
    </w:p>
    <w:p>
      <w:pPr>
        <w:rPr>
          <w:rFonts w:ascii="仿宋_GB2312" w:hAnsi="仿宋_GB2312" w:eastAsia="仿宋_GB2312" w:cs="仿宋_GB2312"/>
          <w:sz w:val="32"/>
          <w:szCs w:val="32"/>
        </w:rPr>
        <w:sectPr>
          <w:pgSz w:w="11906" w:h="16838"/>
          <w:pgMar w:top="1440" w:right="1800" w:bottom="1118" w:left="1800" w:header="851" w:footer="992" w:gutter="0"/>
          <w:pgNumType w:start="1"/>
          <w:cols w:space="720" w:num="1"/>
          <w:titlePg/>
          <w:docGrid w:type="lines" w:linePitch="312" w:charSpace="0"/>
        </w:sectPr>
      </w:pPr>
    </w:p>
    <w:p>
      <w:pPr>
        <w:pStyle w:val="2"/>
      </w:pPr>
      <w:bookmarkStart w:id="26" w:name="_Toc122709905"/>
      <w:bookmarkStart w:id="27" w:name="_Toc122709394"/>
      <w:bookmarkStart w:id="28" w:name="_Toc122709317"/>
      <w:bookmarkStart w:id="29" w:name="_Toc103239315"/>
      <w:r>
        <w:rPr>
          <w:rFonts w:hint="eastAsia"/>
        </w:rPr>
        <w:t>总则</w:t>
      </w:r>
      <w:bookmarkEnd w:id="26"/>
      <w:bookmarkEnd w:id="27"/>
      <w:bookmarkEnd w:id="28"/>
      <w:bookmarkEnd w:id="29"/>
    </w:p>
    <w:p>
      <w:pPr>
        <w:pStyle w:val="49"/>
        <w:spacing w:before="156" w:after="156"/>
      </w:pPr>
      <w:r>
        <w:rPr>
          <w:rFonts w:hint="eastAsia"/>
        </w:rPr>
        <w:t>为规范悬浮载体生物膜速净工艺的应用，做到安全可靠、技术先进、经济合理、管理方便，制定本规程。</w:t>
      </w:r>
    </w:p>
    <w:p>
      <w:pPr>
        <w:pStyle w:val="49"/>
        <w:spacing w:before="156" w:after="156"/>
      </w:pPr>
      <w:r>
        <w:rPr>
          <w:rFonts w:hint="eastAsia"/>
        </w:rPr>
        <w:t>本规程适用于采用悬浮载体生物膜速净工艺处理市政污水、工业废水、农村污水的新、改、扩建工程，适用于大、中、小型污（废）水处理厂（站），也适用于黑臭水体、初期雨水等微污染水的处理。</w:t>
      </w:r>
    </w:p>
    <w:p>
      <w:pPr>
        <w:pStyle w:val="49"/>
        <w:spacing w:before="156" w:after="156"/>
      </w:pPr>
      <w:r>
        <w:rPr>
          <w:rFonts w:hint="eastAsia"/>
        </w:rPr>
        <w:t>悬浮载体生物膜速净工艺的设计、建设、验收及运行维护，除应执行本规程外，尚应符合国家、行业及广东省现行有关标准的规定。</w:t>
      </w:r>
    </w:p>
    <w:p>
      <w:pPr>
        <w:pStyle w:val="2"/>
      </w:pPr>
      <w:bookmarkStart w:id="30" w:name="_Toc103239316"/>
      <w:bookmarkStart w:id="31" w:name="_Toc122709395"/>
      <w:bookmarkStart w:id="32" w:name="_Toc122709906"/>
      <w:bookmarkStart w:id="33" w:name="_Toc122709318"/>
      <w:r>
        <w:rPr>
          <w:rFonts w:hint="eastAsia"/>
        </w:rPr>
        <w:t>术语</w:t>
      </w:r>
      <w:bookmarkEnd w:id="30"/>
      <w:bookmarkEnd w:id="31"/>
      <w:bookmarkEnd w:id="32"/>
      <w:bookmarkEnd w:id="33"/>
    </w:p>
    <w:p>
      <w:pPr>
        <w:pStyle w:val="49"/>
        <w:spacing w:before="156" w:after="156"/>
      </w:pPr>
      <w:r>
        <w:rPr>
          <w:rFonts w:hint="eastAsia"/>
        </w:rPr>
        <w:t>悬浮载体生物膜速净工艺</w:t>
      </w:r>
      <w:r>
        <w:t xml:space="preserve">  </w:t>
      </w:r>
      <w:r>
        <w:rPr>
          <w:rFonts w:hint="eastAsia"/>
        </w:rPr>
        <w:t>biofilm &amp; magnetic-separation，BFM</w:t>
      </w:r>
    </w:p>
    <w:p>
      <w:pPr>
        <w:pStyle w:val="42"/>
        <w:ind w:firstLine="480"/>
      </w:pPr>
      <w:r>
        <w:rPr>
          <w:rFonts w:hint="eastAsia"/>
        </w:rPr>
        <w:t>以纯膜移动床悬浮载体生物膜技术耦合超效分离技术的具备脱氮除磷功能的水处理工艺系统，包括</w:t>
      </w:r>
      <w:r>
        <w:t>B</w:t>
      </w:r>
      <w:r>
        <w:rPr>
          <w:rFonts w:hint="eastAsia"/>
        </w:rPr>
        <w:t>段、</w:t>
      </w:r>
      <w:r>
        <w:t>M</w:t>
      </w:r>
      <w:r>
        <w:rPr>
          <w:rFonts w:hint="eastAsia"/>
        </w:rPr>
        <w:t>段、控制系统（F）三个部分，其中</w:t>
      </w:r>
      <w:r>
        <w:t>B</w:t>
      </w:r>
      <w:r>
        <w:rPr>
          <w:rFonts w:hint="eastAsia"/>
        </w:rPr>
        <w:t>段指纯膜移动床悬浮载体生物膜技术，</w:t>
      </w:r>
      <w:r>
        <w:t>M</w:t>
      </w:r>
      <w:r>
        <w:rPr>
          <w:rFonts w:hint="eastAsia"/>
        </w:rPr>
        <w:t>段指超效分离技术，控制系统指自动化、信息化、智能化控制系统，简称</w:t>
      </w:r>
      <w:r>
        <w:t>BFM</w:t>
      </w:r>
      <w:r>
        <w:rPr>
          <w:rFonts w:hint="eastAsia"/>
        </w:rPr>
        <w:t>工艺。</w:t>
      </w:r>
    </w:p>
    <w:p>
      <w:pPr>
        <w:pStyle w:val="49"/>
        <w:spacing w:before="156" w:after="156"/>
      </w:pPr>
      <w:r>
        <w:rPr>
          <w:rFonts w:hint="eastAsia"/>
        </w:rPr>
        <w:t xml:space="preserve">纯膜移动床悬浮载体生物膜技术 </w:t>
      </w:r>
      <w:r>
        <w:t xml:space="preserve"> </w:t>
      </w:r>
      <w:r>
        <w:rPr>
          <w:rFonts w:hint="eastAsia"/>
        </w:rPr>
        <w:t>pure</w:t>
      </w:r>
      <w:r>
        <w:t xml:space="preserve"> moving bed biofilm reactor</w:t>
      </w:r>
    </w:p>
    <w:p>
      <w:pPr>
        <w:pStyle w:val="42"/>
        <w:ind w:firstLine="480"/>
      </w:pPr>
      <w:r>
        <w:rPr>
          <w:rFonts w:hint="eastAsia"/>
        </w:rPr>
        <w:t>生物池不富集悬浮态微生物，主要依赖悬浮载体附着态微生物进行污染物吸附、氧化和分解，使水得以净化的移动床生物膜反应器，属于连续流生物膜法，简称P</w:t>
      </w:r>
      <w:r>
        <w:t>-</w:t>
      </w:r>
      <w:r>
        <w:rPr>
          <w:rFonts w:hint="eastAsia"/>
        </w:rPr>
        <w:t>M</w:t>
      </w:r>
      <w:r>
        <w:t>BBR</w:t>
      </w:r>
      <w:r>
        <w:rPr>
          <w:rFonts w:hint="eastAsia"/>
        </w:rPr>
        <w:t>技术，是B</w:t>
      </w:r>
      <w:r>
        <w:t>FM</w:t>
      </w:r>
      <w:r>
        <w:rPr>
          <w:rFonts w:hint="eastAsia"/>
        </w:rPr>
        <w:t>-B段。</w:t>
      </w:r>
    </w:p>
    <w:p>
      <w:pPr>
        <w:pStyle w:val="49"/>
        <w:spacing w:before="156" w:after="156"/>
      </w:pPr>
      <w:r>
        <w:rPr>
          <w:rFonts w:hint="eastAsia"/>
        </w:rPr>
        <w:t xml:space="preserve">超效分离技术 </w:t>
      </w:r>
      <w:r>
        <w:t xml:space="preserve"> </w:t>
      </w:r>
      <w:r>
        <w:rPr>
          <w:rFonts w:hint="eastAsia"/>
        </w:rPr>
        <w:t>super-efficient separation</w:t>
      </w:r>
    </w:p>
    <w:p>
      <w:pPr>
        <w:pStyle w:val="42"/>
        <w:ind w:firstLine="480"/>
      </w:pPr>
      <w:r>
        <w:rPr>
          <w:rFonts w:hint="eastAsia"/>
        </w:rPr>
        <w:t>通过向反应系统内投加磁介质，提高沉淀池固体通量并加速污泥沉降的高效固液分离工艺，是B</w:t>
      </w:r>
      <w:r>
        <w:t>FM</w:t>
      </w:r>
      <w:r>
        <w:rPr>
          <w:rFonts w:hint="eastAsia"/>
        </w:rPr>
        <w:t>-M段。</w:t>
      </w:r>
    </w:p>
    <w:p>
      <w:pPr>
        <w:pStyle w:val="49"/>
        <w:spacing w:before="156" w:after="156"/>
      </w:pPr>
      <w:r>
        <w:rPr>
          <w:rFonts w:hint="eastAsia"/>
        </w:rPr>
        <w:t xml:space="preserve">悬浮载体 </w:t>
      </w:r>
      <w:r>
        <w:t xml:space="preserve"> suspended carrier</w:t>
      </w:r>
    </w:p>
    <w:p>
      <w:pPr>
        <w:pStyle w:val="42"/>
        <w:ind w:firstLine="480"/>
      </w:pPr>
      <w:r>
        <w:rPr>
          <w:rFonts w:hint="eastAsia"/>
        </w:rPr>
        <w:t>水处理过程中，可为微生物附着生长提供受保护空间，且挂膜成熟后密度与水接近，通过曝气或者搅拌可呈现悬浮状态的载体，整体呈空心圆柱状，内部有不同的构造，材质一般为高密度聚乙烯</w:t>
      </w:r>
      <w:r>
        <w:t>(HDPE)</w:t>
      </w:r>
      <w:r>
        <w:rPr>
          <w:rFonts w:hint="eastAsia"/>
        </w:rPr>
        <w:t>。</w:t>
      </w:r>
    </w:p>
    <w:p>
      <w:pPr>
        <w:pStyle w:val="49"/>
        <w:spacing w:before="156" w:after="156"/>
      </w:pPr>
      <w:r>
        <w:rPr>
          <w:rFonts w:hint="eastAsia"/>
        </w:rPr>
        <w:t xml:space="preserve">堆积体积 </w:t>
      </w:r>
      <w:r>
        <w:t xml:space="preserve"> bulk volume</w:t>
      </w:r>
    </w:p>
    <w:p>
      <w:pPr>
        <w:pStyle w:val="42"/>
        <w:ind w:firstLine="480"/>
      </w:pPr>
      <w:r>
        <w:rPr>
          <w:rFonts w:hint="eastAsia"/>
        </w:rPr>
        <w:t>悬浮载体在自然堆积状态下的体积，</w:t>
      </w:r>
      <w:r>
        <w:rPr>
          <w:rFonts w:hint="eastAsia"/>
          <w:lang w:eastAsia="zh-CN"/>
        </w:rPr>
        <w:t>m³</w:t>
      </w:r>
      <w:r>
        <w:rPr>
          <w:rFonts w:hint="eastAsia"/>
        </w:rPr>
        <w:t>。</w:t>
      </w:r>
    </w:p>
    <w:p>
      <w:pPr>
        <w:pStyle w:val="49"/>
        <w:spacing w:before="156" w:after="156"/>
      </w:pPr>
      <w:r>
        <w:rPr>
          <w:rFonts w:hint="eastAsia"/>
        </w:rPr>
        <w:t>总</w:t>
      </w:r>
      <w:r>
        <w:t>比表面积</w:t>
      </w:r>
      <w:r>
        <w:rPr>
          <w:rFonts w:hint="eastAsia"/>
        </w:rPr>
        <w:t xml:space="preserve"> </w:t>
      </w:r>
      <w:r>
        <w:t xml:space="preserve"> total specific surface area</w:t>
      </w:r>
    </w:p>
    <w:p>
      <w:pPr>
        <w:pStyle w:val="42"/>
        <w:ind w:firstLine="480"/>
      </w:pPr>
      <w:r>
        <w:t>单位堆积体积悬浮载体的几何表面积</w:t>
      </w:r>
      <w:r>
        <w:rPr>
          <w:rFonts w:hint="eastAsia"/>
        </w:rPr>
        <w:t>，简称</w:t>
      </w:r>
      <w:r>
        <w:t>TSSA</w:t>
      </w:r>
      <w:r>
        <w:rPr>
          <w:rFonts w:hint="eastAsia"/>
        </w:rPr>
        <w:t>，m</w:t>
      </w:r>
      <w:r>
        <w:rPr>
          <w:vertAlign w:val="superscript"/>
        </w:rPr>
        <w:t>2</w:t>
      </w:r>
      <w:r>
        <w:t>/</w:t>
      </w:r>
      <w:r>
        <w:rPr>
          <w:rFonts w:hint="eastAsia"/>
          <w:lang w:eastAsia="zh-CN"/>
        </w:rPr>
        <w:t>m³</w:t>
      </w:r>
      <w:r>
        <w:rPr>
          <w:rFonts w:hint="eastAsia"/>
        </w:rPr>
        <w:t>。</w:t>
      </w:r>
    </w:p>
    <w:p>
      <w:pPr>
        <w:pStyle w:val="49"/>
        <w:spacing w:before="156" w:after="156"/>
      </w:pPr>
      <w:r>
        <w:rPr>
          <w:rFonts w:hint="eastAsia"/>
        </w:rPr>
        <w:t xml:space="preserve">有效比表面积 </w:t>
      </w:r>
      <w:r>
        <w:t xml:space="preserve"> effective specific surface area</w:t>
      </w:r>
    </w:p>
    <w:p>
      <w:pPr>
        <w:pStyle w:val="42"/>
        <w:ind w:firstLine="480"/>
      </w:pPr>
      <w:r>
        <w:t>单位</w:t>
      </w:r>
      <w:r>
        <w:rPr>
          <w:rFonts w:hint="eastAsia"/>
        </w:rPr>
        <w:t>堆积</w:t>
      </w:r>
      <w:r>
        <w:t>体积悬浮载体可供</w:t>
      </w:r>
      <w:r>
        <w:rPr>
          <w:rFonts w:hint="eastAsia"/>
        </w:rPr>
        <w:t>微生物</w:t>
      </w:r>
      <w:r>
        <w:t>附着生长</w:t>
      </w:r>
      <w:r>
        <w:rPr>
          <w:rFonts w:hint="eastAsia"/>
        </w:rPr>
        <w:t>形成生物膜</w:t>
      </w:r>
      <w:r>
        <w:t>，且</w:t>
      </w:r>
      <w:r>
        <w:rPr>
          <w:rFonts w:hint="eastAsia"/>
        </w:rPr>
        <w:t>传质传氧良好</w:t>
      </w:r>
      <w:r>
        <w:t>和保护生物膜不被冲刷的</w:t>
      </w:r>
      <w:r>
        <w:rPr>
          <w:kern w:val="0"/>
          <w:szCs w:val="20"/>
        </w:rPr>
        <w:t>表面积</w:t>
      </w:r>
      <w:r>
        <w:rPr>
          <w:rFonts w:hint="eastAsia"/>
        </w:rPr>
        <w:t>，简称ESSA，ESSA</w:t>
      </w:r>
      <w:r>
        <w:t>&lt;TSSA</w:t>
      </w:r>
      <w:r>
        <w:rPr>
          <w:rFonts w:hint="eastAsia"/>
        </w:rPr>
        <w:t>，m</w:t>
      </w:r>
      <w:r>
        <w:rPr>
          <w:vertAlign w:val="superscript"/>
        </w:rPr>
        <w:t>2</w:t>
      </w:r>
      <w:r>
        <w:t>/</w:t>
      </w:r>
      <w:r>
        <w:rPr>
          <w:rFonts w:hint="eastAsia"/>
          <w:lang w:eastAsia="zh-CN"/>
        </w:rPr>
        <w:t>m³</w:t>
      </w:r>
      <w:r>
        <w:rPr>
          <w:rFonts w:hint="eastAsia"/>
        </w:rPr>
        <w:t>。</w:t>
      </w:r>
    </w:p>
    <w:p>
      <w:pPr>
        <w:pStyle w:val="49"/>
        <w:spacing w:before="156" w:after="156"/>
      </w:pPr>
      <w:r>
        <w:rPr>
          <w:rFonts w:hint="eastAsia"/>
        </w:rPr>
        <w:t xml:space="preserve">总有效表面积 </w:t>
      </w:r>
      <w:r>
        <w:t xml:space="preserve"> t</w:t>
      </w:r>
      <w:r>
        <w:rPr>
          <w:rFonts w:hint="eastAsia"/>
        </w:rPr>
        <w:t>otal</w:t>
      </w:r>
      <w:r>
        <w:t xml:space="preserve"> effective surface area</w:t>
      </w:r>
    </w:p>
    <w:p>
      <w:pPr>
        <w:pStyle w:val="42"/>
        <w:ind w:firstLine="480"/>
      </w:pPr>
      <w:r>
        <w:rPr>
          <w:rFonts w:hint="eastAsia"/>
        </w:rPr>
        <w:t>反应系统内悬浮载体上可供生物膜附着生长，且保证良好传质和保护生物膜不被冲刷的总的表面积，等于悬浮载体的堆积体积与对应悬浮载体有效比表面积的乘积，简称T</w:t>
      </w:r>
      <w:r>
        <w:t>ESA</w:t>
      </w:r>
      <w:r>
        <w:rPr>
          <w:rFonts w:hint="eastAsia"/>
        </w:rPr>
        <w:t>，m</w:t>
      </w:r>
      <w:r>
        <w:rPr>
          <w:vertAlign w:val="superscript"/>
        </w:rPr>
        <w:t>2</w:t>
      </w:r>
      <w:r>
        <w:rPr>
          <w:rFonts w:hint="eastAsia"/>
        </w:rPr>
        <w:t>。</w:t>
      </w:r>
    </w:p>
    <w:p>
      <w:pPr>
        <w:pStyle w:val="49"/>
        <w:spacing w:before="156" w:after="156"/>
      </w:pPr>
      <w:r>
        <w:rPr>
          <w:rFonts w:hint="eastAsia"/>
        </w:rPr>
        <w:t xml:space="preserve">表面污染物去除负荷 </w:t>
      </w:r>
      <w:r>
        <w:t xml:space="preserve"> surface loading</w:t>
      </w:r>
    </w:p>
    <w:p>
      <w:pPr>
        <w:pStyle w:val="42"/>
        <w:ind w:firstLine="480"/>
      </w:pPr>
      <w:r>
        <w:rPr>
          <w:rFonts w:hint="eastAsia"/>
        </w:rPr>
        <w:t>单位有效表面积每天能去除的污染物量，符号</w:t>
      </w:r>
      <w:r>
        <w:t>L</w:t>
      </w:r>
      <w:r>
        <w:rPr>
          <w:sz w:val="20"/>
          <w:vertAlign w:val="subscript"/>
        </w:rPr>
        <w:t>S</w:t>
      </w:r>
      <w:r>
        <w:rPr>
          <w:rFonts w:hint="eastAsia"/>
        </w:rPr>
        <w:t>，单位</w:t>
      </w:r>
      <w:r>
        <w:t>gX/(m</w:t>
      </w:r>
      <w:r>
        <w:rPr>
          <w:vertAlign w:val="superscript"/>
        </w:rPr>
        <w:t>2</w:t>
      </w:r>
      <w:r>
        <w:rPr>
          <w:rFonts w:hint="eastAsia"/>
        </w:rPr>
        <w:t>·</w:t>
      </w:r>
      <w:r>
        <w:t>d)</w:t>
      </w:r>
      <w:r>
        <w:rPr>
          <w:rFonts w:hint="eastAsia"/>
        </w:rPr>
        <w:t>，其中</w:t>
      </w:r>
      <w:r>
        <w:t>X</w:t>
      </w:r>
      <w:r>
        <w:rPr>
          <w:rFonts w:hint="eastAsia"/>
        </w:rPr>
        <w:t>为污染物，</w:t>
      </w:r>
      <w:r>
        <w:t>m</w:t>
      </w:r>
      <w:r>
        <w:rPr>
          <w:vertAlign w:val="superscript"/>
        </w:rPr>
        <w:t>2</w:t>
      </w:r>
      <w:r>
        <w:rPr>
          <w:rFonts w:hint="eastAsia"/>
        </w:rPr>
        <w:t>指有效表面积。</w:t>
      </w:r>
    </w:p>
    <w:p>
      <w:pPr>
        <w:pStyle w:val="49"/>
        <w:spacing w:before="156" w:after="156"/>
      </w:pPr>
      <w:r>
        <w:rPr>
          <w:rFonts w:hint="eastAsia"/>
        </w:rPr>
        <w:t xml:space="preserve">填充率 </w:t>
      </w:r>
      <w:r>
        <w:t xml:space="preserve"> fill rate</w:t>
      </w:r>
    </w:p>
    <w:p>
      <w:pPr>
        <w:pStyle w:val="42"/>
        <w:ind w:firstLine="480"/>
      </w:pPr>
      <w:r>
        <w:rPr>
          <w:rFonts w:hint="eastAsia"/>
        </w:rPr>
        <w:t>悬浮载体的堆积体积与填充区域体积之比，%。</w:t>
      </w:r>
    </w:p>
    <w:p>
      <w:pPr>
        <w:pStyle w:val="49"/>
        <w:spacing w:before="156" w:after="156"/>
      </w:pPr>
      <w:r>
        <w:rPr>
          <w:rFonts w:hint="eastAsia"/>
        </w:rPr>
        <w:t xml:space="preserve">磁介质 </w:t>
      </w:r>
      <w:r>
        <w:t xml:space="preserve"> magnetic medium</w:t>
      </w:r>
    </w:p>
    <w:p>
      <w:pPr>
        <w:pStyle w:val="42"/>
        <w:ind w:firstLine="480"/>
      </w:pPr>
      <w:r>
        <w:rPr>
          <w:rFonts w:hint="eastAsia"/>
        </w:rPr>
        <w:t>具有稳定化学性质的软磁性微米级颗粒物。</w:t>
      </w:r>
    </w:p>
    <w:p>
      <w:pPr>
        <w:pStyle w:val="49"/>
        <w:spacing w:before="156" w:after="156"/>
      </w:pPr>
      <w:r>
        <w:rPr>
          <w:rFonts w:hint="eastAsia"/>
        </w:rPr>
        <w:t xml:space="preserve">磁介质污泥 </w:t>
      </w:r>
      <w:r>
        <w:t xml:space="preserve"> magnetic medium sludge</w:t>
      </w:r>
    </w:p>
    <w:p>
      <w:pPr>
        <w:pStyle w:val="42"/>
        <w:ind w:firstLine="480"/>
      </w:pPr>
      <w:r>
        <w:rPr>
          <w:rFonts w:hint="eastAsia"/>
        </w:rPr>
        <w:t>磁介质、污水中的悬浮颗粒物、混凝剂与助凝剂等在反应沉淀后形成的混合物。</w:t>
      </w:r>
    </w:p>
    <w:p>
      <w:pPr>
        <w:pStyle w:val="49"/>
        <w:spacing w:before="156" w:after="156"/>
      </w:pPr>
      <w:r>
        <w:rPr>
          <w:rFonts w:hint="eastAsia"/>
        </w:rPr>
        <w:t xml:space="preserve">重载刮泥机 </w:t>
      </w:r>
      <w:r>
        <w:t xml:space="preserve"> h</w:t>
      </w:r>
      <w:r>
        <w:rPr>
          <w:rFonts w:hint="eastAsia"/>
        </w:rPr>
        <w:t>eavy</w:t>
      </w:r>
      <w:r>
        <w:t xml:space="preserve"> d</w:t>
      </w:r>
      <w:r>
        <w:rPr>
          <w:rFonts w:hint="eastAsia"/>
        </w:rPr>
        <w:t>uty</w:t>
      </w:r>
      <w:r>
        <w:t xml:space="preserve"> m</w:t>
      </w:r>
      <w:r>
        <w:rPr>
          <w:rFonts w:hint="eastAsia"/>
        </w:rPr>
        <w:t>ud</w:t>
      </w:r>
      <w:r>
        <w:t xml:space="preserve"> s</w:t>
      </w:r>
      <w:r>
        <w:rPr>
          <w:rFonts w:hint="eastAsia"/>
        </w:rPr>
        <w:t>craper</w:t>
      </w:r>
    </w:p>
    <w:p>
      <w:pPr>
        <w:pStyle w:val="42"/>
        <w:ind w:firstLine="480"/>
      </w:pPr>
      <w:r>
        <w:rPr>
          <w:rFonts w:hint="eastAsia"/>
        </w:rPr>
        <w:t>专用于磁介质污泥刮集、排除的设备。</w:t>
      </w:r>
    </w:p>
    <w:p>
      <w:pPr>
        <w:pStyle w:val="49"/>
        <w:spacing w:before="156" w:after="156"/>
      </w:pPr>
      <w:r>
        <w:rPr>
          <w:rFonts w:hint="eastAsia"/>
        </w:rPr>
        <w:t xml:space="preserve">高剪机 </w:t>
      </w:r>
      <w:r>
        <w:t xml:space="preserve"> high shear mixer</w:t>
      </w:r>
    </w:p>
    <w:p>
      <w:pPr>
        <w:pStyle w:val="42"/>
        <w:ind w:firstLine="480"/>
      </w:pPr>
      <w:r>
        <w:rPr>
          <w:rFonts w:hint="eastAsia"/>
        </w:rPr>
        <w:t>破碎磁介质污泥的设备。</w:t>
      </w:r>
    </w:p>
    <w:p>
      <w:pPr>
        <w:pStyle w:val="49"/>
        <w:spacing w:before="156" w:after="156"/>
      </w:pPr>
      <w:r>
        <w:rPr>
          <w:rFonts w:hint="eastAsia"/>
        </w:rPr>
        <w:t xml:space="preserve">磁分离机 </w:t>
      </w:r>
      <w:r>
        <w:t xml:space="preserve"> magnetic d</w:t>
      </w:r>
      <w:r>
        <w:rPr>
          <w:rFonts w:hint="eastAsia"/>
        </w:rPr>
        <w:t>rum</w:t>
      </w:r>
      <w:r>
        <w:t xml:space="preserve"> separator</w:t>
      </w:r>
    </w:p>
    <w:p>
      <w:pPr>
        <w:pStyle w:val="42"/>
        <w:ind w:firstLine="480"/>
      </w:pPr>
      <w:r>
        <w:rPr>
          <w:rFonts w:hint="eastAsia"/>
        </w:rPr>
        <w:t>利用高梯度磁场回收磁介质的设备。</w:t>
      </w:r>
    </w:p>
    <w:p>
      <w:pPr>
        <w:pStyle w:val="49"/>
        <w:spacing w:before="156" w:after="156"/>
        <w:rPr>
          <w:kern w:val="0"/>
          <w:sz w:val="21"/>
          <w:szCs w:val="20"/>
        </w:rPr>
      </w:pPr>
      <w:r>
        <w:rPr>
          <w:rFonts w:hint="eastAsia"/>
        </w:rPr>
        <w:t xml:space="preserve">准Ⅳ类标准 </w:t>
      </w:r>
      <w:r>
        <w:t xml:space="preserve"> </w:t>
      </w:r>
      <w:r>
        <w:rPr>
          <w:rFonts w:hint="eastAsia"/>
        </w:rPr>
        <w:t>q</w:t>
      </w:r>
      <w:r>
        <w:t xml:space="preserve">uasi Class </w:t>
      </w:r>
      <w:r>
        <w:rPr>
          <w:rFonts w:hint="eastAsia"/>
        </w:rPr>
        <w:t>Ⅳ</w:t>
      </w:r>
      <w:r>
        <w:t xml:space="preserve"> standard</w:t>
      </w:r>
    </w:p>
    <w:p>
      <w:pPr>
        <w:pStyle w:val="42"/>
        <w:ind w:firstLine="480"/>
        <w:rPr>
          <w:rStyle w:val="51"/>
          <w:b/>
          <w:bCs/>
        </w:rPr>
      </w:pPr>
      <w:r>
        <w:rPr>
          <w:rStyle w:val="51"/>
          <w:rFonts w:hint="eastAsia"/>
          <w:bCs/>
        </w:rPr>
        <w:t>出水标准在《城镇污水处理厂污染物排放标准》</w:t>
      </w:r>
      <w:r>
        <w:rPr>
          <w:rStyle w:val="51"/>
          <w:bCs/>
        </w:rPr>
        <w:t>GB 18918</w:t>
      </w:r>
      <w:r>
        <w:rPr>
          <w:rStyle w:val="51"/>
          <w:rFonts w:hint="eastAsia"/>
          <w:bCs/>
        </w:rPr>
        <w:t>一级</w:t>
      </w:r>
      <w:r>
        <w:rPr>
          <w:rStyle w:val="51"/>
          <w:bCs/>
        </w:rPr>
        <w:t>A</w:t>
      </w:r>
      <w:r>
        <w:rPr>
          <w:rStyle w:val="51"/>
          <w:rFonts w:hint="eastAsia"/>
          <w:bCs/>
        </w:rPr>
        <w:t>标准基础上，进一步要求氨氮、</w:t>
      </w:r>
      <w:r>
        <w:rPr>
          <w:rStyle w:val="51"/>
          <w:bCs/>
        </w:rPr>
        <w:t>总磷</w:t>
      </w:r>
      <w:r>
        <w:rPr>
          <w:rStyle w:val="51"/>
          <w:rFonts w:hint="eastAsia"/>
          <w:bCs/>
        </w:rPr>
        <w:t>满足</w:t>
      </w:r>
      <w:r>
        <w:rPr>
          <w:rFonts w:hint="eastAsia"/>
        </w:rPr>
        <w:t>《地表水环境质量标准》</w:t>
      </w:r>
      <w:r>
        <w:rPr>
          <w:rStyle w:val="51"/>
          <w:rFonts w:hint="eastAsia"/>
          <w:bCs/>
        </w:rPr>
        <w:t>GB 3838中Ⅳ类水的要求，</w:t>
      </w:r>
      <w:r>
        <w:rPr>
          <w:rStyle w:val="51"/>
          <w:bCs/>
        </w:rPr>
        <w:t>TN</w:t>
      </w:r>
      <w:r>
        <w:rPr>
          <w:rStyle w:val="51"/>
          <w:rFonts w:hint="eastAsia"/>
          <w:bCs/>
        </w:rPr>
        <w:t>满足</w:t>
      </w:r>
      <w:r>
        <w:rPr>
          <w:rStyle w:val="51"/>
          <w:bCs/>
        </w:rPr>
        <w:t>≤</w:t>
      </w:r>
      <w:r>
        <w:rPr>
          <w:rStyle w:val="51"/>
          <w:rFonts w:hint="eastAsia"/>
          <w:bCs/>
        </w:rPr>
        <w:t>10</w:t>
      </w:r>
      <w:r>
        <w:rPr>
          <w:rStyle w:val="51"/>
          <w:bCs/>
        </w:rPr>
        <w:t>mg/L</w:t>
      </w:r>
      <w:r>
        <w:rPr>
          <w:rStyle w:val="51"/>
          <w:rFonts w:hint="eastAsia"/>
          <w:bCs/>
        </w:rPr>
        <w:t>的出水标准。</w:t>
      </w:r>
      <w:bookmarkStart w:id="34" w:name="_Toc103239317"/>
    </w:p>
    <w:p>
      <w:pPr>
        <w:pStyle w:val="2"/>
      </w:pPr>
      <w:bookmarkStart w:id="35" w:name="_Toc122709907"/>
      <w:bookmarkStart w:id="36" w:name="_Toc122709319"/>
      <w:bookmarkStart w:id="37" w:name="_Toc122709396"/>
      <w:r>
        <w:rPr>
          <w:rFonts w:hint="eastAsia"/>
        </w:rPr>
        <w:t>基本规定</w:t>
      </w:r>
      <w:bookmarkEnd w:id="34"/>
      <w:bookmarkEnd w:id="35"/>
      <w:bookmarkEnd w:id="36"/>
      <w:bookmarkEnd w:id="37"/>
    </w:p>
    <w:p>
      <w:pPr>
        <w:pStyle w:val="49"/>
        <w:spacing w:before="156" w:after="156"/>
      </w:pPr>
      <w:r>
        <w:rPr>
          <w:rFonts w:hint="eastAsia"/>
        </w:rPr>
        <w:t>进入BFM工艺的污水不宜对微生物具有抑制和毒害作用。</w:t>
      </w:r>
    </w:p>
    <w:p>
      <w:pPr>
        <w:pStyle w:val="49"/>
        <w:spacing w:before="156" w:after="156"/>
      </w:pPr>
      <w:r>
        <w:rPr>
          <w:rFonts w:hint="eastAsia"/>
        </w:rPr>
        <w:t>B</w:t>
      </w:r>
      <w:r>
        <w:t>FM</w:t>
      </w:r>
      <w:r>
        <w:rPr>
          <w:rFonts w:hint="eastAsia"/>
        </w:rPr>
        <w:t>工艺由B段和M段组成，其中</w:t>
      </w:r>
      <w:r>
        <w:t>B</w:t>
      </w:r>
      <w:r>
        <w:rPr>
          <w:rFonts w:hint="eastAsia"/>
        </w:rPr>
        <w:t>段为生化单元，采用纯膜M</w:t>
      </w:r>
      <w:r>
        <w:t>BBR</w:t>
      </w:r>
      <w:r>
        <w:rPr>
          <w:rFonts w:hint="eastAsia"/>
        </w:rPr>
        <w:t>工艺；M段为固液分离单元，采用超效分离工艺。</w:t>
      </w:r>
    </w:p>
    <w:p>
      <w:pPr>
        <w:pStyle w:val="49"/>
        <w:spacing w:before="156" w:after="156"/>
      </w:pPr>
      <w:r>
        <w:rPr>
          <w:rFonts w:hint="eastAsia"/>
        </w:rPr>
        <w:t>以BFM工艺为核心的水处理工艺流程，宜采用</w:t>
      </w:r>
      <w:r>
        <w:fldChar w:fldCharType="begin"/>
      </w:r>
      <w:r>
        <w:instrText xml:space="preserve"> </w:instrText>
      </w:r>
      <w:r>
        <w:rPr>
          <w:rFonts w:hint="eastAsia"/>
        </w:rPr>
        <w:instrText xml:space="preserve">REF _Ref108439927 \r \h</w:instrText>
      </w:r>
      <w:r>
        <w:instrText xml:space="preserve">  \* MERGEFORMAT </w:instrText>
      </w:r>
      <w:r>
        <w:fldChar w:fldCharType="separate"/>
      </w:r>
      <w:r>
        <w:rPr>
          <w:rFonts w:hint="eastAsia"/>
        </w:rPr>
        <w:t>图3.0.3</w:t>
      </w:r>
      <w:r>
        <w:fldChar w:fldCharType="end"/>
      </w:r>
      <w:r>
        <w:rPr>
          <w:rFonts w:hint="eastAsia"/>
        </w:rPr>
        <w:t>。</w:t>
      </w:r>
    </w:p>
    <w:p>
      <w:pPr>
        <w:pStyle w:val="44"/>
      </w:pPr>
      <w:r>
        <w:drawing>
          <wp:inline distT="0" distB="0" distL="0" distR="0">
            <wp:extent cx="3964940" cy="568325"/>
            <wp:effectExtent l="0" t="0" r="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965113" cy="568800"/>
                    </a:xfrm>
                    <a:prstGeom prst="rect">
                      <a:avLst/>
                    </a:prstGeom>
                    <a:noFill/>
                    <a:ln>
                      <a:noFill/>
                    </a:ln>
                  </pic:spPr>
                </pic:pic>
              </a:graphicData>
            </a:graphic>
          </wp:inline>
        </w:drawing>
      </w:r>
    </w:p>
    <w:p>
      <w:pPr>
        <w:pStyle w:val="7"/>
        <w:spacing w:after="312"/>
      </w:pPr>
      <w:bookmarkStart w:id="38" w:name="_Ref108439927"/>
      <w:r>
        <w:rPr>
          <w:rFonts w:hint="eastAsia"/>
        </w:rPr>
        <w:t>以</w:t>
      </w:r>
      <w:r>
        <w:rPr>
          <w:rFonts w:ascii="Times New Roman" w:hAnsi="Times New Roman"/>
        </w:rPr>
        <w:t>BFM</w:t>
      </w:r>
      <w:r>
        <w:t>工艺</w:t>
      </w:r>
      <w:r>
        <w:rPr>
          <w:rFonts w:hint="eastAsia"/>
        </w:rPr>
        <w:t>为核心的水处理工艺流程</w:t>
      </w:r>
      <w:bookmarkEnd w:id="38"/>
    </w:p>
    <w:p>
      <w:pPr>
        <w:pStyle w:val="49"/>
        <w:spacing w:before="156" w:after="156"/>
      </w:pPr>
      <w:r>
        <w:t>BFM</w:t>
      </w:r>
      <w:r>
        <w:rPr>
          <w:rFonts w:hint="eastAsia"/>
        </w:rPr>
        <w:t>工艺参数的选用应根据项目建设规模、进出水水质、水温、占地等综合因素合理确定。</w:t>
      </w:r>
    </w:p>
    <w:p>
      <w:pPr>
        <w:pStyle w:val="49"/>
        <w:spacing w:before="156" w:after="156"/>
      </w:pPr>
      <w:r>
        <w:t>B</w:t>
      </w:r>
      <w:r>
        <w:rPr>
          <w:rFonts w:hint="eastAsia"/>
        </w:rPr>
        <w:t>段</w:t>
      </w:r>
      <w:r>
        <w:t>构筑物</w:t>
      </w:r>
      <w:r>
        <w:rPr>
          <w:rFonts w:hint="eastAsia"/>
        </w:rPr>
        <w:t>不应少于2个</w:t>
      </w:r>
      <w:bookmarkStart w:id="39" w:name="_Hlk120535959"/>
      <w:r>
        <w:rPr>
          <w:rFonts w:hint="eastAsia"/>
        </w:rPr>
        <w:t>（格）</w:t>
      </w:r>
      <w:bookmarkEnd w:id="39"/>
      <w:r>
        <w:rPr>
          <w:rFonts w:hint="eastAsia"/>
        </w:rPr>
        <w:t>，应按并联设计。M段构筑物分格数不应少于2个（格），应按并联设计。对于改建项目以及点源污染治理，应根据项目实际情况，确定格数和运行方式。</w:t>
      </w:r>
    </w:p>
    <w:p>
      <w:pPr>
        <w:pStyle w:val="49"/>
        <w:spacing w:before="156" w:after="156"/>
      </w:pPr>
      <w:r>
        <w:rPr>
          <w:rFonts w:hint="eastAsia"/>
        </w:rPr>
        <w:t>BFM工艺构筑物既可采用传统混凝土现场浇筑形式建设，也可采用装配式混凝土或装配式钢结构形式建设；对施工时间有严格要求时，宜选用装配式形式建设，建设实施时间宜参照</w:t>
      </w:r>
      <w:r>
        <w:fldChar w:fldCharType="begin"/>
      </w:r>
      <w:r>
        <w:instrText xml:space="preserve"> </w:instrText>
      </w:r>
      <w:r>
        <w:rPr>
          <w:rFonts w:hint="eastAsia"/>
        </w:rPr>
        <w:instrText xml:space="preserve">REF _Ref108180625 \r \h</w:instrText>
      </w:r>
      <w:r>
        <w:instrText xml:space="preserve">  \* MERGEFORMAT </w:instrText>
      </w:r>
      <w:r>
        <w:fldChar w:fldCharType="separate"/>
      </w:r>
      <w:r>
        <w:rPr>
          <w:rFonts w:hint="eastAsia"/>
        </w:rPr>
        <w:t>表3.0.6</w:t>
      </w:r>
      <w:r>
        <w:fldChar w:fldCharType="end"/>
      </w:r>
      <w:r>
        <w:rPr>
          <w:rFonts w:hint="eastAsia"/>
        </w:rPr>
        <w:t>进行确定。</w:t>
      </w:r>
    </w:p>
    <w:p>
      <w:pPr>
        <w:pStyle w:val="6"/>
        <w:spacing w:before="312"/>
      </w:pPr>
      <w:bookmarkStart w:id="40" w:name="_Ref108180625"/>
      <w:bookmarkStart w:id="41" w:name="_Ref120621414"/>
      <w:r>
        <w:rPr>
          <w:rFonts w:hint="eastAsia"/>
        </w:rPr>
        <w:t>装配式BFM污水处理设施建设</w:t>
      </w:r>
      <w:bookmarkEnd w:id="40"/>
      <w:r>
        <w:rPr>
          <w:rFonts w:hint="eastAsia"/>
        </w:rPr>
        <w:t>实施时间</w:t>
      </w:r>
      <w:bookmarkEnd w:id="41"/>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pStyle w:val="42"/>
              <w:ind w:firstLine="480"/>
              <w:jc w:val="center"/>
            </w:pPr>
            <w:r>
              <w:rPr>
                <w:rFonts w:hint="eastAsia"/>
              </w:rPr>
              <w:t>处理规模（</w:t>
            </w:r>
            <w:r>
              <w:t>万</w:t>
            </w:r>
            <w:r>
              <w:rPr>
                <w:rFonts w:hint="eastAsia"/>
                <w:lang w:eastAsia="zh-CN"/>
              </w:rPr>
              <w:t>m³</w:t>
            </w:r>
            <w:r>
              <w:rPr>
                <w:rFonts w:hint="eastAsia"/>
              </w:rPr>
              <w:t>·d</w:t>
            </w:r>
            <w:r>
              <w:rPr>
                <w:vertAlign w:val="superscript"/>
              </w:rPr>
              <w:t>-1</w:t>
            </w:r>
            <w:r>
              <w:rPr>
                <w:rFonts w:hint="eastAsia"/>
              </w:rPr>
              <w:t>）</w:t>
            </w:r>
          </w:p>
        </w:tc>
        <w:tc>
          <w:tcPr>
            <w:tcW w:w="4148" w:type="dxa"/>
            <w:vAlign w:val="center"/>
          </w:tcPr>
          <w:p>
            <w:pPr>
              <w:pStyle w:val="42"/>
              <w:ind w:firstLine="480"/>
              <w:jc w:val="center"/>
            </w:pPr>
            <w:r>
              <w:rPr>
                <w:rFonts w:hint="eastAsia"/>
              </w:rPr>
              <w:t>实施时间（d）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pStyle w:val="42"/>
              <w:ind w:firstLine="480"/>
              <w:jc w:val="center"/>
            </w:pPr>
            <w:r>
              <w:rPr>
                <w:rFonts w:hint="eastAsia"/>
              </w:rPr>
              <w:t>≤</w:t>
            </w:r>
            <w:r>
              <w:t>1.0</w:t>
            </w:r>
          </w:p>
        </w:tc>
        <w:tc>
          <w:tcPr>
            <w:tcW w:w="4148" w:type="dxa"/>
            <w:vAlign w:val="center"/>
          </w:tcPr>
          <w:p>
            <w:pPr>
              <w:pStyle w:val="42"/>
              <w:ind w:firstLine="480"/>
              <w:jc w:val="center"/>
            </w:pPr>
            <w:r>
              <w:t>20~60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pStyle w:val="42"/>
              <w:ind w:firstLine="480"/>
              <w:jc w:val="center"/>
            </w:pPr>
            <w:r>
              <w:rPr>
                <w:rFonts w:hint="eastAsia"/>
              </w:rPr>
              <w:t>1</w:t>
            </w:r>
            <w:r>
              <w:t>.0~5.0</w:t>
            </w:r>
          </w:p>
        </w:tc>
        <w:tc>
          <w:tcPr>
            <w:tcW w:w="4148" w:type="dxa"/>
            <w:vAlign w:val="center"/>
          </w:tcPr>
          <w:p>
            <w:pPr>
              <w:pStyle w:val="42"/>
              <w:ind w:firstLine="480"/>
              <w:jc w:val="center"/>
            </w:pPr>
            <w:r>
              <w:t>30~70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pStyle w:val="42"/>
              <w:ind w:firstLine="480"/>
              <w:jc w:val="center"/>
            </w:pPr>
            <w:r>
              <w:rPr>
                <w:rFonts w:hint="eastAsia"/>
              </w:rPr>
              <w:t>5</w:t>
            </w:r>
            <w:r>
              <w:t>.0~10.0</w:t>
            </w:r>
          </w:p>
        </w:tc>
        <w:tc>
          <w:tcPr>
            <w:tcW w:w="4148" w:type="dxa"/>
            <w:vAlign w:val="center"/>
          </w:tcPr>
          <w:p>
            <w:pPr>
              <w:pStyle w:val="42"/>
              <w:ind w:firstLine="480"/>
              <w:jc w:val="center"/>
            </w:pPr>
            <w:r>
              <w:t>40~90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pPr>
              <w:pStyle w:val="42"/>
              <w:ind w:firstLine="480"/>
              <w:jc w:val="center"/>
            </w:pPr>
            <w:r>
              <w:rPr>
                <w:rFonts w:hint="eastAsia"/>
              </w:rPr>
              <w:t>＞1</w:t>
            </w:r>
            <w:r>
              <w:t>0.0</w:t>
            </w:r>
          </w:p>
        </w:tc>
        <w:tc>
          <w:tcPr>
            <w:tcW w:w="4148" w:type="dxa"/>
            <w:vAlign w:val="center"/>
          </w:tcPr>
          <w:p>
            <w:pPr>
              <w:pStyle w:val="42"/>
              <w:ind w:firstLine="480"/>
              <w:jc w:val="center"/>
            </w:pPr>
            <w:r>
              <w:t>50~100</w:t>
            </w:r>
          </w:p>
        </w:tc>
      </w:tr>
    </w:tbl>
    <w:p>
      <w:pPr>
        <w:pStyle w:val="49"/>
        <w:spacing w:before="156" w:after="156"/>
      </w:pPr>
      <w:r>
        <w:rPr>
          <w:rFonts w:hint="eastAsia"/>
        </w:rPr>
        <w:t>采用</w:t>
      </w:r>
      <w:r>
        <w:t>BFM</w:t>
      </w:r>
      <w:r>
        <w:rPr>
          <w:rFonts w:hint="eastAsia"/>
        </w:rPr>
        <w:t>工艺的市政污水处理达到一级A、准Ⅳ类或更严格氮磷排放限值的污水处理工艺线生产构筑物占地指标宜参照</w:t>
      </w:r>
      <w:r>
        <w:fldChar w:fldCharType="begin"/>
      </w:r>
      <w:r>
        <w:instrText xml:space="preserve"> </w:instrText>
      </w:r>
      <w:r>
        <w:rPr>
          <w:rFonts w:hint="eastAsia"/>
        </w:rPr>
        <w:instrText xml:space="preserve">REF _Ref108167974 \r \h</w:instrText>
      </w:r>
      <w:r>
        <w:instrText xml:space="preserve">  \* MERGEFORMAT </w:instrText>
      </w:r>
      <w:r>
        <w:fldChar w:fldCharType="separate"/>
      </w:r>
      <w:r>
        <w:rPr>
          <w:rFonts w:hint="eastAsia"/>
        </w:rPr>
        <w:t>表3.0.7</w:t>
      </w:r>
      <w:r>
        <w:fldChar w:fldCharType="end"/>
      </w:r>
      <w:r>
        <w:rPr>
          <w:rFonts w:hint="eastAsia"/>
        </w:rPr>
        <w:t>进行确定。</w:t>
      </w:r>
    </w:p>
    <w:p>
      <w:pPr>
        <w:pStyle w:val="6"/>
        <w:spacing w:before="312"/>
      </w:pPr>
      <w:bookmarkStart w:id="42" w:name="_Ref108167974"/>
      <w:r>
        <w:t>BFM</w:t>
      </w:r>
      <w:r>
        <w:rPr>
          <w:rFonts w:hint="eastAsia"/>
        </w:rPr>
        <w:t>工艺占地指标（水处理工艺线生产构筑物）</w:t>
      </w:r>
      <w:bookmarkEnd w:id="42"/>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41"/>
        <w:gridCol w:w="5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0" w:type="pct"/>
            <w:vAlign w:val="center"/>
          </w:tcPr>
          <w:p>
            <w:pPr>
              <w:jc w:val="center"/>
            </w:pPr>
            <w:r>
              <w:rPr>
                <w:rFonts w:hint="eastAsia"/>
              </w:rPr>
              <w:t>处理规模（</w:t>
            </w:r>
            <w:r>
              <w:t>万</w:t>
            </w:r>
            <w:r>
              <w:rPr>
                <w:rFonts w:hint="eastAsia"/>
                <w:lang w:eastAsia="zh-CN"/>
              </w:rPr>
              <w:t>m³</w:t>
            </w:r>
            <w:r>
              <w:rPr>
                <w:rFonts w:hint="eastAsia"/>
              </w:rPr>
              <w:t>·d</w:t>
            </w:r>
            <w:r>
              <w:rPr>
                <w:vertAlign w:val="superscript"/>
              </w:rPr>
              <w:t>-1</w:t>
            </w:r>
            <w:r>
              <w:rPr>
                <w:rFonts w:hint="eastAsia"/>
              </w:rPr>
              <w:t>）</w:t>
            </w:r>
          </w:p>
        </w:tc>
        <w:tc>
          <w:tcPr>
            <w:tcW w:w="3040" w:type="pct"/>
            <w:vAlign w:val="center"/>
          </w:tcPr>
          <w:p>
            <w:pPr>
              <w:jc w:val="center"/>
            </w:pPr>
            <w:r>
              <w:rPr>
                <w:rFonts w:hint="eastAsia"/>
              </w:rPr>
              <w:t>占地</w:t>
            </w:r>
            <w:r>
              <w:t>[</w:t>
            </w:r>
            <w:r>
              <w:rPr>
                <w:rFonts w:hint="eastAsia"/>
              </w:rPr>
              <w:t>m</w:t>
            </w:r>
            <w:r>
              <w:rPr>
                <w:vertAlign w:val="superscript"/>
              </w:rPr>
              <w:t>2</w:t>
            </w:r>
            <w:r>
              <w:t>/(</w:t>
            </w:r>
            <w:r>
              <w:rPr>
                <w:rFonts w:hint="eastAsia"/>
                <w:lang w:eastAsia="zh-CN"/>
              </w:rPr>
              <w:t>m³</w:t>
            </w:r>
            <w:r>
              <w:rPr>
                <w:rFonts w:hint="eastAsia"/>
              </w:rPr>
              <w:t>·d</w:t>
            </w:r>
            <w:r>
              <w:rPr>
                <w:vertAlign w:val="superscript"/>
              </w:rPr>
              <w:t>-1</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0" w:type="pct"/>
            <w:vAlign w:val="center"/>
          </w:tcPr>
          <w:p>
            <w:pPr>
              <w:jc w:val="center"/>
            </w:pPr>
            <w:r>
              <w:t>&lt;1.0</w:t>
            </w:r>
          </w:p>
        </w:tc>
        <w:tc>
          <w:tcPr>
            <w:tcW w:w="3040" w:type="pct"/>
            <w:vAlign w:val="center"/>
          </w:tcPr>
          <w:p>
            <w:pPr>
              <w:jc w:val="center"/>
            </w:pPr>
            <w:r>
              <w:rPr>
                <w:rFonts w:hint="eastAsia"/>
              </w:rPr>
              <w:t>0</w:t>
            </w:r>
            <w:r>
              <w:t>.15~</w:t>
            </w:r>
            <w:r>
              <w:rPr>
                <w:rFonts w:hint="eastAsia"/>
              </w:rPr>
              <w:t>0</w:t>
            </w:r>
            <w: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0" w:type="pct"/>
            <w:vAlign w:val="center"/>
          </w:tcPr>
          <w:p>
            <w:pPr>
              <w:jc w:val="center"/>
            </w:pPr>
            <w:r>
              <w:rPr>
                <w:rFonts w:hint="eastAsia"/>
              </w:rPr>
              <w:t>1</w:t>
            </w:r>
            <w:r>
              <w:t>.0~5.0</w:t>
            </w:r>
          </w:p>
        </w:tc>
        <w:tc>
          <w:tcPr>
            <w:tcW w:w="3040" w:type="pct"/>
            <w:vAlign w:val="center"/>
          </w:tcPr>
          <w:p>
            <w:pPr>
              <w:jc w:val="center"/>
            </w:pPr>
            <w:r>
              <w:rPr>
                <w:rFonts w:hint="eastAsia"/>
              </w:rPr>
              <w:t>0</w:t>
            </w:r>
            <w:r>
              <w:t>.10~</w:t>
            </w:r>
            <w:r>
              <w:rPr>
                <w:rFonts w:hint="eastAsia"/>
              </w:rPr>
              <w:t>0</w:t>
            </w:r>
            <w: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0" w:type="pct"/>
            <w:vAlign w:val="center"/>
          </w:tcPr>
          <w:p>
            <w:pPr>
              <w:jc w:val="center"/>
            </w:pPr>
            <w:r>
              <w:rPr>
                <w:rFonts w:hint="eastAsia"/>
              </w:rPr>
              <w:t>≥5</w:t>
            </w:r>
            <w:r>
              <w:t>.0</w:t>
            </w:r>
          </w:p>
        </w:tc>
        <w:tc>
          <w:tcPr>
            <w:tcW w:w="3040" w:type="pct"/>
            <w:vAlign w:val="center"/>
          </w:tcPr>
          <w:p>
            <w:pPr>
              <w:jc w:val="center"/>
            </w:pPr>
            <w:r>
              <w:rPr>
                <w:rFonts w:hint="eastAsia"/>
              </w:rPr>
              <w:t>0</w:t>
            </w:r>
            <w:r>
              <w:t>.05~</w:t>
            </w:r>
            <w:r>
              <w:rPr>
                <w:rFonts w:hint="eastAsia"/>
              </w:rPr>
              <w:t>0</w:t>
            </w:r>
            <w:r>
              <w:t>.20</w:t>
            </w:r>
          </w:p>
        </w:tc>
      </w:tr>
    </w:tbl>
    <w:p>
      <w:pPr>
        <w:pStyle w:val="49"/>
        <w:spacing w:before="156" w:after="156"/>
      </w:pPr>
      <w:bookmarkStart w:id="43" w:name="_Toc103239318"/>
      <w:r>
        <w:rPr>
          <w:rFonts w:hint="eastAsia"/>
        </w:rPr>
        <w:t>地下或半地下污水厂设计应综合考虑规模、用地、环境、投资等各方面因素，确定建筑结构、通风、除臭、交通、消防、供配电及自动控制、照明、给排水、监控等系统的配置，各系统之间应相互协调。</w:t>
      </w:r>
    </w:p>
    <w:p>
      <w:pPr>
        <w:pStyle w:val="49"/>
        <w:spacing w:before="156" w:after="156"/>
      </w:pPr>
      <w:r>
        <w:rPr>
          <w:rFonts w:hint="eastAsia"/>
        </w:rPr>
        <w:t>地下或半地下污水厂应充分利用污水厂的上部空间，有效利用土地资源，提高土地利用率。</w:t>
      </w:r>
    </w:p>
    <w:p>
      <w:pPr>
        <w:pStyle w:val="49"/>
        <w:spacing w:before="156" w:after="156"/>
      </w:pPr>
      <w:r>
        <w:rPr>
          <w:rFonts w:hint="eastAsia"/>
        </w:rPr>
        <w:t>采用BFM工艺时，应同步配置智慧化控制系统，该系统可实现BFM工艺可靠、稳定、降碳的自动化控制及日常运维管理，系统宜配套云平台及移动端小程序。</w:t>
      </w:r>
    </w:p>
    <w:p>
      <w:pPr>
        <w:pStyle w:val="49"/>
        <w:spacing w:before="156" w:after="156"/>
      </w:pPr>
      <w:r>
        <w:rPr>
          <w:rFonts w:hint="eastAsia"/>
        </w:rPr>
        <w:t>采用B</w:t>
      </w:r>
      <w:r>
        <w:t>FM</w:t>
      </w:r>
      <w:r>
        <w:rPr>
          <w:rFonts w:hint="eastAsia"/>
        </w:rPr>
        <w:t>工艺时，应根据设计处理体量、建设形式、进出水水质等综合确定项目投资。</w:t>
      </w:r>
    </w:p>
    <w:p>
      <w:pPr>
        <w:pStyle w:val="45"/>
      </w:pPr>
    </w:p>
    <w:p>
      <w:pPr>
        <w:pStyle w:val="2"/>
      </w:pPr>
      <w:bookmarkStart w:id="44" w:name="_Toc122709908"/>
      <w:bookmarkStart w:id="45" w:name="_Toc122709397"/>
      <w:bookmarkStart w:id="46" w:name="_Toc122709320"/>
      <w:r>
        <w:rPr>
          <w:rFonts w:hint="eastAsia"/>
        </w:rPr>
        <w:t>工艺设计</w:t>
      </w:r>
      <w:bookmarkEnd w:id="43"/>
      <w:bookmarkEnd w:id="44"/>
      <w:bookmarkEnd w:id="45"/>
      <w:bookmarkEnd w:id="46"/>
    </w:p>
    <w:p>
      <w:pPr>
        <w:pStyle w:val="3"/>
        <w:numPr>
          <w:ilvl w:val="1"/>
          <w:numId w:val="5"/>
        </w:numPr>
      </w:pPr>
      <w:bookmarkStart w:id="47" w:name="_Toc103239319"/>
      <w:bookmarkStart w:id="48" w:name="_Toc122709398"/>
      <w:bookmarkStart w:id="49" w:name="_Toc122709909"/>
      <w:bookmarkStart w:id="50" w:name="_Toc122709321"/>
      <w:r>
        <w:rPr>
          <w:rFonts w:hint="eastAsia"/>
        </w:rPr>
        <w:t>预处理</w:t>
      </w:r>
      <w:bookmarkEnd w:id="47"/>
      <w:bookmarkEnd w:id="48"/>
      <w:bookmarkEnd w:id="49"/>
      <w:bookmarkEnd w:id="50"/>
    </w:p>
    <w:p>
      <w:pPr>
        <w:pStyle w:val="49"/>
        <w:spacing w:before="156" w:after="156"/>
      </w:pPr>
      <w:r>
        <w:rPr>
          <w:rFonts w:hint="eastAsia"/>
        </w:rPr>
        <w:t>污水进入BFM工艺前，应进行预处理。</w:t>
      </w:r>
    </w:p>
    <w:p>
      <w:pPr>
        <w:pStyle w:val="49"/>
        <w:spacing w:before="156" w:after="156"/>
      </w:pPr>
      <w:r>
        <w:rPr>
          <w:rFonts w:hint="eastAsia"/>
        </w:rPr>
        <w:t>B</w:t>
      </w:r>
      <w:r>
        <w:t>FM</w:t>
      </w:r>
      <w:r>
        <w:rPr>
          <w:rFonts w:hint="eastAsia"/>
        </w:rPr>
        <w:t>工艺预处理流程宜采用</w:t>
      </w:r>
      <w:r>
        <w:fldChar w:fldCharType="begin"/>
      </w:r>
      <w:r>
        <w:instrText xml:space="preserve"> </w:instrText>
      </w:r>
      <w:r>
        <w:rPr>
          <w:rFonts w:hint="eastAsia"/>
        </w:rPr>
        <w:instrText xml:space="preserve">REF _Ref103247726 \r \h</w:instrText>
      </w:r>
      <w:r>
        <w:instrText xml:space="preserve">  \* MERGEFORMAT </w:instrText>
      </w:r>
      <w:r>
        <w:fldChar w:fldCharType="separate"/>
      </w:r>
      <w:r>
        <w:rPr>
          <w:rFonts w:hint="eastAsia"/>
        </w:rPr>
        <w:t>图4.1.2</w:t>
      </w:r>
      <w:r>
        <w:fldChar w:fldCharType="end"/>
      </w:r>
      <w:r>
        <w:rPr>
          <w:rFonts w:hint="eastAsia"/>
        </w:rPr>
        <w:t>：</w:t>
      </w:r>
    </w:p>
    <w:p>
      <w:pPr>
        <w:pStyle w:val="42"/>
        <w:ind w:firstLine="480"/>
      </w:pPr>
      <w:r>
        <w:rPr>
          <w:rFonts w:hint="eastAsia"/>
        </w:rPr>
        <w:t>1</w:t>
      </w:r>
      <w:r>
        <w:t>.</w:t>
      </w:r>
      <w:r>
        <w:rPr>
          <w:rFonts w:hint="eastAsia"/>
        </w:rPr>
        <w:t>当进水S</w:t>
      </w:r>
      <w:r>
        <w:t>S&lt;300 mg/L</w:t>
      </w:r>
      <w:r>
        <w:rPr>
          <w:rFonts w:hint="eastAsia"/>
        </w:rPr>
        <w:t>时，可不设初沉池；</w:t>
      </w:r>
    </w:p>
    <w:p>
      <w:pPr>
        <w:pStyle w:val="42"/>
        <w:ind w:firstLine="480"/>
      </w:pPr>
      <w:r>
        <w:rPr>
          <w:rFonts w:hint="eastAsia"/>
        </w:rPr>
        <w:t>2</w:t>
      </w:r>
      <w:r>
        <w:t>.</w:t>
      </w:r>
      <w:r>
        <w:rPr>
          <w:rFonts w:hint="eastAsia"/>
        </w:rPr>
        <w:t>当进水SS在3</w:t>
      </w:r>
      <w:r>
        <w:t xml:space="preserve">00 </w:t>
      </w:r>
      <w:r>
        <w:rPr>
          <w:rFonts w:hint="eastAsia"/>
        </w:rPr>
        <w:t>mg/L~</w:t>
      </w:r>
      <w:r>
        <w:t xml:space="preserve">500 </w:t>
      </w:r>
      <w:r>
        <w:rPr>
          <w:rFonts w:hint="eastAsia"/>
        </w:rPr>
        <w:t>mg/L时，宜设初沉池；</w:t>
      </w:r>
    </w:p>
    <w:p>
      <w:pPr>
        <w:pStyle w:val="42"/>
        <w:ind w:firstLine="480"/>
      </w:pPr>
      <w:r>
        <w:t>3.</w:t>
      </w:r>
      <w:r>
        <w:rPr>
          <w:rFonts w:hint="eastAsia"/>
        </w:rPr>
        <w:t>当进水S</w:t>
      </w:r>
      <w:r>
        <w:t>S</w:t>
      </w:r>
      <w:r>
        <w:rPr>
          <w:rFonts w:hint="eastAsia"/>
        </w:rPr>
        <w:t>＞5</w:t>
      </w:r>
      <w:r>
        <w:t xml:space="preserve">00 </w:t>
      </w:r>
      <w:r>
        <w:rPr>
          <w:rFonts w:hint="eastAsia"/>
        </w:rPr>
        <w:t>mg/L时，应设初沉池；</w:t>
      </w:r>
    </w:p>
    <w:p>
      <w:pPr>
        <w:pStyle w:val="42"/>
        <w:ind w:firstLine="480"/>
      </w:pPr>
      <w:r>
        <w:rPr>
          <w:rFonts w:hint="eastAsia"/>
        </w:rPr>
        <w:t>4.当进水含油量＞30mg</w:t>
      </w:r>
      <w:r>
        <w:t>/L</w:t>
      </w:r>
      <w:r>
        <w:rPr>
          <w:rFonts w:hint="eastAsia"/>
        </w:rPr>
        <w:t>时，应增设隔油池；</w:t>
      </w:r>
    </w:p>
    <w:p>
      <w:pPr>
        <w:pStyle w:val="42"/>
        <w:ind w:firstLine="480"/>
      </w:pPr>
      <w:r>
        <w:rPr>
          <w:rFonts w:hint="eastAsia"/>
        </w:rPr>
        <w:t>5.当进水水质或水量波动大时，应设置调节池。</w:t>
      </w:r>
    </w:p>
    <w:p>
      <w:pPr>
        <w:pStyle w:val="44"/>
      </w:pPr>
      <w:r>
        <w:drawing>
          <wp:inline distT="0" distB="0" distL="0" distR="0">
            <wp:extent cx="6010275" cy="57594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10372" cy="576000"/>
                    </a:xfrm>
                    <a:prstGeom prst="rect">
                      <a:avLst/>
                    </a:prstGeom>
                    <a:noFill/>
                    <a:ln>
                      <a:noFill/>
                    </a:ln>
                  </pic:spPr>
                </pic:pic>
              </a:graphicData>
            </a:graphic>
          </wp:inline>
        </w:drawing>
      </w:r>
    </w:p>
    <w:p>
      <w:pPr>
        <w:pStyle w:val="7"/>
        <w:spacing w:after="312"/>
      </w:pPr>
      <w:bookmarkStart w:id="51" w:name="_Ref103247726"/>
      <w:r>
        <w:rPr>
          <w:rFonts w:hint="eastAsia"/>
        </w:rPr>
        <w:t>预处理工艺流程</w:t>
      </w:r>
      <w:bookmarkEnd w:id="51"/>
    </w:p>
    <w:p>
      <w:pPr>
        <w:pStyle w:val="49"/>
        <w:spacing w:before="156" w:after="156"/>
      </w:pPr>
      <w:r>
        <w:rPr>
          <w:rFonts w:hint="eastAsia"/>
        </w:rPr>
        <w:t>预处理细格栅栅距应≤3</w:t>
      </w:r>
      <w:r>
        <w:t xml:space="preserve"> </w:t>
      </w:r>
      <w:r>
        <w:rPr>
          <w:rFonts w:hint="eastAsia"/>
        </w:rPr>
        <w:t>mm，宜选用网孔板细格栅。</w:t>
      </w:r>
    </w:p>
    <w:p>
      <w:pPr>
        <w:pStyle w:val="49"/>
        <w:spacing w:before="156" w:after="156"/>
      </w:pPr>
      <w:r>
        <w:rPr>
          <w:rFonts w:hint="eastAsia"/>
        </w:rPr>
        <w:t>预处理其他要求应按照《室外排水设计标准》</w:t>
      </w:r>
      <w:r>
        <w:t>GB 50014</w:t>
      </w:r>
      <w:r>
        <w:rPr>
          <w:rFonts w:hint="eastAsia"/>
        </w:rPr>
        <w:t>执行。</w:t>
      </w:r>
    </w:p>
    <w:p>
      <w:pPr>
        <w:pStyle w:val="3"/>
      </w:pPr>
      <w:bookmarkStart w:id="52" w:name="_Toc103239320"/>
      <w:bookmarkStart w:id="53" w:name="_Toc122709322"/>
      <w:bookmarkStart w:id="54" w:name="_Toc122709399"/>
      <w:bookmarkStart w:id="55" w:name="_Toc122709910"/>
      <w:r>
        <w:rPr>
          <w:rFonts w:hint="eastAsia"/>
        </w:rPr>
        <w:t>BFM</w:t>
      </w:r>
      <w:r>
        <w:t>-</w:t>
      </w:r>
      <w:r>
        <w:rPr>
          <w:rFonts w:hint="eastAsia"/>
        </w:rPr>
        <w:t>B段</w:t>
      </w:r>
      <w:bookmarkEnd w:id="52"/>
      <w:bookmarkEnd w:id="53"/>
      <w:bookmarkEnd w:id="54"/>
      <w:bookmarkEnd w:id="55"/>
    </w:p>
    <w:p>
      <w:pPr>
        <w:pStyle w:val="49"/>
        <w:spacing w:before="156" w:after="156"/>
      </w:pPr>
      <w:r>
        <w:rPr>
          <w:rFonts w:hint="eastAsia"/>
        </w:rPr>
        <w:t>根据污染物去除需求，B段工艺流程可参照</w:t>
      </w:r>
      <w:r>
        <w:fldChar w:fldCharType="begin"/>
      </w:r>
      <w:r>
        <w:instrText xml:space="preserve"> </w:instrText>
      </w:r>
      <w:r>
        <w:rPr>
          <w:rFonts w:hint="eastAsia"/>
        </w:rPr>
        <w:instrText xml:space="preserve">REF _Ref103248502 \r \h</w:instrText>
      </w:r>
      <w:r>
        <w:instrText xml:space="preserve">  \* MERGEFORMAT </w:instrText>
      </w:r>
      <w:r>
        <w:fldChar w:fldCharType="separate"/>
      </w:r>
      <w:r>
        <w:rPr>
          <w:rFonts w:hint="eastAsia"/>
        </w:rPr>
        <w:t>图4.2.1</w:t>
      </w:r>
      <w:r>
        <w:fldChar w:fldCharType="end"/>
      </w:r>
      <w:r>
        <w:rPr>
          <w:rFonts w:hint="eastAsia"/>
        </w:rPr>
        <w:t>确定并符合以下规定：</w:t>
      </w:r>
    </w:p>
    <w:p>
      <w:pPr>
        <w:pStyle w:val="42"/>
        <w:ind w:firstLine="480" w:firstLineChars="0"/>
      </w:pPr>
      <w:r>
        <w:t xml:space="preserve">1 </w:t>
      </w:r>
      <w:r>
        <w:rPr>
          <w:rFonts w:hint="eastAsia"/>
        </w:rPr>
        <w:t>当</w:t>
      </w:r>
      <w:r>
        <w:t>对出水</w:t>
      </w:r>
      <w:r>
        <w:rPr>
          <w:rFonts w:hint="eastAsia"/>
        </w:rPr>
        <w:t>T</w:t>
      </w:r>
      <w:r>
        <w:t>N无特殊要求</w:t>
      </w:r>
      <w:r>
        <w:rPr>
          <w:rFonts w:hint="eastAsia"/>
        </w:rPr>
        <w:t>，仅需要去除有机物或氨氮时，宜只设置好氧段（O），采用工艺流程1；</w:t>
      </w:r>
    </w:p>
    <w:p>
      <w:pPr>
        <w:pStyle w:val="42"/>
        <w:ind w:firstLine="480" w:firstLineChars="0"/>
      </w:pPr>
      <w:r>
        <w:t xml:space="preserve">2 </w:t>
      </w:r>
      <w:r>
        <w:rPr>
          <w:rFonts w:hint="eastAsia"/>
        </w:rPr>
        <w:t>当</w:t>
      </w:r>
      <w:r>
        <w:t>系统</w:t>
      </w:r>
      <w:r>
        <w:rPr>
          <w:rFonts w:hint="eastAsia"/>
        </w:rPr>
        <w:t>需要脱氮且T</w:t>
      </w:r>
      <w:r>
        <w:t>N</w:t>
      </w:r>
      <w:r>
        <w:rPr>
          <w:rFonts w:hint="eastAsia"/>
        </w:rPr>
        <w:t>去除率＜</w:t>
      </w:r>
      <w:r>
        <w:t>70%</w:t>
      </w:r>
      <w:r>
        <w:rPr>
          <w:rFonts w:hint="eastAsia"/>
        </w:rPr>
        <w:t>时，如主要考虑原水碳源脱氮，宜设置缺氧-好氧段（A</w:t>
      </w:r>
      <w:r>
        <w:t>/O</w:t>
      </w:r>
      <w:r>
        <w:rPr>
          <w:rFonts w:hint="eastAsia"/>
        </w:rPr>
        <w:t>），采用工艺流程2；当主要考虑外投碳源进行脱氮时，宜设置好氧-缺氧-好氧段（O</w:t>
      </w:r>
      <w:r>
        <w:t>/A/O</w:t>
      </w:r>
      <w:r>
        <w:rPr>
          <w:rFonts w:hint="eastAsia"/>
        </w:rPr>
        <w:t>），采用工艺流程3；</w:t>
      </w:r>
    </w:p>
    <w:p>
      <w:pPr>
        <w:pStyle w:val="42"/>
        <w:ind w:firstLine="480" w:firstLineChars="0"/>
      </w:pPr>
      <w:r>
        <w:t xml:space="preserve">3 </w:t>
      </w:r>
      <w:r>
        <w:rPr>
          <w:rFonts w:hint="eastAsia"/>
        </w:rPr>
        <w:t>当系统需要脱氮且T</w:t>
      </w:r>
      <w:r>
        <w:t>N</w:t>
      </w:r>
      <w:r>
        <w:rPr>
          <w:rFonts w:hint="eastAsia"/>
        </w:rPr>
        <w:t>去除率≥</w:t>
      </w:r>
      <w:r>
        <w:t>70%</w:t>
      </w:r>
      <w:r>
        <w:rPr>
          <w:rFonts w:hint="eastAsia"/>
        </w:rPr>
        <w:t>或出水T</w:t>
      </w:r>
      <w:r>
        <w:t>N</w:t>
      </w:r>
      <w:r>
        <w:rPr>
          <w:rFonts w:hint="eastAsia"/>
        </w:rPr>
        <w:t>≤</w:t>
      </w:r>
      <w:r>
        <w:t xml:space="preserve">10 </w:t>
      </w:r>
      <w:r>
        <w:rPr>
          <w:rFonts w:hint="eastAsia"/>
        </w:rPr>
        <w:t>mg/L时，宜设置缺氧-好氧-后缺氧-后好氧（A</w:t>
      </w:r>
      <w:r>
        <w:t>/O/A/O</w:t>
      </w:r>
      <w:r>
        <w:rPr>
          <w:rFonts w:hint="eastAsia"/>
        </w:rPr>
        <w:t>），或缺氧-好氧-后缺氧（A</w:t>
      </w:r>
      <w:r>
        <w:t>/O/A</w:t>
      </w:r>
      <w:r>
        <w:rPr>
          <w:rFonts w:hint="eastAsia"/>
        </w:rPr>
        <w:t>），或多级缺氧-好氧（多级A</w:t>
      </w:r>
      <w:r>
        <w:t>/O</w:t>
      </w:r>
      <w:r>
        <w:rPr>
          <w:rFonts w:hint="eastAsia"/>
        </w:rPr>
        <w:t>），采用工艺流程4或5或</w:t>
      </w:r>
      <w:r>
        <w:t>6</w:t>
      </w:r>
      <w:r>
        <w:rPr>
          <w:rFonts w:hint="eastAsia"/>
        </w:rPr>
        <w:t>，如采用工艺流程6时，内回流形式应根据实际情况进行确定；</w:t>
      </w:r>
    </w:p>
    <w:p>
      <w:pPr>
        <w:pStyle w:val="42"/>
        <w:ind w:firstLine="480" w:firstLineChars="0"/>
      </w:pPr>
      <w:r>
        <w:rPr>
          <w:rFonts w:hint="eastAsia"/>
        </w:rPr>
        <w:t>4</w:t>
      </w:r>
      <w:r>
        <w:t xml:space="preserve"> </w:t>
      </w:r>
      <w:r>
        <w:rPr>
          <w:rFonts w:hint="eastAsia"/>
        </w:rPr>
        <w:t>宜根据进、出水水质要求以及项目的实际情况，合理确定进水方式为单点进水或多点进水。</w:t>
      </w:r>
    </w:p>
    <w:p>
      <w:pPr>
        <w:jc w:val="center"/>
      </w:pPr>
      <w:r>
        <w:drawing>
          <wp:inline distT="0" distB="0" distL="0" distR="0">
            <wp:extent cx="4083050" cy="397637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083050" cy="3976370"/>
                    </a:xfrm>
                    <a:prstGeom prst="rect">
                      <a:avLst/>
                    </a:prstGeom>
                    <a:noFill/>
                    <a:ln>
                      <a:noFill/>
                    </a:ln>
                  </pic:spPr>
                </pic:pic>
              </a:graphicData>
            </a:graphic>
          </wp:inline>
        </w:drawing>
      </w:r>
    </w:p>
    <w:p>
      <w:pPr>
        <w:pStyle w:val="7"/>
        <w:spacing w:after="312"/>
      </w:pPr>
      <w:bookmarkStart w:id="56" w:name="_Ref103248502"/>
      <w:r>
        <w:rPr>
          <w:rFonts w:hint="eastAsia"/>
        </w:rPr>
        <w:t>B段工艺</w:t>
      </w:r>
      <w:bookmarkEnd w:id="56"/>
      <w:r>
        <w:rPr>
          <w:rFonts w:hint="eastAsia"/>
        </w:rPr>
        <w:t>流程</w:t>
      </w:r>
    </w:p>
    <w:p>
      <w:pPr>
        <w:pStyle w:val="49"/>
        <w:spacing w:before="156" w:after="156"/>
      </w:pPr>
      <w:r>
        <w:rPr>
          <w:rFonts w:hint="eastAsia"/>
        </w:rPr>
        <w:t>B段应根据设计水温和水质，采用表面污染物去除负荷</w:t>
      </w:r>
      <w:r>
        <w:t>[gX/(m</w:t>
      </w:r>
      <w:r>
        <w:rPr>
          <w:vertAlign w:val="superscript"/>
        </w:rPr>
        <w:t>2</w:t>
      </w:r>
      <w:r>
        <w:t>·d)]</w:t>
      </w:r>
      <w:r>
        <w:rPr>
          <w:rFonts w:hint="eastAsia"/>
        </w:rPr>
        <w:t>进行设计。</w:t>
      </w:r>
    </w:p>
    <w:p>
      <w:pPr>
        <w:pStyle w:val="49"/>
        <w:spacing w:before="156" w:after="156"/>
      </w:pPr>
      <w:bookmarkStart w:id="57" w:name="_Toc115361021"/>
      <w:r>
        <w:t>对于以脱碳为</w:t>
      </w:r>
      <w:bookmarkEnd w:id="57"/>
      <w:r>
        <w:rPr>
          <w:rFonts w:hint="eastAsia"/>
        </w:rPr>
        <w:t>主的反应区</w:t>
      </w:r>
      <w:r>
        <w:t>，B段</w:t>
      </w:r>
      <w:r>
        <w:rPr>
          <w:rFonts w:hint="eastAsia"/>
        </w:rPr>
        <w:t>表面污染物去除负荷</w:t>
      </w:r>
      <w:r>
        <w:t>应根据出水BOD</w:t>
      </w:r>
      <w:r>
        <w:rPr>
          <w:vertAlign w:val="subscript"/>
        </w:rPr>
        <w:t>5</w:t>
      </w:r>
      <w:r>
        <w:t>浓度以及BOD</w:t>
      </w:r>
      <w:r>
        <w:rPr>
          <w:vertAlign w:val="subscript"/>
        </w:rPr>
        <w:t>5</w:t>
      </w:r>
      <w:r>
        <w:t>去除率要求进行合理取值，15℃时BOD</w:t>
      </w:r>
      <w:r>
        <w:rPr>
          <w:vertAlign w:val="subscript"/>
        </w:rPr>
        <w:t>5</w:t>
      </w:r>
      <w:r>
        <w:t>表面</w:t>
      </w:r>
      <w:r>
        <w:rPr>
          <w:rFonts w:hint="eastAsia"/>
        </w:rPr>
        <w:t>有机</w:t>
      </w:r>
      <w:r>
        <w:t>负荷取值宜</w:t>
      </w:r>
      <w:r>
        <w:rPr>
          <w:rFonts w:hint="eastAsia"/>
        </w:rPr>
        <w:t>符合</w:t>
      </w:r>
      <w:r>
        <w:fldChar w:fldCharType="begin"/>
      </w:r>
      <w:r>
        <w:instrText xml:space="preserve"> </w:instrText>
      </w:r>
      <w:r>
        <w:rPr>
          <w:rFonts w:hint="eastAsia"/>
        </w:rPr>
        <w:instrText xml:space="preserve">REF _Ref117505114 \r \h</w:instrText>
      </w:r>
      <w:r>
        <w:instrText xml:space="preserve"> </w:instrText>
      </w:r>
      <w:r>
        <w:fldChar w:fldCharType="separate"/>
      </w:r>
      <w:r>
        <w:rPr>
          <w:rFonts w:hint="eastAsia"/>
        </w:rPr>
        <w:t>表4.2.3</w:t>
      </w:r>
      <w:r>
        <w:fldChar w:fldCharType="end"/>
      </w:r>
      <w:r>
        <w:rPr>
          <w:rFonts w:hint="eastAsia"/>
        </w:rPr>
        <w:t>的规定。</w:t>
      </w:r>
    </w:p>
    <w:p>
      <w:pPr>
        <w:pStyle w:val="6"/>
        <w:spacing w:before="312"/>
      </w:pPr>
      <w:bookmarkStart w:id="58" w:name="_Ref117505114"/>
      <w:r>
        <w:t>脱碳为主的反应区15℃时BOD</w:t>
      </w:r>
      <w:r>
        <w:rPr>
          <w:vertAlign w:val="subscript"/>
        </w:rPr>
        <w:t>5</w:t>
      </w:r>
      <w:r>
        <w:t>表面</w:t>
      </w:r>
      <w:r>
        <w:rPr>
          <w:rFonts w:hint="eastAsia"/>
        </w:rPr>
        <w:t>有机</w:t>
      </w:r>
      <w:r>
        <w:t>负荷取值</w:t>
      </w:r>
      <w:bookmarkEnd w:id="58"/>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6"/>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000" w:type="pct"/>
            <w:gridSpan w:val="2"/>
            <w:shd w:val="clear" w:color="auto" w:fill="auto"/>
            <w:vAlign w:val="center"/>
          </w:tcPr>
          <w:p>
            <w:pPr>
              <w:pStyle w:val="52"/>
            </w:pPr>
            <w:r>
              <w:rPr>
                <w:rFonts w:hint="eastAsia"/>
              </w:rPr>
              <w:t>一般规定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7" w:type="pct"/>
            <w:shd w:val="clear" w:color="auto" w:fill="auto"/>
            <w:vAlign w:val="center"/>
          </w:tcPr>
          <w:p>
            <w:pPr>
              <w:pStyle w:val="52"/>
            </w:pPr>
            <w:r>
              <w:rPr>
                <w:rFonts w:hint="eastAsia"/>
              </w:rPr>
              <w:t>B</w:t>
            </w:r>
            <w:r>
              <w:t>OD</w:t>
            </w:r>
            <w:r>
              <w:rPr>
                <w:vertAlign w:val="subscript"/>
              </w:rPr>
              <w:t>5</w:t>
            </w:r>
            <w:r>
              <w:rPr>
                <w:rFonts w:hint="eastAsia"/>
              </w:rPr>
              <w:t>去除率（%）</w:t>
            </w:r>
          </w:p>
        </w:tc>
        <w:tc>
          <w:tcPr>
            <w:tcW w:w="2333" w:type="pct"/>
            <w:shd w:val="clear" w:color="auto" w:fill="auto"/>
            <w:vAlign w:val="center"/>
          </w:tcPr>
          <w:p>
            <w:pPr>
              <w:pStyle w:val="52"/>
            </w:pPr>
            <w:r>
              <w:rPr>
                <w:rFonts w:hint="eastAsia"/>
              </w:rPr>
              <w:t>BOD</w:t>
            </w:r>
            <w:r>
              <w:rPr>
                <w:vertAlign w:val="subscript"/>
              </w:rPr>
              <w:t>5</w:t>
            </w:r>
            <w:r>
              <w:rPr>
                <w:rFonts w:hint="eastAsia"/>
              </w:rPr>
              <w:t>表面有机负荷</w:t>
            </w:r>
            <w:r>
              <w:t>[gBOD</w:t>
            </w:r>
            <w:r>
              <w:rPr>
                <w:vertAlign w:val="subscript"/>
              </w:rPr>
              <w:t>5</w:t>
            </w:r>
            <w:r>
              <w:t>/(m</w:t>
            </w:r>
            <w:r>
              <w:rPr>
                <w:vertAlign w:val="superscript"/>
              </w:rPr>
              <w:t>2</w:t>
            </w:r>
            <w: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7" w:type="pct"/>
            <w:shd w:val="clear" w:color="auto" w:fill="auto"/>
            <w:vAlign w:val="center"/>
          </w:tcPr>
          <w:p>
            <w:pPr>
              <w:pStyle w:val="52"/>
            </w:pPr>
            <w:r>
              <w:rPr>
                <w:rFonts w:hint="eastAsia"/>
              </w:rPr>
              <w:t>＜80</w:t>
            </w:r>
          </w:p>
        </w:tc>
        <w:tc>
          <w:tcPr>
            <w:tcW w:w="2333" w:type="pct"/>
            <w:shd w:val="clear" w:color="auto" w:fill="auto"/>
            <w:vAlign w:val="center"/>
          </w:tcPr>
          <w:p>
            <w:pPr>
              <w:pStyle w:val="52"/>
            </w:pPr>
            <w:r>
              <w:t>6.0</w:t>
            </w:r>
            <w:r>
              <w:rPr>
                <w:rFonts w:hint="eastAsia"/>
              </w:rPr>
              <w:t>~</w:t>
            </w:r>
            <w: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7" w:type="pct"/>
            <w:shd w:val="clear" w:color="auto" w:fill="auto"/>
            <w:vAlign w:val="center"/>
          </w:tcPr>
          <w:p>
            <w:pPr>
              <w:pStyle w:val="52"/>
            </w:pPr>
            <w:r>
              <w:rPr>
                <w:rFonts w:hint="eastAsia"/>
              </w:rPr>
              <w:t>≥</w:t>
            </w:r>
            <w:r>
              <w:t>8</w:t>
            </w:r>
            <w:r>
              <w:rPr>
                <w:rFonts w:hint="eastAsia"/>
              </w:rPr>
              <w:t>0</w:t>
            </w:r>
          </w:p>
        </w:tc>
        <w:tc>
          <w:tcPr>
            <w:tcW w:w="2333" w:type="pct"/>
            <w:shd w:val="clear" w:color="auto" w:fill="auto"/>
            <w:vAlign w:val="center"/>
          </w:tcPr>
          <w:p>
            <w:pPr>
              <w:pStyle w:val="52"/>
            </w:pPr>
            <w:r>
              <w:t>1.5</w:t>
            </w:r>
            <w:r>
              <w:rPr>
                <w:rFonts w:hint="eastAsia"/>
              </w:rPr>
              <w:t>~1</w:t>
            </w: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shd w:val="clear" w:color="auto" w:fill="auto"/>
            <w:vAlign w:val="center"/>
          </w:tcPr>
          <w:p>
            <w:pPr>
              <w:pStyle w:val="52"/>
            </w:pPr>
            <w:r>
              <w:rPr>
                <w:rFonts w:hint="eastAsia"/>
              </w:rPr>
              <w:t>特殊规定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667" w:type="pct"/>
            <w:shd w:val="clear" w:color="auto" w:fill="auto"/>
            <w:vAlign w:val="center"/>
          </w:tcPr>
          <w:p>
            <w:pPr>
              <w:pStyle w:val="52"/>
            </w:pPr>
            <w:r>
              <w:rPr>
                <w:rFonts w:hint="eastAsia"/>
              </w:rPr>
              <w:t>微污染水或含生物抑制性污水</w:t>
            </w:r>
          </w:p>
        </w:tc>
        <w:tc>
          <w:tcPr>
            <w:tcW w:w="2333" w:type="pct"/>
            <w:shd w:val="clear" w:color="auto" w:fill="auto"/>
            <w:vAlign w:val="center"/>
          </w:tcPr>
          <w:p>
            <w:pPr>
              <w:pStyle w:val="52"/>
            </w:pPr>
            <w:r>
              <w:t>0.8</w:t>
            </w:r>
            <w:r>
              <w:rPr>
                <w:rFonts w:hint="eastAsia"/>
              </w:rPr>
              <w:t>~5</w:t>
            </w:r>
            <w:r>
              <w:t>.0</w:t>
            </w:r>
          </w:p>
        </w:tc>
      </w:tr>
    </w:tbl>
    <w:p>
      <w:pPr>
        <w:pStyle w:val="49"/>
        <w:spacing w:before="156" w:after="156"/>
      </w:pPr>
      <w:r>
        <w:rPr>
          <w:rFonts w:hint="eastAsia"/>
        </w:rPr>
        <w:t>对于以硝化为主的反应区，</w:t>
      </w:r>
      <w:r>
        <w:t>B段表面污染物去除负荷应根据出水氨氮浓度、好氧区有机物负荷以及氨氮去除率等进行合理取值</w:t>
      </w:r>
      <w:r>
        <w:rPr>
          <w:rFonts w:hint="eastAsia"/>
        </w:rPr>
        <w:t>，</w:t>
      </w:r>
      <w:r>
        <w:t>15℃时</w:t>
      </w:r>
      <w:r>
        <w:rPr>
          <w:rFonts w:hint="eastAsia"/>
        </w:rPr>
        <w:t>表面硝化</w:t>
      </w:r>
      <w:r>
        <w:t>负荷取值</w:t>
      </w:r>
      <w:r>
        <w:rPr>
          <w:rFonts w:hint="eastAsia"/>
        </w:rPr>
        <w:t>宜符合</w:t>
      </w:r>
      <w:r>
        <w:fldChar w:fldCharType="begin"/>
      </w:r>
      <w:r>
        <w:instrText xml:space="preserve"> </w:instrText>
      </w:r>
      <w:r>
        <w:rPr>
          <w:rFonts w:hint="eastAsia"/>
        </w:rPr>
        <w:instrText xml:space="preserve">REF _Ref117505129 \r \h</w:instrText>
      </w:r>
      <w:r>
        <w:instrText xml:space="preserve"> </w:instrText>
      </w:r>
      <w:r>
        <w:fldChar w:fldCharType="separate"/>
      </w:r>
      <w:r>
        <w:rPr>
          <w:rFonts w:hint="eastAsia"/>
        </w:rPr>
        <w:t>表4.2.4</w:t>
      </w:r>
      <w:r>
        <w:fldChar w:fldCharType="end"/>
      </w:r>
      <w:r>
        <w:rPr>
          <w:rFonts w:hint="eastAsia"/>
        </w:rPr>
        <w:t>的规定。</w:t>
      </w:r>
    </w:p>
    <w:p>
      <w:pPr>
        <w:pStyle w:val="6"/>
        <w:spacing w:before="312"/>
      </w:pPr>
      <w:bookmarkStart w:id="59" w:name="_Ref117505129"/>
      <w:r>
        <w:t>以硝化为主的反应区15℃时</w:t>
      </w:r>
      <w:r>
        <w:rPr>
          <w:rFonts w:hint="eastAsia"/>
        </w:rPr>
        <w:t>表面硝化</w:t>
      </w:r>
      <w:r>
        <w:t>负荷取值</w:t>
      </w:r>
      <w:bookmarkEnd w:id="59"/>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7"/>
        <w:gridCol w:w="4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8110" w:type="dxa"/>
            <w:gridSpan w:val="2"/>
            <w:vAlign w:val="center"/>
          </w:tcPr>
          <w:p>
            <w:pPr>
              <w:pStyle w:val="52"/>
            </w:pPr>
            <w:r>
              <w:t>一般规定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7" w:type="dxa"/>
            <w:vAlign w:val="center"/>
          </w:tcPr>
          <w:p>
            <w:pPr>
              <w:pStyle w:val="52"/>
            </w:pPr>
            <w:r>
              <w:rPr>
                <w:rFonts w:hint="eastAsia"/>
              </w:rPr>
              <w:t>氨氮去除率（%）</w:t>
            </w:r>
          </w:p>
        </w:tc>
        <w:tc>
          <w:tcPr>
            <w:tcW w:w="4133" w:type="dxa"/>
            <w:vAlign w:val="center"/>
          </w:tcPr>
          <w:p>
            <w:pPr>
              <w:pStyle w:val="52"/>
            </w:pPr>
            <w:r>
              <w:rPr>
                <w:rFonts w:hint="eastAsia"/>
              </w:rPr>
              <w:t>表面硝化负荷</w:t>
            </w:r>
            <w:r>
              <w:t>[gNH</w:t>
            </w:r>
            <w:r>
              <w:rPr>
                <w:vertAlign w:val="subscript"/>
              </w:rPr>
              <w:t>4</w:t>
            </w:r>
            <w:r>
              <w:rPr>
                <w:vertAlign w:val="superscript"/>
              </w:rPr>
              <w:t>+</w:t>
            </w:r>
            <w:r>
              <w:t>-N/(m</w:t>
            </w:r>
            <w:r>
              <w:rPr>
                <w:vertAlign w:val="superscript"/>
              </w:rPr>
              <w:t>2</w:t>
            </w:r>
            <w: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7" w:type="dxa"/>
            <w:vAlign w:val="center"/>
          </w:tcPr>
          <w:p>
            <w:pPr>
              <w:pStyle w:val="52"/>
            </w:pPr>
            <w:r>
              <w:rPr>
                <w:rFonts w:hint="eastAsia"/>
              </w:rPr>
              <w:t>＜</w:t>
            </w:r>
            <w:r>
              <w:t>85</w:t>
            </w:r>
          </w:p>
        </w:tc>
        <w:tc>
          <w:tcPr>
            <w:tcW w:w="4133" w:type="dxa"/>
            <w:vAlign w:val="center"/>
          </w:tcPr>
          <w:p>
            <w:pPr>
              <w:pStyle w:val="52"/>
            </w:pPr>
            <w:r>
              <w:rPr>
                <w:rFonts w:hint="eastAsia"/>
              </w:rPr>
              <w:t>0.</w:t>
            </w:r>
            <w:r>
              <w:t>14</w:t>
            </w:r>
            <w:r>
              <w:rPr>
                <w:rFonts w:hint="eastAsia"/>
              </w:rPr>
              <w:t>~</w:t>
            </w:r>
            <w: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7" w:type="dxa"/>
            <w:vAlign w:val="center"/>
          </w:tcPr>
          <w:p>
            <w:pPr>
              <w:pStyle w:val="52"/>
            </w:pPr>
            <w:r>
              <w:rPr>
                <w:rFonts w:hint="eastAsia"/>
              </w:rPr>
              <w:t>≥</w:t>
            </w:r>
            <w:r>
              <w:t>85</w:t>
            </w:r>
          </w:p>
        </w:tc>
        <w:tc>
          <w:tcPr>
            <w:tcW w:w="4133" w:type="dxa"/>
            <w:vAlign w:val="center"/>
          </w:tcPr>
          <w:p>
            <w:pPr>
              <w:pStyle w:val="52"/>
            </w:pPr>
            <w:r>
              <w:rPr>
                <w:rFonts w:hint="eastAsia"/>
              </w:rPr>
              <w:t>0.1</w:t>
            </w:r>
            <w:r>
              <w:t>2</w:t>
            </w:r>
            <w:r>
              <w:rPr>
                <w:rFonts w:hint="eastAsia"/>
              </w:rPr>
              <w:t>~</w:t>
            </w:r>
            <w: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0" w:type="dxa"/>
            <w:gridSpan w:val="2"/>
            <w:vAlign w:val="center"/>
          </w:tcPr>
          <w:p>
            <w:pPr>
              <w:pStyle w:val="52"/>
            </w:pPr>
            <w:r>
              <w:rPr>
                <w:rFonts w:hint="eastAsia"/>
              </w:rPr>
              <w:t>特殊规定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7" w:type="dxa"/>
            <w:vAlign w:val="center"/>
          </w:tcPr>
          <w:p>
            <w:pPr>
              <w:pStyle w:val="52"/>
            </w:pPr>
            <w:r>
              <w:rPr>
                <w:rFonts w:hint="eastAsia"/>
              </w:rPr>
              <w:t>微污染水或含生物抑制性污水</w:t>
            </w:r>
          </w:p>
        </w:tc>
        <w:tc>
          <w:tcPr>
            <w:tcW w:w="4133" w:type="dxa"/>
            <w:vAlign w:val="center"/>
          </w:tcPr>
          <w:p>
            <w:pPr>
              <w:pStyle w:val="52"/>
            </w:pPr>
            <w:r>
              <w:rPr>
                <w:rFonts w:hint="eastAsia"/>
              </w:rPr>
              <w:t>0.0</w:t>
            </w:r>
            <w:r>
              <w:t>15</w:t>
            </w:r>
            <w:r>
              <w:rPr>
                <w:rFonts w:hint="eastAsia"/>
              </w:rPr>
              <w:t>~0.3</w:t>
            </w:r>
            <w:r>
              <w:t>00</w:t>
            </w:r>
          </w:p>
        </w:tc>
      </w:tr>
    </w:tbl>
    <w:p>
      <w:pPr>
        <w:pStyle w:val="49"/>
        <w:spacing w:before="156" w:after="156"/>
      </w:pPr>
      <w:bookmarkStart w:id="60" w:name="_Toc110503887"/>
      <w:r>
        <w:t>对于以反硝化为</w:t>
      </w:r>
      <w:bookmarkEnd w:id="60"/>
      <w:r>
        <w:t>主的反应区，B段表面污染物去除负荷应根据进水C/N、出水硝氮浓度、是否外投碳源等进行合理取值，15℃时</w:t>
      </w:r>
      <w:r>
        <w:rPr>
          <w:rFonts w:hint="eastAsia"/>
        </w:rPr>
        <w:t>表面反硝化</w:t>
      </w:r>
      <w:r>
        <w:t>负荷取值</w:t>
      </w:r>
      <w:r>
        <w:rPr>
          <w:rFonts w:hint="eastAsia"/>
        </w:rPr>
        <w:t>宜符合</w:t>
      </w:r>
      <w:r>
        <w:fldChar w:fldCharType="begin"/>
      </w:r>
      <w:r>
        <w:instrText xml:space="preserve"> </w:instrText>
      </w:r>
      <w:r>
        <w:rPr>
          <w:rFonts w:hint="eastAsia"/>
        </w:rPr>
        <w:instrText xml:space="preserve">REF _Ref117503810 \r \h</w:instrText>
      </w:r>
      <w:r>
        <w:instrText xml:space="preserve"> </w:instrText>
      </w:r>
      <w:r>
        <w:fldChar w:fldCharType="separate"/>
      </w:r>
      <w:r>
        <w:rPr>
          <w:rFonts w:hint="eastAsia"/>
        </w:rPr>
        <w:t>表4.2.5</w:t>
      </w:r>
      <w:r>
        <w:fldChar w:fldCharType="end"/>
      </w:r>
      <w:r>
        <w:rPr>
          <w:rFonts w:hint="eastAsia"/>
        </w:rPr>
        <w:t>的规定。</w:t>
      </w:r>
    </w:p>
    <w:p>
      <w:pPr>
        <w:pStyle w:val="6"/>
        <w:spacing w:before="312"/>
      </w:pPr>
      <w:bookmarkStart w:id="61" w:name="_Ref117503810"/>
      <w:r>
        <w:t>以反硝化为主的反应区15℃时</w:t>
      </w:r>
      <w:r>
        <w:rPr>
          <w:rFonts w:hint="eastAsia"/>
        </w:rPr>
        <w:t>表面反硝化</w:t>
      </w:r>
      <w:r>
        <w:t>负荷取值</w:t>
      </w:r>
      <w:bookmarkEnd w:id="61"/>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7"/>
        <w:gridCol w:w="4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7" w:type="dxa"/>
            <w:shd w:val="clear" w:color="auto" w:fill="auto"/>
            <w:vAlign w:val="center"/>
          </w:tcPr>
          <w:p>
            <w:pPr>
              <w:pStyle w:val="52"/>
            </w:pPr>
            <w:r>
              <w:rPr>
                <w:rFonts w:hint="eastAsia"/>
              </w:rPr>
              <w:t>脱氮区域</w:t>
            </w:r>
          </w:p>
        </w:tc>
        <w:tc>
          <w:tcPr>
            <w:tcW w:w="4133" w:type="dxa"/>
            <w:shd w:val="clear" w:color="auto" w:fill="auto"/>
            <w:vAlign w:val="center"/>
          </w:tcPr>
          <w:p>
            <w:pPr>
              <w:pStyle w:val="52"/>
            </w:pPr>
            <w:r>
              <w:rPr>
                <w:rFonts w:hint="eastAsia"/>
              </w:rPr>
              <w:t>表面反硝化负荷</w:t>
            </w:r>
            <w:r>
              <w:t>[g</w:t>
            </w:r>
            <w:r>
              <w:rPr>
                <w:rFonts w:hint="eastAsia"/>
              </w:rPr>
              <w:t>NO</w:t>
            </w:r>
            <w:r>
              <w:rPr>
                <w:rFonts w:hint="eastAsia"/>
                <w:vertAlign w:val="subscript"/>
              </w:rPr>
              <w:t>x</w:t>
            </w:r>
            <w:r>
              <w:rPr>
                <w:vertAlign w:val="superscript"/>
              </w:rPr>
              <w:t>-</w:t>
            </w:r>
            <w:r>
              <w:t>-N/(m</w:t>
            </w:r>
            <w:r>
              <w:rPr>
                <w:vertAlign w:val="superscript"/>
              </w:rPr>
              <w:t>2</w:t>
            </w:r>
            <w:r>
              <w:t>·</w:t>
            </w:r>
            <w:r>
              <w:rPr>
                <w:rFonts w:hint="eastAsia"/>
              </w:rPr>
              <w:t>d)</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7" w:type="dxa"/>
            <w:shd w:val="clear" w:color="auto" w:fill="auto"/>
            <w:vAlign w:val="center"/>
          </w:tcPr>
          <w:p>
            <w:pPr>
              <w:pStyle w:val="52"/>
            </w:pPr>
            <w:r>
              <w:rPr>
                <w:rFonts w:hint="eastAsia"/>
              </w:rPr>
              <w:t>一般反硝化区</w:t>
            </w:r>
          </w:p>
        </w:tc>
        <w:tc>
          <w:tcPr>
            <w:tcW w:w="4133" w:type="dxa"/>
            <w:shd w:val="clear" w:color="auto" w:fill="auto"/>
            <w:vAlign w:val="center"/>
          </w:tcPr>
          <w:p>
            <w:pPr>
              <w:pStyle w:val="52"/>
            </w:pPr>
            <w:r>
              <w:rPr>
                <w:rFonts w:hint="eastAsia"/>
              </w:rPr>
              <w:t>0.10~1.00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7" w:type="dxa"/>
            <w:shd w:val="clear" w:color="auto" w:fill="auto"/>
            <w:vAlign w:val="center"/>
          </w:tcPr>
          <w:p>
            <w:pPr>
              <w:pStyle w:val="52"/>
            </w:pPr>
            <w:r>
              <w:rPr>
                <w:rFonts w:hint="eastAsia"/>
              </w:rPr>
              <w:t>外投碳源反硝化区</w:t>
            </w:r>
          </w:p>
        </w:tc>
        <w:tc>
          <w:tcPr>
            <w:tcW w:w="4133" w:type="dxa"/>
            <w:shd w:val="clear" w:color="auto" w:fill="auto"/>
            <w:vAlign w:val="center"/>
          </w:tcPr>
          <w:p>
            <w:pPr>
              <w:pStyle w:val="52"/>
            </w:pPr>
            <w:r>
              <w:rPr>
                <w:rFonts w:hint="eastAsia"/>
              </w:rPr>
              <w:t>0.25~2.5</w:t>
            </w:r>
            <w:r>
              <w:t>0</w:t>
            </w:r>
          </w:p>
        </w:tc>
      </w:tr>
    </w:tbl>
    <w:p>
      <w:pPr>
        <w:pStyle w:val="49"/>
        <w:spacing w:before="156" w:after="156"/>
      </w:pPr>
      <w:bookmarkStart w:id="62" w:name="_Ref109489367"/>
      <w:r>
        <w:rPr>
          <w:rFonts w:hint="eastAsia"/>
        </w:rPr>
        <w:t>B段各反应区填充率不应大于67%，不宜低于25%，宜为4</w:t>
      </w:r>
      <w:r>
        <w:t>0</w:t>
      </w:r>
      <w:r>
        <w:rPr>
          <w:rFonts w:hint="eastAsia"/>
        </w:rPr>
        <w:t>%~67%。</w:t>
      </w:r>
      <w:bookmarkEnd w:id="62"/>
    </w:p>
    <w:p>
      <w:pPr>
        <w:pStyle w:val="49"/>
        <w:spacing w:before="156" w:after="156"/>
        <w:jc w:val="left"/>
      </w:pPr>
      <w:bookmarkStart w:id="63" w:name="_Ref120090351"/>
      <w:r>
        <w:rPr>
          <w:rFonts w:hint="eastAsia"/>
        </w:rPr>
        <w:t>悬浮载体投加应按堆积体积核算，投加量应按下式计算：</w:t>
      </w:r>
      <w:bookmarkEnd w:id="63"/>
      <w:r>
        <w:rPr>
          <w:rFonts w:ascii="Cambria Math" w:hAnsi="Cambria Math"/>
          <w:i/>
        </w:rPr>
        <w:t xml:space="preserve"> </w:t>
      </w:r>
    </w:p>
    <w:p>
      <w:pPr>
        <w:pStyle w:val="49"/>
        <w:numPr>
          <w:ilvl w:val="0"/>
          <w:numId w:val="0"/>
        </w:numPr>
        <w:spacing w:before="156" w:after="156"/>
        <w:jc w:val="right"/>
      </w:pPr>
      <m:oMath>
        <m:r>
          <m:rPr>
            <m:sty m:val="bi"/>
          </m:rPr>
          <w:rPr>
            <w:rFonts w:ascii="Cambria Math" w:hAnsi="Cambria Math"/>
          </w:rPr>
          <m:t>BV=</m:t>
        </m:r>
        <m:f>
          <m:fPr>
            <m:ctrlPr>
              <w:rPr>
                <w:rFonts w:ascii="Cambria Math" w:hAnsi="Cambria Math"/>
                <w:bCs/>
                <w:i/>
              </w:rPr>
            </m:ctrlPr>
          </m:fPr>
          <m:num>
            <m:r>
              <m:rPr>
                <m:sty m:val="bi"/>
              </m:rPr>
              <w:rPr>
                <w:rFonts w:ascii="Cambria Math" w:hAnsi="Cambria Math"/>
              </w:rPr>
              <m:t>Q</m:t>
            </m:r>
            <m:r>
              <m:rPr>
                <m:sty m:val="bi"/>
              </m:rPr>
              <w:rPr>
                <w:rFonts w:hint="eastAsia" w:ascii="Cambria Math" w:hAnsi="Cambria Math"/>
              </w:rPr>
              <m:t>×</m:t>
            </m:r>
            <m:r>
              <m:rPr>
                <m:sty m:val="bi"/>
              </m:rPr>
              <w:rPr>
                <w:rFonts w:ascii="Cambria Math" w:hAnsi="Cambria Math"/>
              </w:rPr>
              <m:t>(</m:t>
            </m:r>
            <m:sSub>
              <m:sSubPr>
                <m:ctrlPr>
                  <w:rPr>
                    <w:rFonts w:ascii="Cambria Math" w:hAnsi="Cambria Math"/>
                    <w:i/>
                  </w:rPr>
                </m:ctrlPr>
              </m:sSubPr>
              <m:e>
                <m:r>
                  <m:rPr>
                    <m:sty m:val="bi"/>
                  </m:rPr>
                  <w:rPr>
                    <w:rFonts w:ascii="Cambria Math" w:hAnsi="Cambria Math"/>
                  </w:rPr>
                  <m:t>X</m:t>
                </m:r>
                <m:ctrlPr>
                  <w:rPr>
                    <w:rFonts w:ascii="Cambria Math" w:hAnsi="Cambria Math"/>
                    <w:i/>
                  </w:rPr>
                </m:ctrlPr>
              </m:e>
              <m:sub>
                <m:r>
                  <m:rPr>
                    <m:sty m:val="bi"/>
                  </m:rPr>
                  <w:rPr>
                    <w:rFonts w:ascii="Cambria Math" w:hAnsi="Cambria Math"/>
                  </w:rPr>
                  <m:t>0</m:t>
                </m:r>
                <m:ctrlPr>
                  <w:rPr>
                    <w:rFonts w:ascii="Cambria Math" w:hAnsi="Cambria Math"/>
                    <w:i/>
                  </w:rPr>
                </m:ctrlP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X</m:t>
                </m:r>
                <m:ctrlPr>
                  <w:rPr>
                    <w:rFonts w:ascii="Cambria Math" w:hAnsi="Cambria Math"/>
                    <w:i/>
                  </w:rPr>
                </m:ctrlPr>
              </m:e>
              <m:sub>
                <m:r>
                  <m:rPr>
                    <m:sty m:val="bi"/>
                  </m:rPr>
                  <w:rPr>
                    <w:rFonts w:hint="eastAsia" w:ascii="Cambria Math" w:hAnsi="Cambria Math"/>
                  </w:rPr>
                  <m:t>e</m:t>
                </m:r>
                <m:ctrlPr>
                  <w:rPr>
                    <w:rFonts w:ascii="Cambria Math" w:hAnsi="Cambria Math"/>
                    <w:i/>
                  </w:rPr>
                </m:ctrlPr>
              </m:sub>
            </m:sSub>
            <m:r>
              <m:rPr>
                <m:sty m:val="bi"/>
              </m:rPr>
              <w:rPr>
                <w:rFonts w:ascii="Cambria Math" w:hAnsi="Cambria Math"/>
              </w:rPr>
              <m:t>)</m:t>
            </m:r>
            <m:ctrlPr>
              <w:rPr>
                <w:rFonts w:ascii="Cambria Math" w:hAnsi="Cambria Math"/>
                <w:bCs/>
                <w:i/>
              </w:rPr>
            </m:ctrlPr>
          </m:num>
          <m:den>
            <m:sSub>
              <m:sSubPr>
                <m:ctrlPr>
                  <w:rPr>
                    <w:rFonts w:ascii="Cambria Math" w:hAnsi="Cambria Math"/>
                    <w:bCs/>
                    <w:i/>
                  </w:rPr>
                </m:ctrlPr>
              </m:sSubPr>
              <m:e>
                <m:r>
                  <m:rPr>
                    <m:sty m:val="bi"/>
                  </m:rPr>
                  <w:rPr>
                    <w:rFonts w:ascii="Cambria Math" w:hAnsi="Cambria Math"/>
                  </w:rPr>
                  <m:t>L</m:t>
                </m:r>
                <m:ctrlPr>
                  <w:rPr>
                    <w:rFonts w:ascii="Cambria Math" w:hAnsi="Cambria Math"/>
                    <w:bCs/>
                    <w:i/>
                  </w:rPr>
                </m:ctrlPr>
              </m:e>
              <m:sub>
                <m:r>
                  <m:rPr>
                    <m:sty m:val="bi"/>
                  </m:rPr>
                  <w:rPr>
                    <w:rFonts w:ascii="Cambria Math" w:hAnsi="Cambria Math"/>
                  </w:rPr>
                  <m:t>A</m:t>
                </m:r>
                <m:ctrlPr>
                  <w:rPr>
                    <w:rFonts w:ascii="Cambria Math" w:hAnsi="Cambria Math"/>
                    <w:bCs/>
                    <w:i/>
                  </w:rPr>
                </m:ctrlPr>
              </m:sub>
            </m:sSub>
            <m:r>
              <m:rPr>
                <m:sty m:val="bi"/>
              </m:rPr>
              <w:rPr>
                <w:rFonts w:ascii="Cambria Math" w:hAnsi="Cambria Math"/>
              </w:rPr>
              <m:t>×SV</m:t>
            </m:r>
            <m:ctrlPr>
              <w:rPr>
                <w:rFonts w:ascii="Cambria Math" w:hAnsi="Cambria Math"/>
                <w:bCs/>
                <w:i/>
              </w:rPr>
            </m:ctrlPr>
          </m:den>
        </m:f>
      </m:oMath>
      <w:r>
        <w:rPr>
          <w:rFonts w:ascii="Cambria Math" w:hAnsi="Cambria Math"/>
          <w:bCs/>
          <w:i/>
        </w:rPr>
        <w:t xml:space="preserve">                  </w:t>
      </w:r>
      <w:r>
        <w:rPr>
          <w:rFonts w:hint="eastAsia" w:ascii="Cambria Math" w:hAnsi="Cambria Math"/>
          <w:bCs/>
          <w:iCs/>
        </w:rPr>
        <w:t>（4.2.7-1）</w:t>
      </w:r>
    </w:p>
    <w:p>
      <w:pPr>
        <w:pStyle w:val="42"/>
        <w:ind w:firstLine="480"/>
      </w:pPr>
      <w:r>
        <w:rPr>
          <w:rFonts w:hint="eastAsia"/>
        </w:rPr>
        <w:t>式中：</w:t>
      </w:r>
      <w:r>
        <w:rPr>
          <w:rFonts w:hint="eastAsia"/>
          <w:i/>
          <w:iCs/>
        </w:rPr>
        <w:t>BV</w:t>
      </w:r>
      <w:r>
        <w:rPr>
          <w:rFonts w:hint="eastAsia"/>
        </w:rPr>
        <w:tab/>
      </w:r>
      <w:r>
        <w:rPr>
          <w:rFonts w:hint="eastAsia"/>
        </w:rPr>
        <w:t>——</w:t>
      </w:r>
      <w:r>
        <w:rPr>
          <w:rFonts w:hint="eastAsia"/>
        </w:rPr>
        <w:tab/>
      </w:r>
      <w:r>
        <w:rPr>
          <w:rFonts w:hint="eastAsia"/>
        </w:rPr>
        <w:t>悬浮载体堆积体积（</w:t>
      </w:r>
      <w:r>
        <w:rPr>
          <w:rFonts w:hint="eastAsia"/>
          <w:lang w:eastAsia="zh-CN"/>
        </w:rPr>
        <w:t>m³</w:t>
      </w:r>
      <w:r>
        <w:rPr>
          <w:rFonts w:hint="eastAsia"/>
        </w:rPr>
        <w:t>）；</w:t>
      </w:r>
    </w:p>
    <w:p>
      <w:pPr>
        <w:pStyle w:val="42"/>
        <w:ind w:firstLine="1200" w:firstLineChars="500"/>
        <w:rPr>
          <w:iCs/>
        </w:rPr>
      </w:pPr>
      <w:r>
        <w:rPr>
          <w:rFonts w:hint="eastAsia"/>
          <w:iCs/>
        </w:rPr>
        <w:t>Q</w:t>
      </w:r>
      <w:r>
        <w:rPr>
          <w:iCs/>
        </w:rPr>
        <w:tab/>
      </w:r>
      <w:r>
        <w:rPr>
          <w:rFonts w:hint="eastAsia"/>
          <w:iCs/>
        </w:rPr>
        <w:t>——</w:t>
      </w:r>
      <w:r>
        <w:rPr>
          <w:iCs/>
        </w:rPr>
        <w:tab/>
      </w:r>
      <w:r>
        <w:rPr>
          <w:rFonts w:hint="eastAsia"/>
          <w:iCs/>
        </w:rPr>
        <w:t>设计进水水量（</w:t>
      </w:r>
      <w:r>
        <w:rPr>
          <w:rFonts w:hint="eastAsia"/>
          <w:iCs/>
          <w:lang w:eastAsia="zh-CN"/>
        </w:rPr>
        <w:t>m³</w:t>
      </w:r>
      <w:r>
        <w:rPr>
          <w:iCs/>
        </w:rPr>
        <w:t>/</w:t>
      </w:r>
      <w:r>
        <w:rPr>
          <w:rFonts w:hint="eastAsia"/>
          <w:iCs/>
        </w:rPr>
        <w:t>d）；</w:t>
      </w:r>
    </w:p>
    <w:p>
      <w:pPr>
        <w:pStyle w:val="42"/>
        <w:ind w:firstLine="1200" w:firstLineChars="500"/>
        <w:rPr>
          <w:vertAlign w:val="subscript"/>
        </w:rPr>
      </w:pPr>
      <w:r>
        <w:rPr>
          <w:i/>
          <w:iCs/>
        </w:rPr>
        <w:t>X</w:t>
      </w:r>
      <w:r>
        <w:rPr>
          <w:i/>
          <w:iCs/>
          <w:vertAlign w:val="subscript"/>
        </w:rPr>
        <w:t>0</w:t>
      </w:r>
      <w:r>
        <w:rPr>
          <w:i/>
          <w:iCs/>
          <w:vertAlign w:val="subscript"/>
        </w:rPr>
        <w:tab/>
      </w:r>
      <w:r>
        <w:rPr>
          <w:rFonts w:hint="eastAsia"/>
        </w:rPr>
        <w:t>——</w:t>
      </w:r>
      <w:r>
        <w:tab/>
      </w:r>
      <w:r>
        <w:t>B</w:t>
      </w:r>
      <w:r>
        <w:rPr>
          <w:rFonts w:hint="eastAsia"/>
        </w:rPr>
        <w:t>段进水污染物的量（kg/</w:t>
      </w:r>
      <w:r>
        <w:rPr>
          <w:rFonts w:hint="eastAsia"/>
          <w:lang w:eastAsia="zh-CN"/>
        </w:rPr>
        <w:t>m³</w:t>
      </w:r>
      <w:r>
        <w:rPr>
          <w:rFonts w:hint="eastAsia"/>
        </w:rPr>
        <w:t>）；</w:t>
      </w:r>
    </w:p>
    <w:p>
      <w:pPr>
        <w:pStyle w:val="42"/>
        <w:ind w:firstLine="1200" w:firstLineChars="500"/>
      </w:pPr>
      <w:r>
        <w:rPr>
          <w:i/>
          <w:iCs/>
        </w:rPr>
        <w:t>X</w:t>
      </w:r>
      <w:r>
        <w:rPr>
          <w:rFonts w:hint="eastAsia"/>
          <w:i/>
          <w:iCs/>
          <w:vertAlign w:val="subscript"/>
        </w:rPr>
        <w:t>e</w:t>
      </w:r>
      <w:r>
        <w:rPr>
          <w:i/>
          <w:iCs/>
          <w:vertAlign w:val="subscript"/>
        </w:rPr>
        <w:tab/>
      </w:r>
      <w:r>
        <w:rPr>
          <w:rFonts w:hint="eastAsia"/>
        </w:rPr>
        <w:t>——</w:t>
      </w:r>
      <w:r>
        <w:tab/>
      </w:r>
      <w:r>
        <w:rPr>
          <w:rFonts w:hint="eastAsia"/>
        </w:rPr>
        <w:t>B段出水污染物的量（kg/</w:t>
      </w:r>
      <w:r>
        <w:rPr>
          <w:rFonts w:hint="eastAsia"/>
          <w:lang w:eastAsia="zh-CN"/>
        </w:rPr>
        <w:t>m³</w:t>
      </w:r>
      <w:r>
        <w:rPr>
          <w:rFonts w:hint="eastAsia"/>
        </w:rPr>
        <w:t>）；</w:t>
      </w:r>
    </w:p>
    <w:p>
      <w:pPr>
        <w:pStyle w:val="42"/>
        <w:ind w:firstLine="1200" w:firstLineChars="500"/>
      </w:pPr>
      <w:r>
        <w:rPr>
          <w:rFonts w:hint="eastAsia"/>
          <w:i/>
          <w:iCs/>
        </w:rPr>
        <w:t>L</w:t>
      </w:r>
      <w:r>
        <w:rPr>
          <w:rFonts w:hint="eastAsia"/>
          <w:i/>
          <w:iCs/>
          <w:vertAlign w:val="subscript"/>
        </w:rPr>
        <w:t>A</w:t>
      </w:r>
      <w:r>
        <w:rPr>
          <w:rFonts w:hint="eastAsia"/>
        </w:rPr>
        <w:tab/>
      </w:r>
      <w:r>
        <w:rPr>
          <w:rFonts w:hint="eastAsia"/>
        </w:rPr>
        <w:t>——</w:t>
      </w:r>
      <w:r>
        <w:rPr>
          <w:rFonts w:hint="eastAsia"/>
        </w:rPr>
        <w:tab/>
      </w:r>
      <w:r>
        <w:rPr>
          <w:rFonts w:hint="eastAsia"/>
        </w:rPr>
        <w:t>设计表面污染物去除负荷[gX/(m</w:t>
      </w:r>
      <w:r>
        <w:rPr>
          <w:rFonts w:hint="eastAsia"/>
          <w:vertAlign w:val="superscript"/>
        </w:rPr>
        <w:t>2</w:t>
      </w:r>
      <w:r>
        <w:rPr>
          <w:rFonts w:hint="eastAsia"/>
        </w:rPr>
        <w:t>·d)]；</w:t>
      </w:r>
    </w:p>
    <w:p>
      <w:pPr>
        <w:pStyle w:val="42"/>
        <w:ind w:firstLine="1200" w:firstLineChars="500"/>
      </w:pPr>
      <w:r>
        <w:rPr>
          <w:i/>
          <w:iCs/>
        </w:rPr>
        <w:t>SV</w:t>
      </w:r>
      <w:r>
        <w:rPr>
          <w:rFonts w:hint="eastAsia"/>
        </w:rPr>
        <w:t xml:space="preserve"> </w:t>
      </w:r>
      <w:r>
        <w:t xml:space="preserve"> </w:t>
      </w:r>
      <w:r>
        <w:rPr>
          <w:rFonts w:hint="eastAsia"/>
        </w:rPr>
        <w:t>——</w:t>
      </w:r>
      <w:r>
        <w:rPr>
          <w:rFonts w:hint="eastAsia"/>
        </w:rPr>
        <w:tab/>
      </w:r>
      <w:r>
        <w:rPr>
          <w:rFonts w:hint="eastAsia"/>
        </w:rPr>
        <w:t>悬浮载体的有效比表面积（m</w:t>
      </w:r>
      <w:r>
        <w:rPr>
          <w:rFonts w:hint="eastAsia"/>
          <w:vertAlign w:val="superscript"/>
        </w:rPr>
        <w:t>2</w:t>
      </w:r>
      <w:r>
        <w:rPr>
          <w:rFonts w:hint="eastAsia"/>
        </w:rPr>
        <w:t>/</w:t>
      </w:r>
      <w:r>
        <w:rPr>
          <w:rFonts w:hint="eastAsia"/>
          <w:lang w:eastAsia="zh-CN"/>
        </w:rPr>
        <w:t>m³</w:t>
      </w:r>
      <w:r>
        <w:rPr>
          <w:rFonts w:hint="eastAsia"/>
        </w:rPr>
        <w:t>）；</w:t>
      </w:r>
    </w:p>
    <w:p>
      <w:pPr>
        <w:pStyle w:val="49"/>
        <w:spacing w:before="156" w:after="156"/>
      </w:pPr>
      <w:r>
        <w:t>B</w:t>
      </w:r>
      <w:r>
        <w:rPr>
          <w:rFonts w:hint="eastAsia"/>
        </w:rPr>
        <w:t>段各反应区池容应符合以下规定：</w:t>
      </w:r>
    </w:p>
    <w:p>
      <w:pPr>
        <w:pStyle w:val="42"/>
        <w:ind w:firstLine="480"/>
      </w:pPr>
      <w:r>
        <w:rPr>
          <w:rFonts w:hint="eastAsia"/>
        </w:rPr>
        <w:t>1</w:t>
      </w:r>
      <w:r>
        <w:t xml:space="preserve"> </w:t>
      </w:r>
      <w:r>
        <w:rPr>
          <w:rFonts w:hint="eastAsia"/>
        </w:rPr>
        <w:t>对于新建工程，需要综合建设用地合理确定填充率和反应区池容；</w:t>
      </w:r>
    </w:p>
    <w:p>
      <w:pPr>
        <w:pStyle w:val="42"/>
        <w:ind w:firstLine="480"/>
      </w:pPr>
      <w:r>
        <w:rPr>
          <w:rFonts w:hint="eastAsia"/>
        </w:rPr>
        <w:t>2</w:t>
      </w:r>
      <w:r>
        <w:t xml:space="preserve"> </w:t>
      </w:r>
      <w:r>
        <w:rPr>
          <w:rFonts w:hint="eastAsia"/>
        </w:rPr>
        <w:t>对于改建工程，根据各反应区池容，校核填充率，当填充率低于4.2.6规定的最小值要求时，宜缩小投加区域；当填充率高于4.2.6规定的最大值时，宜更换更大的有效比表面积的悬浮载体按</w:t>
      </w:r>
      <w:r>
        <w:fldChar w:fldCharType="begin"/>
      </w:r>
      <w:r>
        <w:instrText xml:space="preserve"> </w:instrText>
      </w:r>
      <w:r>
        <w:rPr>
          <w:rFonts w:hint="eastAsia"/>
        </w:rPr>
        <w:instrText xml:space="preserve">REF _Ref120090351 \r \h</w:instrText>
      </w:r>
      <w:r>
        <w:instrText xml:space="preserve">  \* MERGEFORMAT </w:instrText>
      </w:r>
      <w:r>
        <w:fldChar w:fldCharType="separate"/>
      </w:r>
      <w:r>
        <w:t>4.2.7</w:t>
      </w:r>
      <w:r>
        <w:fldChar w:fldCharType="end"/>
      </w:r>
      <w:r>
        <w:rPr>
          <w:rFonts w:hint="eastAsia"/>
        </w:rPr>
        <w:t>重新核算，满足</w:t>
      </w:r>
      <w:r>
        <w:fldChar w:fldCharType="begin"/>
      </w:r>
      <w:r>
        <w:instrText xml:space="preserve"> </w:instrText>
      </w:r>
      <w:r>
        <w:rPr>
          <w:rFonts w:hint="eastAsia"/>
        </w:rPr>
        <w:instrText xml:space="preserve">REF _Ref109489367 \r \h</w:instrText>
      </w:r>
      <w:r>
        <w:instrText xml:space="preserve">  \* MERGEFORMAT </w:instrText>
      </w:r>
      <w:r>
        <w:fldChar w:fldCharType="separate"/>
      </w:r>
      <w:r>
        <w:t>4.2.6</w:t>
      </w:r>
      <w:r>
        <w:fldChar w:fldCharType="end"/>
      </w:r>
      <w:r>
        <w:rPr>
          <w:rFonts w:hint="eastAsia"/>
        </w:rPr>
        <w:t>规定要求。</w:t>
      </w:r>
    </w:p>
    <w:p>
      <w:pPr>
        <w:pStyle w:val="49"/>
        <w:spacing w:before="156" w:after="156"/>
      </w:pPr>
      <w:r>
        <w:rPr>
          <w:rFonts w:hint="eastAsia"/>
        </w:rPr>
        <w:t>B段各反应区水力停留时间应根据有效池容和水量进行核算，其中最后一级好氧区（O</w:t>
      </w:r>
      <w:r>
        <w:rPr>
          <w:vertAlign w:val="subscript"/>
        </w:rPr>
        <w:t>L</w:t>
      </w:r>
      <w:r>
        <w:rPr>
          <w:rFonts w:hint="eastAsia"/>
        </w:rPr>
        <w:t>）H</w:t>
      </w:r>
      <w:r>
        <w:t>RT</w:t>
      </w:r>
      <w:r>
        <w:rPr>
          <w:rFonts w:hint="eastAsia"/>
        </w:rPr>
        <w:t>不宜小于1</w:t>
      </w:r>
      <w:r>
        <w:t>5</w:t>
      </w:r>
      <w:r>
        <w:rPr>
          <w:rFonts w:hint="eastAsia"/>
        </w:rPr>
        <w:t>min；其余各反应区H</w:t>
      </w:r>
      <w:r>
        <w:t>RT不</w:t>
      </w:r>
      <w:r>
        <w:rPr>
          <w:rFonts w:hint="eastAsia"/>
        </w:rPr>
        <w:t>宜小于</w:t>
      </w:r>
      <w:r>
        <w:t>30min</w:t>
      </w:r>
      <w:r>
        <w:rPr>
          <w:rFonts w:hint="eastAsia"/>
        </w:rPr>
        <w:t>。</w:t>
      </w:r>
    </w:p>
    <w:p>
      <w:pPr>
        <w:pStyle w:val="49"/>
        <w:spacing w:before="156" w:after="156"/>
      </w:pPr>
      <w:r>
        <w:rPr>
          <w:rFonts w:hint="eastAsia"/>
        </w:rPr>
        <w:t>B段各反应器水深不宜超过12m，超高宜为0.5</w:t>
      </w:r>
      <w:r>
        <w:t xml:space="preserve"> </w:t>
      </w:r>
      <w:r>
        <w:rPr>
          <w:rFonts w:hint="eastAsia"/>
        </w:rPr>
        <w:t>m~1</w:t>
      </w:r>
      <w:r>
        <w:t xml:space="preserve">.0 </w:t>
      </w:r>
      <w:r>
        <w:rPr>
          <w:rFonts w:hint="eastAsia"/>
        </w:rPr>
        <w:t>m。</w:t>
      </w:r>
    </w:p>
    <w:p>
      <w:pPr>
        <w:pStyle w:val="49"/>
        <w:spacing w:before="156" w:after="156"/>
      </w:pPr>
      <w:r>
        <w:rPr>
          <w:rFonts w:hint="eastAsia"/>
        </w:rPr>
        <w:t>B段各反应区水平流速不宜大于65</w:t>
      </w:r>
      <w:r>
        <w:t xml:space="preserve"> </w:t>
      </w:r>
      <w:r>
        <w:rPr>
          <w:rFonts w:hint="eastAsia"/>
        </w:rPr>
        <w:t>m/h，采用方形池体时，布水边与非布水边的比宜为1:3~8:1；当不满足此条件时，</w:t>
      </w:r>
      <w:r>
        <w:t>可</w:t>
      </w:r>
      <w:r>
        <w:rPr>
          <w:rFonts w:hint="eastAsia"/>
        </w:rPr>
        <w:t>采用</w:t>
      </w:r>
      <w:r>
        <w:t>增加搅拌器、设置隔墙等确保悬浮载体均匀流化的措施；</w:t>
      </w:r>
      <w:r>
        <w:rPr>
          <w:rFonts w:hint="eastAsia"/>
        </w:rPr>
        <w:t>采用</w:t>
      </w:r>
      <w:r>
        <w:t>圆形池</w:t>
      </w:r>
      <w:r>
        <w:rPr>
          <w:rFonts w:hint="eastAsia"/>
        </w:rPr>
        <w:t>体</w:t>
      </w:r>
      <w:r>
        <w:t>时</w:t>
      </w:r>
      <w:r>
        <w:rPr>
          <w:rFonts w:hint="eastAsia"/>
        </w:rPr>
        <w:t>，</w:t>
      </w:r>
      <w:r>
        <w:t>直径不宜大于50 m。</w:t>
      </w:r>
    </w:p>
    <w:p>
      <w:pPr>
        <w:pStyle w:val="49"/>
        <w:spacing w:before="156" w:after="156"/>
      </w:pPr>
      <w:r>
        <w:rPr>
          <w:rFonts w:hint="eastAsia"/>
        </w:rPr>
        <w:t>B段主要设备材料包括悬浮载体、进出水系统、流化系统等。</w:t>
      </w:r>
    </w:p>
    <w:p>
      <w:pPr>
        <w:pStyle w:val="49"/>
        <w:spacing w:before="156" w:after="156"/>
      </w:pPr>
      <w:r>
        <w:rPr>
          <w:rFonts w:hint="eastAsia"/>
        </w:rPr>
        <w:t>悬浮载体的选取宜满足《水处理用高密度聚乙烯悬浮载体填料》 CJ/T</w:t>
      </w:r>
      <w:r>
        <w:t xml:space="preserve"> </w:t>
      </w:r>
      <w:r>
        <w:rPr>
          <w:rFonts w:hint="eastAsia"/>
        </w:rPr>
        <w:t>461的相关要求，物理性能满足</w:t>
      </w:r>
      <w:r>
        <w:fldChar w:fldCharType="begin"/>
      </w:r>
      <w:r>
        <w:instrText xml:space="preserve"> </w:instrText>
      </w:r>
      <w:r>
        <w:rPr>
          <w:rFonts w:hint="eastAsia"/>
        </w:rPr>
        <w:instrText xml:space="preserve">REF _Ref108381138 \r \h</w:instrText>
      </w:r>
      <w:r>
        <w:instrText xml:space="preserve"> </w:instrText>
      </w:r>
      <w:r>
        <w:fldChar w:fldCharType="separate"/>
      </w:r>
      <w:r>
        <w:rPr>
          <w:rFonts w:hint="eastAsia"/>
        </w:rPr>
        <w:t>表4.2.13</w:t>
      </w:r>
      <w:r>
        <w:fldChar w:fldCharType="end"/>
      </w:r>
      <w:r>
        <w:rPr>
          <w:rFonts w:hint="eastAsia"/>
        </w:rPr>
        <w:t>相关要求。</w:t>
      </w:r>
    </w:p>
    <w:p>
      <w:pPr>
        <w:pStyle w:val="6"/>
        <w:spacing w:before="312"/>
      </w:pPr>
      <w:bookmarkStart w:id="64" w:name="_Ref108381138"/>
      <w:r>
        <w:rPr>
          <w:rFonts w:hint="eastAsia"/>
        </w:rPr>
        <w:t>悬浮载体填料的物理性能</w:t>
      </w:r>
      <w:bookmarkEnd w:id="64"/>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1139"/>
        <w:gridCol w:w="1186"/>
        <w:gridCol w:w="699"/>
        <w:gridCol w:w="1005"/>
        <w:gridCol w:w="920"/>
        <w:gridCol w:w="699"/>
        <w:gridCol w:w="699"/>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0" w:type="auto"/>
            <w:vAlign w:val="center"/>
          </w:tcPr>
          <w:p>
            <w:pPr>
              <w:pStyle w:val="52"/>
            </w:pPr>
            <w:r>
              <w:rPr>
                <w:rFonts w:hint="eastAsia"/>
              </w:rPr>
              <w:t>类别</w:t>
            </w:r>
          </w:p>
        </w:tc>
        <w:tc>
          <w:tcPr>
            <w:tcW w:w="0" w:type="auto"/>
            <w:vAlign w:val="center"/>
          </w:tcPr>
          <w:p>
            <w:pPr>
              <w:pStyle w:val="52"/>
              <w:rPr>
                <w:rFonts w:hint="eastAsia" w:eastAsia="宋体"/>
                <w:lang w:eastAsia="zh-CN"/>
              </w:rPr>
            </w:pPr>
            <w:r>
              <w:rPr>
                <w:rFonts w:hint="eastAsia"/>
              </w:rPr>
              <w:t>有效表面积</w:t>
            </w:r>
          </w:p>
          <w:p>
            <w:pPr>
              <w:pStyle w:val="52"/>
              <w:rPr>
                <w:rFonts w:hint="eastAsia" w:eastAsia="宋体"/>
                <w:lang w:eastAsia="zh-CN"/>
              </w:rPr>
            </w:pPr>
            <w:r>
              <w:rPr>
                <w:rFonts w:hint="eastAsia"/>
              </w:rPr>
              <w:t>m</w:t>
            </w:r>
            <w:r>
              <w:rPr>
                <w:vertAlign w:val="superscript"/>
              </w:rPr>
              <w:t>2</w:t>
            </w:r>
            <w:r>
              <w:t>/</w:t>
            </w:r>
            <w:r>
              <w:rPr>
                <w:rFonts w:hint="eastAsia"/>
                <w:lang w:eastAsia="zh-CN"/>
              </w:rPr>
              <w:t>m³</w:t>
            </w:r>
          </w:p>
        </w:tc>
        <w:tc>
          <w:tcPr>
            <w:tcW w:w="0" w:type="auto"/>
            <w:vAlign w:val="center"/>
          </w:tcPr>
          <w:p>
            <w:pPr>
              <w:pStyle w:val="52"/>
              <w:rPr>
                <w:rFonts w:hint="eastAsia" w:eastAsia="宋体"/>
                <w:lang w:eastAsia="zh-CN"/>
              </w:rPr>
            </w:pPr>
            <w:r>
              <w:rPr>
                <w:rFonts w:hint="eastAsia"/>
              </w:rPr>
              <w:t>填料密度</w:t>
            </w:r>
          </w:p>
          <w:p>
            <w:pPr>
              <w:pStyle w:val="52"/>
              <w:rPr>
                <w:rFonts w:hint="eastAsia" w:eastAsia="宋体"/>
                <w:lang w:eastAsia="zh-CN"/>
              </w:rPr>
            </w:pPr>
            <w:r>
              <w:rPr>
                <w:rFonts w:hint="eastAsia"/>
              </w:rPr>
              <w:t>g</w:t>
            </w:r>
            <w:r>
              <w:t>/</w:t>
            </w:r>
            <w:r>
              <w:rPr>
                <w:rFonts w:hint="eastAsia"/>
              </w:rPr>
              <w:t>c</w:t>
            </w:r>
            <w:r>
              <w:rPr>
                <w:rFonts w:hint="eastAsia"/>
                <w:lang w:eastAsia="zh-CN"/>
              </w:rPr>
              <w:t>m³</w:t>
            </w:r>
          </w:p>
        </w:tc>
        <w:tc>
          <w:tcPr>
            <w:tcW w:w="0" w:type="auto"/>
            <w:vAlign w:val="center"/>
          </w:tcPr>
          <w:p>
            <w:pPr>
              <w:pStyle w:val="52"/>
              <w:rPr>
                <w:rFonts w:hint="eastAsia" w:eastAsia="宋体"/>
                <w:lang w:eastAsia="zh-CN"/>
              </w:rPr>
            </w:pPr>
            <w:r>
              <w:rPr>
                <w:rFonts w:hint="eastAsia"/>
              </w:rPr>
              <w:t>空隙率</w:t>
            </w:r>
          </w:p>
          <w:p>
            <w:pPr>
              <w:pStyle w:val="52"/>
            </w:pPr>
            <w:r>
              <w:rPr>
                <w:rFonts w:hint="eastAsia"/>
              </w:rPr>
              <w:t>%</w:t>
            </w:r>
          </w:p>
        </w:tc>
        <w:tc>
          <w:tcPr>
            <w:tcW w:w="0" w:type="auto"/>
            <w:vAlign w:val="center"/>
          </w:tcPr>
          <w:p>
            <w:pPr>
              <w:pStyle w:val="52"/>
              <w:rPr>
                <w:rFonts w:hint="eastAsia" w:eastAsia="宋体"/>
                <w:lang w:eastAsia="zh-CN"/>
              </w:rPr>
            </w:pPr>
            <w:r>
              <w:rPr>
                <w:rFonts w:hint="eastAsia"/>
              </w:rPr>
              <w:t>抗压强度</w:t>
            </w:r>
          </w:p>
          <w:p>
            <w:pPr>
              <w:pStyle w:val="52"/>
            </w:pPr>
            <w:r>
              <w:rPr>
                <w:rFonts w:hint="eastAsia"/>
              </w:rPr>
              <w:t>N/mm</w:t>
            </w:r>
          </w:p>
        </w:tc>
        <w:tc>
          <w:tcPr>
            <w:tcW w:w="0" w:type="auto"/>
            <w:vAlign w:val="center"/>
          </w:tcPr>
          <w:p>
            <w:pPr>
              <w:pStyle w:val="52"/>
              <w:rPr>
                <w:rFonts w:hint="eastAsia" w:eastAsia="宋体"/>
                <w:lang w:eastAsia="zh-CN"/>
              </w:rPr>
            </w:pPr>
            <w:r>
              <w:rPr>
                <w:rFonts w:hint="eastAsia"/>
              </w:rPr>
              <w:t>压缩回弹</w:t>
            </w:r>
          </w:p>
          <w:p>
            <w:pPr>
              <w:pStyle w:val="52"/>
            </w:pPr>
            <w:r>
              <w:rPr>
                <w:rFonts w:hint="eastAsia"/>
              </w:rPr>
              <w:t>率%</w:t>
            </w:r>
          </w:p>
        </w:tc>
        <w:tc>
          <w:tcPr>
            <w:tcW w:w="0" w:type="auto"/>
            <w:vAlign w:val="center"/>
          </w:tcPr>
          <w:p>
            <w:pPr>
              <w:pStyle w:val="52"/>
              <w:rPr>
                <w:rFonts w:hint="eastAsia" w:eastAsia="宋体"/>
                <w:lang w:eastAsia="zh-CN"/>
              </w:rPr>
            </w:pPr>
            <w:r>
              <w:rPr>
                <w:rFonts w:hint="eastAsia"/>
              </w:rPr>
              <w:t>磨损率</w:t>
            </w:r>
          </w:p>
          <w:p>
            <w:pPr>
              <w:pStyle w:val="52"/>
            </w:pPr>
            <w:r>
              <w:rPr>
                <w:rFonts w:hint="eastAsia"/>
              </w:rPr>
              <w:t>%</w:t>
            </w:r>
          </w:p>
        </w:tc>
        <w:tc>
          <w:tcPr>
            <w:tcW w:w="0" w:type="auto"/>
            <w:vAlign w:val="center"/>
          </w:tcPr>
          <w:p>
            <w:pPr>
              <w:pStyle w:val="52"/>
              <w:rPr>
                <w:rFonts w:hint="eastAsia" w:eastAsia="宋体"/>
                <w:lang w:eastAsia="zh-CN"/>
              </w:rPr>
            </w:pPr>
            <w:r>
              <w:rPr>
                <w:rFonts w:hint="eastAsia"/>
              </w:rPr>
              <w:t>破损率</w:t>
            </w:r>
          </w:p>
          <w:p>
            <w:pPr>
              <w:pStyle w:val="52"/>
            </w:pPr>
            <w:r>
              <w:rPr>
                <w:rFonts w:hint="eastAsia"/>
              </w:rPr>
              <w:t>%</w:t>
            </w:r>
          </w:p>
        </w:tc>
        <w:tc>
          <w:tcPr>
            <w:tcW w:w="0" w:type="auto"/>
            <w:vAlign w:val="center"/>
          </w:tcPr>
          <w:p>
            <w:pPr>
              <w:pStyle w:val="52"/>
            </w:pPr>
            <w:r>
              <w:rPr>
                <w:rFonts w:hint="eastAsia"/>
              </w:rPr>
              <w:t>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0" w:type="auto"/>
            <w:vMerge w:val="restart"/>
            <w:vAlign w:val="center"/>
          </w:tcPr>
          <w:p>
            <w:pPr>
              <w:pStyle w:val="52"/>
            </w:pPr>
            <w:r>
              <w:rPr>
                <w:rFonts w:hint="eastAsia"/>
              </w:rPr>
              <w:t>A类填料</w:t>
            </w:r>
          </w:p>
        </w:tc>
        <w:tc>
          <w:tcPr>
            <w:tcW w:w="0" w:type="auto"/>
            <w:vAlign w:val="center"/>
          </w:tcPr>
          <w:p>
            <w:pPr>
              <w:pStyle w:val="52"/>
            </w:pPr>
            <w:r>
              <w:rPr>
                <w:rFonts w:hint="eastAsia"/>
              </w:rPr>
              <w:t>3</w:t>
            </w:r>
            <w:r>
              <w:t>50</w:t>
            </w:r>
          </w:p>
        </w:tc>
        <w:tc>
          <w:tcPr>
            <w:tcW w:w="0" w:type="auto"/>
            <w:vAlign w:val="center"/>
          </w:tcPr>
          <w:p>
            <w:pPr>
              <w:pStyle w:val="52"/>
            </w:pPr>
            <w:r>
              <w:rPr>
                <w:rFonts w:hint="eastAsia"/>
              </w:rPr>
              <w:t>0</w:t>
            </w:r>
            <w:r>
              <w:t>.94~0.97</w:t>
            </w:r>
          </w:p>
        </w:tc>
        <w:tc>
          <w:tcPr>
            <w:tcW w:w="0" w:type="auto"/>
            <w:vAlign w:val="center"/>
          </w:tcPr>
          <w:p>
            <w:pPr>
              <w:pStyle w:val="52"/>
            </w:pPr>
            <w:r>
              <w:rPr>
                <w:rFonts w:hint="eastAsia"/>
              </w:rPr>
              <w:t>9</w:t>
            </w:r>
            <w:r>
              <w:t>0</w:t>
            </w:r>
          </w:p>
        </w:tc>
        <w:tc>
          <w:tcPr>
            <w:tcW w:w="0" w:type="auto"/>
            <w:vAlign w:val="center"/>
          </w:tcPr>
          <w:p>
            <w:pPr>
              <w:pStyle w:val="52"/>
            </w:pPr>
            <w:r>
              <w:rPr>
                <w:rFonts w:hint="eastAsia"/>
              </w:rPr>
              <w:t>-</w:t>
            </w:r>
          </w:p>
        </w:tc>
        <w:tc>
          <w:tcPr>
            <w:tcW w:w="0" w:type="auto"/>
            <w:vAlign w:val="center"/>
          </w:tcPr>
          <w:p>
            <w:pPr>
              <w:pStyle w:val="52"/>
            </w:pPr>
            <w:r>
              <w:rPr>
                <w:rFonts w:hint="eastAsia"/>
              </w:rPr>
              <w:t>-</w:t>
            </w:r>
          </w:p>
        </w:tc>
        <w:tc>
          <w:tcPr>
            <w:tcW w:w="0" w:type="auto"/>
            <w:vAlign w:val="center"/>
          </w:tcPr>
          <w:p>
            <w:pPr>
              <w:pStyle w:val="52"/>
            </w:pPr>
            <w:r>
              <w:rPr>
                <w:rFonts w:hint="eastAsia"/>
              </w:rPr>
              <w:t>-</w:t>
            </w:r>
          </w:p>
        </w:tc>
        <w:tc>
          <w:tcPr>
            <w:tcW w:w="0" w:type="auto"/>
            <w:vMerge w:val="restart"/>
            <w:vAlign w:val="center"/>
          </w:tcPr>
          <w:p>
            <w:pPr>
              <w:pStyle w:val="52"/>
            </w:pPr>
            <w:r>
              <w:rPr>
                <w:rFonts w:hint="eastAsia"/>
              </w:rPr>
              <w:t>5</w:t>
            </w:r>
          </w:p>
        </w:tc>
        <w:tc>
          <w:tcPr>
            <w:tcW w:w="0" w:type="auto"/>
            <w:vAlign w:val="center"/>
          </w:tcPr>
          <w:p>
            <w:pPr>
              <w:pStyle w:val="52"/>
            </w:pPr>
            <w:r>
              <w:drawing>
                <wp:inline distT="0" distB="0" distL="0" distR="0">
                  <wp:extent cx="719455" cy="723265"/>
                  <wp:effectExtent l="0" t="0" r="444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rcRect l="5476" t="9977" r="3538" b="6692"/>
                          <a:stretch>
                            <a:fillRect/>
                          </a:stretch>
                        </pic:blipFill>
                        <pic:spPr>
                          <a:xfrm>
                            <a:off x="0" y="0"/>
                            <a:ext cx="720000" cy="723333"/>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0" w:type="auto"/>
            <w:vMerge w:val="continue"/>
            <w:vAlign w:val="center"/>
          </w:tcPr>
          <w:p>
            <w:pPr>
              <w:pStyle w:val="52"/>
            </w:pPr>
          </w:p>
        </w:tc>
        <w:tc>
          <w:tcPr>
            <w:tcW w:w="0" w:type="auto"/>
            <w:vAlign w:val="center"/>
          </w:tcPr>
          <w:p>
            <w:pPr>
              <w:pStyle w:val="52"/>
            </w:pPr>
            <w:r>
              <w:rPr>
                <w:rFonts w:hint="eastAsia"/>
              </w:rPr>
              <w:t>4</w:t>
            </w:r>
            <w:r>
              <w:t>50</w:t>
            </w:r>
          </w:p>
        </w:tc>
        <w:tc>
          <w:tcPr>
            <w:tcW w:w="0" w:type="auto"/>
            <w:vAlign w:val="center"/>
          </w:tcPr>
          <w:p>
            <w:pPr>
              <w:pStyle w:val="52"/>
            </w:pPr>
            <w:r>
              <w:rPr>
                <w:rFonts w:hint="eastAsia"/>
              </w:rPr>
              <w:t>0</w:t>
            </w:r>
            <w:r>
              <w:t>.94~0.97</w:t>
            </w:r>
          </w:p>
        </w:tc>
        <w:tc>
          <w:tcPr>
            <w:tcW w:w="0" w:type="auto"/>
            <w:vAlign w:val="center"/>
          </w:tcPr>
          <w:p>
            <w:pPr>
              <w:pStyle w:val="52"/>
            </w:pPr>
            <w:r>
              <w:rPr>
                <w:rFonts w:hint="eastAsia"/>
              </w:rPr>
              <w:t>9</w:t>
            </w:r>
            <w:r>
              <w:t>2</w:t>
            </w:r>
          </w:p>
        </w:tc>
        <w:tc>
          <w:tcPr>
            <w:tcW w:w="0" w:type="auto"/>
            <w:vMerge w:val="restart"/>
            <w:vAlign w:val="center"/>
          </w:tcPr>
          <w:p>
            <w:pPr>
              <w:pStyle w:val="52"/>
            </w:pPr>
            <w:r>
              <w:rPr>
                <w:rFonts w:hint="eastAsia"/>
              </w:rPr>
              <w:t>0</w:t>
            </w:r>
            <w:r>
              <w:t>.21</w:t>
            </w:r>
          </w:p>
        </w:tc>
        <w:tc>
          <w:tcPr>
            <w:tcW w:w="0" w:type="auto"/>
            <w:vMerge w:val="restart"/>
            <w:vAlign w:val="center"/>
          </w:tcPr>
          <w:p>
            <w:pPr>
              <w:pStyle w:val="52"/>
            </w:pPr>
            <w:r>
              <w:rPr>
                <w:rFonts w:hint="eastAsia"/>
              </w:rPr>
              <w:t>9</w:t>
            </w:r>
            <w:r>
              <w:t>5</w:t>
            </w:r>
          </w:p>
        </w:tc>
        <w:tc>
          <w:tcPr>
            <w:tcW w:w="0" w:type="auto"/>
            <w:vMerge w:val="restart"/>
            <w:vAlign w:val="center"/>
          </w:tcPr>
          <w:p>
            <w:pPr>
              <w:pStyle w:val="52"/>
            </w:pPr>
            <w:r>
              <w:rPr>
                <w:rFonts w:hint="eastAsia"/>
              </w:rPr>
              <w:t>1</w:t>
            </w:r>
            <w:r>
              <w:t>9</w:t>
            </w:r>
          </w:p>
        </w:tc>
        <w:tc>
          <w:tcPr>
            <w:tcW w:w="0" w:type="auto"/>
            <w:vMerge w:val="continue"/>
            <w:vAlign w:val="center"/>
          </w:tcPr>
          <w:p>
            <w:pPr>
              <w:pStyle w:val="52"/>
            </w:pPr>
          </w:p>
        </w:tc>
        <w:tc>
          <w:tcPr>
            <w:tcW w:w="0" w:type="auto"/>
            <w:vAlign w:val="center"/>
          </w:tcPr>
          <w:p>
            <w:pPr>
              <w:pStyle w:val="52"/>
            </w:pPr>
            <w:r>
              <w:drawing>
                <wp:inline distT="0" distB="0" distL="0" distR="0">
                  <wp:extent cx="719455" cy="760095"/>
                  <wp:effectExtent l="0" t="0" r="444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rcRect l="1850" t="6908" r="2741" b="5581"/>
                          <a:stretch>
                            <a:fillRect/>
                          </a:stretch>
                        </pic:blipFill>
                        <pic:spPr>
                          <a:xfrm>
                            <a:off x="0" y="0"/>
                            <a:ext cx="720000" cy="760648"/>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0" w:type="auto"/>
            <w:vMerge w:val="continue"/>
            <w:vAlign w:val="center"/>
          </w:tcPr>
          <w:p>
            <w:pPr>
              <w:pStyle w:val="52"/>
            </w:pPr>
          </w:p>
        </w:tc>
        <w:tc>
          <w:tcPr>
            <w:tcW w:w="0" w:type="auto"/>
            <w:vAlign w:val="center"/>
          </w:tcPr>
          <w:p>
            <w:pPr>
              <w:pStyle w:val="52"/>
            </w:pPr>
            <w:r>
              <w:t>500</w:t>
            </w:r>
          </w:p>
        </w:tc>
        <w:tc>
          <w:tcPr>
            <w:tcW w:w="0" w:type="auto"/>
            <w:vAlign w:val="center"/>
          </w:tcPr>
          <w:p>
            <w:pPr>
              <w:pStyle w:val="52"/>
            </w:pPr>
            <w:r>
              <w:rPr>
                <w:rFonts w:hint="eastAsia"/>
              </w:rPr>
              <w:t>0</w:t>
            </w:r>
            <w:r>
              <w:t>.94~0.97</w:t>
            </w:r>
          </w:p>
        </w:tc>
        <w:tc>
          <w:tcPr>
            <w:tcW w:w="0" w:type="auto"/>
            <w:vAlign w:val="center"/>
          </w:tcPr>
          <w:p>
            <w:pPr>
              <w:pStyle w:val="52"/>
            </w:pPr>
            <w:r>
              <w:rPr>
                <w:rFonts w:hint="eastAsia"/>
              </w:rPr>
              <w:t>9</w:t>
            </w:r>
            <w:r>
              <w:t>2</w:t>
            </w:r>
          </w:p>
        </w:tc>
        <w:tc>
          <w:tcPr>
            <w:tcW w:w="0" w:type="auto"/>
            <w:vMerge w:val="continue"/>
            <w:vAlign w:val="center"/>
          </w:tcPr>
          <w:p>
            <w:pPr>
              <w:pStyle w:val="52"/>
            </w:pPr>
          </w:p>
        </w:tc>
        <w:tc>
          <w:tcPr>
            <w:tcW w:w="0" w:type="auto"/>
            <w:vMerge w:val="continue"/>
            <w:vAlign w:val="center"/>
          </w:tcPr>
          <w:p>
            <w:pPr>
              <w:pStyle w:val="52"/>
            </w:pPr>
          </w:p>
        </w:tc>
        <w:tc>
          <w:tcPr>
            <w:tcW w:w="0" w:type="auto"/>
            <w:vMerge w:val="continue"/>
            <w:vAlign w:val="center"/>
          </w:tcPr>
          <w:p>
            <w:pPr>
              <w:pStyle w:val="52"/>
            </w:pPr>
          </w:p>
        </w:tc>
        <w:tc>
          <w:tcPr>
            <w:tcW w:w="0" w:type="auto"/>
            <w:vMerge w:val="continue"/>
            <w:vAlign w:val="center"/>
          </w:tcPr>
          <w:p>
            <w:pPr>
              <w:pStyle w:val="52"/>
            </w:pPr>
          </w:p>
        </w:tc>
        <w:tc>
          <w:tcPr>
            <w:tcW w:w="0" w:type="auto"/>
            <w:vAlign w:val="center"/>
          </w:tcPr>
          <w:p>
            <w:pPr>
              <w:pStyle w:val="52"/>
            </w:pPr>
            <w:r>
              <w:drawing>
                <wp:inline distT="0" distB="0" distL="0" distR="0">
                  <wp:extent cx="719455" cy="731520"/>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rcRect l="3816" t="5084" r="4000" b="2809"/>
                          <a:stretch>
                            <a:fillRect/>
                          </a:stretch>
                        </pic:blipFill>
                        <pic:spPr>
                          <a:xfrm>
                            <a:off x="0" y="0"/>
                            <a:ext cx="720000" cy="732021"/>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0" w:type="auto"/>
            <w:vMerge w:val="restart"/>
            <w:vAlign w:val="center"/>
          </w:tcPr>
          <w:p>
            <w:pPr>
              <w:pStyle w:val="52"/>
            </w:pPr>
            <w:r>
              <w:rPr>
                <w:rFonts w:hint="eastAsia"/>
              </w:rPr>
              <w:t>B类填料</w:t>
            </w:r>
          </w:p>
        </w:tc>
        <w:tc>
          <w:tcPr>
            <w:tcW w:w="0" w:type="auto"/>
            <w:vAlign w:val="center"/>
          </w:tcPr>
          <w:p>
            <w:pPr>
              <w:pStyle w:val="52"/>
            </w:pPr>
            <w:r>
              <w:rPr>
                <w:rFonts w:hint="eastAsia"/>
              </w:rPr>
              <w:t>6</w:t>
            </w:r>
            <w:r>
              <w:t>20</w:t>
            </w:r>
          </w:p>
        </w:tc>
        <w:tc>
          <w:tcPr>
            <w:tcW w:w="0" w:type="auto"/>
            <w:vAlign w:val="center"/>
          </w:tcPr>
          <w:p>
            <w:pPr>
              <w:pStyle w:val="52"/>
            </w:pPr>
            <w:r>
              <w:rPr>
                <w:rFonts w:hint="eastAsia"/>
              </w:rPr>
              <w:t>0</w:t>
            </w:r>
            <w:r>
              <w:t>.94~0.97</w:t>
            </w:r>
          </w:p>
        </w:tc>
        <w:tc>
          <w:tcPr>
            <w:tcW w:w="0" w:type="auto"/>
            <w:vAlign w:val="center"/>
          </w:tcPr>
          <w:p>
            <w:pPr>
              <w:pStyle w:val="52"/>
            </w:pPr>
            <w:r>
              <w:rPr>
                <w:rFonts w:hint="eastAsia"/>
              </w:rPr>
              <w:t>9</w:t>
            </w:r>
            <w:r>
              <w:t>2</w:t>
            </w:r>
          </w:p>
        </w:tc>
        <w:tc>
          <w:tcPr>
            <w:tcW w:w="0" w:type="auto"/>
            <w:vAlign w:val="center"/>
          </w:tcPr>
          <w:p>
            <w:pPr>
              <w:pStyle w:val="52"/>
            </w:pPr>
            <w:r>
              <w:rPr>
                <w:rFonts w:hint="eastAsia"/>
              </w:rPr>
              <w:t>0</w:t>
            </w:r>
            <w:r>
              <w:t>.18</w:t>
            </w:r>
          </w:p>
        </w:tc>
        <w:tc>
          <w:tcPr>
            <w:tcW w:w="0" w:type="auto"/>
            <w:vMerge w:val="restart"/>
            <w:vAlign w:val="center"/>
          </w:tcPr>
          <w:p>
            <w:pPr>
              <w:pStyle w:val="52"/>
            </w:pPr>
            <w:r>
              <w:t>96</w:t>
            </w:r>
          </w:p>
        </w:tc>
        <w:tc>
          <w:tcPr>
            <w:tcW w:w="0" w:type="auto"/>
            <w:vMerge w:val="restart"/>
            <w:vAlign w:val="center"/>
          </w:tcPr>
          <w:p>
            <w:pPr>
              <w:pStyle w:val="52"/>
            </w:pPr>
            <w:r>
              <w:rPr>
                <w:rFonts w:hint="eastAsia"/>
              </w:rPr>
              <w:t>2</w:t>
            </w:r>
            <w:r>
              <w:t>5</w:t>
            </w:r>
          </w:p>
        </w:tc>
        <w:tc>
          <w:tcPr>
            <w:tcW w:w="0" w:type="auto"/>
            <w:vMerge w:val="continue"/>
            <w:vAlign w:val="center"/>
          </w:tcPr>
          <w:p>
            <w:pPr>
              <w:pStyle w:val="52"/>
            </w:pPr>
          </w:p>
        </w:tc>
        <w:tc>
          <w:tcPr>
            <w:tcW w:w="0" w:type="auto"/>
            <w:vAlign w:val="center"/>
          </w:tcPr>
          <w:p>
            <w:pPr>
              <w:pStyle w:val="52"/>
            </w:pPr>
            <w:r>
              <w:drawing>
                <wp:inline distT="0" distB="0" distL="0" distR="0">
                  <wp:extent cx="719455" cy="780415"/>
                  <wp:effectExtent l="0" t="0" r="444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rcRect l="5660" t="4556" r="6302" b="5201"/>
                          <a:stretch>
                            <a:fillRect/>
                          </a:stretch>
                        </pic:blipFill>
                        <pic:spPr>
                          <a:xfrm>
                            <a:off x="0" y="0"/>
                            <a:ext cx="720000" cy="780499"/>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pPr>
              <w:pStyle w:val="52"/>
            </w:pPr>
          </w:p>
        </w:tc>
        <w:tc>
          <w:tcPr>
            <w:tcW w:w="0" w:type="auto"/>
            <w:vAlign w:val="center"/>
          </w:tcPr>
          <w:p>
            <w:pPr>
              <w:pStyle w:val="52"/>
            </w:pPr>
            <w:r>
              <w:rPr>
                <w:rFonts w:hint="eastAsia"/>
              </w:rPr>
              <w:t>8</w:t>
            </w:r>
            <w:r>
              <w:t>00</w:t>
            </w:r>
          </w:p>
        </w:tc>
        <w:tc>
          <w:tcPr>
            <w:tcW w:w="0" w:type="auto"/>
            <w:vMerge w:val="restart"/>
            <w:vAlign w:val="center"/>
          </w:tcPr>
          <w:p>
            <w:pPr>
              <w:pStyle w:val="52"/>
            </w:pPr>
            <w:r>
              <w:rPr>
                <w:rFonts w:hint="eastAsia"/>
              </w:rPr>
              <w:t>0</w:t>
            </w:r>
            <w:r>
              <w:t>.94~0.97</w:t>
            </w:r>
          </w:p>
        </w:tc>
        <w:tc>
          <w:tcPr>
            <w:tcW w:w="0" w:type="auto"/>
            <w:vMerge w:val="restart"/>
            <w:vAlign w:val="center"/>
          </w:tcPr>
          <w:p>
            <w:pPr>
              <w:pStyle w:val="52"/>
            </w:pPr>
            <w:r>
              <w:rPr>
                <w:rFonts w:hint="eastAsia"/>
              </w:rPr>
              <w:t>9</w:t>
            </w:r>
            <w:r>
              <w:t>0</w:t>
            </w:r>
          </w:p>
        </w:tc>
        <w:tc>
          <w:tcPr>
            <w:tcW w:w="0" w:type="auto"/>
            <w:vAlign w:val="center"/>
          </w:tcPr>
          <w:p>
            <w:pPr>
              <w:pStyle w:val="52"/>
            </w:pPr>
            <w:r>
              <w:rPr>
                <w:rFonts w:hint="eastAsia"/>
              </w:rPr>
              <w:t>0</w:t>
            </w:r>
            <w:r>
              <w:t>.25</w:t>
            </w:r>
          </w:p>
        </w:tc>
        <w:tc>
          <w:tcPr>
            <w:tcW w:w="0" w:type="auto"/>
            <w:vMerge w:val="continue"/>
            <w:vAlign w:val="center"/>
          </w:tcPr>
          <w:p>
            <w:pPr>
              <w:pStyle w:val="52"/>
            </w:pPr>
          </w:p>
        </w:tc>
        <w:tc>
          <w:tcPr>
            <w:tcW w:w="0" w:type="auto"/>
            <w:vMerge w:val="continue"/>
            <w:vAlign w:val="center"/>
          </w:tcPr>
          <w:p>
            <w:pPr>
              <w:pStyle w:val="52"/>
            </w:pPr>
          </w:p>
        </w:tc>
        <w:tc>
          <w:tcPr>
            <w:tcW w:w="0" w:type="auto"/>
            <w:vMerge w:val="continue"/>
            <w:vAlign w:val="center"/>
          </w:tcPr>
          <w:p>
            <w:pPr>
              <w:pStyle w:val="52"/>
            </w:pPr>
          </w:p>
        </w:tc>
        <w:tc>
          <w:tcPr>
            <w:tcW w:w="0" w:type="auto"/>
            <w:vMerge w:val="restart"/>
            <w:vAlign w:val="center"/>
          </w:tcPr>
          <w:p>
            <w:pPr>
              <w:pStyle w:val="52"/>
            </w:pPr>
            <w:r>
              <w:drawing>
                <wp:inline distT="0" distB="0" distL="0" distR="0">
                  <wp:extent cx="719455" cy="739140"/>
                  <wp:effectExtent l="0" t="0" r="444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rcRect l="4950" t="5085" r="3543" b="3345"/>
                          <a:stretch>
                            <a:fillRect/>
                          </a:stretch>
                        </pic:blipFill>
                        <pic:spPr>
                          <a:xfrm>
                            <a:off x="0" y="0"/>
                            <a:ext cx="720000" cy="739636"/>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pPr>
              <w:pStyle w:val="52"/>
            </w:pPr>
          </w:p>
        </w:tc>
        <w:tc>
          <w:tcPr>
            <w:tcW w:w="0" w:type="auto"/>
            <w:vAlign w:val="center"/>
          </w:tcPr>
          <w:p>
            <w:pPr>
              <w:pStyle w:val="52"/>
            </w:pPr>
            <w:r>
              <w:rPr>
                <w:rFonts w:hint="eastAsia"/>
              </w:rPr>
              <w:t>8</w:t>
            </w:r>
            <w:r>
              <w:t>00</w:t>
            </w:r>
          </w:p>
        </w:tc>
        <w:tc>
          <w:tcPr>
            <w:tcW w:w="0" w:type="auto"/>
            <w:vMerge w:val="continue"/>
            <w:vAlign w:val="center"/>
          </w:tcPr>
          <w:p>
            <w:pPr>
              <w:pStyle w:val="52"/>
            </w:pPr>
          </w:p>
        </w:tc>
        <w:tc>
          <w:tcPr>
            <w:tcW w:w="0" w:type="auto"/>
            <w:vMerge w:val="continue"/>
            <w:vAlign w:val="center"/>
          </w:tcPr>
          <w:p>
            <w:pPr>
              <w:pStyle w:val="52"/>
            </w:pPr>
          </w:p>
        </w:tc>
        <w:tc>
          <w:tcPr>
            <w:tcW w:w="0" w:type="auto"/>
            <w:vAlign w:val="center"/>
          </w:tcPr>
          <w:p>
            <w:pPr>
              <w:pStyle w:val="52"/>
            </w:pPr>
            <w:r>
              <w:rPr>
                <w:rFonts w:hint="eastAsia"/>
              </w:rPr>
              <w:t>0</w:t>
            </w:r>
            <w:r>
              <w:t>.2</w:t>
            </w:r>
            <w:r>
              <w:rPr>
                <w:rFonts w:hint="eastAsia"/>
              </w:rPr>
              <w:t>0</w:t>
            </w:r>
          </w:p>
        </w:tc>
        <w:tc>
          <w:tcPr>
            <w:tcW w:w="0" w:type="auto"/>
            <w:vAlign w:val="center"/>
          </w:tcPr>
          <w:p>
            <w:pPr>
              <w:pStyle w:val="52"/>
            </w:pPr>
            <w:r>
              <w:rPr>
                <w:rFonts w:hint="eastAsia"/>
              </w:rPr>
              <w:t>7</w:t>
            </w:r>
            <w:r>
              <w:t>5</w:t>
            </w:r>
          </w:p>
        </w:tc>
        <w:tc>
          <w:tcPr>
            <w:tcW w:w="0" w:type="auto"/>
            <w:vMerge w:val="continue"/>
            <w:vAlign w:val="center"/>
          </w:tcPr>
          <w:p>
            <w:pPr>
              <w:pStyle w:val="52"/>
            </w:pPr>
          </w:p>
        </w:tc>
        <w:tc>
          <w:tcPr>
            <w:tcW w:w="0" w:type="auto"/>
            <w:vMerge w:val="continue"/>
            <w:vAlign w:val="center"/>
          </w:tcPr>
          <w:p>
            <w:pPr>
              <w:pStyle w:val="52"/>
            </w:pPr>
          </w:p>
        </w:tc>
        <w:tc>
          <w:tcPr>
            <w:tcW w:w="0" w:type="auto"/>
            <w:vMerge w:val="continue"/>
            <w:vAlign w:val="center"/>
          </w:tcPr>
          <w:p>
            <w:pPr>
              <w:pStyle w:val="5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pPr>
              <w:pStyle w:val="52"/>
            </w:pPr>
          </w:p>
        </w:tc>
        <w:tc>
          <w:tcPr>
            <w:tcW w:w="0" w:type="auto"/>
            <w:vAlign w:val="center"/>
          </w:tcPr>
          <w:p>
            <w:pPr>
              <w:pStyle w:val="52"/>
            </w:pPr>
            <w:r>
              <w:rPr>
                <w:rFonts w:hint="eastAsia"/>
              </w:rPr>
              <w:t>8</w:t>
            </w:r>
            <w:r>
              <w:t>00</w:t>
            </w:r>
          </w:p>
        </w:tc>
        <w:tc>
          <w:tcPr>
            <w:tcW w:w="0" w:type="auto"/>
            <w:vMerge w:val="continue"/>
            <w:vAlign w:val="center"/>
          </w:tcPr>
          <w:p>
            <w:pPr>
              <w:pStyle w:val="52"/>
            </w:pPr>
          </w:p>
        </w:tc>
        <w:tc>
          <w:tcPr>
            <w:tcW w:w="0" w:type="auto"/>
            <w:vMerge w:val="restart"/>
            <w:vAlign w:val="center"/>
          </w:tcPr>
          <w:p>
            <w:pPr>
              <w:pStyle w:val="52"/>
            </w:pPr>
            <w:r>
              <w:rPr>
                <w:rFonts w:hint="eastAsia"/>
              </w:rPr>
              <w:t>9</w:t>
            </w:r>
            <w:r>
              <w:t>1</w:t>
            </w:r>
          </w:p>
        </w:tc>
        <w:tc>
          <w:tcPr>
            <w:tcW w:w="0" w:type="auto"/>
            <w:vAlign w:val="center"/>
          </w:tcPr>
          <w:p>
            <w:pPr>
              <w:pStyle w:val="52"/>
            </w:pPr>
            <w:r>
              <w:rPr>
                <w:rFonts w:hint="eastAsia"/>
              </w:rPr>
              <w:t>0</w:t>
            </w:r>
            <w:r>
              <w:t>.32</w:t>
            </w:r>
          </w:p>
        </w:tc>
        <w:tc>
          <w:tcPr>
            <w:tcW w:w="0" w:type="auto"/>
            <w:vAlign w:val="center"/>
          </w:tcPr>
          <w:p>
            <w:pPr>
              <w:pStyle w:val="52"/>
            </w:pPr>
            <w:r>
              <w:rPr>
                <w:rFonts w:hint="eastAsia"/>
              </w:rPr>
              <w:t>9</w:t>
            </w:r>
            <w:r>
              <w:t>5</w:t>
            </w:r>
          </w:p>
        </w:tc>
        <w:tc>
          <w:tcPr>
            <w:tcW w:w="0" w:type="auto"/>
            <w:vMerge w:val="restart"/>
            <w:vAlign w:val="center"/>
          </w:tcPr>
          <w:p>
            <w:pPr>
              <w:pStyle w:val="52"/>
            </w:pPr>
            <w:r>
              <w:rPr>
                <w:rFonts w:hint="eastAsia"/>
              </w:rPr>
              <w:t>1</w:t>
            </w:r>
            <w:r>
              <w:t>8</w:t>
            </w:r>
          </w:p>
        </w:tc>
        <w:tc>
          <w:tcPr>
            <w:tcW w:w="0" w:type="auto"/>
            <w:vMerge w:val="continue"/>
            <w:vAlign w:val="center"/>
          </w:tcPr>
          <w:p>
            <w:pPr>
              <w:pStyle w:val="52"/>
            </w:pPr>
          </w:p>
        </w:tc>
        <w:tc>
          <w:tcPr>
            <w:tcW w:w="0" w:type="auto"/>
            <w:vMerge w:val="continue"/>
            <w:vAlign w:val="center"/>
          </w:tcPr>
          <w:p>
            <w:pPr>
              <w:pStyle w:val="5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pPr>
              <w:pStyle w:val="52"/>
            </w:pPr>
          </w:p>
        </w:tc>
        <w:tc>
          <w:tcPr>
            <w:tcW w:w="0" w:type="auto"/>
            <w:vAlign w:val="center"/>
          </w:tcPr>
          <w:p>
            <w:pPr>
              <w:pStyle w:val="52"/>
            </w:pPr>
            <w:r>
              <w:rPr>
                <w:rFonts w:hint="eastAsia"/>
              </w:rPr>
              <w:t>8</w:t>
            </w:r>
            <w:r>
              <w:t>00</w:t>
            </w:r>
          </w:p>
        </w:tc>
        <w:tc>
          <w:tcPr>
            <w:tcW w:w="0" w:type="auto"/>
            <w:vMerge w:val="continue"/>
            <w:vAlign w:val="center"/>
          </w:tcPr>
          <w:p>
            <w:pPr>
              <w:pStyle w:val="52"/>
            </w:pPr>
          </w:p>
        </w:tc>
        <w:tc>
          <w:tcPr>
            <w:tcW w:w="0" w:type="auto"/>
            <w:vMerge w:val="continue"/>
            <w:vAlign w:val="center"/>
          </w:tcPr>
          <w:p>
            <w:pPr>
              <w:pStyle w:val="52"/>
            </w:pPr>
          </w:p>
        </w:tc>
        <w:tc>
          <w:tcPr>
            <w:tcW w:w="0" w:type="auto"/>
            <w:vAlign w:val="center"/>
          </w:tcPr>
          <w:p>
            <w:pPr>
              <w:pStyle w:val="52"/>
            </w:pPr>
            <w:r>
              <w:rPr>
                <w:rFonts w:hint="eastAsia"/>
              </w:rPr>
              <w:t>0</w:t>
            </w:r>
            <w:r>
              <w:t>.14</w:t>
            </w:r>
          </w:p>
        </w:tc>
        <w:tc>
          <w:tcPr>
            <w:tcW w:w="0" w:type="auto"/>
            <w:vAlign w:val="center"/>
          </w:tcPr>
          <w:p>
            <w:pPr>
              <w:pStyle w:val="52"/>
            </w:pPr>
            <w:r>
              <w:rPr>
                <w:rFonts w:hint="eastAsia"/>
              </w:rPr>
              <w:t>9</w:t>
            </w:r>
            <w:r>
              <w:t>3</w:t>
            </w:r>
          </w:p>
        </w:tc>
        <w:tc>
          <w:tcPr>
            <w:tcW w:w="0" w:type="auto"/>
            <w:vMerge w:val="continue"/>
            <w:vAlign w:val="center"/>
          </w:tcPr>
          <w:p>
            <w:pPr>
              <w:pStyle w:val="52"/>
            </w:pPr>
          </w:p>
        </w:tc>
        <w:tc>
          <w:tcPr>
            <w:tcW w:w="0" w:type="auto"/>
            <w:vMerge w:val="continue"/>
            <w:vAlign w:val="center"/>
          </w:tcPr>
          <w:p>
            <w:pPr>
              <w:pStyle w:val="52"/>
            </w:pPr>
          </w:p>
        </w:tc>
        <w:tc>
          <w:tcPr>
            <w:tcW w:w="0" w:type="auto"/>
            <w:vMerge w:val="continue"/>
            <w:vAlign w:val="center"/>
          </w:tcPr>
          <w:p>
            <w:pPr>
              <w:pStyle w:val="5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0" w:type="auto"/>
            <w:vMerge w:val="restart"/>
            <w:vAlign w:val="center"/>
          </w:tcPr>
          <w:p>
            <w:pPr>
              <w:pStyle w:val="52"/>
            </w:pPr>
            <w:r>
              <w:rPr>
                <w:rFonts w:hint="eastAsia"/>
              </w:rPr>
              <w:t>C类填料</w:t>
            </w:r>
          </w:p>
        </w:tc>
        <w:tc>
          <w:tcPr>
            <w:tcW w:w="0" w:type="auto"/>
            <w:vAlign w:val="center"/>
          </w:tcPr>
          <w:p>
            <w:pPr>
              <w:pStyle w:val="52"/>
            </w:pPr>
            <w:r>
              <w:rPr>
                <w:rFonts w:hint="eastAsia"/>
              </w:rPr>
              <w:t>1</w:t>
            </w:r>
            <w:r>
              <w:t>200</w:t>
            </w:r>
          </w:p>
        </w:tc>
        <w:tc>
          <w:tcPr>
            <w:tcW w:w="0" w:type="auto"/>
            <w:vMerge w:val="restart"/>
            <w:vAlign w:val="center"/>
          </w:tcPr>
          <w:p>
            <w:pPr>
              <w:pStyle w:val="52"/>
            </w:pPr>
            <w:r>
              <w:rPr>
                <w:rFonts w:hint="eastAsia"/>
              </w:rPr>
              <w:t>0</w:t>
            </w:r>
            <w:r>
              <w:t>.94~0.97</w:t>
            </w:r>
          </w:p>
        </w:tc>
        <w:tc>
          <w:tcPr>
            <w:tcW w:w="0" w:type="auto"/>
            <w:vAlign w:val="center"/>
          </w:tcPr>
          <w:p>
            <w:pPr>
              <w:pStyle w:val="52"/>
            </w:pPr>
            <w:r>
              <w:rPr>
                <w:rFonts w:hint="eastAsia"/>
              </w:rPr>
              <w:t>9</w:t>
            </w:r>
            <w:r>
              <w:t>0</w:t>
            </w:r>
          </w:p>
        </w:tc>
        <w:tc>
          <w:tcPr>
            <w:tcW w:w="0" w:type="auto"/>
            <w:vAlign w:val="center"/>
          </w:tcPr>
          <w:p>
            <w:pPr>
              <w:pStyle w:val="52"/>
            </w:pPr>
            <w:r>
              <w:rPr>
                <w:rFonts w:hint="eastAsia"/>
              </w:rPr>
              <w:t>0</w:t>
            </w:r>
            <w:r>
              <w:t>.14</w:t>
            </w:r>
          </w:p>
        </w:tc>
        <w:tc>
          <w:tcPr>
            <w:tcW w:w="0" w:type="auto"/>
            <w:vAlign w:val="center"/>
          </w:tcPr>
          <w:p>
            <w:pPr>
              <w:pStyle w:val="52"/>
            </w:pPr>
            <w:r>
              <w:t>63</w:t>
            </w:r>
          </w:p>
        </w:tc>
        <w:tc>
          <w:tcPr>
            <w:tcW w:w="0" w:type="auto"/>
            <w:vAlign w:val="center"/>
          </w:tcPr>
          <w:p>
            <w:pPr>
              <w:pStyle w:val="52"/>
            </w:pPr>
            <w:r>
              <w:rPr>
                <w:rFonts w:hint="eastAsia"/>
              </w:rPr>
              <w:t>2</w:t>
            </w:r>
            <w:r>
              <w:t>5</w:t>
            </w:r>
          </w:p>
        </w:tc>
        <w:tc>
          <w:tcPr>
            <w:tcW w:w="0" w:type="auto"/>
            <w:vMerge w:val="continue"/>
            <w:vAlign w:val="center"/>
          </w:tcPr>
          <w:p>
            <w:pPr>
              <w:pStyle w:val="52"/>
            </w:pPr>
          </w:p>
        </w:tc>
        <w:tc>
          <w:tcPr>
            <w:tcW w:w="0" w:type="auto"/>
            <w:vAlign w:val="center"/>
          </w:tcPr>
          <w:p>
            <w:pPr>
              <w:pStyle w:val="52"/>
            </w:pPr>
            <w:r>
              <w:drawing>
                <wp:inline distT="0" distB="0" distL="0" distR="0">
                  <wp:extent cx="719455" cy="735965"/>
                  <wp:effectExtent l="0" t="0" r="4445"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rcRect l="1405" t="2879" r="1771" b="2772"/>
                          <a:stretch>
                            <a:fillRect/>
                          </a:stretch>
                        </pic:blipFill>
                        <pic:spPr>
                          <a:xfrm>
                            <a:off x="0" y="0"/>
                            <a:ext cx="720000" cy="736520"/>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0" w:type="auto"/>
            <w:vMerge w:val="continue"/>
            <w:vAlign w:val="center"/>
          </w:tcPr>
          <w:p>
            <w:pPr>
              <w:pStyle w:val="52"/>
            </w:pPr>
          </w:p>
        </w:tc>
        <w:tc>
          <w:tcPr>
            <w:tcW w:w="0" w:type="auto"/>
            <w:vAlign w:val="center"/>
          </w:tcPr>
          <w:p>
            <w:pPr>
              <w:pStyle w:val="52"/>
            </w:pPr>
            <w:r>
              <w:rPr>
                <w:rFonts w:hint="eastAsia"/>
              </w:rPr>
              <w:t>1</w:t>
            </w:r>
            <w:r>
              <w:t>200</w:t>
            </w:r>
          </w:p>
        </w:tc>
        <w:tc>
          <w:tcPr>
            <w:tcW w:w="0" w:type="auto"/>
            <w:vMerge w:val="continue"/>
            <w:vAlign w:val="center"/>
          </w:tcPr>
          <w:p>
            <w:pPr>
              <w:pStyle w:val="52"/>
            </w:pPr>
          </w:p>
        </w:tc>
        <w:tc>
          <w:tcPr>
            <w:tcW w:w="0" w:type="auto"/>
            <w:vAlign w:val="center"/>
          </w:tcPr>
          <w:p>
            <w:pPr>
              <w:pStyle w:val="52"/>
            </w:pPr>
            <w:r>
              <w:rPr>
                <w:rFonts w:hint="eastAsia"/>
              </w:rPr>
              <w:t>7</w:t>
            </w:r>
            <w:r>
              <w:t>0</w:t>
            </w:r>
          </w:p>
        </w:tc>
        <w:tc>
          <w:tcPr>
            <w:tcW w:w="0" w:type="auto"/>
            <w:vAlign w:val="center"/>
          </w:tcPr>
          <w:p>
            <w:pPr>
              <w:pStyle w:val="52"/>
            </w:pPr>
            <w:r>
              <w:rPr>
                <w:rFonts w:hint="eastAsia"/>
              </w:rPr>
              <w:t>-</w:t>
            </w:r>
          </w:p>
        </w:tc>
        <w:tc>
          <w:tcPr>
            <w:tcW w:w="0" w:type="auto"/>
            <w:vAlign w:val="center"/>
          </w:tcPr>
          <w:p>
            <w:pPr>
              <w:pStyle w:val="52"/>
            </w:pPr>
            <w:r>
              <w:rPr>
                <w:rFonts w:hint="eastAsia"/>
              </w:rPr>
              <w:t>-</w:t>
            </w:r>
          </w:p>
        </w:tc>
        <w:tc>
          <w:tcPr>
            <w:tcW w:w="0" w:type="auto"/>
            <w:vAlign w:val="center"/>
          </w:tcPr>
          <w:p>
            <w:pPr>
              <w:pStyle w:val="52"/>
            </w:pPr>
            <w:r>
              <w:rPr>
                <w:rFonts w:hint="eastAsia"/>
              </w:rPr>
              <w:t>-</w:t>
            </w:r>
          </w:p>
        </w:tc>
        <w:tc>
          <w:tcPr>
            <w:tcW w:w="0" w:type="auto"/>
            <w:vMerge w:val="continue"/>
            <w:vAlign w:val="center"/>
          </w:tcPr>
          <w:p>
            <w:pPr>
              <w:pStyle w:val="52"/>
            </w:pPr>
          </w:p>
        </w:tc>
        <w:tc>
          <w:tcPr>
            <w:tcW w:w="0" w:type="auto"/>
            <w:vAlign w:val="center"/>
          </w:tcPr>
          <w:p>
            <w:pPr>
              <w:pStyle w:val="52"/>
            </w:pPr>
            <w:r>
              <w:drawing>
                <wp:inline distT="0" distB="0" distL="0" distR="0">
                  <wp:extent cx="719455" cy="751840"/>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rcRect l="3864" t="4195" r="2583" b="6623"/>
                          <a:stretch>
                            <a:fillRect/>
                          </a:stretch>
                        </pic:blipFill>
                        <pic:spPr>
                          <a:xfrm>
                            <a:off x="0" y="0"/>
                            <a:ext cx="720000" cy="752150"/>
                          </a:xfrm>
                          <a:prstGeom prst="rect">
                            <a:avLst/>
                          </a:prstGeom>
                          <a:ln>
                            <a:noFill/>
                          </a:ln>
                        </pic:spPr>
                      </pic:pic>
                    </a:graphicData>
                  </a:graphic>
                </wp:inline>
              </w:drawing>
            </w:r>
          </w:p>
        </w:tc>
      </w:tr>
    </w:tbl>
    <w:p>
      <w:pPr>
        <w:pStyle w:val="49"/>
        <w:spacing w:before="156" w:after="156"/>
      </w:pPr>
      <w:bookmarkStart w:id="65" w:name="_Hlk108259430"/>
      <w:r>
        <w:rPr>
          <w:rFonts w:hint="eastAsia"/>
        </w:rPr>
        <w:t>悬浮载体宜选择有效比表面积较大的型号</w:t>
      </w:r>
      <w:bookmarkEnd w:id="65"/>
      <w:r>
        <w:rPr>
          <w:rFonts w:hint="eastAsia"/>
        </w:rPr>
        <w:t>。</w:t>
      </w:r>
    </w:p>
    <w:p>
      <w:pPr>
        <w:pStyle w:val="49"/>
        <w:spacing w:before="156" w:after="156"/>
      </w:pPr>
      <w:r>
        <w:rPr>
          <w:rFonts w:hint="eastAsia"/>
        </w:rPr>
        <w:t>进出水系统中，各反应区出水端应设置拦截筛网。拦截筛网宜采用不锈钢或高分子复合等耐磨损材质，开孔率≥4</w:t>
      </w:r>
      <w:r>
        <w:t>0</w:t>
      </w:r>
      <w:r>
        <w:rPr>
          <w:rFonts w:hint="eastAsia"/>
        </w:rPr>
        <w:t>%，</w:t>
      </w:r>
      <w:r>
        <w:t>开孔孔径不得大于实际使用悬浮载体的尺寸</w:t>
      </w:r>
      <w:r>
        <w:rPr>
          <w:rFonts w:hint="eastAsia"/>
        </w:rPr>
        <w:t>的8</w:t>
      </w:r>
      <w:r>
        <w:t>0%</w:t>
      </w:r>
      <w:r>
        <w:rPr>
          <w:rFonts w:hint="eastAsia"/>
        </w:rPr>
        <w:t>。</w:t>
      </w:r>
    </w:p>
    <w:p>
      <w:pPr>
        <w:pStyle w:val="49"/>
        <w:spacing w:before="156" w:after="156"/>
      </w:pPr>
      <w:r>
        <w:t>拦截筛网</w:t>
      </w:r>
      <w:r>
        <w:rPr>
          <w:rFonts w:hint="eastAsia"/>
        </w:rPr>
        <w:t>应用形式</w:t>
      </w:r>
      <w:r>
        <w:t>包括板式以及筒式，</w:t>
      </w:r>
      <w:r>
        <w:rPr>
          <w:rFonts w:hint="eastAsia"/>
        </w:rPr>
        <w:t>应</w:t>
      </w:r>
      <w:r>
        <w:t>根据实际生物池池型、反应区确定应用形式</w:t>
      </w:r>
      <w:r>
        <w:rPr>
          <w:rFonts w:hint="eastAsia"/>
        </w:rPr>
        <w:t>。</w:t>
      </w:r>
    </w:p>
    <w:p>
      <w:pPr>
        <w:pStyle w:val="49"/>
        <w:spacing w:before="156" w:after="156"/>
      </w:pPr>
      <w:r>
        <w:rPr>
          <w:rFonts w:hint="eastAsia"/>
        </w:rPr>
        <w:t>流化系统分为好氧区</w:t>
      </w:r>
      <w:r>
        <w:t>流化系统</w:t>
      </w:r>
      <w:r>
        <w:rPr>
          <w:rFonts w:hint="eastAsia"/>
        </w:rPr>
        <w:t>和缺氧区</w:t>
      </w:r>
      <w:r>
        <w:t>流化系统</w:t>
      </w:r>
      <w:r>
        <w:rPr>
          <w:rFonts w:hint="eastAsia"/>
        </w:rPr>
        <w:t>。</w:t>
      </w:r>
      <w:r>
        <w:t>好氧区流化系统应采用鼓风曝气设备，特殊情况如池型限制等，可增加搅拌器辅助悬浮载体流化；缺氧区流化系统宜采用搅拌器</w:t>
      </w:r>
      <w:r>
        <w:rPr>
          <w:rFonts w:hint="eastAsia"/>
        </w:rPr>
        <w:t>。</w:t>
      </w:r>
    </w:p>
    <w:p>
      <w:pPr>
        <w:pStyle w:val="49"/>
        <w:spacing w:before="156" w:after="156"/>
      </w:pPr>
      <w:r>
        <w:rPr>
          <w:rFonts w:hint="eastAsia"/>
        </w:rPr>
        <w:t>B段曝气方式应符合以下规定：</w:t>
      </w:r>
    </w:p>
    <w:p>
      <w:pPr>
        <w:pStyle w:val="42"/>
        <w:ind w:firstLine="480"/>
      </w:pPr>
      <w:r>
        <w:t>1 B段好氧区水深</w:t>
      </w:r>
      <w:r>
        <w:rPr>
          <w:rFonts w:hint="eastAsia"/>
        </w:rPr>
        <w:t xml:space="preserve">≥6 </w:t>
      </w:r>
      <w:r>
        <w:t>m时宜采用穿孔曝气的方式</w:t>
      </w:r>
      <w:r>
        <w:rPr>
          <w:rFonts w:hint="eastAsia"/>
        </w:rPr>
        <w:t>；</w:t>
      </w:r>
    </w:p>
    <w:p>
      <w:pPr>
        <w:pStyle w:val="42"/>
        <w:ind w:firstLine="480"/>
      </w:pPr>
      <w:r>
        <w:t>2 当好氧池水深≤5 m且填充率低于30%时，宜采用穿孔曝气与微孔曝气相结合的方式，同时穿孔曝气与微孔曝气宜采用不同的风机进行控制</w:t>
      </w:r>
      <w:r>
        <w:rPr>
          <w:rFonts w:hint="eastAsia"/>
        </w:rPr>
        <w:t>；</w:t>
      </w:r>
    </w:p>
    <w:p>
      <w:pPr>
        <w:pStyle w:val="42"/>
        <w:ind w:firstLine="480"/>
      </w:pPr>
      <w:r>
        <w:t xml:space="preserve">3 </w:t>
      </w:r>
      <w:r>
        <w:rPr>
          <w:rFonts w:hint="eastAsia"/>
        </w:rPr>
        <w:t>当同时不满足上述要求时，宜根据实际情况进行灵活选择。</w:t>
      </w:r>
    </w:p>
    <w:p>
      <w:pPr>
        <w:pStyle w:val="49"/>
        <w:spacing w:before="156" w:after="156"/>
      </w:pPr>
      <w:r>
        <w:rPr>
          <w:rFonts w:hint="eastAsia"/>
        </w:rPr>
        <w:t>B</w:t>
      </w:r>
      <w:r>
        <w:t>段好氧区需氧量应根据去除的五日生化需氧量、氨氮的硝化和脱氮等要求</w:t>
      </w:r>
      <w:r>
        <w:rPr>
          <w:rFonts w:hint="eastAsia"/>
        </w:rPr>
        <w:t>，参照GB</w:t>
      </w:r>
      <w:r>
        <w:t xml:space="preserve"> 50014进行计算确定。</w:t>
      </w:r>
    </w:p>
    <w:p>
      <w:pPr>
        <w:pStyle w:val="49"/>
        <w:spacing w:before="156" w:after="156"/>
      </w:pPr>
      <w:r>
        <w:rPr>
          <w:rFonts w:hint="eastAsia"/>
        </w:rPr>
        <w:t>曝气器的数量应根据供气量和服务面积计算确定。</w:t>
      </w:r>
    </w:p>
    <w:p>
      <w:pPr>
        <w:pStyle w:val="49"/>
        <w:spacing w:before="156" w:after="156"/>
      </w:pPr>
      <w:r>
        <w:rPr>
          <w:rFonts w:hint="eastAsia"/>
        </w:rPr>
        <w:t>采用穿孔管曝气的管材宜采用A</w:t>
      </w:r>
      <w:r>
        <w:t>BS</w:t>
      </w:r>
      <w:r>
        <w:rPr>
          <w:rFonts w:hint="eastAsia"/>
        </w:rPr>
        <w:t>或不锈钢耐用</w:t>
      </w:r>
      <w:r>
        <w:t>材质</w:t>
      </w:r>
      <w:r>
        <w:rPr>
          <w:rFonts w:hint="eastAsia"/>
        </w:rPr>
        <w:t>。</w:t>
      </w:r>
    </w:p>
    <w:p>
      <w:pPr>
        <w:pStyle w:val="49"/>
        <w:spacing w:before="156" w:after="156"/>
      </w:pPr>
      <w:r>
        <w:rPr>
          <w:rFonts w:hint="eastAsia"/>
        </w:rPr>
        <w:t>搅拌器宜选用不锈钢材质，桨叶直径不宜低于1.0</w:t>
      </w:r>
      <w:r>
        <w:t xml:space="preserve"> </w:t>
      </w:r>
      <w:r>
        <w:rPr>
          <w:rFonts w:hint="eastAsia"/>
        </w:rPr>
        <w:t>m，转速不宜高于120</w:t>
      </w:r>
      <w:r>
        <w:t xml:space="preserve"> </w:t>
      </w:r>
      <w:r>
        <w:rPr>
          <w:rFonts w:hint="eastAsia"/>
        </w:rPr>
        <w:t>rpm。</w:t>
      </w:r>
    </w:p>
    <w:p>
      <w:pPr>
        <w:pStyle w:val="49"/>
        <w:spacing w:before="156" w:after="156"/>
      </w:pPr>
      <w:r>
        <w:rPr>
          <w:rFonts w:hint="eastAsia"/>
        </w:rPr>
        <w:t>污水中含有大量产生泡沫的表面活性剂时，应有除泡沫措施。</w:t>
      </w:r>
    </w:p>
    <w:p>
      <w:pPr>
        <w:pStyle w:val="3"/>
      </w:pPr>
      <w:bookmarkStart w:id="66" w:name="_Toc122709911"/>
      <w:bookmarkStart w:id="67" w:name="_Toc122709400"/>
      <w:bookmarkStart w:id="68" w:name="_Toc122709323"/>
      <w:r>
        <w:rPr>
          <w:rFonts w:hint="eastAsia"/>
        </w:rPr>
        <w:t>BFM</w:t>
      </w:r>
      <w:r>
        <w:t>-</w:t>
      </w:r>
      <w:r>
        <w:rPr>
          <w:rFonts w:hint="eastAsia"/>
        </w:rPr>
        <w:t>M段</w:t>
      </w:r>
      <w:bookmarkEnd w:id="66"/>
      <w:bookmarkEnd w:id="67"/>
      <w:bookmarkEnd w:id="68"/>
    </w:p>
    <w:p>
      <w:pPr>
        <w:pStyle w:val="49"/>
        <w:spacing w:before="156" w:after="156"/>
      </w:pPr>
      <w:bookmarkStart w:id="69" w:name="_Hlk103083538"/>
      <w:r>
        <w:rPr>
          <w:rFonts w:hint="eastAsia"/>
        </w:rPr>
        <w:t>M段由反应单元、沉淀单元、磁介质回收单元组成（</w:t>
      </w:r>
      <w:r>
        <w:fldChar w:fldCharType="begin"/>
      </w:r>
      <w:r>
        <w:instrText xml:space="preserve"> </w:instrText>
      </w:r>
      <w:r>
        <w:rPr>
          <w:rFonts w:hint="eastAsia"/>
        </w:rPr>
        <w:instrText xml:space="preserve">REF _Ref112413140 \r \h</w:instrText>
      </w:r>
      <w:r>
        <w:instrText xml:space="preserve"> </w:instrText>
      </w:r>
      <w:r>
        <w:fldChar w:fldCharType="separate"/>
      </w:r>
      <w:r>
        <w:rPr>
          <w:rFonts w:hint="eastAsia"/>
        </w:rPr>
        <w:t>图4.3.1</w:t>
      </w:r>
      <w:r>
        <w:fldChar w:fldCharType="end"/>
      </w:r>
      <w:r>
        <w:rPr>
          <w:rFonts w:hint="eastAsia"/>
        </w:rPr>
        <w:t>），符合以下规定：</w:t>
      </w:r>
    </w:p>
    <w:p>
      <w:pPr>
        <w:pStyle w:val="42"/>
        <w:ind w:firstLine="480"/>
      </w:pPr>
      <w:r>
        <w:t xml:space="preserve">1 </w:t>
      </w:r>
      <w:r>
        <w:rPr>
          <w:rFonts w:hint="eastAsia"/>
        </w:rPr>
        <w:t>反应单元应由串联组合的混合反应池、磁介质加载池、絮凝反应池，污泥回流、药剂投加等相关配套设备构成；</w:t>
      </w:r>
    </w:p>
    <w:p>
      <w:pPr>
        <w:pStyle w:val="42"/>
        <w:ind w:firstLine="480"/>
      </w:pPr>
      <w:r>
        <w:rPr>
          <w:rFonts w:hint="eastAsia"/>
        </w:rPr>
        <w:t>2</w:t>
      </w:r>
      <w:r>
        <w:t xml:space="preserve"> 当M段需强化去除溶解性难降解COD时，可在混合反应池前设置活性炭吸附池，并同步投加活性炭</w:t>
      </w:r>
      <w:r>
        <w:rPr>
          <w:rFonts w:hint="eastAsia"/>
        </w:rPr>
        <w:t>；</w:t>
      </w:r>
    </w:p>
    <w:p>
      <w:pPr>
        <w:pStyle w:val="42"/>
        <w:ind w:firstLine="480"/>
      </w:pPr>
      <w:r>
        <w:t xml:space="preserve">3 </w:t>
      </w:r>
      <w:r>
        <w:rPr>
          <w:rFonts w:hint="eastAsia"/>
        </w:rPr>
        <w:t>沉淀单元应包括清水区、沉淀区、配水区、缓冲区、污泥浓缩区等。主要配套设备应包括：斜管（板）、重载型刮泥机、集水槽等；</w:t>
      </w:r>
    </w:p>
    <w:p>
      <w:pPr>
        <w:pStyle w:val="42"/>
        <w:ind w:firstLine="480"/>
      </w:pPr>
      <w:r>
        <w:t xml:space="preserve">4 </w:t>
      </w:r>
      <w:r>
        <w:rPr>
          <w:rFonts w:hint="eastAsia"/>
        </w:rPr>
        <w:t>磁介质回收单元应由高剪机、磁分离机等相关配套设备构成。</w:t>
      </w:r>
    </w:p>
    <w:p>
      <w:pPr>
        <w:pStyle w:val="44"/>
        <w:ind w:firstLine="480"/>
      </w:pPr>
      <w:r>
        <w:drawing>
          <wp:inline distT="0" distB="0" distL="0" distR="0">
            <wp:extent cx="4307205" cy="20878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307732" cy="2088000"/>
                    </a:xfrm>
                    <a:prstGeom prst="rect">
                      <a:avLst/>
                    </a:prstGeom>
                    <a:noFill/>
                    <a:ln>
                      <a:noFill/>
                    </a:ln>
                  </pic:spPr>
                </pic:pic>
              </a:graphicData>
            </a:graphic>
          </wp:inline>
        </w:drawing>
      </w:r>
    </w:p>
    <w:p>
      <w:pPr>
        <w:pStyle w:val="7"/>
        <w:spacing w:after="312"/>
      </w:pPr>
      <w:bookmarkStart w:id="70" w:name="_Ref112413140"/>
      <w:r>
        <w:rPr>
          <w:rFonts w:ascii="Times New Roman" w:hAnsi="Times New Roman"/>
        </w:rPr>
        <w:t>M</w:t>
      </w:r>
      <w:r>
        <w:rPr>
          <w:rFonts w:hint="eastAsia"/>
        </w:rPr>
        <w:t>段工艺流程图</w:t>
      </w:r>
      <w:bookmarkEnd w:id="70"/>
    </w:p>
    <w:p>
      <w:pPr>
        <w:pStyle w:val="49"/>
        <w:spacing w:before="156" w:after="156"/>
      </w:pPr>
      <w:r>
        <w:rPr>
          <w:rFonts w:hint="eastAsia"/>
        </w:rPr>
        <w:t>M段反应单元各阶段设计停留时间及速度梯度值应参照</w:t>
      </w:r>
      <w:r>
        <w:fldChar w:fldCharType="begin"/>
      </w:r>
      <w:r>
        <w:instrText xml:space="preserve"> </w:instrText>
      </w:r>
      <w:r>
        <w:rPr>
          <w:rFonts w:hint="eastAsia"/>
        </w:rPr>
        <w:instrText xml:space="preserve">REF _Ref106393492 \r \h</w:instrText>
      </w:r>
      <w:r>
        <w:instrText xml:space="preserve">  \* MERGEFORMAT </w:instrText>
      </w:r>
      <w:r>
        <w:fldChar w:fldCharType="separate"/>
      </w:r>
      <w:r>
        <w:rPr>
          <w:rFonts w:hint="eastAsia"/>
        </w:rPr>
        <w:t>表4.3.2</w:t>
      </w:r>
      <w:r>
        <w:fldChar w:fldCharType="end"/>
      </w:r>
      <w:r>
        <w:rPr>
          <w:rFonts w:hint="eastAsia"/>
        </w:rPr>
        <w:t>的规定。</w:t>
      </w:r>
    </w:p>
    <w:p>
      <w:pPr>
        <w:pStyle w:val="6"/>
        <w:spacing w:before="312"/>
      </w:pPr>
      <w:bookmarkStart w:id="71" w:name="_Ref106393492"/>
      <w:r>
        <w:rPr>
          <w:rFonts w:hint="eastAsia"/>
        </w:rPr>
        <w:t>M段各阶段设计停留时间</w:t>
      </w:r>
      <w:bookmarkEnd w:id="71"/>
      <w:r>
        <w:rPr>
          <w:rFonts w:hint="eastAsia"/>
        </w:rPr>
        <w:t>及速度梯度值</w:t>
      </w:r>
    </w:p>
    <w:tbl>
      <w:tblPr>
        <w:tblStyle w:val="5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4"/>
        <w:gridCol w:w="2982"/>
        <w:gridCol w:w="2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814" w:type="dxa"/>
            <w:vAlign w:val="center"/>
          </w:tcPr>
          <w:p>
            <w:pPr>
              <w:pStyle w:val="52"/>
            </w:pPr>
            <w:r>
              <w:rPr>
                <w:rFonts w:hint="eastAsia"/>
              </w:rPr>
              <w:t>类型</w:t>
            </w:r>
          </w:p>
        </w:tc>
        <w:tc>
          <w:tcPr>
            <w:tcW w:w="2982" w:type="dxa"/>
            <w:vAlign w:val="center"/>
          </w:tcPr>
          <w:p>
            <w:pPr>
              <w:pStyle w:val="52"/>
            </w:pPr>
            <w:r>
              <w:rPr>
                <w:rFonts w:hint="eastAsia"/>
              </w:rPr>
              <w:t>水力停留时间（min）</w:t>
            </w:r>
          </w:p>
        </w:tc>
        <w:tc>
          <w:tcPr>
            <w:tcW w:w="2726" w:type="dxa"/>
            <w:vAlign w:val="center"/>
          </w:tcPr>
          <w:p>
            <w:pPr>
              <w:pStyle w:val="52"/>
            </w:pPr>
            <w:r>
              <w:rPr>
                <w:rFonts w:hint="eastAsia"/>
              </w:rPr>
              <w:t>速度梯度值（s</w:t>
            </w:r>
            <w:r>
              <w:rPr>
                <w:vertAlign w:val="superscript"/>
              </w:rPr>
              <w:t>-1</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814" w:type="dxa"/>
            <w:vAlign w:val="center"/>
          </w:tcPr>
          <w:p>
            <w:pPr>
              <w:pStyle w:val="52"/>
            </w:pPr>
            <w:r>
              <w:rPr>
                <w:rFonts w:hint="eastAsia"/>
              </w:rPr>
              <w:t>混合反应池</w:t>
            </w:r>
          </w:p>
        </w:tc>
        <w:tc>
          <w:tcPr>
            <w:tcW w:w="2982" w:type="dxa"/>
            <w:vAlign w:val="center"/>
          </w:tcPr>
          <w:p>
            <w:pPr>
              <w:pStyle w:val="52"/>
            </w:pPr>
            <w:r>
              <w:rPr>
                <w:rFonts w:hint="eastAsia"/>
              </w:rPr>
              <w:t>1.</w:t>
            </w:r>
            <w:r>
              <w:t>0</w:t>
            </w:r>
            <w:r>
              <w:rPr>
                <w:rFonts w:hint="eastAsia"/>
              </w:rPr>
              <w:t>~</w:t>
            </w:r>
            <w:r>
              <w:t>2</w:t>
            </w:r>
            <w:r>
              <w:rPr>
                <w:rFonts w:hint="eastAsia"/>
              </w:rPr>
              <w:t>.</w:t>
            </w:r>
            <w:r>
              <w:t>5</w:t>
            </w:r>
          </w:p>
        </w:tc>
        <w:tc>
          <w:tcPr>
            <w:tcW w:w="2726" w:type="dxa"/>
            <w:vAlign w:val="center"/>
          </w:tcPr>
          <w:p>
            <w:pPr>
              <w:pStyle w:val="52"/>
            </w:pPr>
            <w:r>
              <w:rPr>
                <w:rFonts w:hint="eastAsia"/>
              </w:rPr>
              <w:t>3</w:t>
            </w:r>
            <w:r>
              <w:t>00</w:t>
            </w:r>
            <w:r>
              <w:rPr>
                <w:rFonts w:hint="eastAsia"/>
              </w:rPr>
              <w:t>~</w:t>
            </w:r>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2814" w:type="dxa"/>
            <w:vAlign w:val="center"/>
          </w:tcPr>
          <w:p>
            <w:pPr>
              <w:pStyle w:val="52"/>
            </w:pPr>
            <w:r>
              <w:rPr>
                <w:rFonts w:hint="eastAsia"/>
              </w:rPr>
              <w:t>磁介质加载池</w:t>
            </w:r>
          </w:p>
        </w:tc>
        <w:tc>
          <w:tcPr>
            <w:tcW w:w="2982" w:type="dxa"/>
            <w:vAlign w:val="center"/>
          </w:tcPr>
          <w:p>
            <w:pPr>
              <w:pStyle w:val="52"/>
            </w:pPr>
            <w:r>
              <w:rPr>
                <w:rFonts w:hint="eastAsia"/>
              </w:rPr>
              <w:t>1.</w:t>
            </w:r>
            <w:r>
              <w:t>5</w:t>
            </w:r>
            <w:r>
              <w:rPr>
                <w:rFonts w:hint="eastAsia"/>
              </w:rPr>
              <w:t>~</w:t>
            </w:r>
            <w:r>
              <w:t>2</w:t>
            </w:r>
            <w:r>
              <w:rPr>
                <w:rFonts w:hint="eastAsia"/>
              </w:rPr>
              <w:t>.</w:t>
            </w:r>
            <w:r>
              <w:t>5</w:t>
            </w:r>
          </w:p>
        </w:tc>
        <w:tc>
          <w:tcPr>
            <w:tcW w:w="2726" w:type="dxa"/>
            <w:vAlign w:val="center"/>
          </w:tcPr>
          <w:p>
            <w:pPr>
              <w:pStyle w:val="52"/>
            </w:pPr>
            <w:r>
              <w:t>100</w:t>
            </w:r>
            <w:r>
              <w:rPr>
                <w:rFonts w:hint="eastAsia"/>
              </w:rPr>
              <w:t>~</w:t>
            </w:r>
            <w: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2814" w:type="dxa"/>
            <w:vAlign w:val="center"/>
          </w:tcPr>
          <w:p>
            <w:pPr>
              <w:pStyle w:val="52"/>
            </w:pPr>
            <w:r>
              <w:rPr>
                <w:rFonts w:hint="eastAsia"/>
              </w:rPr>
              <w:t>絮凝反应池</w:t>
            </w:r>
          </w:p>
        </w:tc>
        <w:tc>
          <w:tcPr>
            <w:tcW w:w="2982" w:type="dxa"/>
            <w:vAlign w:val="center"/>
          </w:tcPr>
          <w:p>
            <w:pPr>
              <w:pStyle w:val="52"/>
            </w:pPr>
            <w:r>
              <w:t>3.0</w:t>
            </w:r>
            <w:r>
              <w:rPr>
                <w:rFonts w:hint="eastAsia"/>
              </w:rPr>
              <w:t>~</w:t>
            </w:r>
            <w:r>
              <w:t>5.0</w:t>
            </w:r>
          </w:p>
        </w:tc>
        <w:tc>
          <w:tcPr>
            <w:tcW w:w="2726" w:type="dxa"/>
            <w:vAlign w:val="center"/>
          </w:tcPr>
          <w:p>
            <w:pPr>
              <w:pStyle w:val="52"/>
            </w:pPr>
            <w:r>
              <w:t>70</w:t>
            </w:r>
            <w:r>
              <w:rPr>
                <w:rFonts w:hint="eastAsia"/>
              </w:rPr>
              <w:t>~</w:t>
            </w:r>
            <w:r>
              <w:t>200</w:t>
            </w:r>
          </w:p>
        </w:tc>
      </w:tr>
    </w:tbl>
    <w:p>
      <w:pPr>
        <w:pStyle w:val="49"/>
        <w:spacing w:before="156" w:after="156"/>
      </w:pPr>
      <w:r>
        <w:rPr>
          <w:rFonts w:hint="eastAsia"/>
        </w:rPr>
        <w:t>反应单元搅拌器应符合下列规定：</w:t>
      </w:r>
    </w:p>
    <w:p>
      <w:pPr>
        <w:pStyle w:val="42"/>
        <w:ind w:firstLine="480"/>
      </w:pPr>
      <w:r>
        <w:t xml:space="preserve">1 </w:t>
      </w:r>
      <w:r>
        <w:rPr>
          <w:rFonts w:hint="eastAsia"/>
        </w:rPr>
        <w:t>宜采用立式搅拌器，磁介质加载池和絮凝反应池桨叶设计应充分考虑磁介质影响，宜采用专用搅拌器，确保混凝反应效果；</w:t>
      </w:r>
    </w:p>
    <w:p>
      <w:pPr>
        <w:pStyle w:val="42"/>
        <w:ind w:firstLine="480"/>
      </w:pPr>
      <w:r>
        <w:t xml:space="preserve">2 </w:t>
      </w:r>
      <w:r>
        <w:rPr>
          <w:rFonts w:hint="eastAsia"/>
        </w:rPr>
        <w:t>搅拌器轴功率应确保水体完全混合，保证整池平均流速≥230</w:t>
      </w:r>
      <w:r>
        <w:t xml:space="preserve"> </w:t>
      </w:r>
      <w:r>
        <w:rPr>
          <w:rFonts w:hint="eastAsia"/>
        </w:rPr>
        <w:t>mm/s，电机功率宜大于实际轴功率的1.2倍。</w:t>
      </w:r>
    </w:p>
    <w:p>
      <w:pPr>
        <w:pStyle w:val="49"/>
        <w:spacing w:before="156" w:after="156"/>
      </w:pPr>
      <w:r>
        <w:rPr>
          <w:rFonts w:hint="eastAsia"/>
        </w:rPr>
        <w:t>磁介质主要成分应为四氧化三铁（Fe</w:t>
      </w:r>
      <w:r>
        <w:rPr>
          <w:rFonts w:hint="eastAsia"/>
          <w:vertAlign w:val="subscript"/>
        </w:rPr>
        <w:t>3</w:t>
      </w:r>
      <w:r>
        <w:rPr>
          <w:rFonts w:hint="eastAsia"/>
        </w:rPr>
        <w:t>O</w:t>
      </w:r>
      <w:r>
        <w:rPr>
          <w:rFonts w:hint="eastAsia"/>
          <w:vertAlign w:val="subscript"/>
        </w:rPr>
        <w:t>4</w:t>
      </w:r>
      <w:r>
        <w:rPr>
          <w:rFonts w:hint="eastAsia"/>
        </w:rPr>
        <w:t>），且磁性物含量不宜低于9</w:t>
      </w:r>
      <w:r>
        <w:t>6</w:t>
      </w:r>
      <w:r>
        <w:rPr>
          <w:rFonts w:hint="eastAsia"/>
        </w:rPr>
        <w:t>%（烘干后），真密度</w:t>
      </w:r>
      <w:r>
        <w:t>3</w:t>
      </w:r>
      <w:r>
        <w:rPr>
          <w:rFonts w:hint="eastAsia"/>
        </w:rPr>
        <w:t>.</w:t>
      </w:r>
      <w:r>
        <w:t xml:space="preserve">8 </w:t>
      </w:r>
      <w:r>
        <w:rPr>
          <w:rFonts w:hint="eastAsia"/>
        </w:rPr>
        <w:t>g/c</w:t>
      </w:r>
      <w:r>
        <w:rPr>
          <w:rFonts w:hint="eastAsia"/>
          <w:lang w:eastAsia="zh-CN"/>
        </w:rPr>
        <w:t>m³</w:t>
      </w:r>
      <w:r>
        <w:rPr>
          <w:rFonts w:hint="eastAsia"/>
        </w:rPr>
        <w:t>~5.2</w:t>
      </w:r>
      <w:r>
        <w:t xml:space="preserve"> </w:t>
      </w:r>
      <w:r>
        <w:rPr>
          <w:rFonts w:hint="eastAsia"/>
        </w:rPr>
        <w:t>g/c</w:t>
      </w:r>
      <w:r>
        <w:rPr>
          <w:rFonts w:hint="eastAsia"/>
          <w:lang w:eastAsia="zh-CN"/>
        </w:rPr>
        <w:t>m³</w:t>
      </w:r>
      <w:r>
        <w:rPr>
          <w:rFonts w:hint="eastAsia"/>
        </w:rPr>
        <w:t>，粒径100目~</w:t>
      </w:r>
      <w:r>
        <w:t>6</w:t>
      </w:r>
      <w:r>
        <w:rPr>
          <w:rFonts w:hint="eastAsia"/>
        </w:rPr>
        <w:t>00目。</w:t>
      </w:r>
    </w:p>
    <w:p>
      <w:pPr>
        <w:pStyle w:val="49"/>
        <w:spacing w:before="156" w:after="156"/>
      </w:pPr>
      <w:r>
        <w:rPr>
          <w:rFonts w:hint="eastAsia"/>
        </w:rPr>
        <w:t>磁介质污泥回流应符合下列规定：</w:t>
      </w:r>
    </w:p>
    <w:p>
      <w:pPr>
        <w:pStyle w:val="42"/>
        <w:ind w:firstLine="480"/>
      </w:pPr>
      <w:r>
        <w:t xml:space="preserve">1 </w:t>
      </w:r>
      <w:r>
        <w:rPr>
          <w:rFonts w:hint="eastAsia"/>
        </w:rPr>
        <w:t>根据进水水质情况确定，回流量宜为进水量的</w:t>
      </w:r>
      <w:r>
        <w:t>2</w:t>
      </w:r>
      <w:r>
        <w:rPr>
          <w:rFonts w:hint="eastAsia"/>
        </w:rPr>
        <w:t>%~</w:t>
      </w:r>
      <w:r>
        <w:t>6</w:t>
      </w:r>
      <w:r>
        <w:rPr>
          <w:rFonts w:hint="eastAsia"/>
        </w:rPr>
        <w:t>%；</w:t>
      </w:r>
    </w:p>
    <w:p>
      <w:pPr>
        <w:pStyle w:val="42"/>
        <w:ind w:firstLine="480"/>
      </w:pPr>
      <w:r>
        <w:t xml:space="preserve">2 </w:t>
      </w:r>
      <w:r>
        <w:rPr>
          <w:rFonts w:hint="eastAsia"/>
        </w:rPr>
        <w:t>磁介质污泥回流泵宜选用大通道、耐磨泵，具有高耐磨及高通过性特点，避免泵频繁堵塞。</w:t>
      </w:r>
    </w:p>
    <w:p>
      <w:pPr>
        <w:pStyle w:val="49"/>
        <w:spacing w:before="156" w:after="156"/>
      </w:pPr>
      <w:r>
        <w:rPr>
          <w:rFonts w:hint="eastAsia"/>
        </w:rPr>
        <w:t>药剂投加系统应符合下列规定：</w:t>
      </w:r>
    </w:p>
    <w:p>
      <w:pPr>
        <w:pStyle w:val="42"/>
        <w:ind w:firstLine="480"/>
      </w:pPr>
      <w:r>
        <w:t xml:space="preserve">1 </w:t>
      </w:r>
      <w:r>
        <w:rPr>
          <w:rFonts w:hint="eastAsia"/>
        </w:rPr>
        <w:t>磁介质宜采用干法投加</w:t>
      </w:r>
      <w:r>
        <w:t>，</w:t>
      </w:r>
      <w:r>
        <w:rPr>
          <w:rFonts w:hint="eastAsia"/>
        </w:rPr>
        <w:t>补充投加时可采用间歇方式，投加频次不宜小</w:t>
      </w:r>
      <w:r>
        <w:t>于1次</w:t>
      </w:r>
      <w:r>
        <w:rPr>
          <w:rFonts w:hint="eastAsia"/>
        </w:rPr>
        <w:t>/d；</w:t>
      </w:r>
      <w:r>
        <w:t>储备量不宜小于30 d的最大运行投加量</w:t>
      </w:r>
      <w:r>
        <w:rPr>
          <w:rFonts w:hint="eastAsia"/>
        </w:rPr>
        <w:t>；</w:t>
      </w:r>
    </w:p>
    <w:p>
      <w:pPr>
        <w:pStyle w:val="42"/>
        <w:ind w:firstLine="480"/>
      </w:pPr>
      <w:r>
        <w:t>2 混凝剂和助凝剂</w:t>
      </w:r>
      <w:r>
        <w:rPr>
          <w:rFonts w:hint="eastAsia"/>
        </w:rPr>
        <w:t>宜采用湿法投加，</w:t>
      </w:r>
      <w:r>
        <w:t>储备量宜按7 d~15 d最大</w:t>
      </w:r>
      <w:r>
        <w:rPr>
          <w:rFonts w:hint="eastAsia"/>
        </w:rPr>
        <w:t>运行</w:t>
      </w:r>
      <w:r>
        <w:t>投加量设计。</w:t>
      </w:r>
    </w:p>
    <w:p>
      <w:pPr>
        <w:pStyle w:val="49"/>
        <w:spacing w:before="156" w:after="156"/>
      </w:pPr>
      <w:r>
        <w:rPr>
          <w:rFonts w:hint="eastAsia"/>
        </w:rPr>
        <w:t>沉淀单元应符合以下规定：</w:t>
      </w:r>
    </w:p>
    <w:p>
      <w:pPr>
        <w:pStyle w:val="42"/>
        <w:ind w:firstLine="480"/>
      </w:pPr>
      <w:r>
        <w:t>1 沉淀</w:t>
      </w:r>
      <w:r>
        <w:rPr>
          <w:rFonts w:hint="eastAsia"/>
        </w:rPr>
        <w:t>单元</w:t>
      </w:r>
      <w:r>
        <w:t>设计应结合当地气候条件，宜设置遮阳、保温等措施</w:t>
      </w:r>
      <w:r>
        <w:rPr>
          <w:rFonts w:hint="eastAsia"/>
        </w:rPr>
        <w:t>；</w:t>
      </w:r>
    </w:p>
    <w:p>
      <w:pPr>
        <w:pStyle w:val="42"/>
        <w:ind w:firstLine="480"/>
      </w:pPr>
      <w:r>
        <w:t>2 沉淀单元应采用斜管（板）沉淀池，且应采用上向流斜管（板）沉淀</w:t>
      </w:r>
      <w:r>
        <w:rPr>
          <w:rFonts w:hint="eastAsia"/>
        </w:rPr>
        <w:t>；</w:t>
      </w:r>
    </w:p>
    <w:p>
      <w:pPr>
        <w:pStyle w:val="42"/>
        <w:ind w:firstLine="480"/>
      </w:pPr>
      <w:r>
        <w:t xml:space="preserve">3 </w:t>
      </w:r>
      <w:r>
        <w:rPr>
          <w:rFonts w:hint="eastAsia"/>
        </w:rPr>
        <w:t>斜管（板）沉淀池可根据实际需求选型设置冲洗装置，清洗周期根据运行情况确定，宜每季度清洗一次；</w:t>
      </w:r>
    </w:p>
    <w:p>
      <w:pPr>
        <w:pStyle w:val="42"/>
        <w:ind w:firstLine="480"/>
      </w:pPr>
      <w:r>
        <w:t>4 沉淀池可设置成方形池、圆形</w:t>
      </w:r>
      <w:r>
        <w:rPr>
          <w:rFonts w:hint="eastAsia"/>
        </w:rPr>
        <w:t>池</w:t>
      </w:r>
      <w:r>
        <w:t>或矩形池体。当设置成方形池体时，刮泥机覆盖不到的四角区域应抹圆坡，角度宜为45°~55°；底部刮泥机覆盖的圆形区域坡度不宜小于1/1000</w:t>
      </w:r>
      <w:r>
        <w:rPr>
          <w:rFonts w:hint="eastAsia"/>
        </w:rPr>
        <w:t>；</w:t>
      </w:r>
    </w:p>
    <w:p>
      <w:pPr>
        <w:pStyle w:val="42"/>
        <w:ind w:firstLine="480"/>
      </w:pPr>
      <w:r>
        <w:t xml:space="preserve">5 </w:t>
      </w:r>
      <w:r>
        <w:rPr>
          <w:rFonts w:hint="eastAsia"/>
        </w:rPr>
        <w:t>进入沉淀区前应设置导流墙。</w:t>
      </w:r>
    </w:p>
    <w:p>
      <w:pPr>
        <w:pStyle w:val="49"/>
        <w:spacing w:before="156" w:after="156"/>
      </w:pPr>
      <w:r>
        <w:rPr>
          <w:rFonts w:hint="eastAsia"/>
        </w:rPr>
        <w:t>M段沉淀区水力负荷宜为1</w:t>
      </w:r>
      <w:r>
        <w:t xml:space="preserve">0 </w:t>
      </w:r>
      <w:r>
        <w:rPr>
          <w:rFonts w:hint="eastAsia"/>
          <w:lang w:eastAsia="zh-CN"/>
        </w:rPr>
        <w:t>m³</w:t>
      </w:r>
      <w:r>
        <w:rPr>
          <w:rFonts w:hint="eastAsia"/>
        </w:rPr>
        <w:t>/(m</w:t>
      </w:r>
      <w:r>
        <w:rPr>
          <w:rFonts w:hint="eastAsia"/>
          <w:vertAlign w:val="superscript"/>
        </w:rPr>
        <w:t>2</w:t>
      </w:r>
      <w:r>
        <w:rPr>
          <w:rFonts w:hint="eastAsia"/>
        </w:rPr>
        <w:t>•h)~25</w:t>
      </w:r>
      <w:r>
        <w:t xml:space="preserve"> </w:t>
      </w:r>
      <w:r>
        <w:rPr>
          <w:rFonts w:hint="eastAsia"/>
          <w:lang w:eastAsia="zh-CN"/>
        </w:rPr>
        <w:t>m³</w:t>
      </w:r>
      <w:r>
        <w:rPr>
          <w:rFonts w:hint="eastAsia"/>
        </w:rPr>
        <w:t>/(m</w:t>
      </w:r>
      <w:r>
        <w:rPr>
          <w:rFonts w:hint="eastAsia"/>
          <w:vertAlign w:val="superscript"/>
        </w:rPr>
        <w:t>2</w:t>
      </w:r>
      <w:r>
        <w:rPr>
          <w:rFonts w:hint="eastAsia"/>
        </w:rPr>
        <w:t>•h)，固体通量不宜高于</w:t>
      </w:r>
      <w:r>
        <w:t xml:space="preserve">20 </w:t>
      </w:r>
      <w:r>
        <w:rPr>
          <w:rFonts w:hint="eastAsia"/>
        </w:rPr>
        <w:t>kg/(m</w:t>
      </w:r>
      <w:r>
        <w:rPr>
          <w:rFonts w:hint="eastAsia"/>
          <w:vertAlign w:val="superscript"/>
        </w:rPr>
        <w:t>2</w:t>
      </w:r>
      <w:r>
        <w:rPr>
          <w:rFonts w:hint="eastAsia"/>
        </w:rPr>
        <w:t>•h)。</w:t>
      </w:r>
    </w:p>
    <w:p>
      <w:pPr>
        <w:pStyle w:val="49"/>
        <w:spacing w:before="156" w:after="156"/>
      </w:pPr>
      <w:r>
        <w:rPr>
          <w:rFonts w:hint="eastAsia"/>
        </w:rPr>
        <w:t>底部污泥区的容积，应根据处理水量、悬浮物去除量、加药量、排泥周期和浓度等因素通过计算确定。底部浓缩污泥斗容积宜按高效沉淀池泥斗设计，泥斗内磁介质污泥浓度可按40</w:t>
      </w:r>
      <w:r>
        <w:t xml:space="preserve"> </w:t>
      </w:r>
      <w:r>
        <w:rPr>
          <w:rFonts w:hint="eastAsia"/>
        </w:rPr>
        <w:t>g/L~80</w:t>
      </w:r>
      <w:r>
        <w:t xml:space="preserve"> </w:t>
      </w:r>
      <w:r>
        <w:rPr>
          <w:rFonts w:hint="eastAsia"/>
        </w:rPr>
        <w:t>g/L计。</w:t>
      </w:r>
    </w:p>
    <w:p>
      <w:pPr>
        <w:pStyle w:val="49"/>
        <w:spacing w:before="156" w:after="156"/>
      </w:pPr>
      <w:r>
        <w:rPr>
          <w:rFonts w:hint="eastAsia"/>
        </w:rPr>
        <w:t>斜管（板）沉淀池的设计应符合下列规定：</w:t>
      </w:r>
    </w:p>
    <w:p>
      <w:pPr>
        <w:pStyle w:val="42"/>
        <w:ind w:firstLine="480"/>
      </w:pPr>
      <w:r>
        <w:t xml:space="preserve">1 </w:t>
      </w:r>
      <w:r>
        <w:rPr>
          <w:rFonts w:hint="eastAsia"/>
        </w:rPr>
        <w:t>斜管孔径或斜板净距宜为80</w:t>
      </w:r>
      <w:r>
        <w:t xml:space="preserve"> </w:t>
      </w:r>
      <w:r>
        <w:rPr>
          <w:rFonts w:hint="eastAsia"/>
        </w:rPr>
        <w:t>mm~100</w:t>
      </w:r>
      <w:r>
        <w:t xml:space="preserve"> </w:t>
      </w:r>
      <w:r>
        <w:rPr>
          <w:rFonts w:hint="eastAsia"/>
        </w:rPr>
        <w:t>mm；</w:t>
      </w:r>
    </w:p>
    <w:p>
      <w:pPr>
        <w:pStyle w:val="42"/>
        <w:ind w:firstLine="480"/>
      </w:pPr>
      <w:r>
        <w:t xml:space="preserve">2 </w:t>
      </w:r>
      <w:r>
        <w:rPr>
          <w:rFonts w:hint="eastAsia"/>
        </w:rPr>
        <w:t>斜管（板）的长度宜为1.0</w:t>
      </w:r>
      <w:r>
        <w:t xml:space="preserve"> </w:t>
      </w:r>
      <w:r>
        <w:rPr>
          <w:rFonts w:hint="eastAsia"/>
        </w:rPr>
        <w:t>m~1.5</w:t>
      </w:r>
      <w:r>
        <w:t xml:space="preserve"> </w:t>
      </w:r>
      <w:r>
        <w:rPr>
          <w:rFonts w:hint="eastAsia"/>
        </w:rPr>
        <w:t>m；</w:t>
      </w:r>
    </w:p>
    <w:p>
      <w:pPr>
        <w:pStyle w:val="42"/>
        <w:ind w:firstLine="480"/>
      </w:pPr>
      <w:r>
        <w:t xml:space="preserve">3 </w:t>
      </w:r>
      <w:r>
        <w:rPr>
          <w:rFonts w:hint="eastAsia"/>
        </w:rPr>
        <w:t>斜管（板）水平倾角宜为60°；</w:t>
      </w:r>
    </w:p>
    <w:p>
      <w:pPr>
        <w:pStyle w:val="42"/>
        <w:ind w:firstLine="480"/>
      </w:pPr>
      <w:r>
        <w:t xml:space="preserve">4 </w:t>
      </w:r>
      <w:r>
        <w:rPr>
          <w:rFonts w:hint="eastAsia"/>
        </w:rPr>
        <w:t>斜管（板）区上部清水区的水深宜为0.5</w:t>
      </w:r>
      <w:r>
        <w:t xml:space="preserve"> </w:t>
      </w:r>
      <w:r>
        <w:rPr>
          <w:rFonts w:hint="eastAsia"/>
        </w:rPr>
        <w:t>m~1.0</w:t>
      </w:r>
      <w:r>
        <w:t xml:space="preserve"> </w:t>
      </w:r>
      <w:r>
        <w:rPr>
          <w:rFonts w:hint="eastAsia"/>
        </w:rPr>
        <w:t>m；</w:t>
      </w:r>
    </w:p>
    <w:p>
      <w:pPr>
        <w:pStyle w:val="42"/>
        <w:ind w:firstLine="480"/>
      </w:pPr>
      <w:r>
        <w:t xml:space="preserve">5 </w:t>
      </w:r>
      <w:r>
        <w:rPr>
          <w:rFonts w:hint="eastAsia"/>
        </w:rPr>
        <w:t>斜管（板）底部缓冲区的高度宜为0.5</w:t>
      </w:r>
      <w:r>
        <w:t xml:space="preserve"> </w:t>
      </w:r>
      <w:r>
        <w:rPr>
          <w:rFonts w:hint="eastAsia"/>
        </w:rPr>
        <w:t>m~1.2</w:t>
      </w:r>
      <w:r>
        <w:t xml:space="preserve"> </w:t>
      </w:r>
      <w:r>
        <w:rPr>
          <w:rFonts w:hint="eastAsia"/>
        </w:rPr>
        <w:t>m；</w:t>
      </w:r>
    </w:p>
    <w:p>
      <w:pPr>
        <w:pStyle w:val="42"/>
        <w:ind w:firstLine="480"/>
      </w:pPr>
      <w:r>
        <w:t xml:space="preserve">6 </w:t>
      </w:r>
      <w:r>
        <w:rPr>
          <w:rFonts w:hint="eastAsia"/>
        </w:rPr>
        <w:t>池底浓缩污泥斗的深度宜为0.45</w:t>
      </w:r>
      <w:r>
        <w:t xml:space="preserve"> </w:t>
      </w:r>
      <w:r>
        <w:rPr>
          <w:rFonts w:hint="eastAsia"/>
        </w:rPr>
        <w:t>m~1.05</w:t>
      </w:r>
      <w:r>
        <w:t xml:space="preserve"> </w:t>
      </w:r>
      <w:r>
        <w:rPr>
          <w:rFonts w:hint="eastAsia"/>
        </w:rPr>
        <w:t>m。</w:t>
      </w:r>
    </w:p>
    <w:p>
      <w:pPr>
        <w:pStyle w:val="49"/>
        <w:spacing w:before="156" w:after="156"/>
      </w:pPr>
      <w:r>
        <w:rPr>
          <w:rFonts w:hint="eastAsia"/>
        </w:rPr>
        <w:t>排泥区刮泥机应符合以下要求：</w:t>
      </w:r>
    </w:p>
    <w:p>
      <w:pPr>
        <w:pStyle w:val="42"/>
        <w:ind w:firstLine="480"/>
      </w:pPr>
      <w:r>
        <w:t>1 如采用圆形或方形沉淀池，选用重载型四臂刮泥机设备进行刮集，刮泥耙外缘线速度应为1.5 m/min~2.5 m/min；刮泥机扭矩按常规沉淀池计算值的1.5倍~4.0倍配置</w:t>
      </w:r>
      <w:r>
        <w:rPr>
          <w:rFonts w:hint="eastAsia"/>
        </w:rPr>
        <w:t>；</w:t>
      </w:r>
    </w:p>
    <w:p>
      <w:pPr>
        <w:pStyle w:val="42"/>
        <w:ind w:firstLine="480"/>
      </w:pPr>
      <w:r>
        <w:t>2 如采用矩形沉淀池，选用非金属链板式刮泥机设备进行刮集，刮泥机运行速度为0.4 m/min</w:t>
      </w:r>
      <w:r>
        <w:rPr>
          <w:rFonts w:hint="eastAsia"/>
        </w:rPr>
        <w:t>~</w:t>
      </w:r>
      <w:r>
        <w:t>0.6 m/min；刮泥机扭矩按常规沉淀池计算值的1.5倍~4.0倍配置</w:t>
      </w:r>
      <w:r>
        <w:rPr>
          <w:rFonts w:hint="eastAsia"/>
        </w:rPr>
        <w:t>。</w:t>
      </w:r>
    </w:p>
    <w:p>
      <w:pPr>
        <w:pStyle w:val="49"/>
        <w:spacing w:before="156" w:after="156"/>
      </w:pPr>
      <w:r>
        <w:rPr>
          <w:rFonts w:hint="eastAsia"/>
        </w:rPr>
        <w:t>磁分离机宜选用高梯度磁分离机，永磁筒回收区表面最大磁感应强度≥700</w:t>
      </w:r>
      <w:r>
        <w:t xml:space="preserve"> </w:t>
      </w:r>
      <w:r>
        <w:rPr>
          <w:rFonts w:hint="eastAsia"/>
        </w:rPr>
        <w:t>mT。</w:t>
      </w:r>
    </w:p>
    <w:p>
      <w:pPr>
        <w:pStyle w:val="49"/>
        <w:spacing w:before="156" w:after="156"/>
      </w:pPr>
      <w:r>
        <w:t>高剪机</w:t>
      </w:r>
      <w:r>
        <w:rPr>
          <w:rFonts w:hint="eastAsia"/>
        </w:rPr>
        <w:t>筒体宜</w:t>
      </w:r>
      <w:r>
        <w:t>采用</w:t>
      </w:r>
      <w:r>
        <w:rPr>
          <w:rFonts w:hint="eastAsia"/>
        </w:rPr>
        <w:t>不低于S</w:t>
      </w:r>
      <w:r>
        <w:t>S316L材质</w:t>
      </w:r>
      <w:r>
        <w:rPr>
          <w:rFonts w:hint="eastAsia"/>
        </w:rPr>
        <w:t>，</w:t>
      </w:r>
      <w:r>
        <w:t>桨叶</w:t>
      </w:r>
      <w:r>
        <w:rPr>
          <w:rFonts w:hint="eastAsia"/>
        </w:rPr>
        <w:t>宜</w:t>
      </w:r>
      <w:r>
        <w:t>选用</w:t>
      </w:r>
      <w:r>
        <w:rPr>
          <w:rFonts w:hint="eastAsia"/>
        </w:rPr>
        <w:t>钛合金或高铬合金等耐磨材质。</w:t>
      </w:r>
    </w:p>
    <w:bookmarkEnd w:id="69"/>
    <w:p>
      <w:pPr>
        <w:pStyle w:val="3"/>
      </w:pPr>
      <w:bookmarkStart w:id="72" w:name="_Toc122709324"/>
      <w:bookmarkStart w:id="73" w:name="_Toc103239322"/>
      <w:bookmarkStart w:id="74" w:name="_Toc122709401"/>
      <w:bookmarkStart w:id="75" w:name="_Toc122709912"/>
      <w:r>
        <w:rPr>
          <w:rFonts w:hint="eastAsia"/>
        </w:rPr>
        <w:t>污泥产量</w:t>
      </w:r>
      <w:bookmarkEnd w:id="72"/>
      <w:bookmarkEnd w:id="73"/>
      <w:bookmarkEnd w:id="74"/>
      <w:bookmarkEnd w:id="75"/>
    </w:p>
    <w:p>
      <w:pPr>
        <w:pStyle w:val="49"/>
        <w:spacing w:before="156" w:after="156"/>
      </w:pPr>
      <w:r>
        <w:rPr>
          <w:rFonts w:hint="eastAsia"/>
        </w:rPr>
        <w:t>B</w:t>
      </w:r>
      <w:r>
        <w:t>FM</w:t>
      </w:r>
      <w:r>
        <w:rPr>
          <w:rFonts w:hint="eastAsia"/>
        </w:rPr>
        <w:t>工艺污泥产量主要包括生化污泥和化学污泥，如含有初沉池时，也应包含初沉污泥。初沉污泥量计算可参考《室外排水设计标准》G</w:t>
      </w:r>
      <w:r>
        <w:t>B 50014</w:t>
      </w:r>
      <w:r>
        <w:rPr>
          <w:rFonts w:hint="eastAsia"/>
        </w:rPr>
        <w:t>。</w:t>
      </w:r>
    </w:p>
    <w:p>
      <w:pPr>
        <w:pStyle w:val="49"/>
        <w:spacing w:before="156" w:after="156"/>
      </w:pPr>
      <w:r>
        <w:rPr>
          <w:rFonts w:hint="eastAsia"/>
        </w:rPr>
        <w:t>BFM工艺污泥产量可按下式进行计算：</w:t>
      </w:r>
    </w:p>
    <w:p>
      <w:pPr>
        <w:pStyle w:val="42"/>
        <w:ind w:firstLine="480"/>
        <w:jc w:val="right"/>
      </w:pPr>
      <m:oMath>
        <m:r>
          <m:rPr/>
          <w:rPr>
            <w:rFonts w:ascii="Cambria Math" w:hAnsi="Cambria Math"/>
          </w:rPr>
          <m:t>∆X</m:t>
        </m:r>
        <m:r>
          <m:rPr>
            <m:sty m:val="p"/>
          </m:rPr>
          <w:rPr>
            <w:rFonts w:ascii="Cambria Math" w:hAnsi="Cambria Math"/>
          </w:rPr>
          <m:t>=</m:t>
        </m:r>
        <m:r>
          <m:rPr/>
          <w:rPr>
            <w:rFonts w:hint="eastAsia" w:ascii="Cambria Math" w:hAnsi="Cambria Math"/>
          </w:rPr>
          <m:t>f</m:t>
        </m:r>
        <m:r>
          <m:rPr>
            <m:sty m:val="p"/>
          </m:rPr>
          <w:rPr>
            <w:rFonts w:ascii="Cambria Math" w:hAnsi="Cambria Math"/>
          </w:rPr>
          <m:t>×</m:t>
        </m:r>
        <m:r>
          <m:rPr/>
          <w:rPr>
            <w:rFonts w:ascii="Cambria Math" w:hAnsi="Cambria Math"/>
          </w:rPr>
          <m:t>Q</m:t>
        </m:r>
        <m:r>
          <m:rPr>
            <m:sty m:val="p"/>
          </m:rPr>
          <w:rPr>
            <w:rFonts w:ascii="Cambria Math" w:hAnsi="Cambria Math"/>
          </w:rPr>
          <m:t>×</m:t>
        </m:r>
        <m:sSub>
          <m:sSubPr>
            <m:ctrlPr>
              <w:rPr>
                <w:rFonts w:ascii="Cambria Math" w:hAnsi="Cambria Math"/>
              </w:rPr>
            </m:ctrlPr>
          </m:sSubPr>
          <m:e>
            <m:r>
              <m:rPr/>
              <w:rPr>
                <w:rFonts w:ascii="Cambria Math" w:hAnsi="Cambria Math"/>
              </w:rPr>
              <m:t>SS</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Y</m:t>
            </m:r>
            <m:ctrlPr>
              <w:rPr>
                <w:rFonts w:ascii="Cambria Math" w:hAnsi="Cambria Math"/>
              </w:rPr>
            </m:ctrlPr>
          </m:e>
          <m:sub>
            <m:r>
              <m:rPr/>
              <w:rPr>
                <w:rFonts w:ascii="Cambria Math" w:hAnsi="Cambria Math"/>
              </w:rPr>
              <m:t>obs</m:t>
            </m:r>
            <m:ctrlPr>
              <w:rPr>
                <w:rFonts w:ascii="Cambria Math" w:hAnsi="Cambria Math"/>
              </w:rPr>
            </m:ctrlPr>
          </m:sub>
        </m:sSub>
        <m:r>
          <m:rPr>
            <m:sty m:val="p"/>
          </m:rPr>
          <w:rPr>
            <w:rFonts w:ascii="Cambria Math" w:hAnsi="Cambria Math"/>
          </w:rPr>
          <m:t>×</m:t>
        </m:r>
        <m:r>
          <m:rPr/>
          <w:rPr>
            <w:rFonts w:ascii="Cambria Math" w:hAnsi="Cambria Math"/>
          </w:rPr>
          <m:t>Q</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w:rPr>
                    <w:rFonts w:ascii="Cambria Math" w:hAnsi="Cambria Math"/>
                  </w:rPr>
                  <m:t>S</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e</m:t>
                </m:r>
                <m:ctrlPr>
                  <w:rPr>
                    <w:rFonts w:ascii="Cambria Math" w:hAnsi="Cambria Math"/>
                  </w:rPr>
                </m:ctrlPr>
              </m:sub>
            </m:sSub>
            <m:ctrlPr>
              <w:rPr>
                <w:rFonts w:ascii="Cambria Math" w:hAnsi="Cambria Math"/>
              </w:rPr>
            </m:ctrlPr>
          </m:e>
        </m:d>
        <m:r>
          <m:rPr/>
          <w:rPr>
            <w:rFonts w:ascii="Cambria Math" w:hAnsi="Cambria Math"/>
          </w:rPr>
          <m:t>+K×</m:t>
        </m:r>
        <m:sSub>
          <m:sSubPr>
            <m:ctrlPr>
              <w:rPr>
                <w:rFonts w:ascii="Cambria Math" w:hAnsi="Cambria Math"/>
                <w:i/>
              </w:rPr>
            </m:ctrlPr>
          </m:sSubPr>
          <m:e>
            <m:r>
              <m:rPr/>
              <w:rPr>
                <w:rFonts w:ascii="Cambria Math" w:hAnsi="Cambria Math"/>
              </w:rPr>
              <m:t>m</m:t>
            </m:r>
            <m:ctrlPr>
              <w:rPr>
                <w:rFonts w:ascii="Cambria Math" w:hAnsi="Cambria Math"/>
                <w:i/>
              </w:rPr>
            </m:ctrlPr>
          </m:e>
          <m:sub>
            <m:r>
              <m:rPr/>
              <w:rPr>
                <w:rFonts w:hint="eastAsia" w:ascii="Cambria Math" w:hAnsi="Cambria Math"/>
              </w:rPr>
              <m:t>C</m:t>
            </m:r>
            <m:ctrlPr>
              <w:rPr>
                <w:rFonts w:ascii="Cambria Math" w:hAnsi="Cambria Math"/>
                <w:i/>
              </w:rPr>
            </m:ctrlPr>
          </m:sub>
        </m:sSub>
      </m:oMath>
      <w:r>
        <w:t xml:space="preserve">        (4.4.2-1)</w:t>
      </w:r>
    </w:p>
    <w:p>
      <w:pPr>
        <w:pStyle w:val="42"/>
        <w:ind w:firstLine="480"/>
        <w:rPr>
          <w:iCs/>
        </w:rPr>
      </w:pPr>
      <w:r>
        <w:rPr>
          <w:rFonts w:hint="eastAsia"/>
          <w:iCs/>
        </w:rPr>
        <w:t>式中：</w:t>
      </w:r>
      <w:r>
        <w:rPr>
          <w:rFonts w:hint="eastAsia"/>
          <w:i/>
        </w:rPr>
        <w:t>△</w:t>
      </w:r>
      <w:r>
        <w:rPr>
          <w:i/>
        </w:rPr>
        <w:t>X</w:t>
      </w:r>
      <w:r>
        <w:rPr>
          <w:iCs/>
        </w:rPr>
        <w:tab/>
      </w:r>
      <w:r>
        <w:rPr>
          <w:rFonts w:hint="eastAsia"/>
          <w:iCs/>
        </w:rPr>
        <w:t>——</w:t>
      </w:r>
      <w:r>
        <w:rPr>
          <w:iCs/>
        </w:rPr>
        <w:tab/>
      </w:r>
      <w:r>
        <w:rPr>
          <w:rFonts w:hint="eastAsia"/>
          <w:iCs/>
        </w:rPr>
        <w:t>BFM污泥产量（kgDS/d）；</w:t>
      </w:r>
    </w:p>
    <w:p>
      <w:pPr>
        <w:pStyle w:val="42"/>
        <w:ind w:firstLine="1200" w:firstLineChars="500"/>
        <w:rPr>
          <w:iCs/>
        </w:rPr>
      </w:pPr>
      <w:r>
        <w:rPr>
          <w:rFonts w:hint="eastAsia"/>
          <w:i/>
          <w:iCs/>
        </w:rPr>
        <w:t>f</w:t>
      </w:r>
      <w:r>
        <w:rPr>
          <w:iCs/>
        </w:rPr>
        <w:tab/>
      </w:r>
      <w:r>
        <w:rPr>
          <w:rFonts w:hint="eastAsia"/>
          <w:iCs/>
        </w:rPr>
        <w:t>——</w:t>
      </w:r>
      <w:r>
        <w:rPr>
          <w:iCs/>
        </w:rPr>
        <w:tab/>
      </w:r>
      <w:r>
        <w:rPr>
          <w:rFonts w:hint="eastAsia"/>
          <w:i/>
          <w:iCs/>
        </w:rPr>
        <w:t>S</w:t>
      </w:r>
      <w:r>
        <w:rPr>
          <w:i/>
          <w:iCs/>
        </w:rPr>
        <w:t>S</w:t>
      </w:r>
      <w:r>
        <w:rPr>
          <w:rFonts w:hint="eastAsia"/>
          <w:iCs/>
        </w:rPr>
        <w:t>的污泥转化率（g</w:t>
      </w:r>
      <w:r>
        <w:rPr>
          <w:rFonts w:hint="eastAsia"/>
          <w:i/>
          <w:iCs/>
        </w:rPr>
        <w:t>SS</w:t>
      </w:r>
      <w:r>
        <w:rPr>
          <w:rFonts w:hint="eastAsia"/>
          <w:iCs/>
        </w:rPr>
        <w:t>/g</w:t>
      </w:r>
      <w:r>
        <w:rPr>
          <w:i/>
          <w:iCs/>
        </w:rPr>
        <w:t>SS</w:t>
      </w:r>
      <w:r>
        <w:rPr>
          <w:rFonts w:hint="eastAsia"/>
          <w:iCs/>
        </w:rPr>
        <w:t>），宜根据试验资料确定，无试验资料时可取0</w:t>
      </w:r>
      <w:r>
        <w:rPr>
          <w:iCs/>
        </w:rPr>
        <w:t>.7</w:t>
      </w:r>
      <w:r>
        <w:rPr>
          <w:rFonts w:hint="eastAsia"/>
          <w:iCs/>
        </w:rPr>
        <w:t>~</w:t>
      </w:r>
      <w:r>
        <w:rPr>
          <w:iCs/>
        </w:rPr>
        <w:t>0.9</w:t>
      </w:r>
      <w:r>
        <w:rPr>
          <w:rFonts w:hint="eastAsia"/>
          <w:iCs/>
        </w:rPr>
        <w:t>；</w:t>
      </w:r>
    </w:p>
    <w:p>
      <w:pPr>
        <w:pStyle w:val="42"/>
        <w:ind w:firstLine="1200" w:firstLineChars="500"/>
        <w:rPr>
          <w:iCs/>
        </w:rPr>
      </w:pPr>
      <w:r>
        <w:rPr>
          <w:rFonts w:hint="eastAsia"/>
          <w:i/>
        </w:rPr>
        <w:t>Q</w:t>
      </w:r>
      <w:r>
        <w:rPr>
          <w:iCs/>
        </w:rPr>
        <w:tab/>
      </w:r>
      <w:r>
        <w:rPr>
          <w:rFonts w:hint="eastAsia"/>
          <w:iCs/>
        </w:rPr>
        <w:t>——</w:t>
      </w:r>
      <w:r>
        <w:rPr>
          <w:iCs/>
        </w:rPr>
        <w:tab/>
      </w:r>
      <w:r>
        <w:rPr>
          <w:rFonts w:hint="eastAsia"/>
          <w:iCs/>
        </w:rPr>
        <w:t>设计进水水量（</w:t>
      </w:r>
      <w:r>
        <w:rPr>
          <w:rFonts w:hint="eastAsia"/>
          <w:iCs/>
          <w:lang w:eastAsia="zh-CN"/>
        </w:rPr>
        <w:t>m³</w:t>
      </w:r>
      <w:r>
        <w:rPr>
          <w:iCs/>
        </w:rPr>
        <w:t>/</w:t>
      </w:r>
      <w:r>
        <w:rPr>
          <w:rFonts w:hint="eastAsia"/>
          <w:iCs/>
        </w:rPr>
        <w:t>d）；</w:t>
      </w:r>
    </w:p>
    <w:p>
      <w:pPr>
        <w:pStyle w:val="42"/>
        <w:ind w:firstLine="1200" w:firstLineChars="500"/>
        <w:rPr>
          <w:vertAlign w:val="subscript"/>
        </w:rPr>
      </w:pPr>
      <w:r>
        <w:rPr>
          <w:rFonts w:hint="eastAsia"/>
          <w:i/>
          <w:iCs/>
        </w:rPr>
        <w:t>S</w:t>
      </w:r>
      <w:r>
        <w:rPr>
          <w:i/>
          <w:iCs/>
        </w:rPr>
        <w:t>S</w:t>
      </w:r>
      <w:r>
        <w:rPr>
          <w:i/>
          <w:iCs/>
          <w:vertAlign w:val="subscript"/>
        </w:rPr>
        <w:t>0</w:t>
      </w:r>
      <w:r>
        <w:rPr>
          <w:i/>
          <w:iCs/>
          <w:vertAlign w:val="subscript"/>
        </w:rPr>
        <w:tab/>
      </w:r>
      <w:r>
        <w:rPr>
          <w:rFonts w:hint="eastAsia"/>
        </w:rPr>
        <w:t>——</w:t>
      </w:r>
      <w:r>
        <w:tab/>
      </w:r>
      <w:r>
        <w:rPr>
          <w:rFonts w:hint="eastAsia"/>
        </w:rPr>
        <w:t>BFM工艺进水悬浮物浓度（kg/</w:t>
      </w:r>
      <w:r>
        <w:rPr>
          <w:rFonts w:hint="eastAsia"/>
          <w:lang w:eastAsia="zh-CN"/>
        </w:rPr>
        <w:t>m³</w:t>
      </w:r>
      <w:r>
        <w:rPr>
          <w:rFonts w:hint="eastAsia"/>
        </w:rPr>
        <w:t>）；</w:t>
      </w:r>
    </w:p>
    <w:p>
      <w:pPr>
        <w:pStyle w:val="42"/>
        <w:ind w:firstLine="1200" w:firstLineChars="500"/>
      </w:pPr>
      <w:r>
        <w:rPr>
          <w:rFonts w:hint="eastAsia"/>
          <w:i/>
          <w:iCs/>
        </w:rPr>
        <w:t>Y</w:t>
      </w:r>
      <w:r>
        <w:rPr>
          <w:rFonts w:hint="eastAsia"/>
          <w:i/>
          <w:iCs/>
          <w:vertAlign w:val="subscript"/>
        </w:rPr>
        <w:t>obs</w:t>
      </w:r>
      <w:r>
        <w:rPr>
          <w:i/>
          <w:iCs/>
          <w:vertAlign w:val="subscript"/>
        </w:rPr>
        <w:tab/>
      </w:r>
      <w:r>
        <w:rPr>
          <w:rFonts w:hint="eastAsia"/>
        </w:rPr>
        <w:t>——</w:t>
      </w:r>
      <w:r>
        <w:tab/>
      </w:r>
      <w:r>
        <w:rPr>
          <w:rFonts w:hint="eastAsia"/>
        </w:rPr>
        <w:t>生物膜表观产率系数（kg</w:t>
      </w:r>
      <w:r>
        <w:rPr>
          <w:i/>
        </w:rPr>
        <w:t>SS</w:t>
      </w:r>
      <w:r>
        <w:rPr>
          <w:rFonts w:hint="eastAsia"/>
        </w:rPr>
        <w:t>/kg</w:t>
      </w:r>
      <w:r>
        <w:rPr>
          <w:i/>
        </w:rPr>
        <w:t>BOD</w:t>
      </w:r>
      <w:r>
        <w:rPr>
          <w:i/>
          <w:iCs/>
          <w:vertAlign w:val="subscript"/>
        </w:rPr>
        <w:t>5</w:t>
      </w:r>
      <w:r>
        <w:rPr>
          <w:rFonts w:hint="eastAsia"/>
        </w:rPr>
        <w:t>），0</w:t>
      </w:r>
      <w:r>
        <w:t>.1~0.6</w:t>
      </w:r>
      <w:r>
        <w:rPr>
          <w:rFonts w:hint="eastAsia"/>
        </w:rPr>
        <w:t>；</w:t>
      </w:r>
    </w:p>
    <w:p>
      <w:pPr>
        <w:pStyle w:val="42"/>
        <w:ind w:firstLine="1200" w:firstLineChars="500"/>
        <w:rPr>
          <w:vertAlign w:val="subscript"/>
        </w:rPr>
      </w:pPr>
      <w:r>
        <w:rPr>
          <w:rFonts w:hint="eastAsia"/>
          <w:i/>
          <w:iCs/>
        </w:rPr>
        <w:t>S</w:t>
      </w:r>
      <w:r>
        <w:rPr>
          <w:i/>
          <w:iCs/>
          <w:vertAlign w:val="subscript"/>
        </w:rPr>
        <w:t>0</w:t>
      </w:r>
      <w:r>
        <w:rPr>
          <w:i/>
          <w:iCs/>
          <w:vertAlign w:val="subscript"/>
        </w:rPr>
        <w:tab/>
      </w:r>
      <w:r>
        <w:rPr>
          <w:rFonts w:hint="eastAsia"/>
        </w:rPr>
        <w:t>——</w:t>
      </w:r>
      <w:r>
        <w:tab/>
      </w:r>
      <w:r>
        <w:rPr>
          <w:rFonts w:hint="eastAsia"/>
        </w:rPr>
        <w:t>BFM工艺进水</w:t>
      </w:r>
      <w:r>
        <w:rPr>
          <w:rFonts w:hint="eastAsia"/>
          <w:i/>
        </w:rPr>
        <w:t>B</w:t>
      </w:r>
      <w:r>
        <w:rPr>
          <w:i/>
        </w:rPr>
        <w:t>OD</w:t>
      </w:r>
      <w:r>
        <w:rPr>
          <w:i/>
          <w:iCs/>
          <w:vertAlign w:val="subscript"/>
        </w:rPr>
        <w:t>5</w:t>
      </w:r>
      <w:r>
        <w:rPr>
          <w:rFonts w:hint="eastAsia"/>
        </w:rPr>
        <w:t>量（kg/</w:t>
      </w:r>
      <w:r>
        <w:rPr>
          <w:rFonts w:hint="eastAsia"/>
          <w:lang w:eastAsia="zh-CN"/>
        </w:rPr>
        <w:t>m³</w:t>
      </w:r>
      <w:r>
        <w:rPr>
          <w:rFonts w:hint="eastAsia"/>
        </w:rPr>
        <w:t>）；</w:t>
      </w:r>
    </w:p>
    <w:p>
      <w:pPr>
        <w:pStyle w:val="42"/>
        <w:ind w:firstLine="1200" w:firstLineChars="500"/>
      </w:pPr>
      <w:r>
        <w:rPr>
          <w:i/>
          <w:iCs/>
        </w:rPr>
        <w:t>S</w:t>
      </w:r>
      <w:r>
        <w:rPr>
          <w:rFonts w:hint="eastAsia"/>
          <w:i/>
          <w:iCs/>
          <w:vertAlign w:val="subscript"/>
        </w:rPr>
        <w:t>e</w:t>
      </w:r>
      <w:r>
        <w:rPr>
          <w:i/>
          <w:iCs/>
          <w:vertAlign w:val="subscript"/>
        </w:rPr>
        <w:tab/>
      </w:r>
      <w:r>
        <w:rPr>
          <w:rFonts w:hint="eastAsia"/>
        </w:rPr>
        <w:t>——</w:t>
      </w:r>
      <w:r>
        <w:tab/>
      </w:r>
      <w:r>
        <w:rPr>
          <w:rFonts w:hint="eastAsia"/>
        </w:rPr>
        <w:t>BFM工艺出水</w:t>
      </w:r>
      <w:r>
        <w:rPr>
          <w:rFonts w:hint="eastAsia"/>
          <w:i/>
        </w:rPr>
        <w:t>B</w:t>
      </w:r>
      <w:r>
        <w:rPr>
          <w:i/>
        </w:rPr>
        <w:t>OD</w:t>
      </w:r>
      <w:r>
        <w:rPr>
          <w:i/>
          <w:iCs/>
          <w:vertAlign w:val="subscript"/>
        </w:rPr>
        <w:t>5</w:t>
      </w:r>
      <w:r>
        <w:rPr>
          <w:rFonts w:hint="eastAsia"/>
        </w:rPr>
        <w:t>量（kg/</w:t>
      </w:r>
      <w:r>
        <w:rPr>
          <w:rFonts w:hint="eastAsia"/>
          <w:lang w:eastAsia="zh-CN"/>
        </w:rPr>
        <w:t>m³</w:t>
      </w:r>
      <w:r>
        <w:rPr>
          <w:rFonts w:hint="eastAsia"/>
        </w:rPr>
        <w:t>）；</w:t>
      </w:r>
    </w:p>
    <w:p>
      <w:pPr>
        <w:pStyle w:val="42"/>
        <w:ind w:firstLine="1200" w:firstLineChars="500"/>
      </w:pPr>
      <w:r>
        <w:rPr>
          <w:i/>
        </w:rPr>
        <w:t>K</w:t>
      </w:r>
      <w:r>
        <w:tab/>
      </w:r>
      <w:r>
        <w:rPr>
          <w:rFonts w:hint="eastAsia"/>
        </w:rPr>
        <w:t>——</w:t>
      </w:r>
      <w:r>
        <w:tab/>
      </w:r>
      <w:r>
        <w:rPr>
          <w:rFonts w:hint="eastAsia"/>
        </w:rPr>
        <w:t>混凝剂污泥产生系数，铁盐可按照</w:t>
      </w:r>
      <w:r>
        <w:t>2.5 kg</w:t>
      </w:r>
      <w:r>
        <w:rPr>
          <w:i/>
        </w:rPr>
        <w:t>SS</w:t>
      </w:r>
      <w:r>
        <w:t>/kg</w:t>
      </w:r>
      <w:r>
        <w:rPr>
          <w:rFonts w:hint="eastAsia"/>
          <w:i/>
        </w:rPr>
        <w:t>Fe</w:t>
      </w:r>
      <w:r>
        <w:rPr>
          <w:rFonts w:hint="eastAsia"/>
        </w:rPr>
        <w:t xml:space="preserve"> ~</w:t>
      </w:r>
      <w:r>
        <w:t>3.5 kg</w:t>
      </w:r>
      <w:r>
        <w:rPr>
          <w:i/>
        </w:rPr>
        <w:t>SS</w:t>
      </w:r>
      <w:r>
        <w:t>/kg</w:t>
      </w:r>
      <w:r>
        <w:rPr>
          <w:rFonts w:hint="eastAsia"/>
          <w:i/>
        </w:rPr>
        <w:t>Fe</w:t>
      </w:r>
      <w:r>
        <w:rPr>
          <w:rFonts w:hint="eastAsia"/>
        </w:rPr>
        <w:t>，铝盐可按照4</w:t>
      </w:r>
      <w:r>
        <w:t>.0 kg</w:t>
      </w:r>
      <w:r>
        <w:rPr>
          <w:i/>
        </w:rPr>
        <w:t>SS</w:t>
      </w:r>
      <w:r>
        <w:t>/kg</w:t>
      </w:r>
      <w:r>
        <w:rPr>
          <w:i/>
        </w:rPr>
        <w:t>Al</w:t>
      </w:r>
      <w:r>
        <w:rPr>
          <w:rFonts w:hint="eastAsia"/>
        </w:rPr>
        <w:t>~</w:t>
      </w:r>
      <w:r>
        <w:t>5.0 kg</w:t>
      </w:r>
      <w:r>
        <w:rPr>
          <w:i/>
        </w:rPr>
        <w:t>SS</w:t>
      </w:r>
      <w:r>
        <w:t>/kg</w:t>
      </w:r>
      <w:r>
        <w:rPr>
          <w:i/>
        </w:rPr>
        <w:t>Al</w:t>
      </w:r>
      <w:r>
        <w:rPr>
          <w:rFonts w:hint="eastAsia"/>
        </w:rPr>
        <w:t>计算；</w:t>
      </w:r>
    </w:p>
    <w:p>
      <w:pPr>
        <w:pStyle w:val="42"/>
        <w:ind w:firstLine="1200" w:firstLineChars="500"/>
      </w:pPr>
      <w:r>
        <w:rPr>
          <w:i/>
        </w:rPr>
        <w:t>m</w:t>
      </w:r>
      <w:r>
        <w:rPr>
          <w:i/>
          <w:vertAlign w:val="subscript"/>
        </w:rPr>
        <w:t>C</w:t>
      </w:r>
      <w:r>
        <w:tab/>
      </w:r>
      <w:r>
        <w:rPr>
          <w:rFonts w:hint="eastAsia"/>
        </w:rPr>
        <w:t>——</w:t>
      </w:r>
      <w:r>
        <w:tab/>
      </w:r>
      <w:r>
        <w:rPr>
          <w:rFonts w:hint="eastAsia"/>
        </w:rPr>
        <w:t>混凝剂投加量（k</w:t>
      </w:r>
      <w:r>
        <w:t>g/</w:t>
      </w:r>
      <w:r>
        <w:rPr>
          <w:rFonts w:hint="eastAsia"/>
        </w:rPr>
        <w:t>d），按</w:t>
      </w:r>
      <w:r>
        <w:rPr>
          <w:rFonts w:hint="eastAsia"/>
          <w:i/>
        </w:rPr>
        <w:t>Fe</w:t>
      </w:r>
      <w:r>
        <w:rPr>
          <w:rFonts w:hint="eastAsia"/>
        </w:rPr>
        <w:t>或</w:t>
      </w:r>
      <w:r>
        <w:rPr>
          <w:rFonts w:hint="eastAsia"/>
          <w:i/>
        </w:rPr>
        <w:t>Al</w:t>
      </w:r>
      <w:r>
        <w:rPr>
          <w:rFonts w:hint="eastAsia"/>
        </w:rPr>
        <w:t>计。</w:t>
      </w:r>
    </w:p>
    <w:p>
      <w:pPr>
        <w:pStyle w:val="49"/>
        <w:spacing w:before="156" w:after="156"/>
      </w:pPr>
      <w:r>
        <w:rPr>
          <w:rFonts w:hint="eastAsia"/>
        </w:rPr>
        <w:t>B</w:t>
      </w:r>
      <w:r>
        <w:t>FM</w:t>
      </w:r>
      <w:r>
        <w:rPr>
          <w:rFonts w:hint="eastAsia"/>
        </w:rPr>
        <w:t>工艺剩余污泥应根据出厂含水率要求，合理选择脱水方式。脱水方式选择可参考GB</w:t>
      </w:r>
      <w:r>
        <w:t xml:space="preserve"> 50014</w:t>
      </w:r>
      <w:r>
        <w:rPr>
          <w:rFonts w:hint="eastAsia"/>
        </w:rPr>
        <w:t>中关于活性污泥法污泥脱水的规定。</w:t>
      </w:r>
    </w:p>
    <w:p>
      <w:pPr>
        <w:pStyle w:val="2"/>
      </w:pPr>
      <w:bookmarkStart w:id="76" w:name="_Toc122709913"/>
      <w:bookmarkStart w:id="77" w:name="_Toc122709402"/>
      <w:bookmarkStart w:id="78" w:name="_Toc122709325"/>
      <w:r>
        <w:rPr>
          <w:rFonts w:hint="eastAsia"/>
        </w:rPr>
        <w:t>检测与控制</w:t>
      </w:r>
      <w:bookmarkEnd w:id="76"/>
      <w:bookmarkEnd w:id="77"/>
      <w:bookmarkEnd w:id="78"/>
    </w:p>
    <w:p>
      <w:pPr>
        <w:pStyle w:val="3"/>
        <w:numPr>
          <w:ilvl w:val="1"/>
          <w:numId w:val="6"/>
        </w:numPr>
      </w:pPr>
      <w:bookmarkStart w:id="79" w:name="_Toc122709914"/>
      <w:bookmarkStart w:id="80" w:name="_Toc122709326"/>
      <w:bookmarkStart w:id="81" w:name="_Toc122709403"/>
      <w:r>
        <w:t>一般规定</w:t>
      </w:r>
      <w:bookmarkEnd w:id="79"/>
      <w:bookmarkEnd w:id="80"/>
      <w:bookmarkEnd w:id="81"/>
    </w:p>
    <w:p>
      <w:pPr>
        <w:pStyle w:val="49"/>
        <w:spacing w:before="156" w:after="156"/>
      </w:pPr>
      <w:r>
        <w:t>BFM</w:t>
      </w:r>
      <w:r>
        <w:rPr>
          <w:rFonts w:hint="eastAsia"/>
        </w:rPr>
        <w:t>工艺应根据工程规模、工艺流程、运行管理、安全保障和环保监督要求确定检测和控制的内容。</w:t>
      </w:r>
    </w:p>
    <w:p>
      <w:pPr>
        <w:pStyle w:val="49"/>
        <w:spacing w:before="156" w:after="156"/>
      </w:pPr>
      <w:r>
        <w:t>检测仪表和自动化控制系统应保障</w:t>
      </w:r>
      <w:r>
        <w:rPr>
          <w:rFonts w:hint="eastAsia"/>
        </w:rPr>
        <w:t>BFM工艺的安全可靠、便于运行和改善劳动条件，提高科学管理和智慧化水平。</w:t>
      </w:r>
    </w:p>
    <w:p>
      <w:pPr>
        <w:pStyle w:val="49"/>
        <w:spacing w:before="156" w:after="156"/>
      </w:pPr>
      <w:r>
        <w:t>检测和控制系统宜兼顾现有</w:t>
      </w:r>
      <w:r>
        <w:rPr>
          <w:rFonts w:hint="eastAsia"/>
        </w:rPr>
        <w:t>、</w:t>
      </w:r>
      <w:r>
        <w:t>新建</w:t>
      </w:r>
      <w:r>
        <w:rPr>
          <w:rFonts w:hint="eastAsia"/>
        </w:rPr>
        <w:t>、改建、扩建和规划的要求。</w:t>
      </w:r>
    </w:p>
    <w:p>
      <w:pPr>
        <w:pStyle w:val="3"/>
      </w:pPr>
      <w:bookmarkStart w:id="82" w:name="_Toc122709404"/>
      <w:bookmarkStart w:id="83" w:name="_Toc122709327"/>
      <w:bookmarkStart w:id="84" w:name="_Toc122709915"/>
      <w:r>
        <w:rPr>
          <w:rFonts w:hint="eastAsia"/>
        </w:rPr>
        <w:t>检测</w:t>
      </w:r>
      <w:bookmarkEnd w:id="82"/>
      <w:bookmarkEnd w:id="83"/>
      <w:bookmarkEnd w:id="84"/>
    </w:p>
    <w:p>
      <w:pPr>
        <w:pStyle w:val="49"/>
        <w:spacing w:before="156" w:after="156"/>
      </w:pPr>
      <w:r>
        <w:t>BFM</w:t>
      </w:r>
      <w:r>
        <w:rPr>
          <w:rFonts w:hint="eastAsia"/>
        </w:rPr>
        <w:t>工艺各处理单元应设生产控制和运行管理所需的检测仪表。</w:t>
      </w:r>
    </w:p>
    <w:p>
      <w:pPr>
        <w:pStyle w:val="49"/>
        <w:spacing w:before="156" w:after="156"/>
      </w:pPr>
      <w:r>
        <w:rPr>
          <w:rFonts w:hint="eastAsia"/>
        </w:rPr>
        <w:t>B段应设置溶解氧、硝氮在线检测仪表，宜设置氧化还原电位、pH、氨氮、悬浮物在线检测仪表。</w:t>
      </w:r>
    </w:p>
    <w:p>
      <w:pPr>
        <w:pStyle w:val="49"/>
        <w:spacing w:before="156" w:after="156"/>
      </w:pPr>
      <w:r>
        <w:t>B</w:t>
      </w:r>
      <w:r>
        <w:rPr>
          <w:rFonts w:hint="eastAsia"/>
        </w:rPr>
        <w:t>段拦截</w:t>
      </w:r>
      <w:r>
        <w:t>筛网前后宜设置液位计</w:t>
      </w:r>
      <w:r>
        <w:rPr>
          <w:rFonts w:hint="eastAsia"/>
        </w:rPr>
        <w:t>。</w:t>
      </w:r>
    </w:p>
    <w:p>
      <w:pPr>
        <w:pStyle w:val="49"/>
        <w:spacing w:before="156" w:after="156"/>
      </w:pPr>
      <w:r>
        <w:rPr>
          <w:rFonts w:hint="eastAsia"/>
        </w:rPr>
        <w:t>M段</w:t>
      </w:r>
      <w:r>
        <w:t>宜设置</w:t>
      </w:r>
      <w:r>
        <w:rPr>
          <w:rFonts w:hint="eastAsia"/>
        </w:rPr>
        <w:t>化学需氧量、总磷、悬浮物（浊度）在线检测仪表。</w:t>
      </w:r>
    </w:p>
    <w:p>
      <w:pPr>
        <w:pStyle w:val="3"/>
      </w:pPr>
      <w:bookmarkStart w:id="85" w:name="_Toc122709328"/>
      <w:bookmarkStart w:id="86" w:name="_Toc122709405"/>
      <w:bookmarkStart w:id="87" w:name="_Toc122709916"/>
      <w:r>
        <w:t>控制</w:t>
      </w:r>
      <w:bookmarkEnd w:id="85"/>
      <w:bookmarkEnd w:id="86"/>
      <w:bookmarkEnd w:id="87"/>
    </w:p>
    <w:p>
      <w:pPr>
        <w:pStyle w:val="49"/>
        <w:spacing w:before="156" w:after="156"/>
      </w:pPr>
      <w:r>
        <w:t>B</w:t>
      </w:r>
      <w:r>
        <w:rPr>
          <w:rFonts w:hint="eastAsia"/>
        </w:rPr>
        <w:t>段好氧区控制D</w:t>
      </w:r>
      <w:r>
        <w:t>O</w:t>
      </w:r>
      <w:r>
        <w:rPr>
          <w:rFonts w:hint="eastAsia"/>
        </w:rPr>
        <w:t>宜为2</w:t>
      </w:r>
      <w:r>
        <w:t xml:space="preserve"> </w:t>
      </w:r>
      <w:r>
        <w:rPr>
          <w:rFonts w:hint="eastAsia"/>
        </w:rPr>
        <w:t>mg/L~</w:t>
      </w:r>
      <w:r>
        <w:t xml:space="preserve">6 </w:t>
      </w:r>
      <w:r>
        <w:rPr>
          <w:rFonts w:hint="eastAsia"/>
        </w:rPr>
        <w:t>mg/L。</w:t>
      </w:r>
    </w:p>
    <w:p>
      <w:pPr>
        <w:pStyle w:val="49"/>
        <w:spacing w:before="156" w:after="156"/>
      </w:pPr>
      <w:r>
        <w:t>M</w:t>
      </w:r>
      <w:r>
        <w:rPr>
          <w:rFonts w:hint="eastAsia"/>
        </w:rPr>
        <w:t>段搅拌器搅拌强度（G值）应根据实际情况选择</w:t>
      </w:r>
      <w:r>
        <w:t xml:space="preserve">70 </w:t>
      </w:r>
      <w:r>
        <w:rPr>
          <w:rFonts w:hint="eastAsia"/>
        </w:rPr>
        <w:t>s</w:t>
      </w:r>
      <w:r>
        <w:rPr>
          <w:rFonts w:hint="eastAsia"/>
          <w:vertAlign w:val="superscript"/>
        </w:rPr>
        <w:t>-</w:t>
      </w:r>
      <w:r>
        <w:rPr>
          <w:vertAlign w:val="superscript"/>
        </w:rPr>
        <w:t>1</w:t>
      </w:r>
      <w:r>
        <w:rPr>
          <w:rFonts w:hint="eastAsia"/>
        </w:rPr>
        <w:t>~</w:t>
      </w:r>
      <w:r>
        <w:t xml:space="preserve">1000 </w:t>
      </w:r>
      <w:r>
        <w:rPr>
          <w:rFonts w:hint="eastAsia"/>
        </w:rPr>
        <w:t>s</w:t>
      </w:r>
      <w:r>
        <w:rPr>
          <w:rFonts w:hint="eastAsia"/>
          <w:vertAlign w:val="superscript"/>
        </w:rPr>
        <w:t>-</w:t>
      </w:r>
      <w:r>
        <w:rPr>
          <w:vertAlign w:val="superscript"/>
        </w:rPr>
        <w:t>1</w:t>
      </w:r>
      <w:r>
        <w:rPr>
          <w:rFonts w:hint="eastAsia"/>
        </w:rPr>
        <w:t>，宜与变频器配套使用。</w:t>
      </w:r>
    </w:p>
    <w:p>
      <w:pPr>
        <w:pStyle w:val="49"/>
        <w:spacing w:before="156" w:after="156"/>
      </w:pPr>
      <w:r>
        <w:t>M</w:t>
      </w:r>
      <w:r>
        <w:rPr>
          <w:rFonts w:hint="eastAsia"/>
        </w:rPr>
        <w:t>段除磷药剂的投加量宜根据进出水总磷浓度进行确定。</w:t>
      </w:r>
    </w:p>
    <w:p>
      <w:pPr>
        <w:pStyle w:val="49"/>
        <w:spacing w:before="156" w:after="156"/>
      </w:pPr>
      <w:r>
        <w:rPr>
          <w:rFonts w:hint="eastAsia"/>
        </w:rPr>
        <w:t>BFM工艺应配套实现自动化、信息化、智能化运行和管理的控制系统。</w:t>
      </w:r>
    </w:p>
    <w:p>
      <w:pPr>
        <w:pStyle w:val="49"/>
        <w:spacing w:before="156" w:after="156"/>
      </w:pPr>
      <w:r>
        <w:rPr>
          <w:rFonts w:hint="eastAsia"/>
        </w:rPr>
        <w:t>控制系统，宜具有智能曝气和加药、监测预警、数据分析与预测、设备健康管理、生产监控、数字运营等功能，并采用物联网、人工智能等技术，控制系统内置工艺的池型应布置三维建模，应符合下列规定：</w:t>
      </w:r>
    </w:p>
    <w:p>
      <w:pPr>
        <w:pStyle w:val="42"/>
        <w:ind w:firstLine="480"/>
      </w:pPr>
      <w:r>
        <w:t xml:space="preserve">1 </w:t>
      </w:r>
      <w:r>
        <w:rPr>
          <w:rFonts w:hint="eastAsia"/>
        </w:rPr>
        <w:t>智能曝气和加药，应具备前馈、后馈调节机制，配套相关软硬件，实现节能降耗；</w:t>
      </w:r>
    </w:p>
    <w:p>
      <w:pPr>
        <w:pStyle w:val="42"/>
        <w:ind w:firstLine="480"/>
      </w:pPr>
      <w:r>
        <w:t xml:space="preserve">2 </w:t>
      </w:r>
      <w:r>
        <w:rPr>
          <w:rFonts w:hint="eastAsia"/>
        </w:rPr>
        <w:t>控制系统，应包含进水预测预警功能；</w:t>
      </w:r>
    </w:p>
    <w:p>
      <w:pPr>
        <w:pStyle w:val="42"/>
        <w:ind w:firstLine="480"/>
      </w:pPr>
      <w:r>
        <w:t xml:space="preserve">3 </w:t>
      </w:r>
      <w:r>
        <w:rPr>
          <w:rFonts w:hint="eastAsia"/>
        </w:rPr>
        <w:t>控制系统，宜配套云平台和移动端小程序；</w:t>
      </w:r>
    </w:p>
    <w:p>
      <w:pPr>
        <w:pStyle w:val="42"/>
        <w:ind w:firstLine="480"/>
      </w:pPr>
      <w:r>
        <w:t xml:space="preserve">4 </w:t>
      </w:r>
      <w:r>
        <w:rPr>
          <w:rFonts w:hint="eastAsia"/>
        </w:rPr>
        <w:t>控制系统，软件应采用单服务端/多客户端架构。</w:t>
      </w:r>
    </w:p>
    <w:p>
      <w:pPr>
        <w:pStyle w:val="49"/>
        <w:spacing w:before="156" w:after="156"/>
      </w:pPr>
      <w:r>
        <w:t>风机、搅拌器、回流泵</w:t>
      </w:r>
      <w:r>
        <w:rPr>
          <w:rFonts w:hint="eastAsia"/>
        </w:rPr>
        <w:t>应具备变频调速功能，可根据实际需要调整输出效能。</w:t>
      </w:r>
    </w:p>
    <w:p>
      <w:pPr>
        <w:pStyle w:val="2"/>
      </w:pPr>
      <w:bookmarkStart w:id="88" w:name="_Toc122709917"/>
      <w:bookmarkStart w:id="89" w:name="_Toc122709329"/>
      <w:bookmarkStart w:id="90" w:name="_Toc122709406"/>
      <w:bookmarkStart w:id="91" w:name="_Toc103239325"/>
      <w:r>
        <w:rPr>
          <w:rFonts w:hint="eastAsia"/>
        </w:rPr>
        <w:t>施工与安装</w:t>
      </w:r>
      <w:bookmarkEnd w:id="88"/>
      <w:bookmarkEnd w:id="89"/>
      <w:bookmarkEnd w:id="90"/>
      <w:bookmarkEnd w:id="91"/>
    </w:p>
    <w:p>
      <w:pPr>
        <w:pStyle w:val="3"/>
        <w:numPr>
          <w:ilvl w:val="1"/>
          <w:numId w:val="7"/>
        </w:numPr>
      </w:pPr>
      <w:bookmarkStart w:id="92" w:name="_Toc122709407"/>
      <w:bookmarkStart w:id="93" w:name="_Toc122709330"/>
      <w:bookmarkStart w:id="94" w:name="_Toc122709918"/>
      <w:r>
        <w:rPr>
          <w:rFonts w:hint="eastAsia"/>
        </w:rPr>
        <w:t>一般规定</w:t>
      </w:r>
      <w:bookmarkEnd w:id="92"/>
      <w:bookmarkEnd w:id="93"/>
      <w:bookmarkEnd w:id="94"/>
    </w:p>
    <w:p>
      <w:pPr>
        <w:pStyle w:val="49"/>
        <w:spacing w:before="156" w:after="156"/>
      </w:pPr>
      <w:r>
        <w:rPr>
          <w:rFonts w:hint="eastAsia"/>
        </w:rPr>
        <w:t>工程设计、施工单位应具有国家或行业规定的相应的工程设计、施工资质。</w:t>
      </w:r>
    </w:p>
    <w:p>
      <w:pPr>
        <w:pStyle w:val="49"/>
        <w:spacing w:before="156" w:after="156"/>
      </w:pPr>
      <w:r>
        <w:rPr>
          <w:rFonts w:hint="eastAsia"/>
        </w:rPr>
        <w:t>应按工程设计图纸、技术文件、设备图纸等组织工程施工，工程的变更应取得批复的设计变更文件后实施。</w:t>
      </w:r>
    </w:p>
    <w:p>
      <w:pPr>
        <w:pStyle w:val="49"/>
        <w:spacing w:before="156" w:after="156"/>
      </w:pPr>
      <w:r>
        <w:rPr>
          <w:rFonts w:hint="eastAsia"/>
        </w:rPr>
        <w:t>施工前，应进行施工组织设计或编制施工方案，明确施工质量负责人和施工安全负责人，经批准后方可实施。</w:t>
      </w:r>
    </w:p>
    <w:p>
      <w:pPr>
        <w:pStyle w:val="49"/>
        <w:spacing w:before="156" w:after="156"/>
      </w:pPr>
      <w:r>
        <w:rPr>
          <w:rFonts w:hint="eastAsia"/>
        </w:rPr>
        <w:t>施工前应熟悉设计文件和设备安装要求，应进行施工图和设备安装技术交底。</w:t>
      </w:r>
    </w:p>
    <w:p>
      <w:pPr>
        <w:pStyle w:val="49"/>
        <w:spacing w:before="156" w:after="156"/>
      </w:pPr>
      <w:r>
        <w:rPr>
          <w:rFonts w:hint="eastAsia"/>
        </w:rPr>
        <w:t>施工前应将设备技术要求、现场情况与图纸进行核对，对预埋件进行复核，发现问题应及时解决。</w:t>
      </w:r>
    </w:p>
    <w:p>
      <w:pPr>
        <w:pStyle w:val="49"/>
        <w:spacing w:before="156" w:after="156"/>
      </w:pPr>
      <w:r>
        <w:rPr>
          <w:rFonts w:hint="eastAsia"/>
        </w:rPr>
        <w:t>设备安装前应按设计和设备允许的偏差对设备基础、预埋件位置和几何尺寸进行复检和校正，并应有记录。</w:t>
      </w:r>
    </w:p>
    <w:p>
      <w:pPr>
        <w:pStyle w:val="49"/>
        <w:spacing w:before="156" w:after="156"/>
      </w:pPr>
      <w:r>
        <w:rPr>
          <w:rFonts w:hint="eastAsia"/>
        </w:rPr>
        <w:t>施工使用的材料、半成品、部件应</w:t>
      </w:r>
      <w:r>
        <w:rPr>
          <w:rFonts w:hint="eastAsia"/>
          <w:lang w:val="en-US" w:eastAsia="zh-CN"/>
        </w:rPr>
        <w:t>符合</w:t>
      </w:r>
      <w:r>
        <w:rPr>
          <w:rFonts w:hint="eastAsia"/>
        </w:rPr>
        <w:t>国家现行标准和设计要求，设备安装应符合G</w:t>
      </w:r>
      <w:r>
        <w:t xml:space="preserve">B </w:t>
      </w:r>
      <w:r>
        <w:rPr>
          <w:rFonts w:hint="eastAsia"/>
        </w:rPr>
        <w:t>50231的规定。</w:t>
      </w:r>
    </w:p>
    <w:p>
      <w:pPr>
        <w:pStyle w:val="49"/>
        <w:spacing w:before="156" w:after="156"/>
      </w:pPr>
      <w:r>
        <w:rPr>
          <w:rFonts w:hint="eastAsia"/>
        </w:rPr>
        <w:t>施工前应认真阅读设计图纸和设备安装对土建的要求，了解预留孔、预埋件的准确位置和做法，对有高程和平面位置要求的设备基础要严格控制在设备要求的误差范围内。</w:t>
      </w:r>
    </w:p>
    <w:p>
      <w:pPr>
        <w:pStyle w:val="3"/>
      </w:pPr>
      <w:bookmarkStart w:id="95" w:name="_Toc122709919"/>
      <w:bookmarkStart w:id="96" w:name="_Toc122709331"/>
      <w:bookmarkStart w:id="97" w:name="_Toc122709408"/>
      <w:r>
        <w:rPr>
          <w:rFonts w:hint="eastAsia"/>
        </w:rPr>
        <w:t>施工</w:t>
      </w:r>
      <w:bookmarkEnd w:id="95"/>
      <w:bookmarkEnd w:id="96"/>
      <w:bookmarkEnd w:id="97"/>
    </w:p>
    <w:p>
      <w:pPr>
        <w:pStyle w:val="49"/>
        <w:spacing w:before="156" w:after="156"/>
      </w:pPr>
      <w:r>
        <w:rPr>
          <w:rFonts w:hint="eastAsia"/>
        </w:rPr>
        <w:t>采用</w:t>
      </w:r>
      <w:r>
        <w:t>BFM</w:t>
      </w:r>
      <w:r>
        <w:rPr>
          <w:rFonts w:hint="eastAsia"/>
        </w:rPr>
        <w:t>工艺的污水处理设施涉水构筑物的土建施工除应符合《城镇污水处理厂工程质量验收规范》GB</w:t>
      </w:r>
      <w:r>
        <w:t xml:space="preserve"> </w:t>
      </w:r>
      <w:r>
        <w:rPr>
          <w:rFonts w:hint="eastAsia"/>
        </w:rPr>
        <w:t>50334的规定外，还应控制配水、配气和集水部分的施工质量和精度。</w:t>
      </w:r>
    </w:p>
    <w:p>
      <w:pPr>
        <w:pStyle w:val="49"/>
        <w:spacing w:before="156" w:after="156"/>
      </w:pPr>
      <w:r>
        <w:t>混凝土构筑物的土建施工应符合《给水排水构筑物工程施工及验收规范》GB 50141的有关规定。</w:t>
      </w:r>
    </w:p>
    <w:p>
      <w:pPr>
        <w:pStyle w:val="49"/>
        <w:spacing w:before="156" w:after="156"/>
      </w:pPr>
      <w:r>
        <w:rPr>
          <w:rFonts w:hint="eastAsia"/>
        </w:rPr>
        <w:t>土建施工应重点控制池体的结构强度、抗浮处理、地基处理、池体抗渗处理，满足设备安装对土建施工的要求。</w:t>
      </w:r>
    </w:p>
    <w:p>
      <w:pPr>
        <w:pStyle w:val="49"/>
        <w:spacing w:before="156" w:after="156"/>
      </w:pPr>
      <w:r>
        <w:rPr>
          <w:rFonts w:hint="eastAsia"/>
        </w:rPr>
        <w:t>池体混凝土标号低，碳钢磨损指数高时，宜增加池体防护措施。</w:t>
      </w:r>
    </w:p>
    <w:p>
      <w:pPr>
        <w:pStyle w:val="49"/>
        <w:spacing w:before="156" w:after="156"/>
      </w:pPr>
      <w:r>
        <w:rPr>
          <w:rFonts w:hint="eastAsia"/>
        </w:rPr>
        <w:t>需要在软弱地基上施工且构筑物荷载不大时，应采取适当的措施对地基进行处理，必要时可采用桩基。</w:t>
      </w:r>
    </w:p>
    <w:p>
      <w:pPr>
        <w:pStyle w:val="49"/>
        <w:spacing w:before="156" w:after="156"/>
      </w:pPr>
      <w:r>
        <w:rPr>
          <w:rFonts w:hint="eastAsia"/>
        </w:rPr>
        <w:t>设备基础应按照设计要求和图纸规定浇筑，混凝土基础应平整坚实。杜绝出现裂缝和渗漏，出现渗漏时，应会同设计等有关方面确定处理方案，彻底解决问题。</w:t>
      </w:r>
    </w:p>
    <w:p>
      <w:pPr>
        <w:pStyle w:val="49"/>
        <w:spacing w:before="156" w:after="156"/>
      </w:pPr>
      <w:r>
        <w:rPr>
          <w:rFonts w:hint="eastAsia"/>
        </w:rPr>
        <w:t>模板、钢筋、钢筋混凝土分项工程应符合《混凝土结构工程施工质量验收规范》G</w:t>
      </w:r>
      <w:r>
        <w:t>B 50204</w:t>
      </w:r>
      <w:r>
        <w:rPr>
          <w:rFonts w:hint="eastAsia"/>
        </w:rPr>
        <w:t>的规定，并应符合以下要求：</w:t>
      </w:r>
    </w:p>
    <w:p>
      <w:pPr>
        <w:pStyle w:val="42"/>
        <w:ind w:firstLine="480"/>
      </w:pPr>
      <w:r>
        <w:t xml:space="preserve">1 </w:t>
      </w:r>
      <w:r>
        <w:rPr>
          <w:rFonts w:hint="eastAsia"/>
        </w:rPr>
        <w:t>模板架设应有足够强度、刚度和稳定性，表面平整无缝隙，尺寸正确；</w:t>
      </w:r>
    </w:p>
    <w:p>
      <w:pPr>
        <w:pStyle w:val="42"/>
        <w:ind w:firstLine="480"/>
      </w:pPr>
      <w:r>
        <w:t xml:space="preserve">2 </w:t>
      </w:r>
      <w:r>
        <w:rPr>
          <w:rFonts w:hint="eastAsia"/>
        </w:rPr>
        <w:t>钢筋规格、数量准确，绑扎牢固应满足连接要求，无锈蚀；</w:t>
      </w:r>
    </w:p>
    <w:p>
      <w:pPr>
        <w:pStyle w:val="42"/>
        <w:ind w:firstLine="480"/>
      </w:pPr>
      <w:r>
        <w:t xml:space="preserve">3 </w:t>
      </w:r>
      <w:r>
        <w:rPr>
          <w:rFonts w:hint="eastAsia"/>
        </w:rPr>
        <w:t>钢筋混凝土配合比、抗渗性能、预防碱集料反应、施工缝设置、伸缩缝设置、设备基础预留孔及预埋螺栓位置均应符合规范和设计要求，冬季施工应有保温防冻等相应措施。</w:t>
      </w:r>
    </w:p>
    <w:p>
      <w:pPr>
        <w:pStyle w:val="49"/>
        <w:spacing w:before="156" w:after="156"/>
      </w:pPr>
      <w:r>
        <w:rPr>
          <w:rFonts w:hint="eastAsia"/>
        </w:rPr>
        <w:t>现场浇筑钢筋混凝土水池施工允许偏差应符合</w:t>
      </w:r>
      <w:r>
        <w:fldChar w:fldCharType="begin"/>
      </w:r>
      <w:r>
        <w:instrText xml:space="preserve"> </w:instrText>
      </w:r>
      <w:r>
        <w:rPr>
          <w:rFonts w:hint="eastAsia"/>
        </w:rPr>
        <w:instrText xml:space="preserve">REF _Ref105403325 \r \h</w:instrText>
      </w:r>
      <w:r>
        <w:instrText xml:space="preserve">  \* MERGEFORMAT </w:instrText>
      </w:r>
      <w:r>
        <w:fldChar w:fldCharType="separate"/>
      </w:r>
      <w:r>
        <w:rPr>
          <w:rFonts w:hint="eastAsia"/>
        </w:rPr>
        <w:t>表6.2.8</w:t>
      </w:r>
      <w:r>
        <w:fldChar w:fldCharType="end"/>
      </w:r>
      <w:r>
        <w:rPr>
          <w:rFonts w:hint="eastAsia"/>
        </w:rPr>
        <w:t>的规定。</w:t>
      </w:r>
    </w:p>
    <w:p>
      <w:pPr>
        <w:pStyle w:val="6"/>
        <w:spacing w:before="312"/>
      </w:pPr>
      <w:bookmarkStart w:id="98" w:name="_Ref105403325"/>
      <w:r>
        <w:rPr>
          <w:rFonts w:hint="eastAsia"/>
        </w:rPr>
        <w:t>现浇钢筋混凝土水池施工允许偏差</w:t>
      </w:r>
      <w:bookmarkEnd w:id="98"/>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3894"/>
        <w:gridCol w:w="2477"/>
        <w:gridCol w:w="1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52"/>
            </w:pPr>
            <w:r>
              <w:rPr>
                <w:rFonts w:hint="eastAsia"/>
              </w:rPr>
              <w:t>编号</w:t>
            </w:r>
          </w:p>
        </w:tc>
        <w:tc>
          <w:tcPr>
            <w:tcW w:w="0" w:type="auto"/>
            <w:gridSpan w:val="2"/>
            <w:vAlign w:val="center"/>
          </w:tcPr>
          <w:p>
            <w:pPr>
              <w:pStyle w:val="52"/>
            </w:pPr>
            <w:r>
              <w:rPr>
                <w:rFonts w:hint="eastAsia"/>
              </w:rPr>
              <w:t>项目</w:t>
            </w:r>
          </w:p>
        </w:tc>
        <w:tc>
          <w:tcPr>
            <w:tcW w:w="0" w:type="auto"/>
            <w:vAlign w:val="center"/>
          </w:tcPr>
          <w:p>
            <w:pPr>
              <w:pStyle w:val="52"/>
            </w:pPr>
            <w:r>
              <w:rPr>
                <w:rFonts w:hint="eastAsia"/>
              </w:rPr>
              <w:t>允许偏差/mm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52"/>
            </w:pPr>
            <w:r>
              <w:rPr>
                <w:rFonts w:hint="eastAsia"/>
              </w:rPr>
              <w:t>1</w:t>
            </w:r>
          </w:p>
        </w:tc>
        <w:tc>
          <w:tcPr>
            <w:tcW w:w="0" w:type="auto"/>
            <w:vMerge w:val="restart"/>
            <w:vAlign w:val="center"/>
          </w:tcPr>
          <w:p>
            <w:pPr>
              <w:pStyle w:val="52"/>
            </w:pPr>
            <w:r>
              <w:rPr>
                <w:rFonts w:hint="eastAsia"/>
              </w:rPr>
              <w:t>轴线位置</w:t>
            </w:r>
          </w:p>
        </w:tc>
        <w:tc>
          <w:tcPr>
            <w:tcW w:w="0" w:type="auto"/>
            <w:vAlign w:val="center"/>
          </w:tcPr>
          <w:p>
            <w:pPr>
              <w:pStyle w:val="52"/>
            </w:pPr>
            <w:r>
              <w:rPr>
                <w:rFonts w:hint="eastAsia"/>
              </w:rPr>
              <w:t>底板</w:t>
            </w:r>
          </w:p>
        </w:tc>
        <w:tc>
          <w:tcPr>
            <w:tcW w:w="0" w:type="auto"/>
            <w:vAlign w:val="center"/>
          </w:tcPr>
          <w:p>
            <w:pPr>
              <w:pStyle w:val="52"/>
            </w:pPr>
            <w:r>
              <w:rPr>
                <w:rFonts w:hint="eastAsia"/>
              </w:rPr>
              <w:t>1</w:t>
            </w: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52"/>
            </w:pPr>
          </w:p>
        </w:tc>
        <w:tc>
          <w:tcPr>
            <w:tcW w:w="0" w:type="auto"/>
            <w:vMerge w:val="continue"/>
            <w:vAlign w:val="center"/>
          </w:tcPr>
          <w:p>
            <w:pPr>
              <w:pStyle w:val="52"/>
            </w:pPr>
          </w:p>
        </w:tc>
        <w:tc>
          <w:tcPr>
            <w:tcW w:w="0" w:type="auto"/>
            <w:vAlign w:val="center"/>
          </w:tcPr>
          <w:p>
            <w:pPr>
              <w:pStyle w:val="52"/>
            </w:pPr>
            <w:r>
              <w:rPr>
                <w:rFonts w:hint="eastAsia"/>
              </w:rPr>
              <w:t>池壁、柱、梁</w:t>
            </w:r>
          </w:p>
        </w:tc>
        <w:tc>
          <w:tcPr>
            <w:tcW w:w="0" w:type="auto"/>
            <w:vAlign w:val="center"/>
          </w:tcPr>
          <w:p>
            <w:pPr>
              <w:pStyle w:val="52"/>
            </w:pPr>
            <w:r>
              <w:rPr>
                <w:rFonts w:hint="eastAsi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52"/>
            </w:pPr>
            <w:r>
              <w:t>2</w:t>
            </w:r>
          </w:p>
        </w:tc>
        <w:tc>
          <w:tcPr>
            <w:tcW w:w="0" w:type="auto"/>
            <w:vAlign w:val="center"/>
          </w:tcPr>
          <w:p>
            <w:pPr>
              <w:pStyle w:val="52"/>
            </w:pPr>
            <w:r>
              <w:rPr>
                <w:rFonts w:hint="eastAsia"/>
              </w:rPr>
              <w:t>高程</w:t>
            </w:r>
          </w:p>
        </w:tc>
        <w:tc>
          <w:tcPr>
            <w:tcW w:w="0" w:type="auto"/>
            <w:vAlign w:val="center"/>
          </w:tcPr>
          <w:p>
            <w:pPr>
              <w:pStyle w:val="52"/>
            </w:pPr>
            <w:r>
              <w:rPr>
                <w:rFonts w:hint="eastAsia"/>
              </w:rPr>
              <w:t>垫层、底板、池壁、柱、梁</w:t>
            </w:r>
          </w:p>
        </w:tc>
        <w:tc>
          <w:tcPr>
            <w:tcW w:w="0" w:type="auto"/>
            <w:vAlign w:val="center"/>
          </w:tcPr>
          <w:p>
            <w:pPr>
              <w:pStyle w:val="52"/>
            </w:pPr>
            <w:r>
              <w:rPr>
                <w:rFonts w:hint="eastAsia"/>
              </w:rPr>
              <w:t>±1</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52"/>
            </w:pPr>
            <w:r>
              <w:t>3</w:t>
            </w:r>
          </w:p>
        </w:tc>
        <w:tc>
          <w:tcPr>
            <w:tcW w:w="0" w:type="auto"/>
            <w:vMerge w:val="restart"/>
            <w:vAlign w:val="center"/>
          </w:tcPr>
          <w:p>
            <w:pPr>
              <w:pStyle w:val="52"/>
            </w:pPr>
            <w:r>
              <w:rPr>
                <w:rFonts w:hint="eastAsia"/>
              </w:rPr>
              <w:t>平面尺寸（混凝土底板和池体长、宽或直径）</w:t>
            </w:r>
          </w:p>
        </w:tc>
        <w:tc>
          <w:tcPr>
            <w:tcW w:w="0" w:type="auto"/>
            <w:vAlign w:val="center"/>
          </w:tcPr>
          <w:p>
            <w:pPr>
              <w:pStyle w:val="52"/>
            </w:pPr>
            <w:r>
              <w:rPr>
                <w:rFonts w:hint="eastAsia"/>
              </w:rPr>
              <w:t>L≤2</w:t>
            </w:r>
            <w:r>
              <w:t xml:space="preserve">0 </w:t>
            </w:r>
            <w:r>
              <w:rPr>
                <w:rFonts w:hint="eastAsia"/>
              </w:rPr>
              <w:t>m</w:t>
            </w:r>
          </w:p>
        </w:tc>
        <w:tc>
          <w:tcPr>
            <w:tcW w:w="0" w:type="auto"/>
            <w:vAlign w:val="center"/>
          </w:tcPr>
          <w:p>
            <w:pPr>
              <w:pStyle w:val="52"/>
            </w:pPr>
            <w:r>
              <w:rPr>
                <w:rFonts w:hint="eastAsia"/>
              </w:rPr>
              <w:t>±</w:t>
            </w: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52"/>
            </w:pPr>
          </w:p>
        </w:tc>
        <w:tc>
          <w:tcPr>
            <w:tcW w:w="0" w:type="auto"/>
            <w:vMerge w:val="continue"/>
            <w:vAlign w:val="center"/>
          </w:tcPr>
          <w:p>
            <w:pPr>
              <w:pStyle w:val="52"/>
            </w:pPr>
          </w:p>
        </w:tc>
        <w:tc>
          <w:tcPr>
            <w:tcW w:w="0" w:type="auto"/>
            <w:vAlign w:val="center"/>
          </w:tcPr>
          <w:p>
            <w:pPr>
              <w:pStyle w:val="52"/>
            </w:pPr>
            <w:r>
              <w:t>20 m&lt;</w:t>
            </w:r>
            <w:r>
              <w:rPr>
                <w:rFonts w:hint="eastAsia"/>
              </w:rPr>
              <w:t>L≤5</w:t>
            </w:r>
            <w:r>
              <w:t xml:space="preserve">0 </w:t>
            </w:r>
            <w:r>
              <w:rPr>
                <w:rFonts w:hint="eastAsia"/>
              </w:rPr>
              <w:t>m</w:t>
            </w:r>
          </w:p>
        </w:tc>
        <w:tc>
          <w:tcPr>
            <w:tcW w:w="0" w:type="auto"/>
            <w:vAlign w:val="center"/>
          </w:tcPr>
          <w:p>
            <w:pPr>
              <w:pStyle w:val="52"/>
            </w:pPr>
            <w:r>
              <w:rPr>
                <w:rFonts w:hint="eastAsia"/>
              </w:rPr>
              <w:t>±</w:t>
            </w:r>
            <w:r>
              <w:t>L</w:t>
            </w:r>
            <w:r>
              <w:rPr>
                <w:rFonts w:hint="eastAsia"/>
              </w:rPr>
              <w:t>/</w:t>
            </w:r>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52"/>
            </w:pPr>
          </w:p>
        </w:tc>
        <w:tc>
          <w:tcPr>
            <w:tcW w:w="0" w:type="auto"/>
            <w:vMerge w:val="continue"/>
            <w:vAlign w:val="center"/>
          </w:tcPr>
          <w:p>
            <w:pPr>
              <w:pStyle w:val="52"/>
            </w:pPr>
          </w:p>
        </w:tc>
        <w:tc>
          <w:tcPr>
            <w:tcW w:w="0" w:type="auto"/>
            <w:vAlign w:val="center"/>
          </w:tcPr>
          <w:p>
            <w:pPr>
              <w:pStyle w:val="52"/>
            </w:pPr>
            <w:r>
              <w:t>50 m&lt;</w:t>
            </w:r>
            <w:r>
              <w:rPr>
                <w:rFonts w:hint="eastAsia"/>
              </w:rPr>
              <w:t>L≤25</w:t>
            </w:r>
            <w:r>
              <w:t xml:space="preserve">0 </w:t>
            </w:r>
            <w:r>
              <w:rPr>
                <w:rFonts w:hint="eastAsia"/>
              </w:rPr>
              <w:t>m</w:t>
            </w:r>
          </w:p>
        </w:tc>
        <w:tc>
          <w:tcPr>
            <w:tcW w:w="0" w:type="auto"/>
            <w:vAlign w:val="center"/>
          </w:tcPr>
          <w:p>
            <w:pPr>
              <w:pStyle w:val="52"/>
            </w:pPr>
            <w:r>
              <w:rPr>
                <w:rFonts w:hint="eastAsia"/>
              </w:rPr>
              <w:t>±</w:t>
            </w:r>
            <w: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52"/>
            </w:pPr>
            <w:r>
              <w:t>4</w:t>
            </w:r>
          </w:p>
        </w:tc>
        <w:tc>
          <w:tcPr>
            <w:tcW w:w="0" w:type="auto"/>
            <w:vMerge w:val="restart"/>
            <w:vAlign w:val="center"/>
          </w:tcPr>
          <w:p>
            <w:pPr>
              <w:pStyle w:val="52"/>
            </w:pPr>
            <w:r>
              <w:rPr>
                <w:rFonts w:hint="eastAsia"/>
              </w:rPr>
              <w:t>截面尺寸</w:t>
            </w:r>
          </w:p>
        </w:tc>
        <w:tc>
          <w:tcPr>
            <w:tcW w:w="0" w:type="auto"/>
            <w:vAlign w:val="center"/>
          </w:tcPr>
          <w:p>
            <w:pPr>
              <w:pStyle w:val="52"/>
            </w:pPr>
            <w:r>
              <w:rPr>
                <w:rFonts w:hint="eastAsia"/>
              </w:rPr>
              <w:t>池壁、柱、梁、顶板</w:t>
            </w:r>
          </w:p>
        </w:tc>
        <w:tc>
          <w:tcPr>
            <w:tcW w:w="0" w:type="auto"/>
            <w:vAlign w:val="center"/>
          </w:tcPr>
          <w:p>
            <w:pPr>
              <w:pStyle w:val="52"/>
            </w:pPr>
            <w:r>
              <w:rPr>
                <w:rFonts w:hint="eastAsia"/>
              </w:rPr>
              <w:t>±</w:t>
            </w:r>
            <w:r>
              <w:t>10</w:t>
            </w:r>
          </w:p>
          <w:p>
            <w:pPr>
              <w:pStyle w:val="52"/>
            </w:pPr>
            <w:r>
              <w:rPr>
                <w:rFonts w:hint="eastAsia"/>
              </w:rPr>
              <w:t>-</w:t>
            </w: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52"/>
            </w:pPr>
          </w:p>
        </w:tc>
        <w:tc>
          <w:tcPr>
            <w:tcW w:w="0" w:type="auto"/>
            <w:vMerge w:val="continue"/>
            <w:vAlign w:val="center"/>
          </w:tcPr>
          <w:p>
            <w:pPr>
              <w:pStyle w:val="52"/>
            </w:pPr>
          </w:p>
        </w:tc>
        <w:tc>
          <w:tcPr>
            <w:tcW w:w="0" w:type="auto"/>
            <w:vAlign w:val="center"/>
          </w:tcPr>
          <w:p>
            <w:pPr>
              <w:pStyle w:val="52"/>
            </w:pPr>
            <w:r>
              <w:rPr>
                <w:rFonts w:hint="eastAsia"/>
              </w:rPr>
              <w:t>洞、槽、沟净空</w:t>
            </w:r>
          </w:p>
        </w:tc>
        <w:tc>
          <w:tcPr>
            <w:tcW w:w="0" w:type="auto"/>
            <w:vAlign w:val="center"/>
          </w:tcPr>
          <w:p>
            <w:pPr>
              <w:pStyle w:val="52"/>
            </w:pPr>
            <w:r>
              <w:rPr>
                <w:rFonts w:hint="eastAsia"/>
              </w:rPr>
              <w:t>±</w:t>
            </w: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52"/>
            </w:pPr>
            <w:r>
              <w:rPr>
                <w:rFonts w:hint="eastAsia"/>
              </w:rPr>
              <w:t>5</w:t>
            </w:r>
          </w:p>
        </w:tc>
        <w:tc>
          <w:tcPr>
            <w:tcW w:w="0" w:type="auto"/>
            <w:vMerge w:val="restart"/>
            <w:vAlign w:val="center"/>
          </w:tcPr>
          <w:p>
            <w:pPr>
              <w:pStyle w:val="52"/>
            </w:pPr>
            <w:r>
              <w:rPr>
                <w:rFonts w:hint="eastAsia"/>
              </w:rPr>
              <w:t>垂直度</w:t>
            </w:r>
          </w:p>
        </w:tc>
        <w:tc>
          <w:tcPr>
            <w:tcW w:w="0" w:type="auto"/>
            <w:vAlign w:val="center"/>
          </w:tcPr>
          <w:p>
            <w:pPr>
              <w:pStyle w:val="52"/>
            </w:pPr>
            <w:r>
              <w:t>H</w:t>
            </w:r>
            <w:r>
              <w:rPr>
                <w:rFonts w:hint="eastAsia"/>
              </w:rPr>
              <w:t>≤</w:t>
            </w:r>
            <w:r>
              <w:t xml:space="preserve">5 </w:t>
            </w:r>
            <w:r>
              <w:rPr>
                <w:rFonts w:hint="eastAsia"/>
              </w:rPr>
              <w:t>m</w:t>
            </w:r>
          </w:p>
        </w:tc>
        <w:tc>
          <w:tcPr>
            <w:tcW w:w="0" w:type="auto"/>
            <w:vAlign w:val="center"/>
          </w:tcPr>
          <w:p>
            <w:pPr>
              <w:pStyle w:val="52"/>
            </w:pPr>
            <w:r>
              <w:rPr>
                <w:rFonts w:hint="eastAsi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52"/>
            </w:pPr>
          </w:p>
        </w:tc>
        <w:tc>
          <w:tcPr>
            <w:tcW w:w="0" w:type="auto"/>
            <w:vMerge w:val="continue"/>
            <w:vAlign w:val="center"/>
          </w:tcPr>
          <w:p>
            <w:pPr>
              <w:pStyle w:val="52"/>
            </w:pPr>
          </w:p>
        </w:tc>
        <w:tc>
          <w:tcPr>
            <w:tcW w:w="0" w:type="auto"/>
            <w:vAlign w:val="center"/>
          </w:tcPr>
          <w:p>
            <w:pPr>
              <w:pStyle w:val="52"/>
            </w:pPr>
            <w:r>
              <w:t>5 m&lt;H</w:t>
            </w:r>
            <w:r>
              <w:rPr>
                <w:rFonts w:hint="eastAsia"/>
              </w:rPr>
              <w:t>≤2</w:t>
            </w:r>
            <w:r>
              <w:t xml:space="preserve">0 </w:t>
            </w:r>
            <w:r>
              <w:rPr>
                <w:rFonts w:hint="eastAsia"/>
              </w:rPr>
              <w:t>m</w:t>
            </w:r>
          </w:p>
        </w:tc>
        <w:tc>
          <w:tcPr>
            <w:tcW w:w="0" w:type="auto"/>
            <w:vAlign w:val="center"/>
          </w:tcPr>
          <w:p>
            <w:pPr>
              <w:pStyle w:val="52"/>
            </w:pPr>
            <w:r>
              <w:rPr>
                <w:rFonts w:hint="eastAsia"/>
              </w:rPr>
              <w:t>1</w:t>
            </w:r>
            <w:r>
              <w:t>.5H/1000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52"/>
            </w:pPr>
            <w:r>
              <w:rPr>
                <w:rFonts w:hint="eastAsia"/>
              </w:rPr>
              <w:t>6</w:t>
            </w:r>
          </w:p>
        </w:tc>
        <w:tc>
          <w:tcPr>
            <w:tcW w:w="0" w:type="auto"/>
            <w:gridSpan w:val="2"/>
            <w:vAlign w:val="center"/>
          </w:tcPr>
          <w:p>
            <w:pPr>
              <w:pStyle w:val="52"/>
            </w:pPr>
            <w:r>
              <w:rPr>
                <w:rFonts w:hint="eastAsia"/>
              </w:rPr>
              <w:t>表面平整度（用2m直尺检查）</w:t>
            </w:r>
          </w:p>
        </w:tc>
        <w:tc>
          <w:tcPr>
            <w:tcW w:w="0" w:type="auto"/>
            <w:vAlign w:val="center"/>
          </w:tcPr>
          <w:p>
            <w:pPr>
              <w:pStyle w:val="52"/>
            </w:pPr>
            <w:r>
              <w:rPr>
                <w:rFonts w:hint="eastAsia"/>
              </w:rPr>
              <w:t>1</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pPr>
              <w:pStyle w:val="52"/>
            </w:pPr>
            <w:r>
              <w:rPr>
                <w:rFonts w:hint="eastAsia"/>
              </w:rPr>
              <w:t>7</w:t>
            </w:r>
          </w:p>
        </w:tc>
        <w:tc>
          <w:tcPr>
            <w:tcW w:w="0" w:type="auto"/>
            <w:vMerge w:val="restart"/>
            <w:vAlign w:val="center"/>
          </w:tcPr>
          <w:p>
            <w:pPr>
              <w:pStyle w:val="52"/>
            </w:pPr>
            <w:r>
              <w:rPr>
                <w:rFonts w:hint="eastAsia"/>
              </w:rPr>
              <w:t>中心位置</w:t>
            </w:r>
          </w:p>
        </w:tc>
        <w:tc>
          <w:tcPr>
            <w:tcW w:w="0" w:type="auto"/>
            <w:vAlign w:val="center"/>
          </w:tcPr>
          <w:p>
            <w:pPr>
              <w:pStyle w:val="52"/>
            </w:pPr>
            <w:r>
              <w:rPr>
                <w:rFonts w:hint="eastAsia"/>
              </w:rPr>
              <w:t>预埋件、预埋管</w:t>
            </w:r>
          </w:p>
        </w:tc>
        <w:tc>
          <w:tcPr>
            <w:tcW w:w="0" w:type="auto"/>
            <w:vAlign w:val="center"/>
          </w:tcPr>
          <w:p>
            <w:pPr>
              <w:pStyle w:val="52"/>
            </w:pPr>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52"/>
            </w:pPr>
          </w:p>
        </w:tc>
        <w:tc>
          <w:tcPr>
            <w:tcW w:w="0" w:type="auto"/>
            <w:vMerge w:val="continue"/>
            <w:vAlign w:val="center"/>
          </w:tcPr>
          <w:p>
            <w:pPr>
              <w:pStyle w:val="52"/>
            </w:pPr>
          </w:p>
        </w:tc>
        <w:tc>
          <w:tcPr>
            <w:tcW w:w="0" w:type="auto"/>
            <w:vAlign w:val="center"/>
          </w:tcPr>
          <w:p>
            <w:pPr>
              <w:pStyle w:val="52"/>
            </w:pPr>
            <w:r>
              <w:rPr>
                <w:rFonts w:hint="eastAsia"/>
              </w:rPr>
              <w:t>预留洞</w:t>
            </w:r>
          </w:p>
        </w:tc>
        <w:tc>
          <w:tcPr>
            <w:tcW w:w="0" w:type="auto"/>
            <w:vAlign w:val="center"/>
          </w:tcPr>
          <w:p>
            <w:pPr>
              <w:pStyle w:val="52"/>
            </w:pPr>
            <w:r>
              <w:rPr>
                <w:rFonts w:hint="eastAsia"/>
              </w:rPr>
              <w:t>1</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4"/>
            <w:vAlign w:val="center"/>
          </w:tcPr>
          <w:p>
            <w:pPr>
              <w:pStyle w:val="52"/>
              <w:jc w:val="left"/>
            </w:pPr>
            <w:r>
              <w:rPr>
                <w:rFonts w:hint="eastAsia"/>
              </w:rPr>
              <w:t>注：1</w:t>
            </w:r>
            <w:r>
              <w:t>.</w:t>
            </w:r>
            <w:r>
              <w:rPr>
                <w:rFonts w:hint="eastAsia"/>
              </w:rPr>
              <w:t>表中L为底板和池体的长、宽或直径；H为池壁、柱的高度</w:t>
            </w:r>
          </w:p>
          <w:p>
            <w:pPr>
              <w:pStyle w:val="52"/>
              <w:ind w:firstLine="480" w:firstLineChars="200"/>
              <w:jc w:val="left"/>
            </w:pPr>
            <w:r>
              <w:rPr>
                <w:rFonts w:hint="eastAsia"/>
              </w:rPr>
              <w:t>2</w:t>
            </w:r>
            <w:r>
              <w:t>.</w:t>
            </w:r>
            <w:r>
              <w:rPr>
                <w:rFonts w:hint="eastAsia"/>
              </w:rPr>
              <w:t>若设备对钢筋混凝土水池施工允许偏差有特殊要求，以设备要求为准。</w:t>
            </w:r>
          </w:p>
        </w:tc>
      </w:tr>
    </w:tbl>
    <w:p>
      <w:pPr>
        <w:pStyle w:val="49"/>
        <w:spacing w:before="156" w:after="156"/>
      </w:pPr>
      <w:r>
        <w:rPr>
          <w:rFonts w:hint="eastAsia"/>
        </w:rPr>
        <w:t>采用装配式方式实施时，应符合以下规定：</w:t>
      </w:r>
    </w:p>
    <w:p>
      <w:pPr>
        <w:pStyle w:val="42"/>
        <w:ind w:firstLine="480"/>
      </w:pPr>
      <w:r>
        <w:t xml:space="preserve">1 </w:t>
      </w:r>
      <w:r>
        <w:rPr>
          <w:rFonts w:hint="eastAsia"/>
        </w:rPr>
        <w:t>装配式污水处理设施施工使用的原材料、半成品、构件、设备等的规格、尺寸和质量应符合国家现行有关标准的规定和设计文件的要求，不得使用国家明令禁用、淘汰的产品。进入施工现场时应进行进场验收，按照种类、规格、批次分开存储与堆放，并应标识清晰，做好相应保护工作；</w:t>
      </w:r>
    </w:p>
    <w:p>
      <w:pPr>
        <w:pStyle w:val="42"/>
        <w:ind w:firstLine="480"/>
      </w:pPr>
      <w:r>
        <w:t xml:space="preserve">2 </w:t>
      </w:r>
      <w:r>
        <w:rPr>
          <w:rFonts w:hint="eastAsia"/>
        </w:rPr>
        <w:t>装配式污水处理设施的施工与验收应符合本规范和现行国家标准《城镇污水处理厂工程施工规范》GB</w:t>
      </w:r>
      <w:r>
        <w:t xml:space="preserve"> </w:t>
      </w:r>
      <w:r>
        <w:rPr>
          <w:rFonts w:hint="eastAsia"/>
        </w:rPr>
        <w:t>51221、《城镇污水处理厂工程质量验收规范》GB</w:t>
      </w:r>
      <w:r>
        <w:t xml:space="preserve"> </w:t>
      </w:r>
      <w:r>
        <w:rPr>
          <w:rFonts w:hint="eastAsia"/>
        </w:rPr>
        <w:t>50334、《装配式混凝土建筑技术标准》GB/T 51231、《钢结构工程施工质量验收规范》GB</w:t>
      </w:r>
      <w:r>
        <w:t xml:space="preserve"> </w:t>
      </w:r>
      <w:r>
        <w:rPr>
          <w:rFonts w:hint="eastAsia"/>
        </w:rPr>
        <w:t>50205、《钢结构工程施工规范》GB</w:t>
      </w:r>
      <w:r>
        <w:t xml:space="preserve"> </w:t>
      </w:r>
      <w:r>
        <w:rPr>
          <w:rFonts w:hint="eastAsia"/>
        </w:rPr>
        <w:t>50755、《混凝土结构工程施工质量验收规范》GB</w:t>
      </w:r>
      <w:r>
        <w:t xml:space="preserve"> </w:t>
      </w:r>
      <w:r>
        <w:rPr>
          <w:rFonts w:hint="eastAsia"/>
        </w:rPr>
        <w:t>50204的有关规定；</w:t>
      </w:r>
    </w:p>
    <w:p>
      <w:pPr>
        <w:pStyle w:val="42"/>
        <w:ind w:firstLine="480"/>
      </w:pPr>
      <w:r>
        <w:t xml:space="preserve">3 </w:t>
      </w:r>
      <w:r>
        <w:rPr>
          <w:rFonts w:hint="eastAsia"/>
        </w:rPr>
        <w:t>现场</w:t>
      </w:r>
      <w:r>
        <w:t>拼装池体应按定位放线、检查基础平整度、拼装底板模块、拼装转角模块、拼装墙板与抗弯立柱模块、紧固螺栓及密封件、安装拉压构件模块、顶板模块（根据实际需求选择安装）的顺序进行现场装配</w:t>
      </w:r>
      <w:r>
        <w:rPr>
          <w:rFonts w:hint="eastAsia"/>
        </w:rPr>
        <w:t>；</w:t>
      </w:r>
    </w:p>
    <w:p>
      <w:pPr>
        <w:pStyle w:val="42"/>
        <w:ind w:firstLine="480"/>
      </w:pPr>
      <w:r>
        <w:t xml:space="preserve">4 </w:t>
      </w:r>
      <w:r>
        <w:rPr>
          <w:rFonts w:hint="eastAsia"/>
        </w:rPr>
        <w:t>装配式污水处理设施施工前，宜选择有代表性的单元进行试安装和相关性能测试，并应根据试安装结果及时调整施工工艺、完善施工方案；</w:t>
      </w:r>
    </w:p>
    <w:p>
      <w:pPr>
        <w:pStyle w:val="42"/>
        <w:ind w:firstLine="480"/>
      </w:pPr>
      <w:r>
        <w:t xml:space="preserve">5 </w:t>
      </w:r>
      <w:r>
        <w:rPr>
          <w:rFonts w:hint="eastAsia"/>
        </w:rPr>
        <w:t>地基应满足装配式污水处理设施的地基承载力、变形和稳定性要求；</w:t>
      </w:r>
    </w:p>
    <w:p>
      <w:pPr>
        <w:pStyle w:val="42"/>
        <w:ind w:firstLine="480"/>
      </w:pPr>
      <w:r>
        <w:t xml:space="preserve">6 </w:t>
      </w:r>
      <w:r>
        <w:rPr>
          <w:rFonts w:hint="eastAsia"/>
        </w:rPr>
        <w:t>采用钢筋混凝土底板时，应采用抗渗混凝土，底板施工应符合《混凝土结构工程施工质量验收规范》GB</w:t>
      </w:r>
      <w:r>
        <w:t xml:space="preserve"> </w:t>
      </w:r>
      <w:r>
        <w:rPr>
          <w:rFonts w:hint="eastAsia"/>
        </w:rPr>
        <w:t>50204的规定；</w:t>
      </w:r>
    </w:p>
    <w:p>
      <w:pPr>
        <w:pStyle w:val="42"/>
        <w:ind w:firstLine="480"/>
      </w:pPr>
      <w:r>
        <w:t xml:space="preserve">7 </w:t>
      </w:r>
      <w:r>
        <w:rPr>
          <w:rFonts w:hint="eastAsia"/>
        </w:rPr>
        <w:t>基础顶面直接作为柱的支承面、基础顶面预埋钢板或支座作为柱的支承面时，其支承面、地脚螺栓（锚栓）的允许偏差应符合《钢结构工程施工质量验收标准》GB</w:t>
      </w:r>
      <w:r>
        <w:t xml:space="preserve"> </w:t>
      </w:r>
      <w:r>
        <w:rPr>
          <w:rFonts w:hint="eastAsia"/>
        </w:rPr>
        <w:t>50205及《钢结构设计标准》</w:t>
      </w:r>
      <w:r>
        <w:t>GB 50017</w:t>
      </w:r>
      <w:r>
        <w:rPr>
          <w:rFonts w:hint="eastAsia"/>
        </w:rPr>
        <w:t>的规定；</w:t>
      </w:r>
    </w:p>
    <w:p>
      <w:pPr>
        <w:pStyle w:val="42"/>
        <w:ind w:firstLine="480"/>
      </w:pPr>
      <w:r>
        <w:t xml:space="preserve">8 </w:t>
      </w:r>
      <w:r>
        <w:rPr>
          <w:rFonts w:hint="eastAsia"/>
        </w:rPr>
        <w:t>锚栓及预埋件安装应符合《钢结构设计标准》GB 50017的规定，并应符合以下要求：</w:t>
      </w:r>
    </w:p>
    <w:p>
      <w:pPr>
        <w:pStyle w:val="42"/>
        <w:ind w:left="360" w:firstLine="480"/>
      </w:pPr>
      <w:r>
        <w:t>1</w:t>
      </w:r>
      <w:r>
        <w:rPr>
          <w:rFonts w:hint="eastAsia"/>
        </w:rPr>
        <w:t>）宜采用锚栓定位支架、定位板等辅助固定措施；</w:t>
      </w:r>
    </w:p>
    <w:p>
      <w:pPr>
        <w:pStyle w:val="42"/>
        <w:ind w:left="360" w:firstLine="480"/>
      </w:pPr>
      <w:r>
        <w:t>2</w:t>
      </w:r>
      <w:r>
        <w:rPr>
          <w:rFonts w:hint="eastAsia"/>
        </w:rPr>
        <w:t>）锚栓和预埋件安装到位后，应可靠固定；当锚栓埋设精度要求较高时，可采用预留孔洞、二次埋设等工艺；</w:t>
      </w:r>
    </w:p>
    <w:p>
      <w:pPr>
        <w:pStyle w:val="42"/>
        <w:ind w:left="360" w:firstLine="480"/>
      </w:pPr>
      <w:r>
        <w:t>3</w:t>
      </w:r>
      <w:r>
        <w:rPr>
          <w:rFonts w:hint="eastAsia"/>
        </w:rPr>
        <w:t>）锚栓应采取防止损坏、锈蚀和污染的保护措施；</w:t>
      </w:r>
    </w:p>
    <w:p>
      <w:pPr>
        <w:pStyle w:val="42"/>
        <w:ind w:left="360" w:firstLine="480"/>
      </w:pPr>
      <w:r>
        <w:t>4</w:t>
      </w:r>
      <w:r>
        <w:rPr>
          <w:rFonts w:hint="eastAsia"/>
        </w:rPr>
        <w:t>）钢柱地脚螺栓应按相关规定进行紧固，对于外露的地脚螺栓应采取防止螺母松动和锈蚀的措施；</w:t>
      </w:r>
    </w:p>
    <w:p>
      <w:pPr>
        <w:pStyle w:val="42"/>
        <w:ind w:left="360" w:firstLine="480"/>
      </w:pPr>
      <w:r>
        <w:t>5</w:t>
      </w:r>
      <w:r>
        <w:rPr>
          <w:rFonts w:hint="eastAsia"/>
        </w:rPr>
        <w:t>）当锚栓需要施加预应力时，可采取后张拉法，张拉力应符合设计文件的要求，并在张拉完成后进行灌浆处理。</w:t>
      </w:r>
    </w:p>
    <w:p>
      <w:pPr>
        <w:pStyle w:val="3"/>
      </w:pPr>
      <w:bookmarkStart w:id="99" w:name="_Toc122709332"/>
      <w:bookmarkStart w:id="100" w:name="_Toc122709920"/>
      <w:bookmarkStart w:id="101" w:name="_Toc122709409"/>
      <w:r>
        <w:rPr>
          <w:rFonts w:hint="eastAsia"/>
        </w:rPr>
        <w:t>安装</w:t>
      </w:r>
      <w:bookmarkEnd w:id="99"/>
      <w:bookmarkEnd w:id="100"/>
      <w:bookmarkEnd w:id="101"/>
    </w:p>
    <w:p>
      <w:pPr>
        <w:pStyle w:val="49"/>
        <w:spacing w:before="156" w:after="156"/>
      </w:pPr>
      <w:r>
        <w:rPr>
          <w:rFonts w:hint="eastAsia"/>
        </w:rPr>
        <w:t>设备安装位置应准确，螺栓应紧固；与供电电缆、供水和供气管道及其他设备的连接应正确，且不得遗漏，并应清除连接管道及设备内部的杂物。</w:t>
      </w:r>
    </w:p>
    <w:p>
      <w:pPr>
        <w:pStyle w:val="49"/>
        <w:spacing w:before="156" w:after="156"/>
      </w:pPr>
      <w:r>
        <w:t>1</w:t>
      </w:r>
      <w:r>
        <w:rPr>
          <w:rFonts w:hint="eastAsia"/>
        </w:rPr>
        <w:t>风机、泵类等机械设备安装应符合《风机、压缩机、泵安装工程施工及验收规范》GB</w:t>
      </w:r>
      <w:r>
        <w:t xml:space="preserve"> </w:t>
      </w:r>
      <w:r>
        <w:rPr>
          <w:rFonts w:hint="eastAsia"/>
        </w:rPr>
        <w:t>50275的有关规定。</w:t>
      </w:r>
    </w:p>
    <w:p>
      <w:pPr>
        <w:pStyle w:val="49"/>
        <w:spacing w:before="156" w:after="156"/>
      </w:pPr>
      <w:r>
        <w:rPr>
          <w:rFonts w:hint="eastAsia"/>
        </w:rPr>
        <w:t>B段曝气设备应按照工艺设计图纸及技术要求进行施工安装，符合下列规定：</w:t>
      </w:r>
    </w:p>
    <w:p>
      <w:pPr>
        <w:pStyle w:val="42"/>
        <w:ind w:firstLine="480"/>
      </w:pPr>
      <w:r>
        <w:t xml:space="preserve">1 </w:t>
      </w:r>
      <w:r>
        <w:rPr>
          <w:rFonts w:hint="eastAsia"/>
        </w:rPr>
        <w:t>同一组曝气设备标高的允许偏差应为2</w:t>
      </w:r>
      <w:r>
        <w:t xml:space="preserve"> </w:t>
      </w:r>
      <w:r>
        <w:rPr>
          <w:rFonts w:hint="eastAsia"/>
        </w:rPr>
        <w:t>mm，水平度允许偏差应为±2</w:t>
      </w:r>
      <w:r>
        <w:t xml:space="preserve"> </w:t>
      </w:r>
      <w:r>
        <w:rPr>
          <w:rFonts w:hint="eastAsia"/>
        </w:rPr>
        <w:t>mm，不同组曝气管道标高的允许偏差应为5</w:t>
      </w:r>
      <w:r>
        <w:t xml:space="preserve"> </w:t>
      </w:r>
      <w:r>
        <w:rPr>
          <w:rFonts w:hint="eastAsia"/>
        </w:rPr>
        <w:t>mm；</w:t>
      </w:r>
    </w:p>
    <w:p>
      <w:pPr>
        <w:pStyle w:val="42"/>
        <w:ind w:firstLine="480"/>
      </w:pPr>
      <w:r>
        <w:t xml:space="preserve">2 </w:t>
      </w:r>
      <w:r>
        <w:rPr>
          <w:rFonts w:hint="eastAsia"/>
        </w:rPr>
        <w:t>曝气管道安装前，应先将管道吹扫干净；</w:t>
      </w:r>
    </w:p>
    <w:p>
      <w:pPr>
        <w:pStyle w:val="42"/>
        <w:ind w:firstLine="480"/>
      </w:pPr>
      <w:r>
        <w:t xml:space="preserve">3 </w:t>
      </w:r>
      <w:r>
        <w:rPr>
          <w:rFonts w:hint="eastAsia"/>
        </w:rPr>
        <w:t>安装完成后应进行曝气均匀性试验以及接口气密性检查，合格后方可进行下一步操作。</w:t>
      </w:r>
    </w:p>
    <w:p>
      <w:pPr>
        <w:pStyle w:val="49"/>
        <w:spacing w:before="156" w:after="156"/>
      </w:pPr>
      <w:r>
        <w:rPr>
          <w:rFonts w:hint="eastAsia"/>
        </w:rPr>
        <w:t>B段拦截筛网安装应平整，和墙体连接处连接缝应小于8</w:t>
      </w:r>
      <w:r>
        <w:t xml:space="preserve"> </w:t>
      </w:r>
      <w:r>
        <w:rPr>
          <w:rFonts w:hint="eastAsia"/>
        </w:rPr>
        <w:t>mm。</w:t>
      </w:r>
    </w:p>
    <w:p>
      <w:pPr>
        <w:pStyle w:val="49"/>
        <w:spacing w:before="156" w:after="156"/>
      </w:pPr>
      <w:r>
        <w:rPr>
          <w:rFonts w:hint="eastAsia"/>
        </w:rPr>
        <w:t>B段搅拌器与水平面形成可调的垂直倾角，</w:t>
      </w:r>
      <w:r>
        <w:rPr>
          <w:rFonts w:hint="eastAsia"/>
          <w:kern w:val="0"/>
        </w:rPr>
        <w:t>倾角范围宜在</w:t>
      </w:r>
      <w:r>
        <w:rPr>
          <w:kern w:val="0"/>
        </w:rPr>
        <w:t>0</w:t>
      </w:r>
      <w:r>
        <w:rPr>
          <w:rFonts w:hint="eastAsia"/>
          <w:kern w:val="0"/>
        </w:rPr>
        <w:t>°</w:t>
      </w:r>
      <w:r>
        <w:rPr>
          <w:kern w:val="0"/>
        </w:rPr>
        <w:t>~35</w:t>
      </w:r>
      <w:r>
        <w:rPr>
          <w:rFonts w:hint="eastAsia"/>
          <w:kern w:val="0"/>
        </w:rPr>
        <w:t>°</w:t>
      </w:r>
      <w:r>
        <w:rPr>
          <w:rFonts w:hint="eastAsia"/>
        </w:rPr>
        <w:t>。</w:t>
      </w:r>
    </w:p>
    <w:p>
      <w:pPr>
        <w:pStyle w:val="49"/>
        <w:spacing w:before="156" w:after="156"/>
      </w:pPr>
      <w:r>
        <w:t>M</w:t>
      </w:r>
      <w:r>
        <w:rPr>
          <w:rFonts w:hint="eastAsia"/>
        </w:rPr>
        <w:t>段搅拌器的安装应符合以下规定：</w:t>
      </w:r>
    </w:p>
    <w:p>
      <w:pPr>
        <w:pStyle w:val="42"/>
        <w:ind w:firstLine="480"/>
      </w:pPr>
      <w:r>
        <w:t xml:space="preserve">1 </w:t>
      </w:r>
      <w:r>
        <w:rPr>
          <w:rFonts w:hint="eastAsia"/>
        </w:rPr>
        <w:t>搅拌器安装应与轴上的标记相对应，搅拌部分连接的螺栓应采取防松措施；</w:t>
      </w:r>
    </w:p>
    <w:p>
      <w:pPr>
        <w:pStyle w:val="42"/>
        <w:ind w:firstLine="480"/>
      </w:pPr>
      <w:r>
        <w:t xml:space="preserve">2 </w:t>
      </w:r>
      <w:r>
        <w:rPr>
          <w:rFonts w:hint="eastAsia"/>
        </w:rPr>
        <w:t>拆除运输包装后，应及时安装搅拌器立轴。立轴中心线垂直允许偏差不应大于1</w:t>
      </w:r>
      <w:r>
        <w:t>/1000</w:t>
      </w:r>
      <w:r>
        <w:rPr>
          <w:rFonts w:hint="eastAsia"/>
        </w:rPr>
        <w:t>；</w:t>
      </w:r>
    </w:p>
    <w:p>
      <w:pPr>
        <w:pStyle w:val="42"/>
        <w:ind w:firstLine="480"/>
      </w:pPr>
      <w:r>
        <w:t xml:space="preserve">3 </w:t>
      </w:r>
      <w:r>
        <w:rPr>
          <w:rFonts w:hint="eastAsia"/>
        </w:rPr>
        <w:t>搅拌器机座应为装配基准，水平度允许偏差不应大于1</w:t>
      </w:r>
      <w:r>
        <w:t>/1000</w:t>
      </w:r>
      <w:r>
        <w:rPr>
          <w:rFonts w:hint="eastAsia"/>
        </w:rPr>
        <w:t>。</w:t>
      </w:r>
    </w:p>
    <w:p>
      <w:pPr>
        <w:pStyle w:val="49"/>
        <w:spacing w:before="156" w:after="156"/>
      </w:pPr>
      <w:r>
        <w:t>M段重载刮泥机</w:t>
      </w:r>
      <w:r>
        <w:rPr>
          <w:rFonts w:hint="eastAsia"/>
        </w:rPr>
        <w:t>，若采用四臂式，</w:t>
      </w:r>
      <w:r>
        <w:t>安装应符合以下规定</w:t>
      </w:r>
      <w:r>
        <w:rPr>
          <w:rFonts w:hint="eastAsia"/>
        </w:rPr>
        <w:t>：</w:t>
      </w:r>
    </w:p>
    <w:p>
      <w:pPr>
        <w:pStyle w:val="42"/>
        <w:ind w:firstLine="480"/>
      </w:pPr>
      <w:bookmarkStart w:id="102" w:name="OLE_LINK1"/>
      <w:r>
        <w:t xml:space="preserve">1 </w:t>
      </w:r>
      <w:r>
        <w:rPr>
          <w:rFonts w:hint="eastAsia"/>
        </w:rPr>
        <w:t>减速机（安装）水平度允许偏差不应大于1</w:t>
      </w:r>
      <w:r>
        <w:t>/1000</w:t>
      </w:r>
      <w:r>
        <w:rPr>
          <w:rFonts w:hint="eastAsia"/>
        </w:rPr>
        <w:t>；</w:t>
      </w:r>
    </w:p>
    <w:bookmarkEnd w:id="102"/>
    <w:p>
      <w:pPr>
        <w:pStyle w:val="42"/>
        <w:ind w:firstLine="480"/>
      </w:pPr>
      <w:r>
        <w:t xml:space="preserve">2 </w:t>
      </w:r>
      <w:r>
        <w:rPr>
          <w:rFonts w:hint="eastAsia"/>
        </w:rPr>
        <w:t>立轴安装应为止口法兰安装。刮臂与立轴应为法兰式安装。刮板应安装于刮臂上，相间刮板重叠量应为1</w:t>
      </w:r>
      <w:r>
        <w:t xml:space="preserve">00 </w:t>
      </w:r>
      <w:r>
        <w:rPr>
          <w:rFonts w:hint="eastAsia"/>
        </w:rPr>
        <w:t>mm~</w:t>
      </w:r>
      <w:r>
        <w:t xml:space="preserve">150 </w:t>
      </w:r>
      <w:r>
        <w:rPr>
          <w:rFonts w:hint="eastAsia"/>
        </w:rPr>
        <w:t>mm。</w:t>
      </w:r>
    </w:p>
    <w:p>
      <w:pPr>
        <w:pStyle w:val="49"/>
        <w:spacing w:before="156" w:after="156"/>
      </w:pPr>
      <w:r>
        <w:t>M段重载刮泥机</w:t>
      </w:r>
      <w:r>
        <w:rPr>
          <w:rFonts w:hint="eastAsia"/>
        </w:rPr>
        <w:t>，若采用</w:t>
      </w:r>
      <w:r>
        <w:t>非金属链板式</w:t>
      </w:r>
      <w:r>
        <w:rPr>
          <w:rFonts w:hint="eastAsia"/>
        </w:rPr>
        <w:t>，</w:t>
      </w:r>
      <w:r>
        <w:t>安装应符合以下规定</w:t>
      </w:r>
      <w:r>
        <w:rPr>
          <w:rFonts w:hint="eastAsia"/>
        </w:rPr>
        <w:t>：</w:t>
      </w:r>
    </w:p>
    <w:p>
      <w:pPr>
        <w:pStyle w:val="42"/>
        <w:ind w:firstLine="480"/>
      </w:pPr>
      <w:r>
        <w:t xml:space="preserve">1 </w:t>
      </w:r>
      <w:r>
        <w:rPr>
          <w:rFonts w:hint="eastAsia"/>
        </w:rPr>
        <w:t>减速机（安装）水平度允许偏差不应大于1</w:t>
      </w:r>
      <w:r>
        <w:t>/1000</w:t>
      </w:r>
      <w:r>
        <w:rPr>
          <w:rFonts w:hint="eastAsia"/>
        </w:rPr>
        <w:t>；</w:t>
      </w:r>
    </w:p>
    <w:p>
      <w:pPr>
        <w:pStyle w:val="42"/>
        <w:ind w:firstLine="480"/>
      </w:pPr>
      <w:r>
        <w:t xml:space="preserve">2 </w:t>
      </w:r>
      <w:r>
        <w:rPr>
          <w:rFonts w:hint="eastAsia"/>
        </w:rPr>
        <w:t>池底地面平整度≤5</w:t>
      </w:r>
      <w:r>
        <w:t xml:space="preserve"> </w:t>
      </w:r>
      <w:r>
        <w:rPr>
          <w:rFonts w:hint="eastAsia"/>
        </w:rPr>
        <w:t>mm，超出需要二次找平；</w:t>
      </w:r>
    </w:p>
    <w:p>
      <w:pPr>
        <w:pStyle w:val="42"/>
        <w:ind w:firstLine="480"/>
      </w:pPr>
      <w:r>
        <w:t xml:space="preserve">3 </w:t>
      </w:r>
      <w:r>
        <w:rPr>
          <w:rFonts w:hint="eastAsia"/>
        </w:rPr>
        <w:t>两条滑轨距离偏离≤2</w:t>
      </w:r>
      <w:r>
        <w:t xml:space="preserve"> </w:t>
      </w:r>
      <w:r>
        <w:rPr>
          <w:rFonts w:hint="eastAsia"/>
        </w:rPr>
        <w:t>mm，滑轨的全长直线度偏差≤5</w:t>
      </w:r>
      <w:r>
        <w:t xml:space="preserve"> </w:t>
      </w:r>
      <w:r>
        <w:rPr>
          <w:rFonts w:hint="eastAsia"/>
        </w:rPr>
        <w:t>mm，轨道两边高度差≤5</w:t>
      </w:r>
      <w:r>
        <w:t xml:space="preserve"> </w:t>
      </w:r>
      <w:r>
        <w:rPr>
          <w:rFonts w:hint="eastAsia"/>
        </w:rPr>
        <w:t>mm；</w:t>
      </w:r>
    </w:p>
    <w:p>
      <w:pPr>
        <w:pStyle w:val="42"/>
        <w:ind w:firstLine="480"/>
      </w:pPr>
      <w:r>
        <w:t xml:space="preserve">4 </w:t>
      </w:r>
      <w:r>
        <w:rPr>
          <w:rFonts w:hint="eastAsia"/>
        </w:rPr>
        <w:t>两端短轴中心高度差不应大于1</w:t>
      </w:r>
      <w:r>
        <w:t xml:space="preserve"> </w:t>
      </w:r>
      <w:r>
        <w:rPr>
          <w:rFonts w:hint="eastAsia"/>
        </w:rPr>
        <w:t>mm。</w:t>
      </w:r>
    </w:p>
    <w:p>
      <w:pPr>
        <w:pStyle w:val="49"/>
        <w:spacing w:before="156" w:after="156"/>
      </w:pPr>
      <w:r>
        <w:t>M</w:t>
      </w:r>
      <w:r>
        <w:rPr>
          <w:rFonts w:hint="eastAsia"/>
        </w:rPr>
        <w:t>段磁分离机的安装应符合以下规定：</w:t>
      </w:r>
    </w:p>
    <w:p>
      <w:pPr>
        <w:pStyle w:val="42"/>
        <w:ind w:firstLine="480"/>
      </w:pPr>
      <w:r>
        <w:t xml:space="preserve">1 </w:t>
      </w:r>
      <w:r>
        <w:rPr>
          <w:rFonts w:hint="eastAsia"/>
        </w:rPr>
        <w:t>吊装过程应保持平稳，吊装绳不得与磁分离机的鼓面接触；</w:t>
      </w:r>
    </w:p>
    <w:p>
      <w:pPr>
        <w:pStyle w:val="42"/>
        <w:ind w:firstLine="480"/>
      </w:pPr>
      <w:r>
        <w:t xml:space="preserve">2 </w:t>
      </w:r>
      <w:r>
        <w:rPr>
          <w:rFonts w:hint="eastAsia"/>
        </w:rPr>
        <w:t>磁分离机水平度允许偏差不宜大于2/100；</w:t>
      </w:r>
    </w:p>
    <w:p>
      <w:pPr>
        <w:pStyle w:val="42"/>
        <w:ind w:firstLine="480"/>
      </w:pPr>
      <w:r>
        <w:t xml:space="preserve">3 </w:t>
      </w:r>
      <w:r>
        <w:rPr>
          <w:rFonts w:hint="eastAsia"/>
        </w:rPr>
        <w:t>安装后磁分离机的磁场角度应稳定在适用状态；</w:t>
      </w:r>
    </w:p>
    <w:p>
      <w:pPr>
        <w:pStyle w:val="42"/>
        <w:ind w:firstLine="480"/>
      </w:pPr>
      <w:r>
        <w:t xml:space="preserve">4 </w:t>
      </w:r>
      <w:r>
        <w:rPr>
          <w:rFonts w:hint="eastAsia"/>
        </w:rPr>
        <w:t>磁分离机安装后，应检查各个部件螺栓紧固状况，并转动电机叶片观察磁分离机有无卡顿现象。</w:t>
      </w:r>
    </w:p>
    <w:p>
      <w:pPr>
        <w:pStyle w:val="49"/>
        <w:spacing w:before="156" w:after="156"/>
      </w:pPr>
      <w:r>
        <w:t>M</w:t>
      </w:r>
      <w:r>
        <w:rPr>
          <w:rFonts w:hint="eastAsia"/>
        </w:rPr>
        <w:t>段高剪机应为立式安装，立轴与基座面的垂直度允许偏差应小于1/1000。</w:t>
      </w:r>
    </w:p>
    <w:p>
      <w:pPr>
        <w:pStyle w:val="49"/>
        <w:spacing w:before="156" w:after="156"/>
      </w:pPr>
      <w:r>
        <w:t>M</w:t>
      </w:r>
      <w:r>
        <w:rPr>
          <w:rFonts w:hint="eastAsia"/>
        </w:rPr>
        <w:t>段磁介质污泥回流泵与磁介质回收泵的纵、横向水平度允许偏差不应大于1/1000。</w:t>
      </w:r>
    </w:p>
    <w:p>
      <w:pPr>
        <w:pStyle w:val="49"/>
        <w:spacing w:before="156" w:after="156"/>
      </w:pPr>
      <w:r>
        <w:rPr>
          <w:rFonts w:hint="eastAsia"/>
        </w:rPr>
        <w:t>M段斜管（板）安装，应按以下要求进行：</w:t>
      </w:r>
    </w:p>
    <w:p>
      <w:pPr>
        <w:pStyle w:val="42"/>
        <w:ind w:firstLine="480"/>
      </w:pPr>
      <w:r>
        <w:t xml:space="preserve">1 </w:t>
      </w:r>
      <w:r>
        <w:rPr>
          <w:rFonts w:hint="eastAsia"/>
        </w:rPr>
        <w:t>将斜管（板）支架安装到位并检查焊接点牢固，确保支撑强度；</w:t>
      </w:r>
    </w:p>
    <w:p>
      <w:pPr>
        <w:pStyle w:val="42"/>
        <w:ind w:firstLine="480"/>
      </w:pPr>
      <w:r>
        <w:t xml:space="preserve">2 </w:t>
      </w:r>
      <w:r>
        <w:rPr>
          <w:rFonts w:hint="eastAsia"/>
        </w:rPr>
        <w:t>将斜管（板）进行逐片焊接，一个焊接单元约1</w:t>
      </w:r>
      <w:r>
        <w:t xml:space="preserve"> </w:t>
      </w:r>
      <w:r>
        <w:rPr>
          <w:rFonts w:hint="eastAsia"/>
        </w:rPr>
        <w:t>m</w:t>
      </w:r>
      <w:r>
        <w:rPr>
          <w:rFonts w:hint="eastAsia"/>
          <w:vertAlign w:val="superscript"/>
        </w:rPr>
        <w:t>2</w:t>
      </w:r>
      <w:r>
        <w:rPr>
          <w:rFonts w:hint="eastAsia"/>
        </w:rPr>
        <w:t>，然后进行沉淀池内组装；</w:t>
      </w:r>
    </w:p>
    <w:p>
      <w:pPr>
        <w:pStyle w:val="42"/>
        <w:ind w:firstLine="480"/>
      </w:pPr>
      <w:r>
        <w:t xml:space="preserve">3 </w:t>
      </w:r>
      <w:r>
        <w:rPr>
          <w:rFonts w:hint="eastAsia"/>
        </w:rPr>
        <w:t>斜管（板）应布置固定设施，采用尼龙绳捆绑或硬性压条进行固定，防止斜管（板）移动；</w:t>
      </w:r>
    </w:p>
    <w:p>
      <w:pPr>
        <w:pStyle w:val="42"/>
        <w:ind w:firstLine="480"/>
      </w:pPr>
      <w:r>
        <w:t xml:space="preserve">4 </w:t>
      </w:r>
      <w:r>
        <w:rPr>
          <w:rFonts w:hint="eastAsia"/>
        </w:rPr>
        <w:t>斜管（板）安装完成后，在无水浸泡的露天环境中，需要采取遮光措施，避免阳光暴晒，影响使用寿命。</w:t>
      </w:r>
    </w:p>
    <w:p>
      <w:pPr>
        <w:pStyle w:val="49"/>
        <w:spacing w:before="156" w:after="156"/>
      </w:pPr>
      <w:r>
        <w:rPr>
          <w:rFonts w:hint="eastAsia"/>
        </w:rPr>
        <w:t>采用装配式方式实施时，应符合以下规定：</w:t>
      </w:r>
    </w:p>
    <w:p>
      <w:pPr>
        <w:pStyle w:val="42"/>
        <w:ind w:firstLine="480"/>
      </w:pPr>
      <w:r>
        <w:t xml:space="preserve">1 </w:t>
      </w:r>
      <w:r>
        <w:rPr>
          <w:rFonts w:hint="eastAsia"/>
        </w:rPr>
        <w:t>构件吊装应符合下列要求：</w:t>
      </w:r>
    </w:p>
    <w:p>
      <w:pPr>
        <w:spacing w:line="420" w:lineRule="exact"/>
        <w:ind w:firstLine="480" w:firstLineChars="200"/>
        <w:rPr>
          <w:sz w:val="24"/>
        </w:rPr>
      </w:pPr>
      <w:r>
        <w:rPr>
          <w:sz w:val="24"/>
        </w:rPr>
        <w:t>1</w:t>
      </w:r>
      <w:r>
        <w:rPr>
          <w:rFonts w:hint="eastAsia"/>
          <w:sz w:val="24"/>
        </w:rPr>
        <w:t>）构件应按照吊装顺序预先编号，吊装时应严格按编号顺序起吊；</w:t>
      </w:r>
    </w:p>
    <w:p>
      <w:pPr>
        <w:spacing w:line="420" w:lineRule="exact"/>
        <w:ind w:firstLine="480" w:firstLineChars="200"/>
        <w:rPr>
          <w:sz w:val="24"/>
        </w:rPr>
      </w:pPr>
      <w:r>
        <w:rPr>
          <w:sz w:val="24"/>
        </w:rPr>
        <w:t>2</w:t>
      </w:r>
      <w:r>
        <w:rPr>
          <w:rFonts w:hint="eastAsia"/>
          <w:sz w:val="24"/>
        </w:rPr>
        <w:t>）构件应采用慢起、稳升、缓放，起吊过程中构件应保持平稳，不得出现倾斜和扭转；</w:t>
      </w:r>
    </w:p>
    <w:p>
      <w:pPr>
        <w:spacing w:line="420" w:lineRule="exact"/>
        <w:ind w:firstLine="480" w:firstLineChars="200"/>
        <w:rPr>
          <w:sz w:val="24"/>
        </w:rPr>
      </w:pPr>
      <w:r>
        <w:rPr>
          <w:sz w:val="24"/>
        </w:rPr>
        <w:t>3</w:t>
      </w:r>
      <w:r>
        <w:rPr>
          <w:rFonts w:hint="eastAsia"/>
          <w:sz w:val="24"/>
        </w:rPr>
        <w:t>）构件在吊装过程中，宜设置缆风绳控制构件在空中位置和转动；</w:t>
      </w:r>
    </w:p>
    <w:p>
      <w:pPr>
        <w:pStyle w:val="42"/>
        <w:ind w:firstLine="480"/>
      </w:pPr>
      <w:r>
        <w:t>4</w:t>
      </w:r>
      <w:r>
        <w:rPr>
          <w:rFonts w:hint="eastAsia"/>
        </w:rPr>
        <w:t>）遇到雨、雪、雾天气，或者风力大于6级时，不得进行吊装作业。</w:t>
      </w:r>
    </w:p>
    <w:p>
      <w:pPr>
        <w:pStyle w:val="42"/>
        <w:ind w:firstLine="480"/>
      </w:pPr>
      <w:r>
        <w:t xml:space="preserve">2 </w:t>
      </w:r>
      <w:r>
        <w:rPr>
          <w:rFonts w:hint="eastAsia"/>
        </w:rPr>
        <w:t>构件吊装就位后，应及时校准并采取临时固定措施。构件就位校核与调整应符合下列规定：</w:t>
      </w:r>
    </w:p>
    <w:p>
      <w:pPr>
        <w:spacing w:line="420" w:lineRule="exact"/>
        <w:ind w:firstLine="480" w:firstLineChars="200"/>
        <w:rPr>
          <w:sz w:val="24"/>
        </w:rPr>
      </w:pPr>
      <w:r>
        <w:rPr>
          <w:sz w:val="24"/>
        </w:rPr>
        <w:t>1</w:t>
      </w:r>
      <w:r>
        <w:rPr>
          <w:rFonts w:hint="eastAsia"/>
          <w:sz w:val="24"/>
        </w:rPr>
        <w:t>）构件安装后，应对安装位置、安装标高、垂直度进行校核与调整；对相邻构件平整度、高低差、拼缝尺寸进行校核与调整；</w:t>
      </w:r>
    </w:p>
    <w:p>
      <w:pPr>
        <w:spacing w:line="420" w:lineRule="exact"/>
        <w:ind w:firstLine="480" w:firstLineChars="200"/>
        <w:rPr>
          <w:sz w:val="24"/>
        </w:rPr>
      </w:pPr>
      <w:r>
        <w:rPr>
          <w:sz w:val="24"/>
        </w:rPr>
        <w:t>2</w:t>
      </w:r>
      <w:r>
        <w:rPr>
          <w:rFonts w:hint="eastAsia"/>
          <w:sz w:val="24"/>
        </w:rPr>
        <w:t>）临时固定措施、临时支撑系统应具有足够的强度、刚度和整体稳固性，应按现行国家标准</w:t>
      </w:r>
      <w:bookmarkStart w:id="103" w:name="_Hlk103173341"/>
      <w:r>
        <w:rPr>
          <w:rFonts w:hint="eastAsia"/>
          <w:sz w:val="24"/>
        </w:rPr>
        <w:t>《混凝土结构工程施工规范》GB 50666、《钢结构工程施工规范》GB</w:t>
      </w:r>
      <w:r>
        <w:rPr>
          <w:sz w:val="24"/>
        </w:rPr>
        <w:t xml:space="preserve"> </w:t>
      </w:r>
      <w:r>
        <w:rPr>
          <w:rFonts w:hint="eastAsia"/>
          <w:sz w:val="24"/>
        </w:rPr>
        <w:t>50755</w:t>
      </w:r>
      <w:bookmarkEnd w:id="103"/>
      <w:r>
        <w:rPr>
          <w:rFonts w:hint="eastAsia"/>
          <w:sz w:val="24"/>
        </w:rPr>
        <w:t>执行。</w:t>
      </w:r>
    </w:p>
    <w:p>
      <w:pPr>
        <w:spacing w:line="420" w:lineRule="exact"/>
        <w:ind w:firstLine="480" w:firstLineChars="200"/>
        <w:rPr>
          <w:sz w:val="24"/>
        </w:rPr>
      </w:pPr>
      <w:r>
        <w:rPr>
          <w:sz w:val="24"/>
        </w:rPr>
        <w:t xml:space="preserve">3 </w:t>
      </w:r>
      <w:r>
        <w:rPr>
          <w:rFonts w:hint="eastAsia"/>
          <w:sz w:val="24"/>
        </w:rPr>
        <w:t>混凝土预制构件采用高强螺栓连接时，在构件制作时预埋连接用的螺杆和锚固板，待构件按照顺序吊装临时固定满足要求后，使用套管将两个构件的螺栓进行连接，高强螺栓的紧固方式和紧固力应符合设计要求，并应对外露铁件采取防腐措施；</w:t>
      </w:r>
    </w:p>
    <w:p>
      <w:pPr>
        <w:spacing w:line="420" w:lineRule="exact"/>
        <w:ind w:firstLine="480" w:firstLineChars="200"/>
        <w:rPr>
          <w:bCs/>
          <w:sz w:val="24"/>
        </w:rPr>
      </w:pPr>
      <w:r>
        <w:rPr>
          <w:sz w:val="24"/>
        </w:rPr>
        <w:t xml:space="preserve">4 </w:t>
      </w:r>
      <w:r>
        <w:rPr>
          <w:rFonts w:hint="eastAsia"/>
          <w:bCs/>
          <w:sz w:val="24"/>
        </w:rPr>
        <w:t>钢结构预制构件宜采用焊接连接，焊接应符合</w:t>
      </w:r>
      <w:bookmarkStart w:id="104" w:name="_Hlk103173352"/>
      <w:r>
        <w:rPr>
          <w:rFonts w:hint="eastAsia"/>
          <w:sz w:val="24"/>
        </w:rPr>
        <w:t>《钢结构焊接规范》GB</w:t>
      </w:r>
      <w:r>
        <w:rPr>
          <w:sz w:val="24"/>
        </w:rPr>
        <w:t xml:space="preserve"> </w:t>
      </w:r>
      <w:r>
        <w:rPr>
          <w:rFonts w:hint="eastAsia"/>
          <w:sz w:val="24"/>
        </w:rPr>
        <w:t>50661、《钢结构工程施工规范》G</w:t>
      </w:r>
      <w:r>
        <w:rPr>
          <w:sz w:val="24"/>
        </w:rPr>
        <w:t>B 50755</w:t>
      </w:r>
      <w:bookmarkEnd w:id="104"/>
      <w:r>
        <w:rPr>
          <w:rFonts w:hint="eastAsia"/>
          <w:bCs/>
          <w:sz w:val="24"/>
        </w:rPr>
        <w:t>的相关规定，采用焊接连接时，应采取避免损伤已施工完成的结构、预制构件及配件的措施；</w:t>
      </w:r>
    </w:p>
    <w:p>
      <w:pPr>
        <w:spacing w:line="420" w:lineRule="exact"/>
        <w:ind w:firstLine="480" w:firstLineChars="200"/>
        <w:rPr>
          <w:sz w:val="24"/>
        </w:rPr>
      </w:pPr>
      <w:r>
        <w:rPr>
          <w:sz w:val="24"/>
        </w:rPr>
        <w:t xml:space="preserve">5 </w:t>
      </w:r>
      <w:r>
        <w:rPr>
          <w:rFonts w:hint="eastAsia"/>
          <w:bCs/>
          <w:sz w:val="24"/>
        </w:rPr>
        <w:t>钢结构预制构件采用螺栓紧固连接施工时，螺栓紧固件的性能等级不应低于4</w:t>
      </w:r>
      <w:r>
        <w:rPr>
          <w:bCs/>
          <w:sz w:val="24"/>
        </w:rPr>
        <w:t>.8</w:t>
      </w:r>
      <w:r>
        <w:rPr>
          <w:rFonts w:hint="eastAsia"/>
          <w:bCs/>
          <w:sz w:val="24"/>
        </w:rPr>
        <w:t>级，紧固力矩应在2</w:t>
      </w:r>
      <w:r>
        <w:rPr>
          <w:bCs/>
          <w:sz w:val="24"/>
        </w:rPr>
        <w:t>5N</w:t>
      </w:r>
      <w:r>
        <w:rPr>
          <w:rFonts w:hint="eastAsia"/>
          <w:bCs/>
          <w:sz w:val="24"/>
        </w:rPr>
        <w:t>m</w:t>
      </w:r>
      <w:r>
        <w:rPr>
          <w:bCs/>
          <w:sz w:val="24"/>
        </w:rPr>
        <w:t>~48Nm</w:t>
      </w:r>
      <w:r>
        <w:rPr>
          <w:rFonts w:hint="eastAsia"/>
          <w:bCs/>
          <w:sz w:val="24"/>
        </w:rPr>
        <w:t>的范围内并应符合</w:t>
      </w:r>
      <w:bookmarkStart w:id="105" w:name="_Hlk103173359"/>
      <w:r>
        <w:rPr>
          <w:rFonts w:hint="eastAsia"/>
          <w:sz w:val="24"/>
        </w:rPr>
        <w:t>《钢结构工程施工规范》G</w:t>
      </w:r>
      <w:r>
        <w:rPr>
          <w:sz w:val="24"/>
        </w:rPr>
        <w:t>B 50755</w:t>
      </w:r>
      <w:bookmarkEnd w:id="105"/>
      <w:r>
        <w:rPr>
          <w:rFonts w:hint="eastAsia"/>
          <w:sz w:val="24"/>
        </w:rPr>
        <w:t>的相关规定；</w:t>
      </w:r>
    </w:p>
    <w:p>
      <w:pPr>
        <w:pStyle w:val="42"/>
        <w:ind w:firstLine="480"/>
      </w:pPr>
      <w:r>
        <w:t xml:space="preserve">6 </w:t>
      </w:r>
      <w:r>
        <w:rPr>
          <w:rFonts w:hint="eastAsia"/>
        </w:rPr>
        <w:t>构件接缝防水处理应编制专项方案，所采用的施工方法满足设计要求并组织专家咨询论证，并应符合下列规定：</w:t>
      </w:r>
    </w:p>
    <w:p>
      <w:pPr>
        <w:spacing w:line="420" w:lineRule="exact"/>
        <w:ind w:firstLine="480" w:firstLineChars="200"/>
        <w:rPr>
          <w:sz w:val="24"/>
        </w:rPr>
      </w:pPr>
      <w:r>
        <w:rPr>
          <w:sz w:val="24"/>
        </w:rPr>
        <w:t>1</w:t>
      </w:r>
      <w:r>
        <w:rPr>
          <w:rFonts w:hint="eastAsia"/>
          <w:sz w:val="24"/>
        </w:rPr>
        <w:t>）</w:t>
      </w:r>
      <w:r>
        <w:rPr>
          <w:sz w:val="24"/>
        </w:rPr>
        <w:t>防水施工前，应将</w:t>
      </w:r>
      <w:r>
        <w:rPr>
          <w:rFonts w:hint="eastAsia"/>
          <w:sz w:val="24"/>
        </w:rPr>
        <w:t>构件缝隙</w:t>
      </w:r>
      <w:r>
        <w:rPr>
          <w:sz w:val="24"/>
        </w:rPr>
        <w:t>清理干净</w:t>
      </w:r>
      <w:r>
        <w:rPr>
          <w:rFonts w:hint="eastAsia"/>
          <w:sz w:val="24"/>
        </w:rPr>
        <w:t>；</w:t>
      </w:r>
    </w:p>
    <w:p>
      <w:pPr>
        <w:spacing w:line="420" w:lineRule="exact"/>
        <w:ind w:firstLine="480" w:firstLineChars="200"/>
        <w:rPr>
          <w:sz w:val="24"/>
        </w:rPr>
      </w:pPr>
      <w:r>
        <w:rPr>
          <w:sz w:val="24"/>
        </w:rPr>
        <w:t>2</w:t>
      </w:r>
      <w:r>
        <w:rPr>
          <w:rFonts w:hint="eastAsia"/>
          <w:sz w:val="24"/>
        </w:rPr>
        <w:t>）</w:t>
      </w:r>
      <w:r>
        <w:rPr>
          <w:sz w:val="24"/>
        </w:rPr>
        <w:t>应按设计要求填塞背衬材料</w:t>
      </w:r>
      <w:r>
        <w:rPr>
          <w:rFonts w:hint="eastAsia"/>
          <w:sz w:val="24"/>
        </w:rPr>
        <w:t>；</w:t>
      </w:r>
    </w:p>
    <w:p>
      <w:pPr>
        <w:spacing w:line="420" w:lineRule="exact"/>
        <w:ind w:firstLine="480" w:firstLineChars="200"/>
        <w:rPr>
          <w:sz w:val="24"/>
        </w:rPr>
      </w:pPr>
      <w:r>
        <w:rPr>
          <w:sz w:val="24"/>
        </w:rPr>
        <w:t>3</w:t>
      </w:r>
      <w:r>
        <w:rPr>
          <w:rFonts w:hint="eastAsia"/>
          <w:sz w:val="24"/>
        </w:rPr>
        <w:t>）</w:t>
      </w:r>
      <w:r>
        <w:rPr>
          <w:sz w:val="24"/>
        </w:rPr>
        <w:t>密封材料嵌填应饱满、密实、均匀、顺直、表面平滑，其厚度</w:t>
      </w:r>
      <w:r>
        <w:rPr>
          <w:rFonts w:hint="eastAsia"/>
          <w:sz w:val="24"/>
        </w:rPr>
        <w:t>、强度</w:t>
      </w:r>
      <w:r>
        <w:rPr>
          <w:sz w:val="24"/>
        </w:rPr>
        <w:t>应满足设计要求。</w:t>
      </w:r>
    </w:p>
    <w:p>
      <w:pPr>
        <w:pStyle w:val="42"/>
        <w:ind w:firstLine="480"/>
      </w:pPr>
      <w:r>
        <w:t xml:space="preserve">7 </w:t>
      </w:r>
      <w:r>
        <w:rPr>
          <w:rFonts w:hint="eastAsia"/>
        </w:rPr>
        <w:t>焊接施工宜采用预留焊接收缩余量或预置反变形方法控制收缩和变形，收缩余量和反变形值宜通过预估计算或试验确定；</w:t>
      </w:r>
    </w:p>
    <w:p>
      <w:pPr>
        <w:pStyle w:val="42"/>
        <w:ind w:firstLine="480"/>
      </w:pPr>
      <w:r>
        <w:t xml:space="preserve">8 </w:t>
      </w:r>
      <w:r>
        <w:rPr>
          <w:rFonts w:hint="eastAsia"/>
        </w:rPr>
        <w:t>焊后消除应力处理应符合下列规定：</w:t>
      </w:r>
    </w:p>
    <w:p>
      <w:pPr>
        <w:pStyle w:val="42"/>
        <w:ind w:firstLine="480"/>
      </w:pPr>
      <w:r>
        <w:t>1</w:t>
      </w:r>
      <w:r>
        <w:rPr>
          <w:rFonts w:hint="eastAsia"/>
        </w:rPr>
        <w:t>）设计文件或其他文件对焊后消除应力有要求时，需经疲劳验算的结构中承受拉应力的对接接头或焊缝密集的节点或构件，宜采用电加热器局部退火和加热炉整体退火等方法进行消除应力处理；</w:t>
      </w:r>
    </w:p>
    <w:p>
      <w:pPr>
        <w:pStyle w:val="42"/>
        <w:ind w:firstLine="480"/>
      </w:pPr>
      <w:r>
        <w:t>2</w:t>
      </w:r>
      <w:r>
        <w:rPr>
          <w:rFonts w:hint="eastAsia"/>
        </w:rPr>
        <w:t>）焊后热处理应符合国家现行标准</w:t>
      </w:r>
      <w:bookmarkStart w:id="106" w:name="_Hlk103173366"/>
      <w:r>
        <w:rPr>
          <w:rFonts w:hint="eastAsia"/>
        </w:rPr>
        <w:t>《碳钢、低合金钢焊接构件焊后热处理方法》JB/T</w:t>
      </w:r>
      <w:r>
        <w:t xml:space="preserve"> </w:t>
      </w:r>
      <w:r>
        <w:rPr>
          <w:rFonts w:hint="eastAsia"/>
        </w:rPr>
        <w:t>6046</w:t>
      </w:r>
      <w:bookmarkEnd w:id="106"/>
      <w:r>
        <w:rPr>
          <w:rFonts w:hint="eastAsia"/>
        </w:rPr>
        <w:t>的规定；</w:t>
      </w:r>
    </w:p>
    <w:p>
      <w:pPr>
        <w:pStyle w:val="42"/>
        <w:ind w:firstLine="480"/>
      </w:pPr>
      <w:r>
        <w:t>3</w:t>
      </w:r>
      <w:r>
        <w:rPr>
          <w:rFonts w:hint="eastAsia"/>
        </w:rPr>
        <w:t>）用锤击法消除中间焊层应力时，应使用圆头手锤或小型震动工具进行，不应对根部焊缝、盖面焊缝或焊缝坡口边缘的母材进行锤击。</w:t>
      </w:r>
    </w:p>
    <w:p>
      <w:pPr>
        <w:pStyle w:val="42"/>
        <w:ind w:firstLine="480"/>
      </w:pPr>
      <w:r>
        <w:t xml:space="preserve">9 </w:t>
      </w:r>
      <w:r>
        <w:rPr>
          <w:rFonts w:hint="eastAsia"/>
        </w:rPr>
        <w:t>采用钢板作为底板的钢结构装配式构筑物，须严格控制底部焊缝质量，所有焊缝必须保证100%满焊，焊缝的尺寸偏差、外观质量和内部质量检验应按现行国家标准</w:t>
      </w:r>
      <w:bookmarkStart w:id="107" w:name="_Hlk103173374"/>
      <w:r>
        <w:rPr>
          <w:rFonts w:hint="eastAsia"/>
        </w:rPr>
        <w:t>《钢结构工程施工质量验收规范》GB</w:t>
      </w:r>
      <w:r>
        <w:t xml:space="preserve"> </w:t>
      </w:r>
      <w:r>
        <w:rPr>
          <w:rFonts w:hint="eastAsia"/>
        </w:rPr>
        <w:t>50205和《钢结构焊接规范》GB</w:t>
      </w:r>
      <w:r>
        <w:t xml:space="preserve"> </w:t>
      </w:r>
      <w:r>
        <w:rPr>
          <w:rFonts w:hint="eastAsia"/>
        </w:rPr>
        <w:t>50661</w:t>
      </w:r>
      <w:bookmarkEnd w:id="107"/>
      <w:r>
        <w:rPr>
          <w:rFonts w:hint="eastAsia"/>
        </w:rPr>
        <w:t>执行；</w:t>
      </w:r>
    </w:p>
    <w:p>
      <w:pPr>
        <w:pStyle w:val="42"/>
        <w:ind w:firstLine="480"/>
      </w:pPr>
      <w:r>
        <w:t xml:space="preserve">10 </w:t>
      </w:r>
      <w:r>
        <w:rPr>
          <w:rFonts w:hint="eastAsia"/>
        </w:rPr>
        <w:t>采用钢筋混凝土作为底板的钢结构装配式构筑物，须控制预埋板下部止水钢板的焊接质量，同时采用合适的焊接工艺和焊接顺序使构件的变形和收缩量最小：</w:t>
      </w:r>
    </w:p>
    <w:p>
      <w:pPr>
        <w:pStyle w:val="42"/>
        <w:ind w:firstLine="480"/>
      </w:pPr>
      <w:r>
        <w:t>1</w:t>
      </w:r>
      <w:r>
        <w:rPr>
          <w:rFonts w:hint="eastAsia"/>
        </w:rPr>
        <w:t>）止水钢板与预埋板的焊缝宜双面对称焊接；</w:t>
      </w:r>
    </w:p>
    <w:p>
      <w:pPr>
        <w:pStyle w:val="42"/>
        <w:ind w:firstLine="480"/>
      </w:pPr>
      <w:r>
        <w:t>2</w:t>
      </w:r>
      <w:r>
        <w:rPr>
          <w:rFonts w:hint="eastAsia"/>
        </w:rPr>
        <w:t>）长焊缝宜采用分段退焊法或多人对称焊接法；</w:t>
      </w:r>
    </w:p>
    <w:p>
      <w:pPr>
        <w:pStyle w:val="42"/>
        <w:ind w:firstLine="480"/>
      </w:pPr>
      <w:r>
        <w:t>3</w:t>
      </w:r>
      <w:r>
        <w:rPr>
          <w:rFonts w:hint="eastAsia"/>
        </w:rPr>
        <w:t>）构件焊接宜采用跳焊法，避免构件局部热量集中。</w:t>
      </w:r>
    </w:p>
    <w:p>
      <w:pPr>
        <w:pStyle w:val="42"/>
        <w:ind w:firstLine="480"/>
      </w:pPr>
      <w:r>
        <w:t xml:space="preserve">11 </w:t>
      </w:r>
      <w:r>
        <w:rPr>
          <w:rFonts w:hint="eastAsia"/>
        </w:rPr>
        <w:t>装配式污水处理设施防水层、防腐层施工应符合下列规定：</w:t>
      </w:r>
    </w:p>
    <w:p>
      <w:pPr>
        <w:pStyle w:val="42"/>
        <w:ind w:firstLine="480"/>
      </w:pPr>
      <w:r>
        <w:t>1</w:t>
      </w:r>
      <w:r>
        <w:rPr>
          <w:rFonts w:hint="eastAsia"/>
        </w:rPr>
        <w:t>）防水层、防腐层施工应在满水试验和气密性试验合格后、设备尚未安装前进行；</w:t>
      </w:r>
    </w:p>
    <w:p>
      <w:pPr>
        <w:pStyle w:val="42"/>
        <w:ind w:firstLine="480"/>
      </w:pPr>
      <w:r>
        <w:t>2</w:t>
      </w:r>
      <w:r>
        <w:rPr>
          <w:rFonts w:hint="eastAsia"/>
        </w:rPr>
        <w:t>）防水层、防腐层所用材料的品种、规格、性能等应符合国家现行标准和设计要求；涂装层厚度等技术指标应符合设计要求；当设计无要求时，涂料类材料的涂刷不应少于一底二面；</w:t>
      </w:r>
    </w:p>
    <w:p>
      <w:pPr>
        <w:pStyle w:val="42"/>
        <w:ind w:firstLine="480"/>
      </w:pPr>
      <w:r>
        <w:t>3</w:t>
      </w:r>
      <w:r>
        <w:rPr>
          <w:rFonts w:hint="eastAsia"/>
        </w:rPr>
        <w:t>）施工前应进行基层表面处理，并应在隐蔽工程验收合格后方可进行下道工序；混凝土构件基层表面应平顺整洁、无浮浆，钢结构构件应进行除锈、防锈处理；</w:t>
      </w:r>
    </w:p>
    <w:p>
      <w:pPr>
        <w:pStyle w:val="42"/>
        <w:ind w:firstLine="480"/>
      </w:pPr>
      <w:r>
        <w:t>4</w:t>
      </w:r>
      <w:r>
        <w:rPr>
          <w:rFonts w:hint="eastAsia"/>
        </w:rPr>
        <w:t>）突出池壁的管件、出水口、阴阳角等部位，应在大面积涂装前做附加层且应平缓过渡；</w:t>
      </w:r>
    </w:p>
    <w:p>
      <w:pPr>
        <w:pStyle w:val="42"/>
        <w:ind w:firstLine="480"/>
      </w:pPr>
      <w:r>
        <w:t>5</w:t>
      </w:r>
      <w:r>
        <w:rPr>
          <w:rFonts w:hint="eastAsia"/>
        </w:rPr>
        <w:t>）防水、防腐涂料应涂刷均匀，涂层不应有脱皮、漏刷、流坠、皱皮、厚度不均、表面不光滑等现象。</w:t>
      </w:r>
    </w:p>
    <w:p>
      <w:pPr>
        <w:pStyle w:val="2"/>
      </w:pPr>
      <w:bookmarkStart w:id="108" w:name="_Toc122709921"/>
      <w:bookmarkStart w:id="109" w:name="_Toc122709333"/>
      <w:bookmarkStart w:id="110" w:name="_Toc103239326"/>
      <w:bookmarkStart w:id="111" w:name="_Toc122709410"/>
      <w:r>
        <w:rPr>
          <w:rFonts w:hint="eastAsia"/>
        </w:rPr>
        <w:t>调试与验收</w:t>
      </w:r>
      <w:bookmarkEnd w:id="108"/>
      <w:bookmarkEnd w:id="109"/>
      <w:bookmarkEnd w:id="110"/>
      <w:bookmarkEnd w:id="111"/>
    </w:p>
    <w:p>
      <w:pPr>
        <w:pStyle w:val="3"/>
        <w:numPr>
          <w:ilvl w:val="1"/>
          <w:numId w:val="8"/>
        </w:numPr>
      </w:pPr>
      <w:bookmarkStart w:id="112" w:name="_Toc122709334"/>
      <w:bookmarkStart w:id="113" w:name="_Toc122709411"/>
      <w:bookmarkStart w:id="114" w:name="_Toc122709922"/>
      <w:r>
        <w:rPr>
          <w:rFonts w:hint="eastAsia"/>
        </w:rPr>
        <w:t>一般规定</w:t>
      </w:r>
      <w:bookmarkEnd w:id="112"/>
      <w:bookmarkEnd w:id="113"/>
      <w:bookmarkEnd w:id="114"/>
    </w:p>
    <w:p>
      <w:pPr>
        <w:pStyle w:val="49"/>
        <w:spacing w:before="156" w:after="156"/>
      </w:pPr>
      <w:r>
        <w:rPr>
          <w:rFonts w:hint="eastAsia"/>
        </w:rPr>
        <w:t>应按照单机调试、清水联动调试、生产联动调试的顺序进行。</w:t>
      </w:r>
    </w:p>
    <w:p>
      <w:pPr>
        <w:pStyle w:val="49"/>
        <w:spacing w:before="156" w:after="156"/>
      </w:pPr>
      <w:r>
        <w:rPr>
          <w:rFonts w:hint="eastAsia"/>
        </w:rPr>
        <w:t>设备单机调试、清水联动调试和生产联动调试均要求建设单位、监理单位、设计单位、施工单位、供货单位和调试人员在现场进行。试车均以清水注入；调试按照规定进行。</w:t>
      </w:r>
    </w:p>
    <w:p>
      <w:pPr>
        <w:pStyle w:val="49"/>
        <w:spacing w:before="156" w:after="156"/>
      </w:pPr>
      <w:r>
        <w:rPr>
          <w:rFonts w:hint="eastAsia"/>
        </w:rPr>
        <w:t>水处理构筑物施工完毕，满水试验应按照《给水排水构筑物工程施工及验收规范》GB</w:t>
      </w:r>
      <w:r>
        <w:t xml:space="preserve"> </w:t>
      </w:r>
      <w:r>
        <w:rPr>
          <w:rFonts w:hint="eastAsia"/>
        </w:rPr>
        <w:t>50141执行。地面以下渗水量应符合设计规定，最大不得超过2</w:t>
      </w:r>
      <w:r>
        <w:t xml:space="preserve"> </w:t>
      </w:r>
      <w:r>
        <w:rPr>
          <w:rFonts w:hint="eastAsia"/>
        </w:rPr>
        <w:t>L/(m</w:t>
      </w:r>
      <w:r>
        <w:rPr>
          <w:rFonts w:hint="eastAsia"/>
          <w:vertAlign w:val="superscript"/>
        </w:rPr>
        <w:t>2</w:t>
      </w:r>
      <w:r>
        <w:rPr>
          <w:rFonts w:hint="eastAsia"/>
        </w:rPr>
        <w:t>·d)。试验合格后进入调试工作。</w:t>
      </w:r>
    </w:p>
    <w:p>
      <w:pPr>
        <w:pStyle w:val="49"/>
        <w:spacing w:before="156" w:after="156"/>
      </w:pPr>
      <w:r>
        <w:rPr>
          <w:rFonts w:hint="eastAsia"/>
        </w:rPr>
        <w:t>调试前应对相关人员进行安全和技术培训、交底，并制定调试方案和应急预案，提前准备调试用的药剂、耗材、器具等。</w:t>
      </w:r>
    </w:p>
    <w:p>
      <w:pPr>
        <w:pStyle w:val="49"/>
        <w:spacing w:before="156" w:after="156"/>
      </w:pPr>
      <w:r>
        <w:rPr>
          <w:rFonts w:hint="eastAsia"/>
        </w:rPr>
        <w:t>调试前应根据设计图纸，按工艺流程逐一检查施工以及设备安装情况，如有不符之处，须立即整改，符合设计要求后进行单体调试。</w:t>
      </w:r>
    </w:p>
    <w:p>
      <w:pPr>
        <w:pStyle w:val="49"/>
        <w:spacing w:before="156" w:after="156"/>
      </w:pPr>
      <w:r>
        <w:rPr>
          <w:rFonts w:hint="eastAsia"/>
        </w:rPr>
        <w:t>调试前应将每个单元的连接管道、阀门、装置以及构筑物的位置进行确认，并清理干净。</w:t>
      </w:r>
    </w:p>
    <w:p>
      <w:pPr>
        <w:pStyle w:val="49"/>
        <w:spacing w:before="156" w:after="156"/>
      </w:pPr>
      <w:r>
        <w:rPr>
          <w:rFonts w:hint="eastAsia"/>
        </w:rPr>
        <w:t>通水调试前应首先对水泵、风机等需要加油的设备进行注油。对泵、风机、自动阀门进行手动确认，确认无误后进行程控确认，对仪表进行通电检查并完成自控系统的参数设置。确认无误后进行所有机电设备的空载单机调试。</w:t>
      </w:r>
    </w:p>
    <w:p>
      <w:pPr>
        <w:pStyle w:val="49"/>
        <w:spacing w:before="156" w:after="156"/>
      </w:pPr>
      <w:r>
        <w:rPr>
          <w:rFonts w:hint="eastAsia"/>
        </w:rPr>
        <w:t>应做好材料设备、隐蔽工程和分部分项工程等中间环节的质量验收；隐蔽工程经过单项验收合格后，方可进行下一道工序施工。</w:t>
      </w:r>
    </w:p>
    <w:p>
      <w:pPr>
        <w:pStyle w:val="49"/>
        <w:spacing w:before="156" w:after="156"/>
      </w:pPr>
      <w:r>
        <w:rPr>
          <w:rFonts w:hint="eastAsia"/>
        </w:rPr>
        <w:t>所有验收过程应做验收记录。</w:t>
      </w:r>
    </w:p>
    <w:p>
      <w:pPr>
        <w:pStyle w:val="3"/>
      </w:pPr>
      <w:bookmarkStart w:id="115" w:name="_Toc122709923"/>
      <w:bookmarkStart w:id="116" w:name="_Toc122709412"/>
      <w:bookmarkStart w:id="117" w:name="_Toc122709335"/>
      <w:bookmarkStart w:id="118" w:name="_Toc103239327"/>
      <w:r>
        <w:t>调试</w:t>
      </w:r>
      <w:bookmarkEnd w:id="115"/>
      <w:bookmarkEnd w:id="116"/>
      <w:bookmarkEnd w:id="117"/>
      <w:bookmarkEnd w:id="118"/>
    </w:p>
    <w:p>
      <w:pPr>
        <w:pStyle w:val="49"/>
        <w:spacing w:before="156" w:after="156"/>
      </w:pPr>
      <w:r>
        <w:t>B</w:t>
      </w:r>
      <w:r>
        <w:rPr>
          <w:rFonts w:hint="eastAsia"/>
        </w:rPr>
        <w:t>段配水、配气试验合格后，再进行悬浮载体投加。</w:t>
      </w:r>
    </w:p>
    <w:p>
      <w:pPr>
        <w:pStyle w:val="49"/>
        <w:spacing w:before="156" w:after="156"/>
      </w:pPr>
      <w:r>
        <w:t>B</w:t>
      </w:r>
      <w:r>
        <w:rPr>
          <w:rFonts w:hint="eastAsia"/>
        </w:rPr>
        <w:t>段应在带水的情况下投加悬浮载体，悬浮载体宜分批次投加。</w:t>
      </w:r>
    </w:p>
    <w:p>
      <w:pPr>
        <w:pStyle w:val="49"/>
        <w:spacing w:before="156" w:after="156"/>
      </w:pPr>
      <w:r>
        <w:t>B段挂膜时水力负荷宜减量，并根据处理效果逐步提高进水水量至设计值。若应急项目难以保障时，宜投加挂膜成熟的悬浮载体。</w:t>
      </w:r>
    </w:p>
    <w:p>
      <w:pPr>
        <w:pStyle w:val="49"/>
        <w:spacing w:before="156" w:after="156"/>
      </w:pPr>
      <w:r>
        <w:rPr>
          <w:rFonts w:hint="eastAsia"/>
        </w:rPr>
        <w:t>M段应观察沉淀池堰板过水是否均匀，若不均匀，应进行调整。</w:t>
      </w:r>
    </w:p>
    <w:p>
      <w:pPr>
        <w:pStyle w:val="49"/>
        <w:spacing w:before="156" w:after="156"/>
      </w:pPr>
      <w:r>
        <w:rPr>
          <w:rFonts w:hint="eastAsia"/>
        </w:rPr>
        <w:t>M段在满足现场运行相关的水、电、药剂等条件下，系统启动应按下列顺序进行：</w:t>
      </w:r>
    </w:p>
    <w:p>
      <w:pPr>
        <w:pStyle w:val="42"/>
        <w:ind w:firstLine="480"/>
      </w:pPr>
      <w:r>
        <w:rPr>
          <w:rFonts w:hint="eastAsia"/>
        </w:rPr>
        <w:t>1</w:t>
      </w:r>
      <w:r>
        <w:t xml:space="preserve"> </w:t>
      </w:r>
      <w:r>
        <w:rPr>
          <w:rFonts w:hint="eastAsia"/>
        </w:rPr>
        <w:t>开启进水闸（阀）门；</w:t>
      </w:r>
    </w:p>
    <w:p>
      <w:pPr>
        <w:pStyle w:val="42"/>
        <w:ind w:firstLine="480"/>
      </w:pPr>
      <w:r>
        <w:rPr>
          <w:rFonts w:hint="eastAsia"/>
        </w:rPr>
        <w:t>2</w:t>
      </w:r>
      <w:r>
        <w:t xml:space="preserve"> </w:t>
      </w:r>
      <w:r>
        <w:rPr>
          <w:rFonts w:hint="eastAsia"/>
        </w:rPr>
        <w:t>开启混凝反应单元各搅拌器；</w:t>
      </w:r>
    </w:p>
    <w:p>
      <w:pPr>
        <w:pStyle w:val="42"/>
        <w:ind w:firstLine="480"/>
      </w:pPr>
      <w:r>
        <w:rPr>
          <w:rFonts w:hint="eastAsia"/>
        </w:rPr>
        <w:t>3</w:t>
      </w:r>
      <w:r>
        <w:t xml:space="preserve"> </w:t>
      </w:r>
      <w:r>
        <w:rPr>
          <w:rFonts w:hint="eastAsia"/>
        </w:rPr>
        <w:t>开启刮泥机和磁介质污泥回流泵；</w:t>
      </w:r>
    </w:p>
    <w:p>
      <w:pPr>
        <w:pStyle w:val="42"/>
        <w:ind w:firstLine="480"/>
      </w:pPr>
      <w:r>
        <w:rPr>
          <w:rFonts w:hint="eastAsia"/>
        </w:rPr>
        <w:t>4</w:t>
      </w:r>
      <w:r>
        <w:t xml:space="preserve"> </w:t>
      </w:r>
      <w:r>
        <w:rPr>
          <w:rFonts w:hint="eastAsia"/>
        </w:rPr>
        <w:t>逐步投加磁介质至初始投加量；</w:t>
      </w:r>
    </w:p>
    <w:p>
      <w:pPr>
        <w:pStyle w:val="42"/>
        <w:ind w:firstLine="480"/>
      </w:pPr>
      <w:r>
        <w:rPr>
          <w:rFonts w:hint="eastAsia"/>
        </w:rPr>
        <w:t>5</w:t>
      </w:r>
      <w:r>
        <w:t xml:space="preserve"> </w:t>
      </w:r>
      <w:r>
        <w:rPr>
          <w:rFonts w:hint="eastAsia"/>
        </w:rPr>
        <w:t>分别开启混凝剂计量泵和助凝剂计量泵；</w:t>
      </w:r>
    </w:p>
    <w:p>
      <w:pPr>
        <w:pStyle w:val="42"/>
        <w:ind w:firstLine="480"/>
      </w:pPr>
      <w:r>
        <w:rPr>
          <w:rFonts w:hint="eastAsia"/>
        </w:rPr>
        <w:t>6</w:t>
      </w:r>
      <w:r>
        <w:t xml:space="preserve"> </w:t>
      </w:r>
      <w:r>
        <w:rPr>
          <w:rFonts w:hint="eastAsia"/>
        </w:rPr>
        <w:t>开启高剪机、磁分离机；</w:t>
      </w:r>
    </w:p>
    <w:p>
      <w:pPr>
        <w:pStyle w:val="42"/>
        <w:ind w:firstLine="480"/>
      </w:pPr>
      <w:r>
        <w:rPr>
          <w:rFonts w:hint="eastAsia"/>
        </w:rPr>
        <w:t>7</w:t>
      </w:r>
      <w:r>
        <w:t xml:space="preserve"> </w:t>
      </w:r>
      <w:r>
        <w:rPr>
          <w:rFonts w:hint="eastAsia"/>
        </w:rPr>
        <w:t>开启剩余污泥泵。</w:t>
      </w:r>
    </w:p>
    <w:p>
      <w:pPr>
        <w:pStyle w:val="49"/>
        <w:spacing w:before="156" w:after="156"/>
      </w:pPr>
      <w:r>
        <w:rPr>
          <w:rFonts w:hint="eastAsia"/>
        </w:rPr>
        <w:t>M段调试初期宜按照不低于</w:t>
      </w:r>
      <w:r>
        <w:t xml:space="preserve">10 </w:t>
      </w:r>
      <w:r>
        <w:rPr>
          <w:rFonts w:hint="eastAsia"/>
        </w:rPr>
        <w:t>kg</w:t>
      </w:r>
      <w:r>
        <w:t>/</w:t>
      </w:r>
      <w:r>
        <w:rPr>
          <w:rFonts w:hint="eastAsia"/>
          <w:lang w:eastAsia="zh-CN"/>
        </w:rPr>
        <w:t>m³</w:t>
      </w:r>
      <w:r>
        <w:rPr>
          <w:rFonts w:hint="eastAsia"/>
        </w:rPr>
        <w:t>的磁介质浓度一次性分批投加磁介质。待系统稳定运行后，按照磁介质流失量进行磁介质的补投。</w:t>
      </w:r>
    </w:p>
    <w:p>
      <w:pPr>
        <w:pStyle w:val="49"/>
        <w:spacing w:before="156" w:after="156"/>
      </w:pPr>
      <w:r>
        <w:rPr>
          <w:rFonts w:hint="eastAsia"/>
        </w:rPr>
        <w:t>调试过程应积累分析工艺运行参数，优化风机、电动阀门、加药泵等的控制逻辑和参数。</w:t>
      </w:r>
    </w:p>
    <w:p>
      <w:pPr>
        <w:pStyle w:val="49"/>
        <w:spacing w:before="156" w:after="156"/>
      </w:pPr>
      <w:r>
        <w:rPr>
          <w:rFonts w:hint="eastAsia"/>
        </w:rPr>
        <w:t>调试过程应对进出水各项指标及工况参数进行检测、记录、统计及分析。调试完成后应根据水质和水量对各工艺设备使用参数进行合理匹配，并编制调试报告，制定操作说明书。</w:t>
      </w:r>
    </w:p>
    <w:p>
      <w:pPr>
        <w:pStyle w:val="3"/>
      </w:pPr>
      <w:bookmarkStart w:id="119" w:name="_Toc122709413"/>
      <w:bookmarkStart w:id="120" w:name="_Toc122709336"/>
      <w:bookmarkStart w:id="121" w:name="_Toc122709924"/>
      <w:bookmarkStart w:id="122" w:name="_Toc103239328"/>
      <w:r>
        <w:t>验收</w:t>
      </w:r>
      <w:bookmarkEnd w:id="119"/>
      <w:bookmarkEnd w:id="120"/>
      <w:bookmarkEnd w:id="121"/>
      <w:bookmarkEnd w:id="122"/>
    </w:p>
    <w:p>
      <w:pPr>
        <w:pStyle w:val="49"/>
        <w:spacing w:before="156" w:after="156"/>
      </w:pPr>
      <w:r>
        <w:rPr>
          <w:rFonts w:hint="eastAsia"/>
        </w:rPr>
        <w:t>工程验收包括单项验收和竣工验收</w:t>
      </w:r>
      <w:r>
        <w:rPr>
          <w:rFonts w:hint="eastAsia"/>
          <w:lang w:eastAsia="zh-CN"/>
        </w:rPr>
        <w:t>，</w:t>
      </w:r>
      <w:r>
        <w:rPr>
          <w:rFonts w:hint="eastAsia"/>
        </w:rPr>
        <w:t>应符合以下规定：</w:t>
      </w:r>
    </w:p>
    <w:p>
      <w:pPr>
        <w:pStyle w:val="42"/>
        <w:ind w:firstLine="480"/>
      </w:pPr>
      <w:r>
        <w:rPr>
          <w:rFonts w:hint="eastAsia"/>
        </w:rPr>
        <w:t>1</w:t>
      </w:r>
      <w:r>
        <w:t xml:space="preserve"> </w:t>
      </w:r>
      <w:r>
        <w:rPr>
          <w:rFonts w:hint="eastAsia"/>
        </w:rPr>
        <w:t>单项验收应由施工单位会同建设单位、设计单位、监理单位共同进行；</w:t>
      </w:r>
    </w:p>
    <w:p>
      <w:pPr>
        <w:pStyle w:val="42"/>
        <w:ind w:firstLine="480"/>
      </w:pPr>
      <w:r>
        <w:t xml:space="preserve">2 </w:t>
      </w:r>
      <w:r>
        <w:rPr>
          <w:rFonts w:hint="eastAsia"/>
        </w:rPr>
        <w:t>竣工验收应由建设单位组织施工、设计、监理、勘察、管理及有关单位联合进行，监督部门进行程序监督。</w:t>
      </w:r>
    </w:p>
    <w:p>
      <w:pPr>
        <w:pStyle w:val="49"/>
        <w:spacing w:before="156" w:after="156"/>
      </w:pPr>
      <w:r>
        <w:rPr>
          <w:rFonts w:hint="eastAsia"/>
        </w:rPr>
        <w:t>单项验收包括分项到货验收、分项安装验收、单位工程主要部位工程质量验收、单位工程质量验收、悬浮载体验收、设备安装工程单机及联动试运转验收、交工验收、通水试运行验收、水质验收。单项验收时应按相应的标准进行检验，并填写单项验收记录。</w:t>
      </w:r>
    </w:p>
    <w:p>
      <w:pPr>
        <w:pStyle w:val="49"/>
        <w:spacing w:before="156" w:after="156"/>
      </w:pPr>
      <w:r>
        <w:t>水质验收，应以设计进出水水质为参照标准，以具备第三方检测资质的检测机构提供连续三</w:t>
      </w:r>
      <w:r>
        <w:rPr>
          <w:rFonts w:hint="eastAsia"/>
        </w:rPr>
        <w:t>天及以上时间</w:t>
      </w:r>
      <w:r>
        <w:t>对各项指标监测的合格报告后方可验收。</w:t>
      </w:r>
    </w:p>
    <w:p>
      <w:pPr>
        <w:pStyle w:val="49"/>
        <w:spacing w:before="156" w:after="156"/>
      </w:pPr>
      <w:r>
        <w:rPr>
          <w:rFonts w:hint="eastAsia"/>
        </w:rPr>
        <w:t>悬浮载体验收应符合行业标准《水处理用高密度聚乙烯悬浮载体填料》C</w:t>
      </w:r>
      <w:r>
        <w:t>J/T 461</w:t>
      </w:r>
      <w:r>
        <w:rPr>
          <w:rFonts w:hint="eastAsia"/>
        </w:rPr>
        <w:t>相关要求。</w:t>
      </w:r>
    </w:p>
    <w:p>
      <w:pPr>
        <w:pStyle w:val="49"/>
        <w:spacing w:before="156" w:after="156"/>
      </w:pPr>
      <w:r>
        <w:rPr>
          <w:rFonts w:hint="eastAsia"/>
        </w:rPr>
        <w:t>泵站和风机房等都应按设计的最大开启台数作48</w:t>
      </w:r>
      <w:r>
        <w:t xml:space="preserve"> </w:t>
      </w:r>
      <w:r>
        <w:rPr>
          <w:rFonts w:hint="eastAsia"/>
        </w:rPr>
        <w:t>h运转试验，水泵和污泥泵的流量和机组功率应作测定，有条件的应测定其特性曲线。</w:t>
      </w:r>
    </w:p>
    <w:p>
      <w:pPr>
        <w:pStyle w:val="49"/>
        <w:spacing w:before="156" w:after="156"/>
      </w:pPr>
      <w:r>
        <w:rPr>
          <w:rFonts w:hint="eastAsia"/>
        </w:rPr>
        <w:t>曝气系统安装应平整牢固、布置均匀，曝气头应无漏水现象，曝气管内应无杂质，曝气量应满足设计要求，曝气稳定均匀。</w:t>
      </w:r>
    </w:p>
    <w:p>
      <w:pPr>
        <w:pStyle w:val="49"/>
        <w:spacing w:before="156" w:after="156"/>
      </w:pPr>
      <w:r>
        <w:rPr>
          <w:rFonts w:hint="eastAsia" w:ascii="宋体" w:cs="宋体"/>
          <w:kern w:val="0"/>
          <w:szCs w:val="21"/>
        </w:rPr>
        <w:t>闸门、闸阀不得有漏水现象。</w:t>
      </w:r>
    </w:p>
    <w:p>
      <w:pPr>
        <w:pStyle w:val="49"/>
        <w:spacing w:before="156" w:after="156"/>
      </w:pPr>
      <w:r>
        <w:rPr>
          <w:rFonts w:hint="eastAsia"/>
        </w:rPr>
        <w:t>排水管道应做闭水试验，上游充水管保持在管顶以上2</w:t>
      </w:r>
      <w:r>
        <w:t xml:space="preserve"> </w:t>
      </w:r>
      <w:r>
        <w:rPr>
          <w:rFonts w:hint="eastAsia"/>
        </w:rPr>
        <w:t>m，外观检查应24</w:t>
      </w:r>
      <w:r>
        <w:t xml:space="preserve"> </w:t>
      </w:r>
      <w:r>
        <w:rPr>
          <w:rFonts w:hint="eastAsia"/>
        </w:rPr>
        <w:t>h无漏水现象。</w:t>
      </w:r>
    </w:p>
    <w:p>
      <w:pPr>
        <w:pStyle w:val="49"/>
        <w:spacing w:before="156" w:after="156"/>
      </w:pPr>
      <w:r>
        <w:rPr>
          <w:rFonts w:hint="eastAsia" w:ascii="宋体" w:cs="宋体"/>
          <w:kern w:val="0"/>
          <w:szCs w:val="21"/>
        </w:rPr>
        <w:t>空气管道应做强度和气密性试验，</w:t>
      </w:r>
      <w:r>
        <w:rPr>
          <w:rFonts w:ascii="TimesNewRomanPSMT" w:hAnsi="TimesNewRomanPSMT" w:cs="TimesNewRomanPSMT"/>
          <w:kern w:val="0"/>
          <w:szCs w:val="21"/>
        </w:rPr>
        <w:t>24 h</w:t>
      </w:r>
      <w:r>
        <w:rPr>
          <w:rFonts w:hint="eastAsia" w:ascii="宋体" w:cs="宋体"/>
          <w:kern w:val="0"/>
          <w:szCs w:val="21"/>
        </w:rPr>
        <w:t>压力降不得超过允许值。</w:t>
      </w:r>
    </w:p>
    <w:p>
      <w:pPr>
        <w:pStyle w:val="49"/>
        <w:spacing w:before="156" w:after="156"/>
      </w:pPr>
      <w:r>
        <w:rPr>
          <w:rFonts w:hint="eastAsia"/>
        </w:rPr>
        <w:t>配套管道和其他机电设备安装工程的验收应符合现行有关标准和设计要求。</w:t>
      </w:r>
    </w:p>
    <w:p>
      <w:pPr>
        <w:pStyle w:val="49"/>
        <w:spacing w:before="156" w:after="156"/>
      </w:pPr>
      <w:r>
        <w:rPr>
          <w:rFonts w:hint="eastAsia"/>
        </w:rPr>
        <w:t>工程竣工验收应符合《建设项目（工程）竣工验收办法》和《建设项目环境保护竣工验收管理办法》有关规定。</w:t>
      </w:r>
    </w:p>
    <w:p>
      <w:pPr>
        <w:pStyle w:val="49"/>
        <w:spacing w:before="156" w:after="156"/>
      </w:pPr>
      <w:r>
        <w:rPr>
          <w:rFonts w:hint="eastAsia"/>
        </w:rPr>
        <w:t>采用装配式项目的验收，应符合以下要求：</w:t>
      </w:r>
    </w:p>
    <w:p>
      <w:pPr>
        <w:pStyle w:val="42"/>
        <w:ind w:firstLine="480"/>
      </w:pPr>
      <w:r>
        <w:rPr>
          <w:rFonts w:hint="eastAsia"/>
        </w:rPr>
        <w:t>1</w:t>
      </w:r>
      <w:r>
        <w:t xml:space="preserve"> </w:t>
      </w:r>
      <w:r>
        <w:rPr>
          <w:rFonts w:hint="eastAsia"/>
        </w:rPr>
        <w:t>基础顶面直接作为柱的支承面、基础顶面预埋钢板或支座作为柱的支承面时，其支承面、地脚螺栓（锚栓）的允许偏差应符合</w:t>
      </w:r>
      <w:r>
        <w:fldChar w:fldCharType="begin"/>
      </w:r>
      <w:r>
        <w:instrText xml:space="preserve"> </w:instrText>
      </w:r>
      <w:r>
        <w:rPr>
          <w:rFonts w:hint="eastAsia"/>
        </w:rPr>
        <w:instrText xml:space="preserve">REF _Ref108446875 \r \h</w:instrText>
      </w:r>
      <w:r>
        <w:instrText xml:space="preserve">  \* MERGEFORMAT </w:instrText>
      </w:r>
      <w:r>
        <w:fldChar w:fldCharType="separate"/>
      </w:r>
      <w:r>
        <w:rPr>
          <w:rFonts w:hint="eastAsia"/>
        </w:rPr>
        <w:t>表7.3.13</w:t>
      </w:r>
      <w:r>
        <w:fldChar w:fldCharType="end"/>
      </w:r>
      <w:r>
        <w:rPr>
          <w:rFonts w:hint="eastAsia"/>
        </w:rPr>
        <w:t>的规定，并应符合现行国家标准《混凝土结构工程施工规范》GB</w:t>
      </w:r>
      <w:r>
        <w:t xml:space="preserve"> </w:t>
      </w:r>
      <w:r>
        <w:rPr>
          <w:rFonts w:hint="eastAsia"/>
        </w:rPr>
        <w:t>50666及《混凝土结构工程施工质量验收规范》GB</w:t>
      </w:r>
      <w:r>
        <w:t xml:space="preserve"> </w:t>
      </w:r>
      <w:r>
        <w:rPr>
          <w:rFonts w:hint="eastAsia"/>
        </w:rPr>
        <w:t>50204的规定；</w:t>
      </w:r>
    </w:p>
    <w:p>
      <w:pPr>
        <w:pStyle w:val="6"/>
        <w:spacing w:before="312"/>
      </w:pPr>
      <w:bookmarkStart w:id="123" w:name="_Ref108446875"/>
      <w:r>
        <w:rPr>
          <w:rFonts w:hint="eastAsia"/>
        </w:rPr>
        <w:t>支承面、地脚螺栓（锚栓）的允许偏差（mm）</w:t>
      </w:r>
      <w:bookmarkEnd w:id="123"/>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3"/>
        <w:gridCol w:w="2765"/>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4968" w:type="dxa"/>
            <w:gridSpan w:val="2"/>
            <w:vAlign w:val="center"/>
          </w:tcPr>
          <w:p>
            <w:pPr>
              <w:pStyle w:val="52"/>
            </w:pPr>
            <w:r>
              <w:rPr>
                <w:rFonts w:hint="eastAsia" w:ascii="宋体" w:hAnsi="宋体" w:cs="宋体"/>
              </w:rPr>
              <w:t>项目</w:t>
            </w:r>
          </w:p>
        </w:tc>
        <w:tc>
          <w:tcPr>
            <w:tcW w:w="2766" w:type="dxa"/>
            <w:vAlign w:val="center"/>
          </w:tcPr>
          <w:p>
            <w:pPr>
              <w:pStyle w:val="52"/>
            </w:pPr>
            <w:r>
              <w:rPr>
                <w:rFonts w:hint="eastAsia" w:ascii="宋体" w:hAnsi="宋体" w:cs="宋体"/>
              </w:rPr>
              <w:t>允许偏差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203" w:type="dxa"/>
            <w:vMerge w:val="restart"/>
            <w:vAlign w:val="center"/>
          </w:tcPr>
          <w:p>
            <w:pPr>
              <w:pStyle w:val="52"/>
            </w:pPr>
            <w:r>
              <w:rPr>
                <w:rFonts w:hint="eastAsia"/>
              </w:rPr>
              <w:t>支承面</w:t>
            </w:r>
          </w:p>
        </w:tc>
        <w:tc>
          <w:tcPr>
            <w:tcW w:w="2765" w:type="dxa"/>
            <w:vAlign w:val="center"/>
          </w:tcPr>
          <w:p>
            <w:pPr>
              <w:pStyle w:val="52"/>
            </w:pPr>
            <w:r>
              <w:rPr>
                <w:rFonts w:hint="eastAsia"/>
              </w:rPr>
              <w:t>标高</w:t>
            </w:r>
          </w:p>
        </w:tc>
        <w:tc>
          <w:tcPr>
            <w:tcW w:w="2766" w:type="dxa"/>
            <w:vAlign w:val="center"/>
          </w:tcPr>
          <w:p>
            <w:pPr>
              <w:pStyle w:val="52"/>
            </w:pPr>
            <w:r>
              <w:rPr>
                <w:rFonts w:hint="eastAsia"/>
              </w:rPr>
              <w:t>±3</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203" w:type="dxa"/>
            <w:vMerge w:val="continue"/>
            <w:vAlign w:val="center"/>
          </w:tcPr>
          <w:p>
            <w:pPr>
              <w:pStyle w:val="52"/>
            </w:pPr>
          </w:p>
        </w:tc>
        <w:tc>
          <w:tcPr>
            <w:tcW w:w="2765" w:type="dxa"/>
            <w:vAlign w:val="center"/>
          </w:tcPr>
          <w:p>
            <w:pPr>
              <w:pStyle w:val="52"/>
            </w:pPr>
            <w:r>
              <w:rPr>
                <w:rFonts w:hint="eastAsia"/>
              </w:rPr>
              <w:t>水平度</w:t>
            </w:r>
          </w:p>
        </w:tc>
        <w:tc>
          <w:tcPr>
            <w:tcW w:w="2766" w:type="dxa"/>
            <w:vAlign w:val="center"/>
          </w:tcPr>
          <w:p>
            <w:pPr>
              <w:pStyle w:val="52"/>
            </w:pPr>
            <w:r>
              <w:rPr>
                <w:rFonts w:hint="eastAsia"/>
              </w:rPr>
              <w:t>1</w:t>
            </w:r>
            <w: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203" w:type="dxa"/>
            <w:vAlign w:val="center"/>
          </w:tcPr>
          <w:p>
            <w:pPr>
              <w:pStyle w:val="52"/>
            </w:pPr>
            <w:r>
              <w:rPr>
                <w:rFonts w:hint="eastAsia"/>
              </w:rPr>
              <w:t>地脚螺栓（锚栓）</w:t>
            </w:r>
          </w:p>
        </w:tc>
        <w:tc>
          <w:tcPr>
            <w:tcW w:w="2765" w:type="dxa"/>
            <w:vAlign w:val="center"/>
          </w:tcPr>
          <w:p>
            <w:pPr>
              <w:pStyle w:val="52"/>
            </w:pPr>
            <w:r>
              <w:rPr>
                <w:rFonts w:hint="eastAsia"/>
              </w:rPr>
              <w:t>螺栓中心偏移</w:t>
            </w:r>
          </w:p>
        </w:tc>
        <w:tc>
          <w:tcPr>
            <w:tcW w:w="2766" w:type="dxa"/>
            <w:vAlign w:val="center"/>
          </w:tcPr>
          <w:p>
            <w:pPr>
              <w:pStyle w:val="52"/>
            </w:pPr>
            <w:r>
              <w:rPr>
                <w:rFonts w:hint="eastAsia"/>
              </w:rPr>
              <w:t>5</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4968" w:type="dxa"/>
            <w:gridSpan w:val="2"/>
            <w:vAlign w:val="center"/>
          </w:tcPr>
          <w:p>
            <w:pPr>
              <w:pStyle w:val="52"/>
            </w:pPr>
            <w:r>
              <w:rPr>
                <w:rFonts w:hint="eastAsia"/>
              </w:rPr>
              <w:t>预留孔中心偏移</w:t>
            </w:r>
          </w:p>
        </w:tc>
        <w:tc>
          <w:tcPr>
            <w:tcW w:w="2766" w:type="dxa"/>
            <w:vAlign w:val="center"/>
          </w:tcPr>
          <w:p>
            <w:pPr>
              <w:pStyle w:val="52"/>
            </w:pPr>
            <w:r>
              <w:rPr>
                <w:rFonts w:hint="eastAsia"/>
              </w:rPr>
              <w:t>1</w:t>
            </w:r>
            <w:r>
              <w:t>0.0</w:t>
            </w:r>
          </w:p>
        </w:tc>
      </w:tr>
    </w:tbl>
    <w:p>
      <w:pPr>
        <w:pStyle w:val="42"/>
        <w:ind w:firstLine="480"/>
      </w:pPr>
      <w:r>
        <w:rPr>
          <w:rFonts w:hint="eastAsia"/>
        </w:rPr>
        <w:t>2</w:t>
      </w:r>
      <w:r>
        <w:t xml:space="preserve"> </w:t>
      </w:r>
      <w:r>
        <w:rPr>
          <w:rFonts w:hint="eastAsia"/>
        </w:rPr>
        <w:t>地脚螺栓（锚栓）规格、位置及紧固应满足设计要求，地脚螺栓（锚栓）的螺纹应有保护措施，</w:t>
      </w:r>
      <w:r>
        <w:t>且尺寸的偏差应符合《钢结构设计标准》GB 50017的规定</w:t>
      </w:r>
      <w:r>
        <w:rPr>
          <w:rFonts w:hint="eastAsia"/>
        </w:rPr>
        <w:t>；</w:t>
      </w:r>
    </w:p>
    <w:p>
      <w:pPr>
        <w:pStyle w:val="42"/>
        <w:ind w:firstLine="480"/>
        <w:rPr>
          <w:bCs/>
        </w:rPr>
      </w:pPr>
      <w:r>
        <w:rPr>
          <w:rFonts w:hint="eastAsia"/>
        </w:rPr>
        <w:t>3</w:t>
      </w:r>
      <w:r>
        <w:t xml:space="preserve"> </w:t>
      </w:r>
      <w:r>
        <w:rPr>
          <w:rFonts w:hint="eastAsia"/>
          <w:bCs/>
        </w:rPr>
        <w:t>设计要求顶紧的构件或节点、钢柱现场拼接接头接触面不应少于7</w:t>
      </w:r>
      <w:r>
        <w:rPr>
          <w:bCs/>
        </w:rPr>
        <w:t>0</w:t>
      </w:r>
      <w:r>
        <w:rPr>
          <w:rFonts w:hint="eastAsia"/>
          <w:bCs/>
        </w:rPr>
        <w:t>%密贴，且边缘最大间隙不应大于0</w:t>
      </w:r>
      <w:r>
        <w:rPr>
          <w:bCs/>
        </w:rPr>
        <w:t xml:space="preserve">.8 </w:t>
      </w:r>
      <w:r>
        <w:rPr>
          <w:rFonts w:hint="eastAsia"/>
          <w:bCs/>
        </w:rPr>
        <w:t>mm；</w:t>
      </w:r>
    </w:p>
    <w:p>
      <w:pPr>
        <w:pStyle w:val="42"/>
        <w:ind w:firstLine="480"/>
      </w:pPr>
      <w:r>
        <w:rPr>
          <w:rFonts w:hint="eastAsia"/>
        </w:rPr>
        <w:t>4</w:t>
      </w:r>
      <w:r>
        <w:t xml:space="preserve"> </w:t>
      </w:r>
      <w:r>
        <w:rPr>
          <w:rFonts w:hint="eastAsia"/>
        </w:rPr>
        <w:t>焊缝内部缺陷的无损检测应符合下列规定：</w:t>
      </w:r>
    </w:p>
    <w:p>
      <w:pPr>
        <w:pStyle w:val="42"/>
        <w:ind w:firstLine="480"/>
      </w:pPr>
      <w:r>
        <w:rPr>
          <w:rFonts w:hint="eastAsia"/>
        </w:rPr>
        <w:t>1）采用超声波检测时，超声波检测设备、工艺要求及缺陷评定等级应符合现行国家标准《钢结构焊接规范》G</w:t>
      </w:r>
      <w:r>
        <w:t>B 50661</w:t>
      </w:r>
      <w:r>
        <w:rPr>
          <w:rFonts w:hint="eastAsia"/>
        </w:rPr>
        <w:t>的规定；</w:t>
      </w:r>
    </w:p>
    <w:p>
      <w:pPr>
        <w:pStyle w:val="42"/>
        <w:ind w:firstLine="480"/>
      </w:pPr>
      <w:r>
        <w:rPr>
          <w:rFonts w:hint="eastAsia"/>
        </w:rPr>
        <w:t>2.）当不能采用超声波探伤或对超声波检测结果有疑义时，可采用射线检测验证，射线检测技术应符合现行国家标准《焊缝无损检测射线检测第1部分：X和伽马射线的胶片技术》G</w:t>
      </w:r>
      <w:r>
        <w:t>B/T 3323.1</w:t>
      </w:r>
      <w:r>
        <w:rPr>
          <w:rFonts w:hint="eastAsia"/>
        </w:rPr>
        <w:t>或《焊缝无损检测射线检测第2部分：使用数字化探测器的X和伽马射线技术》G</w:t>
      </w:r>
      <w:r>
        <w:t>B/T 3323.2</w:t>
      </w:r>
      <w:r>
        <w:rPr>
          <w:rFonts w:hint="eastAsia"/>
        </w:rPr>
        <w:t>的规定，缺陷评定等级应符合现行国家标准《钢结构焊接规范》G</w:t>
      </w:r>
      <w:r>
        <w:t>B 50661</w:t>
      </w:r>
      <w:r>
        <w:rPr>
          <w:rFonts w:hint="eastAsia"/>
        </w:rPr>
        <w:t>的规定；</w:t>
      </w:r>
    </w:p>
    <w:p>
      <w:pPr>
        <w:pStyle w:val="42"/>
        <w:ind w:firstLine="480"/>
      </w:pPr>
      <w:r>
        <w:rPr>
          <w:rFonts w:hint="eastAsia"/>
        </w:rPr>
        <w:t>3）</w:t>
      </w:r>
      <w:r>
        <w:t>T</w:t>
      </w:r>
      <w:r>
        <w:rPr>
          <w:rFonts w:hint="eastAsia"/>
        </w:rPr>
        <w:t>形接头、十字接头、角接接头等要求焊透的对接和角接组合焊，其加强焊脚尺寸不应小于t</w:t>
      </w:r>
      <w:r>
        <w:t>/4</w:t>
      </w:r>
      <w:r>
        <w:rPr>
          <w:rFonts w:hint="eastAsia"/>
        </w:rPr>
        <w:t>且不大于1</w:t>
      </w:r>
      <w:r>
        <w:t>0 mm</w:t>
      </w:r>
      <w:r>
        <w:rPr>
          <w:rFonts w:hint="eastAsia"/>
        </w:rPr>
        <w:t>，其允许偏差为0</w:t>
      </w:r>
      <w:r>
        <w:t xml:space="preserve"> </w:t>
      </w:r>
      <w:r>
        <w:rPr>
          <w:rFonts w:hint="eastAsia"/>
        </w:rPr>
        <w:t>mm~</w:t>
      </w:r>
      <w:r>
        <w:t>4 mm</w:t>
      </w:r>
      <w:r>
        <w:rPr>
          <w:rFonts w:hint="eastAsia"/>
        </w:rPr>
        <w:t>。</w:t>
      </w:r>
    </w:p>
    <w:p>
      <w:pPr>
        <w:pStyle w:val="42"/>
        <w:ind w:firstLine="480"/>
      </w:pPr>
      <w:r>
        <w:rPr>
          <w:rFonts w:hint="eastAsia"/>
        </w:rPr>
        <w:t>检查数量：资料全数检查，同类焊缝抽查1</w:t>
      </w:r>
      <w:r>
        <w:t>0</w:t>
      </w:r>
      <w:r>
        <w:rPr>
          <w:rFonts w:hint="eastAsia"/>
        </w:rPr>
        <w:t>%，且不应少于3条。</w:t>
      </w:r>
    </w:p>
    <w:p>
      <w:pPr>
        <w:pStyle w:val="42"/>
        <w:ind w:firstLine="480"/>
      </w:pPr>
      <w:r>
        <w:rPr>
          <w:rFonts w:hint="eastAsia"/>
        </w:rPr>
        <w:t>检验方法：观察检查，用焊缝量规抽查测量。</w:t>
      </w:r>
    </w:p>
    <w:p>
      <w:pPr>
        <w:pStyle w:val="42"/>
        <w:ind w:firstLine="480"/>
      </w:pPr>
      <w:r>
        <w:rPr>
          <w:rFonts w:hint="eastAsia"/>
        </w:rPr>
        <w:t>5</w:t>
      </w:r>
      <w:r>
        <w:t xml:space="preserve"> </w:t>
      </w:r>
      <w:r>
        <w:rPr>
          <w:rFonts w:hint="eastAsia"/>
        </w:rPr>
        <w:t>混凝土预制构件底部水平接缝座浆强度应满足设计要求，并应符合现行国家标准《混凝土结构工程施工规范》GB</w:t>
      </w:r>
      <w:r>
        <w:t xml:space="preserve"> </w:t>
      </w:r>
      <w:r>
        <w:rPr>
          <w:rFonts w:hint="eastAsia"/>
        </w:rPr>
        <w:t>50666的规定；</w:t>
      </w:r>
    </w:p>
    <w:p>
      <w:pPr>
        <w:pStyle w:val="42"/>
        <w:ind w:firstLine="480"/>
      </w:pPr>
      <w:r>
        <w:rPr>
          <w:rFonts w:hint="eastAsia"/>
        </w:rPr>
        <w:t>检查数量：按批检验，以每组水池为一检验批，每工作班同一配合比应制作1组且每组水池不应少于3组边长为70.7</w:t>
      </w:r>
      <w:r>
        <w:t xml:space="preserve"> </w:t>
      </w:r>
      <w:r>
        <w:rPr>
          <w:rFonts w:hint="eastAsia"/>
        </w:rPr>
        <w:t>mm的立方体试件，标准养护28</w:t>
      </w:r>
      <w:r>
        <w:t xml:space="preserve"> </w:t>
      </w:r>
      <w:r>
        <w:rPr>
          <w:rFonts w:hint="eastAsia"/>
        </w:rPr>
        <w:t>d后进行抗压强度试验。</w:t>
      </w:r>
    </w:p>
    <w:p>
      <w:pPr>
        <w:pStyle w:val="42"/>
        <w:ind w:firstLine="480"/>
      </w:pPr>
      <w:r>
        <w:rPr>
          <w:rFonts w:hint="eastAsia"/>
        </w:rPr>
        <w:t>检验方法：检查座浆材料强度检验报告及评定记录，并应符合现行国家标准《混凝土结构工程施工规范》GB</w:t>
      </w:r>
      <w:r>
        <w:t xml:space="preserve"> </w:t>
      </w:r>
      <w:r>
        <w:rPr>
          <w:rFonts w:hint="eastAsia"/>
        </w:rPr>
        <w:t>50666的规定。</w:t>
      </w:r>
    </w:p>
    <w:p>
      <w:pPr>
        <w:pStyle w:val="42"/>
        <w:ind w:firstLine="480"/>
      </w:pPr>
      <w:r>
        <w:rPr>
          <w:rFonts w:hint="eastAsia"/>
        </w:rPr>
        <w:t>6</w:t>
      </w:r>
      <w:r>
        <w:t xml:space="preserve"> </w:t>
      </w:r>
      <w:r>
        <w:rPr>
          <w:rFonts w:hint="eastAsia"/>
        </w:rPr>
        <w:t>混凝土预制构件采用螺栓连接时，螺栓的材质、规格、拧紧力矩应符合设计要求及现行国家标准《钢结构设计规范》GB 50017和《钢结构工程施工质量验收规范》GB 50205的规定；</w:t>
      </w:r>
    </w:p>
    <w:p>
      <w:pPr>
        <w:pStyle w:val="42"/>
        <w:ind w:firstLine="480"/>
      </w:pPr>
      <w:r>
        <w:rPr>
          <w:rFonts w:hint="eastAsia"/>
        </w:rPr>
        <w:t xml:space="preserve">检查数量：全数检查。 </w:t>
      </w:r>
    </w:p>
    <w:p>
      <w:pPr>
        <w:pStyle w:val="42"/>
        <w:ind w:firstLine="480"/>
      </w:pPr>
      <w:r>
        <w:rPr>
          <w:rFonts w:hint="eastAsia"/>
        </w:rPr>
        <w:t>检验方法：应符合现行国家标准《钢结构工程施工质量验收规范》GB 50205的规定。</w:t>
      </w:r>
    </w:p>
    <w:p>
      <w:pPr>
        <w:pStyle w:val="42"/>
        <w:ind w:firstLine="480"/>
      </w:pPr>
      <w:r>
        <w:t xml:space="preserve">7 </w:t>
      </w:r>
      <w:r>
        <w:rPr>
          <w:rFonts w:hint="eastAsia"/>
        </w:rPr>
        <w:t>混凝土预制构件水池分项工程的外观质量不应有严重缺陷，且不得有影响结构性能和使用功能的尺寸偏差；</w:t>
      </w:r>
    </w:p>
    <w:p>
      <w:pPr>
        <w:pStyle w:val="42"/>
        <w:ind w:firstLine="480"/>
      </w:pPr>
      <w:r>
        <w:rPr>
          <w:rFonts w:hint="eastAsia"/>
        </w:rPr>
        <w:t>检查数量：全数检查。</w:t>
      </w:r>
    </w:p>
    <w:p>
      <w:pPr>
        <w:pStyle w:val="42"/>
        <w:ind w:firstLine="480"/>
      </w:pPr>
      <w:r>
        <w:rPr>
          <w:rFonts w:hint="eastAsia"/>
        </w:rPr>
        <w:t>检验方法：观察、量测；检查质量验收记录。</w:t>
      </w:r>
    </w:p>
    <w:p>
      <w:pPr>
        <w:pStyle w:val="42"/>
        <w:ind w:firstLine="480"/>
      </w:pPr>
      <w:r>
        <w:t xml:space="preserve">8 </w:t>
      </w:r>
      <w:r>
        <w:rPr>
          <w:rFonts w:hint="eastAsia"/>
        </w:rPr>
        <w:t>焊缝外观质量应符合《钢结构工程施工质量验收标准》GB</w:t>
      </w:r>
      <w:r>
        <w:t xml:space="preserve"> </w:t>
      </w:r>
      <w:r>
        <w:rPr>
          <w:rFonts w:hint="eastAsia"/>
        </w:rPr>
        <w:t>50205-2020表5.2.7-1和5.2.7-2的规定；</w:t>
      </w:r>
    </w:p>
    <w:p>
      <w:pPr>
        <w:pStyle w:val="42"/>
        <w:ind w:firstLine="480"/>
      </w:pPr>
      <w:r>
        <w:rPr>
          <w:rFonts w:hint="eastAsia"/>
        </w:rPr>
        <w:t>检查数量：承受静荷载的二级焊缝每批同类型构件抽查10%，承受静荷载的一级焊缝和承受动荷载的焊缝每批同类型构件抽查15%，且不应少于3件；被抽查构件中，每一类型焊缝应按条数抽查5%，且不应少于1条；每条应抽查1处，总抽查数不应少于10处。</w:t>
      </w:r>
    </w:p>
    <w:p>
      <w:pPr>
        <w:pStyle w:val="42"/>
        <w:ind w:firstLine="480"/>
      </w:pPr>
      <w:r>
        <w:rPr>
          <w:rFonts w:hint="eastAsia"/>
        </w:rPr>
        <w:t>检验方法：观察检查或使用放大镜、焊缝量规和钢尺检查，当有疲劳验算要求时，采用渗透或磁粉探伤检查。焊缝外观检验应使用焊缝检验尺。</w:t>
      </w:r>
    </w:p>
    <w:p>
      <w:pPr>
        <w:pStyle w:val="42"/>
        <w:ind w:firstLine="480"/>
      </w:pPr>
      <w:r>
        <w:t xml:space="preserve">9 </w:t>
      </w:r>
      <w:r>
        <w:rPr>
          <w:rFonts w:hint="eastAsia"/>
        </w:rPr>
        <w:t>焊缝外观尺寸应符合《钢结构工程施工质量验收标准》GB50205-2020表5.2.8-1和5.2.8-2的规定。</w:t>
      </w:r>
    </w:p>
    <w:p>
      <w:pPr>
        <w:pStyle w:val="42"/>
        <w:ind w:firstLine="480"/>
      </w:pPr>
      <w:r>
        <w:rPr>
          <w:rFonts w:hint="eastAsia"/>
        </w:rPr>
        <w:t>检查数量：承受静荷载的二级焊缝每批同类型构件抽查10%，承受静荷载的一级焊缝和承受动荷载的焊缝每批同类型构件抽查15%，且不应少于3件；被抽查构件中，每一类型焊缝应按条数抽查5%，且不应少于1条；每条应抽查1处，总抽查数不应少于10处。</w:t>
      </w:r>
    </w:p>
    <w:p>
      <w:pPr>
        <w:pStyle w:val="42"/>
        <w:ind w:firstLine="480"/>
      </w:pPr>
      <w:r>
        <w:rPr>
          <w:rFonts w:hint="eastAsia"/>
        </w:rPr>
        <w:t>检验方法：使用焊缝量规和钢尺检查。</w:t>
      </w:r>
    </w:p>
    <w:p>
      <w:pPr>
        <w:pStyle w:val="49"/>
        <w:spacing w:before="156" w:after="156"/>
      </w:pPr>
      <w:r>
        <w:rPr>
          <w:rFonts w:hint="eastAsia"/>
        </w:rPr>
        <w:t>竣工验收应提供以下资料：</w:t>
      </w:r>
    </w:p>
    <w:p>
      <w:pPr>
        <w:pStyle w:val="42"/>
        <w:ind w:firstLine="480"/>
      </w:pPr>
      <w:r>
        <w:rPr>
          <w:rFonts w:hint="eastAsia"/>
        </w:rPr>
        <w:t>1</w:t>
      </w:r>
      <w:r>
        <w:t xml:space="preserve"> </w:t>
      </w:r>
      <w:r>
        <w:rPr>
          <w:rFonts w:hint="eastAsia"/>
        </w:rPr>
        <w:t>施工图及设计变更文件；</w:t>
      </w:r>
    </w:p>
    <w:p>
      <w:pPr>
        <w:pStyle w:val="42"/>
        <w:ind w:firstLine="480"/>
      </w:pPr>
      <w:r>
        <w:t xml:space="preserve">2 </w:t>
      </w:r>
      <w:r>
        <w:rPr>
          <w:rFonts w:hint="eastAsia"/>
        </w:rPr>
        <w:t>主要材料和制品的合格证或试验记录；</w:t>
      </w:r>
    </w:p>
    <w:p>
      <w:pPr>
        <w:pStyle w:val="42"/>
        <w:ind w:firstLine="480"/>
      </w:pPr>
      <w:r>
        <w:t xml:space="preserve">3 </w:t>
      </w:r>
      <w:r>
        <w:rPr>
          <w:rFonts w:hint="eastAsia"/>
        </w:rPr>
        <w:t>施工测量记录；</w:t>
      </w:r>
    </w:p>
    <w:p>
      <w:pPr>
        <w:pStyle w:val="42"/>
        <w:ind w:firstLine="480"/>
      </w:pPr>
      <w:r>
        <w:t xml:space="preserve">4 </w:t>
      </w:r>
      <w:r>
        <w:rPr>
          <w:rFonts w:hint="eastAsia"/>
        </w:rPr>
        <w:t>混凝土、砂浆、焊接及水密性、气密性等试验、检验记录；</w:t>
      </w:r>
    </w:p>
    <w:p>
      <w:pPr>
        <w:pStyle w:val="42"/>
        <w:ind w:firstLine="480"/>
      </w:pPr>
      <w:r>
        <w:t xml:space="preserve">5 </w:t>
      </w:r>
      <w:r>
        <w:rPr>
          <w:rFonts w:hint="eastAsia"/>
        </w:rPr>
        <w:t>施工记录；</w:t>
      </w:r>
    </w:p>
    <w:p>
      <w:pPr>
        <w:pStyle w:val="42"/>
        <w:ind w:firstLine="480"/>
      </w:pPr>
      <w:r>
        <w:t xml:space="preserve">6 </w:t>
      </w:r>
      <w:r>
        <w:rPr>
          <w:rFonts w:hint="eastAsia"/>
        </w:rPr>
        <w:t>单项验收记录；</w:t>
      </w:r>
    </w:p>
    <w:p>
      <w:pPr>
        <w:pStyle w:val="42"/>
        <w:ind w:firstLine="480"/>
      </w:pPr>
      <w:r>
        <w:t xml:space="preserve">7 </w:t>
      </w:r>
      <w:r>
        <w:rPr>
          <w:rFonts w:hint="eastAsia"/>
        </w:rPr>
        <w:t>工程质量检验评定记录；</w:t>
      </w:r>
    </w:p>
    <w:p>
      <w:pPr>
        <w:pStyle w:val="42"/>
        <w:ind w:firstLine="480"/>
      </w:pPr>
      <w:r>
        <w:t xml:space="preserve">8 </w:t>
      </w:r>
      <w:r>
        <w:rPr>
          <w:rFonts w:hint="eastAsia"/>
        </w:rPr>
        <w:t>工程质量事故处理记录。</w:t>
      </w:r>
    </w:p>
    <w:p>
      <w:pPr>
        <w:pStyle w:val="49"/>
        <w:spacing w:before="156" w:after="156"/>
      </w:pPr>
      <w:r>
        <w:rPr>
          <w:rFonts w:hint="eastAsia"/>
        </w:rPr>
        <w:t>竣工验收时应核实竣工验收资料，进行必要的复查和外观检查，并对下列项目做出鉴定，填写竣工验收鉴定书。竣工验收鉴定书应包括以下项目：</w:t>
      </w:r>
    </w:p>
    <w:p>
      <w:pPr>
        <w:pStyle w:val="42"/>
        <w:ind w:firstLine="480"/>
      </w:pPr>
      <w:r>
        <w:t xml:space="preserve">1 </w:t>
      </w:r>
      <w:r>
        <w:rPr>
          <w:rFonts w:hint="eastAsia"/>
        </w:rPr>
        <w:t>构筑物的位置、高程、坡度、平面尺寸，设备、管道及附件等安装的位置和数量；</w:t>
      </w:r>
    </w:p>
    <w:p>
      <w:pPr>
        <w:pStyle w:val="42"/>
        <w:ind w:firstLine="480"/>
      </w:pPr>
      <w:r>
        <w:t xml:space="preserve">2 </w:t>
      </w:r>
      <w:r>
        <w:rPr>
          <w:rFonts w:hint="eastAsia"/>
        </w:rPr>
        <w:t>结构强度、抗渗、抗冻的等级；</w:t>
      </w:r>
    </w:p>
    <w:p>
      <w:pPr>
        <w:pStyle w:val="42"/>
        <w:ind w:firstLine="480"/>
      </w:pPr>
      <w:r>
        <w:t xml:space="preserve">3 </w:t>
      </w:r>
      <w:r>
        <w:rPr>
          <w:rFonts w:hint="eastAsia"/>
        </w:rPr>
        <w:t>构筑物的严密性；</w:t>
      </w:r>
    </w:p>
    <w:p>
      <w:pPr>
        <w:pStyle w:val="42"/>
        <w:ind w:firstLine="480"/>
      </w:pPr>
      <w:r>
        <w:t xml:space="preserve">4 </w:t>
      </w:r>
      <w:r>
        <w:rPr>
          <w:rFonts w:hint="eastAsia"/>
        </w:rPr>
        <w:t>外观，构筑物的裂缝、蜂窝、麻面、露筋、空鼓、缺边、掉角以及设备、外露的管道安装等是否影响工程质量。</w:t>
      </w:r>
    </w:p>
    <w:p>
      <w:pPr>
        <w:pStyle w:val="49"/>
        <w:spacing w:before="156" w:after="156"/>
      </w:pPr>
      <w:r>
        <w:rPr>
          <w:rFonts w:hint="eastAsia"/>
        </w:rPr>
        <w:t>工程竣工验收后，建设单位应将有关设计、施工和验收的文件立卷归档。</w:t>
      </w:r>
    </w:p>
    <w:p>
      <w:pPr>
        <w:pStyle w:val="42"/>
        <w:ind w:firstLine="480"/>
      </w:pPr>
    </w:p>
    <w:p>
      <w:pPr>
        <w:pStyle w:val="2"/>
      </w:pPr>
      <w:bookmarkStart w:id="124" w:name="_Toc103239329"/>
      <w:bookmarkStart w:id="125" w:name="_Toc122709337"/>
      <w:bookmarkStart w:id="126" w:name="_Toc122709925"/>
      <w:bookmarkStart w:id="127" w:name="_Toc122709414"/>
      <w:r>
        <w:rPr>
          <w:rFonts w:hint="eastAsia"/>
        </w:rPr>
        <w:t>运行与维护</w:t>
      </w:r>
      <w:bookmarkEnd w:id="124"/>
      <w:bookmarkEnd w:id="125"/>
      <w:bookmarkEnd w:id="126"/>
      <w:bookmarkEnd w:id="127"/>
    </w:p>
    <w:p>
      <w:pPr>
        <w:pStyle w:val="3"/>
        <w:numPr>
          <w:ilvl w:val="1"/>
          <w:numId w:val="9"/>
        </w:numPr>
      </w:pPr>
      <w:bookmarkStart w:id="128" w:name="_Toc122709415"/>
      <w:bookmarkStart w:id="129" w:name="_Toc122709926"/>
      <w:bookmarkStart w:id="130" w:name="_Toc122709338"/>
      <w:r>
        <w:rPr>
          <w:rFonts w:hint="eastAsia"/>
        </w:rPr>
        <w:t>一般规定</w:t>
      </w:r>
      <w:bookmarkEnd w:id="128"/>
      <w:bookmarkEnd w:id="129"/>
      <w:bookmarkEnd w:id="130"/>
    </w:p>
    <w:p>
      <w:pPr>
        <w:pStyle w:val="49"/>
        <w:spacing w:before="156" w:after="156"/>
      </w:pPr>
      <w:r>
        <w:rPr>
          <w:rFonts w:hint="eastAsia"/>
        </w:rPr>
        <w:t>运营方应</w:t>
      </w:r>
      <w:r>
        <w:rPr>
          <w:bCs/>
        </w:rPr>
        <w:t>严格执行环保法规</w:t>
      </w:r>
      <w:r>
        <w:rPr>
          <w:rFonts w:hint="eastAsia"/>
          <w:bCs/>
        </w:rPr>
        <w:t>，</w:t>
      </w:r>
      <w:r>
        <w:rPr>
          <w:rFonts w:hint="eastAsia"/>
        </w:rPr>
        <w:t>制定管理制度、岗位操作规程、安全操作规程、设施和设备维护保养手册等，并应符合现行城镇建设行业标准《城镇污水处理厂运行、维护及安全技术规程》CJJ</w:t>
      </w:r>
      <w:r>
        <w:t xml:space="preserve"> </w:t>
      </w:r>
      <w:r>
        <w:rPr>
          <w:rFonts w:hint="eastAsia"/>
        </w:rPr>
        <w:t>60的相关规定。</w:t>
      </w:r>
    </w:p>
    <w:p>
      <w:pPr>
        <w:pStyle w:val="49"/>
        <w:spacing w:before="156" w:after="156"/>
      </w:pPr>
      <w:r>
        <w:rPr>
          <w:rFonts w:hint="eastAsia"/>
          <w:bCs/>
          <w:szCs w:val="22"/>
        </w:rPr>
        <w:t>污水处理厂应建立安全生产岗位责任制，防范各类安全事故的发生，确保项目安全生产形势的稳定。</w:t>
      </w:r>
    </w:p>
    <w:p>
      <w:pPr>
        <w:pStyle w:val="49"/>
        <w:spacing w:before="156" w:after="156"/>
      </w:pPr>
      <w:r>
        <w:rPr>
          <w:rFonts w:hint="eastAsia"/>
          <w:bCs/>
          <w:szCs w:val="22"/>
        </w:rPr>
        <w:t>项目生产区域、办公区域宜实施区域划分和定制管理，提高工作效率，避免和减少安全事故。</w:t>
      </w:r>
    </w:p>
    <w:p>
      <w:pPr>
        <w:pStyle w:val="49"/>
        <w:spacing w:before="156" w:after="156"/>
      </w:pPr>
      <w:r>
        <w:rPr>
          <w:rFonts w:hint="eastAsia"/>
          <w:bCs/>
        </w:rPr>
        <w:t>污水处理厂中的压力容器、安全阀等特种设备，有毒有害和易燃气体的检测仪表和人员防护设备应按国家相关规定定期检验、标定或检查，合格后方可使用。</w:t>
      </w:r>
    </w:p>
    <w:p>
      <w:pPr>
        <w:pStyle w:val="49"/>
        <w:spacing w:before="156" w:after="156"/>
      </w:pPr>
      <w:r>
        <w:rPr>
          <w:rFonts w:hint="eastAsia"/>
        </w:rPr>
        <w:t>污水处理设施运行应建立应急管理体系，制定安全生产、职业卫生、环境保护、自然灾害等应急预案，并应定期进行演练。</w:t>
      </w:r>
    </w:p>
    <w:p>
      <w:pPr>
        <w:pStyle w:val="49"/>
        <w:spacing w:before="156" w:after="156"/>
      </w:pPr>
      <w:r>
        <w:rPr>
          <w:rFonts w:hint="eastAsia"/>
          <w:bCs/>
          <w:szCs w:val="22"/>
        </w:rPr>
        <w:t>有限空间管理应参照《工贸企业有限空间作业安全管理与监督暂行规定》执行；有限空间作业应严格按照《缺氧危险作业安全规程》GB 8958执行，并且每年至少进行一次有限空间作业应急演练。</w:t>
      </w:r>
    </w:p>
    <w:p>
      <w:pPr>
        <w:pStyle w:val="49"/>
        <w:spacing w:before="156" w:after="156"/>
      </w:pPr>
      <w:r>
        <w:rPr>
          <w:rFonts w:hint="eastAsia"/>
        </w:rPr>
        <w:t>应结合生产运行和维护需要，建立设施日常保养、定期维护和大修理三级维护检修制度。</w:t>
      </w:r>
    </w:p>
    <w:p>
      <w:pPr>
        <w:pStyle w:val="49"/>
        <w:spacing w:before="156" w:after="156"/>
      </w:pPr>
      <w:r>
        <w:rPr>
          <w:bCs/>
        </w:rPr>
        <w:t>操作人员</w:t>
      </w:r>
      <w:r>
        <w:rPr>
          <w:rFonts w:hint="eastAsia"/>
          <w:bCs/>
        </w:rPr>
        <w:t>应</w:t>
      </w:r>
      <w:r>
        <w:rPr>
          <w:bCs/>
        </w:rPr>
        <w:t>认真遵守污水处理工艺、工作程序和操作规范要求，掌握设施的运行、维护要求及技术指标。</w:t>
      </w:r>
    </w:p>
    <w:p>
      <w:pPr>
        <w:pStyle w:val="49"/>
        <w:spacing w:before="156" w:after="156"/>
      </w:pPr>
      <w:r>
        <w:rPr>
          <w:rFonts w:hint="eastAsia"/>
          <w:bCs/>
        </w:rPr>
        <w:t>污水处理设施因检修等原因全部或部分停运时，应向主管部门报告，并应采取应急措施。</w:t>
      </w:r>
    </w:p>
    <w:p>
      <w:pPr>
        <w:pStyle w:val="3"/>
        <w:ind w:firstLine="480"/>
      </w:pPr>
      <w:bookmarkStart w:id="131" w:name="_Toc103239331"/>
      <w:bookmarkStart w:id="132" w:name="_Toc122709339"/>
      <w:bookmarkStart w:id="133" w:name="_Toc122709927"/>
      <w:bookmarkStart w:id="134" w:name="_Toc122709416"/>
      <w:r>
        <w:rPr>
          <w:rFonts w:hint="eastAsia"/>
        </w:rPr>
        <w:t>运行</w:t>
      </w:r>
      <w:bookmarkEnd w:id="131"/>
      <w:bookmarkEnd w:id="132"/>
      <w:bookmarkEnd w:id="133"/>
      <w:bookmarkEnd w:id="134"/>
    </w:p>
    <w:p>
      <w:pPr>
        <w:pStyle w:val="49"/>
        <w:spacing w:before="156" w:after="156"/>
      </w:pPr>
      <w:r>
        <w:rPr>
          <w:rFonts w:hint="eastAsia"/>
        </w:rPr>
        <w:t>应根据进水水质调整药剂的投加量，确保出水水质稳定达标并实现经济运行。</w:t>
      </w:r>
    </w:p>
    <w:p>
      <w:pPr>
        <w:pStyle w:val="49"/>
        <w:spacing w:before="156" w:after="156"/>
      </w:pPr>
      <w:r>
        <w:rPr>
          <w:rFonts w:hint="eastAsia"/>
        </w:rPr>
        <w:t>应及时消除水流不均匀、短流及阻塞等现象。</w:t>
      </w:r>
    </w:p>
    <w:p>
      <w:pPr>
        <w:pStyle w:val="49"/>
        <w:spacing w:before="156" w:after="156"/>
      </w:pPr>
      <w:r>
        <w:t>B</w:t>
      </w:r>
      <w:r>
        <w:rPr>
          <w:rFonts w:hint="eastAsia"/>
        </w:rPr>
        <w:t>段应保障搅拌器运行良好，曝气系统正常，悬浮载体流化状态良好，无堆积堵塞情况。</w:t>
      </w:r>
    </w:p>
    <w:p>
      <w:pPr>
        <w:pStyle w:val="49"/>
        <w:spacing w:before="156" w:after="156"/>
      </w:pPr>
      <w:r>
        <w:t>B</w:t>
      </w:r>
      <w:r>
        <w:rPr>
          <w:rFonts w:hint="eastAsia"/>
        </w:rPr>
        <w:t>段应定期检查拦截筛网运行、曝气器堵塞和损坏情况，并观察后续单元是否正常运行。</w:t>
      </w:r>
    </w:p>
    <w:p>
      <w:pPr>
        <w:pStyle w:val="49"/>
        <w:spacing w:before="156" w:after="156"/>
      </w:pPr>
      <w:r>
        <w:t>B</w:t>
      </w:r>
      <w:r>
        <w:rPr>
          <w:rFonts w:hint="eastAsia"/>
        </w:rPr>
        <w:t>段应定期监测氧化还原电位、溶解氧和出水水质，并应及时调整系统的供气量、回流等相关参数。</w:t>
      </w:r>
    </w:p>
    <w:p>
      <w:pPr>
        <w:pStyle w:val="49"/>
        <w:spacing w:before="156" w:after="156"/>
      </w:pPr>
      <w:r>
        <w:rPr>
          <w:rFonts w:hint="eastAsia"/>
        </w:rPr>
        <w:t>应通过在线液位计和人工巡视相结合的方式观察</w:t>
      </w:r>
      <w:r>
        <w:t>B</w:t>
      </w:r>
      <w:r>
        <w:rPr>
          <w:rFonts w:hint="eastAsia"/>
        </w:rPr>
        <w:t>段悬浮载体区的液位情况。</w:t>
      </w:r>
    </w:p>
    <w:p>
      <w:pPr>
        <w:pStyle w:val="49"/>
        <w:spacing w:before="156" w:after="156"/>
      </w:pPr>
      <w:r>
        <w:rPr>
          <w:rFonts w:hint="eastAsia"/>
        </w:rPr>
        <w:t>B段应定期观察生物膜生物相的变化，发现异常及早解决。</w:t>
      </w:r>
    </w:p>
    <w:p>
      <w:pPr>
        <w:pStyle w:val="49"/>
        <w:spacing w:before="156" w:after="156"/>
      </w:pPr>
      <w:r>
        <w:t>B</w:t>
      </w:r>
      <w:r>
        <w:rPr>
          <w:rFonts w:hint="eastAsia"/>
        </w:rPr>
        <w:t>段停运和重启，应符合下列规定：</w:t>
      </w:r>
    </w:p>
    <w:p>
      <w:pPr>
        <w:pStyle w:val="42"/>
        <w:ind w:firstLine="480"/>
      </w:pPr>
      <w:r>
        <w:rPr>
          <w:rFonts w:hint="eastAsia"/>
        </w:rPr>
        <w:t>1</w:t>
      </w:r>
      <w:r>
        <w:t xml:space="preserve"> </w:t>
      </w:r>
      <w:r>
        <w:rPr>
          <w:rFonts w:hint="eastAsia"/>
        </w:rPr>
        <w:t>在停止运行时，先停止进水再停止曝气；</w:t>
      </w:r>
    </w:p>
    <w:p>
      <w:pPr>
        <w:pStyle w:val="42"/>
        <w:ind w:firstLine="480"/>
      </w:pPr>
      <w:r>
        <w:t xml:space="preserve">2 </w:t>
      </w:r>
      <w:r>
        <w:rPr>
          <w:rFonts w:hint="eastAsia"/>
        </w:rPr>
        <w:t>如短时间停运，缺氧区和好氧区应分别保持适度的搅拌与曝气，以便维持生物膜的活性；</w:t>
      </w:r>
    </w:p>
    <w:p>
      <w:pPr>
        <w:pStyle w:val="42"/>
        <w:ind w:firstLine="480"/>
      </w:pPr>
      <w:r>
        <w:rPr>
          <w:rFonts w:hint="eastAsia"/>
        </w:rPr>
        <w:t>3</w:t>
      </w:r>
      <w:r>
        <w:t xml:space="preserve"> </w:t>
      </w:r>
      <w:r>
        <w:rPr>
          <w:rFonts w:hint="eastAsia"/>
        </w:rPr>
        <w:t>如长时间停运，则停止进水后应开启搅拌和曝气约一周，在恢复进水前两天，应预先启动搅拌和曝气；</w:t>
      </w:r>
    </w:p>
    <w:p>
      <w:pPr>
        <w:pStyle w:val="42"/>
        <w:ind w:firstLine="480"/>
      </w:pPr>
      <w:r>
        <w:rPr>
          <w:rFonts w:hint="eastAsia"/>
        </w:rPr>
        <w:t>4</w:t>
      </w:r>
      <w:r>
        <w:t xml:space="preserve"> </w:t>
      </w:r>
      <w:r>
        <w:rPr>
          <w:rFonts w:hint="eastAsia"/>
        </w:rPr>
        <w:t>系统重启时，应先启动搅拌、曝气，确保拦截筛网畅通，然后开启进水，进水水量适度调低，并缓慢增至设计水量。</w:t>
      </w:r>
    </w:p>
    <w:p>
      <w:pPr>
        <w:pStyle w:val="49"/>
        <w:spacing w:before="156" w:after="156"/>
      </w:pPr>
      <w:r>
        <w:rPr>
          <w:rFonts w:hint="eastAsia"/>
        </w:rPr>
        <w:t>M段药剂制备与投加应符合下列规定：</w:t>
      </w:r>
    </w:p>
    <w:p>
      <w:pPr>
        <w:pStyle w:val="42"/>
        <w:ind w:firstLine="480"/>
      </w:pPr>
      <w:r>
        <w:rPr>
          <w:rFonts w:hint="eastAsia"/>
        </w:rPr>
        <w:t>1</w:t>
      </w:r>
      <w:r>
        <w:t xml:space="preserve"> </w:t>
      </w:r>
      <w:r>
        <w:rPr>
          <w:rFonts w:hint="eastAsia"/>
        </w:rPr>
        <w:t>应根据项目具体水质，结合实验，筛选合适的混凝剂、助凝剂；</w:t>
      </w:r>
    </w:p>
    <w:p>
      <w:pPr>
        <w:pStyle w:val="42"/>
        <w:ind w:firstLine="480"/>
      </w:pPr>
      <w:r>
        <w:rPr>
          <w:rFonts w:hint="eastAsia"/>
        </w:rPr>
        <w:t>2</w:t>
      </w:r>
      <w:r>
        <w:t xml:space="preserve"> </w:t>
      </w:r>
      <w:r>
        <w:rPr>
          <w:rFonts w:hint="eastAsia"/>
        </w:rPr>
        <w:t>混凝剂宜选用铁盐、铝盐或铁/铝聚合盐类等，配置浓度宜为5%~15%，混凝剂品种和投加量应结合小试试验及工程调试运行实际效果进行投加；</w:t>
      </w:r>
    </w:p>
    <w:p>
      <w:pPr>
        <w:pStyle w:val="42"/>
        <w:ind w:firstLine="480"/>
      </w:pPr>
      <w:r>
        <w:rPr>
          <w:rFonts w:hint="eastAsia"/>
        </w:rPr>
        <w:t>3</w:t>
      </w:r>
      <w:r>
        <w:t xml:space="preserve"> </w:t>
      </w:r>
      <w:r>
        <w:rPr>
          <w:rFonts w:hint="eastAsia"/>
        </w:rPr>
        <w:t>絮凝反应池中投加的助凝剂宜选用聚丙烯酰胺（PAM），每升处理水中的投加量宜为0.5</w:t>
      </w:r>
      <w:r>
        <w:t xml:space="preserve"> </w:t>
      </w:r>
      <w:r>
        <w:rPr>
          <w:rFonts w:hint="eastAsia"/>
        </w:rPr>
        <w:t>mg</w:t>
      </w:r>
      <w:r>
        <w:t>/L</w:t>
      </w:r>
      <w:r>
        <w:rPr>
          <w:rFonts w:hint="eastAsia"/>
        </w:rPr>
        <w:t>~2</w:t>
      </w:r>
      <w:r>
        <w:t xml:space="preserve">.0 </w:t>
      </w:r>
      <w:r>
        <w:rPr>
          <w:rFonts w:hint="eastAsia"/>
        </w:rPr>
        <w:t>mg</w:t>
      </w:r>
      <w:r>
        <w:t>/L</w:t>
      </w:r>
      <w:r>
        <w:rPr>
          <w:rFonts w:hint="eastAsia"/>
        </w:rPr>
        <w:t>，投加助凝剂的配制浓度宜为0.1%~0.3%；</w:t>
      </w:r>
    </w:p>
    <w:p>
      <w:pPr>
        <w:pStyle w:val="42"/>
        <w:ind w:firstLine="480"/>
      </w:pPr>
      <w:r>
        <w:rPr>
          <w:rFonts w:hint="eastAsia"/>
        </w:rPr>
        <w:t>4</w:t>
      </w:r>
      <w:r>
        <w:t xml:space="preserve"> </w:t>
      </w:r>
      <w:r>
        <w:rPr>
          <w:rFonts w:hint="eastAsia"/>
        </w:rPr>
        <w:t>磁介质投加量应根据混凝沉淀试验结果确定。无试验数据时，初始投加量宜为10</w:t>
      </w:r>
      <w:r>
        <w:t xml:space="preserve"> </w:t>
      </w:r>
      <w:r>
        <w:rPr>
          <w:rFonts w:hint="eastAsia"/>
        </w:rPr>
        <w:t>kg/</w:t>
      </w:r>
      <w:r>
        <w:rPr>
          <w:rFonts w:hint="eastAsia"/>
          <w:lang w:eastAsia="zh-CN"/>
        </w:rPr>
        <w:t>m³</w:t>
      </w:r>
      <w:r>
        <w:rPr>
          <w:rFonts w:hint="eastAsia"/>
        </w:rPr>
        <w:t>池容~40</w:t>
      </w:r>
      <w:r>
        <w:t xml:space="preserve"> </w:t>
      </w:r>
      <w:r>
        <w:rPr>
          <w:rFonts w:hint="eastAsia"/>
        </w:rPr>
        <w:t>kg/</w:t>
      </w:r>
      <w:r>
        <w:rPr>
          <w:rFonts w:hint="eastAsia"/>
          <w:lang w:eastAsia="zh-CN"/>
        </w:rPr>
        <w:t>m³</w:t>
      </w:r>
      <w:r>
        <w:rPr>
          <w:rFonts w:hint="eastAsia"/>
        </w:rPr>
        <w:t>池容；</w:t>
      </w:r>
    </w:p>
    <w:p>
      <w:pPr>
        <w:pStyle w:val="42"/>
        <w:ind w:firstLine="480"/>
      </w:pPr>
      <w:r>
        <w:rPr>
          <w:rFonts w:hint="eastAsia"/>
        </w:rPr>
        <w:t>5</w:t>
      </w:r>
      <w:r>
        <w:t xml:space="preserve"> </w:t>
      </w:r>
      <w:r>
        <w:rPr>
          <w:rFonts w:hint="eastAsia"/>
        </w:rPr>
        <w:t>磁介质运行投加量应根据水质变化确定。每立方米处理水中的平均磁介质运行投加量不宜大于8</w:t>
      </w:r>
      <w:r>
        <w:t xml:space="preserve"> </w:t>
      </w:r>
      <w:r>
        <w:rPr>
          <w:rFonts w:hint="eastAsia"/>
        </w:rPr>
        <w:t>g/</w:t>
      </w:r>
      <w:r>
        <w:rPr>
          <w:rFonts w:hint="eastAsia"/>
          <w:lang w:eastAsia="zh-CN"/>
        </w:rPr>
        <w:t>m³</w:t>
      </w:r>
      <w:r>
        <w:rPr>
          <w:rFonts w:hint="eastAsia"/>
        </w:rPr>
        <w:t>，宜为2</w:t>
      </w:r>
      <w:r>
        <w:t xml:space="preserve"> </w:t>
      </w:r>
      <w:r>
        <w:rPr>
          <w:rFonts w:hint="eastAsia"/>
        </w:rPr>
        <w:t>g/</w:t>
      </w:r>
      <w:r>
        <w:rPr>
          <w:rFonts w:hint="eastAsia"/>
          <w:lang w:eastAsia="zh-CN"/>
        </w:rPr>
        <w:t>m³</w:t>
      </w:r>
      <w:r>
        <w:rPr>
          <w:rFonts w:hint="eastAsia"/>
        </w:rPr>
        <w:t>~5</w:t>
      </w:r>
      <w:r>
        <w:t xml:space="preserve"> </w:t>
      </w:r>
      <w:r>
        <w:rPr>
          <w:rFonts w:hint="eastAsia"/>
        </w:rPr>
        <w:t>g/</w:t>
      </w:r>
      <w:r>
        <w:rPr>
          <w:rFonts w:hint="eastAsia"/>
          <w:lang w:eastAsia="zh-CN"/>
        </w:rPr>
        <w:t>m³</w:t>
      </w:r>
      <w:r>
        <w:rPr>
          <w:rFonts w:hint="eastAsia"/>
        </w:rPr>
        <w:t>。</w:t>
      </w:r>
    </w:p>
    <w:p>
      <w:pPr>
        <w:pStyle w:val="49"/>
        <w:spacing w:before="156" w:after="156"/>
      </w:pPr>
      <w:r>
        <w:rPr>
          <w:rFonts w:hint="eastAsia"/>
        </w:rPr>
        <w:t>M段运行，应符合下列规定：</w:t>
      </w:r>
    </w:p>
    <w:p>
      <w:pPr>
        <w:pStyle w:val="42"/>
        <w:ind w:firstLine="480"/>
      </w:pPr>
      <w:r>
        <w:rPr>
          <w:rFonts w:hint="eastAsia"/>
        </w:rPr>
        <w:t>1</w:t>
      </w:r>
      <w:r>
        <w:t xml:space="preserve"> </w:t>
      </w:r>
      <w:r>
        <w:rPr>
          <w:rFonts w:hint="eastAsia"/>
        </w:rPr>
        <w:t>定时巡视各设备的工况条件，并做好设备维修保养记录；</w:t>
      </w:r>
    </w:p>
    <w:p>
      <w:pPr>
        <w:pStyle w:val="42"/>
        <w:ind w:firstLine="480"/>
      </w:pPr>
      <w:r>
        <w:rPr>
          <w:rFonts w:hint="eastAsia"/>
        </w:rPr>
        <w:t>2</w:t>
      </w:r>
      <w:r>
        <w:t xml:space="preserve"> </w:t>
      </w:r>
      <w:r>
        <w:rPr>
          <w:rFonts w:hint="eastAsia"/>
        </w:rPr>
        <w:t>按工艺运行要求，定期或连续补充磁介质；</w:t>
      </w:r>
    </w:p>
    <w:p>
      <w:pPr>
        <w:pStyle w:val="42"/>
        <w:ind w:firstLine="480"/>
      </w:pPr>
      <w:r>
        <w:rPr>
          <w:rFonts w:hint="eastAsia"/>
        </w:rPr>
        <w:t>3</w:t>
      </w:r>
      <w:r>
        <w:t xml:space="preserve"> </w:t>
      </w:r>
      <w:r>
        <w:rPr>
          <w:rFonts w:hint="eastAsia"/>
        </w:rPr>
        <w:t>按工艺运行、进出水水质指标要求，检查矾花的大小、形态和沉降性能，调整药剂制备和投加。</w:t>
      </w:r>
    </w:p>
    <w:p>
      <w:pPr>
        <w:pStyle w:val="49"/>
        <w:spacing w:before="156" w:after="156"/>
      </w:pPr>
      <w:r>
        <w:rPr>
          <w:rFonts w:hint="eastAsia"/>
        </w:rPr>
        <w:t>M段停止运行操作应按下列程序进行：</w:t>
      </w:r>
    </w:p>
    <w:p>
      <w:pPr>
        <w:pStyle w:val="42"/>
        <w:ind w:firstLine="480"/>
      </w:pPr>
      <w:r>
        <w:rPr>
          <w:rFonts w:hint="eastAsia"/>
        </w:rPr>
        <w:t>1</w:t>
      </w:r>
      <w:r>
        <w:t xml:space="preserve"> </w:t>
      </w:r>
      <w:r>
        <w:rPr>
          <w:rFonts w:hint="eastAsia"/>
        </w:rPr>
        <w:t>关闭进水闸门；</w:t>
      </w:r>
    </w:p>
    <w:p>
      <w:pPr>
        <w:pStyle w:val="42"/>
        <w:ind w:firstLine="480"/>
      </w:pPr>
      <w:r>
        <w:rPr>
          <w:rFonts w:hint="eastAsia"/>
        </w:rPr>
        <w:t>2</w:t>
      </w:r>
      <w:r>
        <w:t xml:space="preserve"> </w:t>
      </w:r>
      <w:r>
        <w:rPr>
          <w:rFonts w:hint="eastAsia"/>
        </w:rPr>
        <w:t>停止投加混凝剂、助凝剂和磁介质；</w:t>
      </w:r>
    </w:p>
    <w:p>
      <w:pPr>
        <w:pStyle w:val="42"/>
        <w:ind w:firstLine="480"/>
      </w:pPr>
      <w:r>
        <w:rPr>
          <w:rFonts w:hint="eastAsia"/>
        </w:rPr>
        <w:t>3</w:t>
      </w:r>
      <w:r>
        <w:t xml:space="preserve"> </w:t>
      </w:r>
      <w:r>
        <w:rPr>
          <w:rFonts w:hint="eastAsia"/>
        </w:rPr>
        <w:t>待磁分离机上无磁介质时，先停刮泥机、磁介质回收泵、磁介质污泥回流泵，再停高剪机与磁分离机；</w:t>
      </w:r>
    </w:p>
    <w:p>
      <w:pPr>
        <w:pStyle w:val="42"/>
        <w:ind w:firstLine="480"/>
      </w:pPr>
      <w:r>
        <w:rPr>
          <w:rFonts w:hint="eastAsia"/>
        </w:rPr>
        <w:t>4</w:t>
      </w:r>
      <w:r>
        <w:t xml:space="preserve"> </w:t>
      </w:r>
      <w:r>
        <w:rPr>
          <w:rFonts w:hint="eastAsia"/>
        </w:rPr>
        <w:t>停止各搅拌器等其他设备。</w:t>
      </w:r>
    </w:p>
    <w:p>
      <w:pPr>
        <w:pStyle w:val="3"/>
      </w:pPr>
      <w:bookmarkStart w:id="135" w:name="_Toc122709417"/>
      <w:bookmarkStart w:id="136" w:name="_Toc122709928"/>
      <w:bookmarkStart w:id="137" w:name="_Toc122709340"/>
      <w:r>
        <w:rPr>
          <w:rFonts w:hint="eastAsia"/>
        </w:rPr>
        <w:t>维护</w:t>
      </w:r>
      <w:bookmarkEnd w:id="135"/>
      <w:bookmarkEnd w:id="136"/>
      <w:bookmarkEnd w:id="137"/>
    </w:p>
    <w:p>
      <w:pPr>
        <w:pStyle w:val="49"/>
        <w:spacing w:before="156" w:after="156"/>
      </w:pPr>
      <w:r>
        <w:rPr>
          <w:rFonts w:hint="eastAsia"/>
        </w:rPr>
        <w:t>维护工作应包括电气、仪表、机械设备累计运行记录和维护、维修与保养记录。</w:t>
      </w:r>
    </w:p>
    <w:p>
      <w:pPr>
        <w:pStyle w:val="49"/>
        <w:spacing w:before="156" w:after="156"/>
      </w:pPr>
      <w:r>
        <w:rPr>
          <w:rFonts w:hint="eastAsia"/>
        </w:rPr>
        <w:t>应按设备的维修保养手册保养维护。</w:t>
      </w:r>
    </w:p>
    <w:p>
      <w:pPr>
        <w:pStyle w:val="49"/>
        <w:spacing w:before="156" w:after="156"/>
      </w:pPr>
      <w:r>
        <w:rPr>
          <w:rFonts w:hint="eastAsia"/>
        </w:rPr>
        <w:t>操作人员应严格执行设备操作规程，定时巡视设备运转是否正常，包括温升、响声、振动、电压、电流等，发现问题应尽快检查排除。</w:t>
      </w:r>
    </w:p>
    <w:p>
      <w:pPr>
        <w:pStyle w:val="49"/>
        <w:spacing w:before="156" w:after="156"/>
      </w:pPr>
      <w:r>
        <w:rPr>
          <w:rFonts w:hint="eastAsia"/>
        </w:rPr>
        <w:t>应对控制系统定期进行维护保养，并根据实际水质水量情况对自控系统进行改进完善。</w:t>
      </w:r>
    </w:p>
    <w:p>
      <w:pPr>
        <w:pStyle w:val="49"/>
        <w:spacing w:before="156" w:after="156"/>
      </w:pPr>
      <w:r>
        <w:rPr>
          <w:rFonts w:hint="eastAsia"/>
        </w:rPr>
        <w:t>维护工作应按下列内容进行：</w:t>
      </w:r>
    </w:p>
    <w:p>
      <w:pPr>
        <w:pStyle w:val="42"/>
        <w:ind w:firstLine="480"/>
      </w:pPr>
      <w:r>
        <w:t xml:space="preserve">1 </w:t>
      </w:r>
      <w:r>
        <w:rPr>
          <w:rFonts w:hint="eastAsia"/>
        </w:rPr>
        <w:t>应保持设备表面清洁；</w:t>
      </w:r>
    </w:p>
    <w:p>
      <w:pPr>
        <w:pStyle w:val="42"/>
        <w:ind w:firstLine="480"/>
      </w:pPr>
      <w:r>
        <w:rPr>
          <w:rFonts w:hint="eastAsia"/>
        </w:rPr>
        <w:t>2</w:t>
      </w:r>
      <w:r>
        <w:t xml:space="preserve"> </w:t>
      </w:r>
      <w:r>
        <w:rPr>
          <w:rFonts w:hint="eastAsia"/>
        </w:rPr>
        <w:t>应定期检查及更换不合格的零部件和易损件；</w:t>
      </w:r>
    </w:p>
    <w:p>
      <w:pPr>
        <w:pStyle w:val="42"/>
        <w:ind w:firstLine="480"/>
      </w:pPr>
      <w:r>
        <w:rPr>
          <w:rFonts w:hint="eastAsia"/>
        </w:rPr>
        <w:t>3</w:t>
      </w:r>
      <w:r>
        <w:t xml:space="preserve"> </w:t>
      </w:r>
      <w:r>
        <w:rPr>
          <w:rFonts w:hint="eastAsia"/>
        </w:rPr>
        <w:t>应及时排除设备故障，更换易损部件，并做维护和交接班记录；</w:t>
      </w:r>
    </w:p>
    <w:p>
      <w:pPr>
        <w:pStyle w:val="42"/>
        <w:ind w:firstLine="480"/>
      </w:pPr>
      <w:r>
        <w:rPr>
          <w:rFonts w:hint="eastAsia"/>
        </w:rPr>
        <w:t>4</w:t>
      </w:r>
      <w:r>
        <w:t xml:space="preserve"> </w:t>
      </w:r>
      <w:r>
        <w:rPr>
          <w:rFonts w:hint="eastAsia"/>
        </w:rPr>
        <w:t>应保持设备各运转部位的润滑状态，及时添加润滑油及除锈；发现漏油、渗油情况，应及时解决；</w:t>
      </w:r>
    </w:p>
    <w:p>
      <w:pPr>
        <w:pStyle w:val="42"/>
        <w:ind w:firstLine="480"/>
      </w:pPr>
      <w:r>
        <w:rPr>
          <w:rFonts w:hint="eastAsia"/>
        </w:rPr>
        <w:t>5</w:t>
      </w:r>
      <w:r>
        <w:t xml:space="preserve"> </w:t>
      </w:r>
      <w:r>
        <w:rPr>
          <w:rFonts w:hint="eastAsia"/>
        </w:rPr>
        <w:t>定期检查库存备品备件情况，并及时订货、补充；</w:t>
      </w:r>
    </w:p>
    <w:p>
      <w:pPr>
        <w:pStyle w:val="42"/>
        <w:ind w:firstLine="480"/>
      </w:pPr>
      <w:r>
        <w:rPr>
          <w:rFonts w:hint="eastAsia"/>
        </w:rPr>
        <w:t>6</w:t>
      </w:r>
      <w:r>
        <w:t xml:space="preserve"> </w:t>
      </w:r>
      <w:r>
        <w:rPr>
          <w:rFonts w:hint="eastAsia"/>
        </w:rPr>
        <w:t>应定期对各类仪器、仪表的检查和校验。</w:t>
      </w:r>
    </w:p>
    <w:p>
      <w:pPr>
        <w:pStyle w:val="49"/>
        <w:spacing w:before="156" w:after="156"/>
      </w:pPr>
      <w:r>
        <w:rPr>
          <w:rFonts w:hint="eastAsia"/>
        </w:rPr>
        <w:t>采用装配式污水处理设施时，维护应符合以下要求：</w:t>
      </w:r>
    </w:p>
    <w:p>
      <w:pPr>
        <w:pStyle w:val="42"/>
        <w:ind w:firstLine="480"/>
        <w:rPr>
          <w:bCs/>
        </w:rPr>
      </w:pPr>
      <w:r>
        <w:rPr>
          <w:rFonts w:hint="eastAsia"/>
        </w:rPr>
        <w:t>1</w:t>
      </w:r>
      <w:r>
        <w:t xml:space="preserve"> </w:t>
      </w:r>
      <w:r>
        <w:rPr>
          <w:rFonts w:hint="eastAsia"/>
          <w:bCs/>
          <w:szCs w:val="22"/>
        </w:rPr>
        <w:t>应定期检查装配件的质量，评估密封寿命，定期进行防锈、防腐处理；</w:t>
      </w:r>
      <w:r>
        <w:rPr>
          <w:bCs/>
        </w:rPr>
        <w:t>针对爬梯、围栏、阀门等附属设施，要定期进行维护</w:t>
      </w:r>
      <w:r>
        <w:rPr>
          <w:rFonts w:hint="eastAsia"/>
          <w:bCs/>
        </w:rPr>
        <w:t>；</w:t>
      </w:r>
    </w:p>
    <w:p>
      <w:pPr>
        <w:pStyle w:val="42"/>
        <w:ind w:firstLine="480"/>
        <w:rPr>
          <w:bCs/>
          <w:kern w:val="0"/>
          <w:szCs w:val="18"/>
        </w:rPr>
      </w:pPr>
      <w:r>
        <w:rPr>
          <w:rFonts w:hint="eastAsia"/>
          <w:bCs/>
        </w:rPr>
        <w:t>2</w:t>
      </w:r>
      <w:r>
        <w:rPr>
          <w:bCs/>
        </w:rPr>
        <w:t xml:space="preserve"> </w:t>
      </w:r>
      <w:r>
        <w:rPr>
          <w:bCs/>
          <w:kern w:val="0"/>
          <w:szCs w:val="18"/>
        </w:rPr>
        <w:t>对钢结构污水处理设施要</w:t>
      </w:r>
      <w:r>
        <w:rPr>
          <w:rFonts w:hint="eastAsia"/>
          <w:bCs/>
          <w:kern w:val="0"/>
          <w:szCs w:val="18"/>
        </w:rPr>
        <w:t>每年</w:t>
      </w:r>
      <w:r>
        <w:rPr>
          <w:bCs/>
          <w:kern w:val="0"/>
          <w:szCs w:val="18"/>
        </w:rPr>
        <w:t>进行变形监测维护</w:t>
      </w:r>
      <w:r>
        <w:rPr>
          <w:rFonts w:hint="eastAsia"/>
          <w:bCs/>
          <w:kern w:val="0"/>
          <w:szCs w:val="18"/>
        </w:rPr>
        <w:t>，每年对墙板模块的钢板厚度进行检测，防止过度腐蚀；</w:t>
      </w:r>
    </w:p>
    <w:p>
      <w:pPr>
        <w:pStyle w:val="42"/>
        <w:ind w:firstLine="480"/>
        <w:rPr>
          <w:rFonts w:ascii="仿宋_GB2312" w:hAnsi="仿宋_GB2312" w:cs="仿宋_GB2312"/>
          <w:sz w:val="32"/>
          <w:szCs w:val="32"/>
        </w:rPr>
      </w:pPr>
      <w:r>
        <w:rPr>
          <w:rFonts w:hint="eastAsia"/>
          <w:bCs/>
          <w:kern w:val="0"/>
          <w:szCs w:val="18"/>
        </w:rPr>
        <w:t>3</w:t>
      </w:r>
      <w:r>
        <w:rPr>
          <w:bCs/>
          <w:kern w:val="0"/>
          <w:szCs w:val="18"/>
        </w:rPr>
        <w:t xml:space="preserve"> </w:t>
      </w:r>
      <w:r>
        <w:rPr>
          <w:rFonts w:hint="eastAsia"/>
          <w:bCs/>
        </w:rPr>
        <w:t>每个月对污水处理池装有振动设备位置的紧固件进行检验，每</w:t>
      </w:r>
      <w:r>
        <w:rPr>
          <w:bCs/>
        </w:rPr>
        <w:t>6</w:t>
      </w:r>
      <w:r>
        <w:rPr>
          <w:rFonts w:hint="eastAsia"/>
          <w:bCs/>
        </w:rPr>
        <w:t>个月对所有部位紧固件进行检测。</w:t>
      </w:r>
      <w:r>
        <w:rPr>
          <w:rFonts w:ascii="仿宋_GB2312" w:hAnsi="仿宋_GB2312" w:cs="仿宋_GB2312"/>
          <w:sz w:val="32"/>
          <w:szCs w:val="32"/>
        </w:rPr>
        <w:br w:type="page"/>
      </w:r>
    </w:p>
    <w:p>
      <w:pPr>
        <w:pStyle w:val="2"/>
        <w:numPr>
          <w:ilvl w:val="0"/>
          <w:numId w:val="0"/>
        </w:numPr>
      </w:pPr>
      <w:bookmarkStart w:id="138" w:name="_Toc122709418"/>
      <w:bookmarkStart w:id="139" w:name="_Toc122709341"/>
      <w:bookmarkStart w:id="140" w:name="_Toc122709929"/>
      <w:r>
        <w:rPr>
          <w:rFonts w:hint="eastAsia"/>
        </w:rPr>
        <w:t>本规程用词说明</w:t>
      </w:r>
      <w:bookmarkEnd w:id="138"/>
      <w:bookmarkEnd w:id="139"/>
      <w:bookmarkEnd w:id="140"/>
    </w:p>
    <w:p>
      <w:pPr>
        <w:pStyle w:val="42"/>
        <w:ind w:firstLine="480"/>
      </w:pPr>
      <w:bookmarkStart w:id="141" w:name="_Toc103239332"/>
      <w:bookmarkStart w:id="142" w:name="_Toc120863439"/>
      <w:r>
        <w:rPr>
          <w:rFonts w:hint="eastAsia"/>
        </w:rPr>
        <w:t>1 为便于在执行本规程条文时区别对待，对要求严格程度不同的用词说明如下：</w:t>
      </w:r>
    </w:p>
    <w:p>
      <w:pPr>
        <w:pStyle w:val="42"/>
        <w:ind w:firstLine="480"/>
      </w:pPr>
      <w:r>
        <w:rPr>
          <w:rFonts w:hint="eastAsia"/>
        </w:rPr>
        <w:t>1）表示很严格，非这样做不可的：</w:t>
      </w:r>
    </w:p>
    <w:p>
      <w:pPr>
        <w:pStyle w:val="42"/>
        <w:ind w:firstLine="480"/>
      </w:pPr>
      <w:r>
        <w:rPr>
          <w:rFonts w:hint="eastAsia"/>
        </w:rPr>
        <w:t>正面词采用“必须”，反面词采用“严禁”；</w:t>
      </w:r>
    </w:p>
    <w:p>
      <w:pPr>
        <w:pStyle w:val="42"/>
        <w:ind w:firstLine="480"/>
      </w:pPr>
      <w:r>
        <w:rPr>
          <w:rFonts w:hint="eastAsia"/>
        </w:rPr>
        <w:t>2）表示严格，在正常情况下均应这样做的：</w:t>
      </w:r>
    </w:p>
    <w:p>
      <w:pPr>
        <w:pStyle w:val="42"/>
        <w:ind w:firstLine="480"/>
      </w:pPr>
      <w:r>
        <w:rPr>
          <w:rFonts w:hint="eastAsia"/>
        </w:rPr>
        <w:t>正面词采用“应”，反面词采用“不应”或“不得”；</w:t>
      </w:r>
    </w:p>
    <w:p>
      <w:pPr>
        <w:pStyle w:val="42"/>
        <w:ind w:firstLine="480"/>
      </w:pPr>
      <w:r>
        <w:rPr>
          <w:rFonts w:hint="eastAsia"/>
        </w:rPr>
        <w:t>3）表示允许稍有选择，在条件许可时首先应这样做的：</w:t>
      </w:r>
    </w:p>
    <w:p>
      <w:pPr>
        <w:pStyle w:val="42"/>
        <w:ind w:firstLine="480"/>
      </w:pPr>
      <w:r>
        <w:rPr>
          <w:rFonts w:hint="eastAsia"/>
        </w:rPr>
        <w:t>正面词采用“宜”，反面词采用“不宜”；</w:t>
      </w:r>
    </w:p>
    <w:p>
      <w:pPr>
        <w:pStyle w:val="42"/>
        <w:ind w:firstLine="480"/>
      </w:pPr>
      <w:r>
        <w:rPr>
          <w:rFonts w:hint="eastAsia"/>
        </w:rPr>
        <w:t>4）表示有选择，在一定条件下可以这样做的，采用“可”。</w:t>
      </w:r>
    </w:p>
    <w:p>
      <w:pPr>
        <w:pStyle w:val="42"/>
        <w:ind w:firstLine="480"/>
        <w:rPr>
          <w:b/>
          <w:bCs/>
        </w:rPr>
      </w:pPr>
      <w:r>
        <w:rPr>
          <w:rFonts w:hint="eastAsia"/>
        </w:rPr>
        <w:t>2 条文中指明应按其他有关标准执行的写法为：“应符合……的规定”或“应按……执行”。</w:t>
      </w:r>
    </w:p>
    <w:p>
      <w:pPr>
        <w:pStyle w:val="2"/>
        <w:numPr>
          <w:ilvl w:val="0"/>
          <w:numId w:val="0"/>
        </w:numPr>
      </w:pPr>
      <w:bookmarkStart w:id="143" w:name="_Toc122709930"/>
      <w:bookmarkStart w:id="144" w:name="_Toc122709342"/>
      <w:bookmarkStart w:id="145" w:name="_Toc122709419"/>
      <w:r>
        <w:t>引用标准名录</w:t>
      </w:r>
      <w:bookmarkEnd w:id="141"/>
      <w:bookmarkEnd w:id="142"/>
      <w:bookmarkEnd w:id="143"/>
      <w:bookmarkEnd w:id="144"/>
      <w:bookmarkEnd w:id="145"/>
    </w:p>
    <w:p>
      <w:pPr>
        <w:pStyle w:val="42"/>
        <w:ind w:firstLine="480"/>
      </w:pPr>
      <w:r>
        <w:rPr>
          <w:rFonts w:hint="eastAsia"/>
        </w:rPr>
        <w:t>《室外排水设计标准》 GB</w:t>
      </w:r>
      <w:r>
        <w:t xml:space="preserve"> </w:t>
      </w:r>
      <w:r>
        <w:rPr>
          <w:rFonts w:hint="eastAsia"/>
        </w:rPr>
        <w:t>50014</w:t>
      </w:r>
    </w:p>
    <w:p>
      <w:pPr>
        <w:pStyle w:val="42"/>
        <w:ind w:firstLine="480"/>
      </w:pPr>
      <w:r>
        <w:rPr>
          <w:rFonts w:hint="eastAsia"/>
        </w:rPr>
        <w:t xml:space="preserve">《城镇污水处理厂污染物排放标准》 </w:t>
      </w:r>
      <w:r>
        <w:t>GB 18918</w:t>
      </w:r>
    </w:p>
    <w:p>
      <w:pPr>
        <w:pStyle w:val="42"/>
        <w:ind w:firstLine="480"/>
      </w:pPr>
      <w:r>
        <w:rPr>
          <w:rFonts w:hint="eastAsia"/>
        </w:rPr>
        <w:t>《地表水环境质量标准》 G</w:t>
      </w:r>
      <w:r>
        <w:t>B 3838</w:t>
      </w:r>
    </w:p>
    <w:p>
      <w:pPr>
        <w:pStyle w:val="42"/>
        <w:ind w:firstLine="480"/>
      </w:pPr>
      <w:r>
        <w:rPr>
          <w:rFonts w:hint="eastAsia"/>
        </w:rPr>
        <w:t>《风机、压缩机、泵安装工程施工及验收规范》 GB</w:t>
      </w:r>
      <w:r>
        <w:t xml:space="preserve"> </w:t>
      </w:r>
      <w:r>
        <w:rPr>
          <w:rFonts w:hint="eastAsia"/>
        </w:rPr>
        <w:t>50275</w:t>
      </w:r>
    </w:p>
    <w:p>
      <w:pPr>
        <w:pStyle w:val="42"/>
        <w:ind w:firstLine="480"/>
      </w:pPr>
      <w:r>
        <w:rPr>
          <w:rFonts w:hint="eastAsia"/>
        </w:rPr>
        <w:t>《机械设备安装工程施工及验收通用规范》 GB</w:t>
      </w:r>
      <w:r>
        <w:t xml:space="preserve"> </w:t>
      </w:r>
      <w:r>
        <w:rPr>
          <w:rFonts w:hint="eastAsia"/>
        </w:rPr>
        <w:t>50231</w:t>
      </w:r>
    </w:p>
    <w:p>
      <w:pPr>
        <w:pStyle w:val="42"/>
        <w:ind w:firstLine="480"/>
      </w:pPr>
      <w:r>
        <w:rPr>
          <w:rFonts w:hint="eastAsia"/>
        </w:rPr>
        <w:t>《给水排水构筑物工程施工及验收规范》 GB</w:t>
      </w:r>
      <w:r>
        <w:t xml:space="preserve"> </w:t>
      </w:r>
      <w:r>
        <w:rPr>
          <w:rFonts w:hint="eastAsia"/>
        </w:rPr>
        <w:t>50141</w:t>
      </w:r>
    </w:p>
    <w:p>
      <w:pPr>
        <w:pStyle w:val="42"/>
        <w:ind w:firstLine="480"/>
      </w:pPr>
      <w:r>
        <w:rPr>
          <w:rFonts w:hint="eastAsia"/>
        </w:rPr>
        <w:t>《城镇污水处理厂工程质量验收规范》 GB</w:t>
      </w:r>
      <w:r>
        <w:t xml:space="preserve"> </w:t>
      </w:r>
      <w:r>
        <w:rPr>
          <w:rFonts w:hint="eastAsia"/>
        </w:rPr>
        <w:t>50334</w:t>
      </w:r>
    </w:p>
    <w:p>
      <w:pPr>
        <w:pStyle w:val="42"/>
        <w:ind w:firstLine="480"/>
      </w:pPr>
      <w:r>
        <w:rPr>
          <w:rFonts w:hint="eastAsia"/>
        </w:rPr>
        <w:t>《城镇污水处理厂工程施工规范》 GB</w:t>
      </w:r>
      <w:r>
        <w:t xml:space="preserve"> </w:t>
      </w:r>
      <w:r>
        <w:rPr>
          <w:rFonts w:hint="eastAsia"/>
        </w:rPr>
        <w:t>51221</w:t>
      </w:r>
    </w:p>
    <w:p>
      <w:pPr>
        <w:pStyle w:val="42"/>
        <w:ind w:firstLine="480"/>
      </w:pPr>
      <w:r>
        <w:rPr>
          <w:rFonts w:hint="eastAsia"/>
        </w:rPr>
        <w:t>《钢结构工程施工质量验收标准》 GB</w:t>
      </w:r>
      <w:r>
        <w:t xml:space="preserve"> </w:t>
      </w:r>
      <w:r>
        <w:rPr>
          <w:rFonts w:hint="eastAsia"/>
        </w:rPr>
        <w:t>50205-2020</w:t>
      </w:r>
    </w:p>
    <w:p>
      <w:pPr>
        <w:pStyle w:val="42"/>
        <w:ind w:firstLine="480"/>
      </w:pPr>
      <w:r>
        <w:rPr>
          <w:rFonts w:hint="eastAsia"/>
        </w:rPr>
        <w:t>《钢结构工程施工规范》 GB</w:t>
      </w:r>
      <w:r>
        <w:t xml:space="preserve"> </w:t>
      </w:r>
      <w:r>
        <w:rPr>
          <w:rFonts w:hint="eastAsia"/>
        </w:rPr>
        <w:t>50755</w:t>
      </w:r>
    </w:p>
    <w:p>
      <w:pPr>
        <w:pStyle w:val="42"/>
        <w:ind w:firstLine="480"/>
      </w:pPr>
      <w:r>
        <w:rPr>
          <w:rFonts w:hint="eastAsia"/>
        </w:rPr>
        <w:t>《混凝土结构工程施工质量验收规范》 GB</w:t>
      </w:r>
      <w:r>
        <w:t xml:space="preserve"> </w:t>
      </w:r>
      <w:r>
        <w:rPr>
          <w:rFonts w:hint="eastAsia"/>
        </w:rPr>
        <w:t>50204</w:t>
      </w:r>
    </w:p>
    <w:p>
      <w:pPr>
        <w:pStyle w:val="42"/>
        <w:ind w:firstLine="480"/>
      </w:pPr>
      <w:r>
        <w:rPr>
          <w:rFonts w:hint="eastAsia"/>
        </w:rPr>
        <w:t>《混凝土结构工程施工规范》 GB</w:t>
      </w:r>
      <w:r>
        <w:t xml:space="preserve"> </w:t>
      </w:r>
      <w:r>
        <w:rPr>
          <w:rFonts w:hint="eastAsia"/>
        </w:rPr>
        <w:t>50666</w:t>
      </w:r>
    </w:p>
    <w:p>
      <w:pPr>
        <w:pStyle w:val="42"/>
        <w:ind w:firstLine="480"/>
      </w:pPr>
      <w:r>
        <w:rPr>
          <w:rFonts w:hint="eastAsia"/>
        </w:rPr>
        <w:t>《钢结构设计标准》 GB</w:t>
      </w:r>
      <w:r>
        <w:t xml:space="preserve"> </w:t>
      </w:r>
      <w:r>
        <w:rPr>
          <w:rFonts w:hint="eastAsia"/>
        </w:rPr>
        <w:t>50017</w:t>
      </w:r>
    </w:p>
    <w:p>
      <w:pPr>
        <w:pStyle w:val="42"/>
        <w:ind w:firstLine="480"/>
      </w:pPr>
      <w:r>
        <w:rPr>
          <w:rFonts w:hint="eastAsia"/>
        </w:rPr>
        <w:t>《钢结构焊接规范》 GB</w:t>
      </w:r>
      <w:r>
        <w:t xml:space="preserve"> </w:t>
      </w:r>
      <w:r>
        <w:rPr>
          <w:rFonts w:hint="eastAsia"/>
        </w:rPr>
        <w:t>50661</w:t>
      </w:r>
    </w:p>
    <w:p>
      <w:pPr>
        <w:pStyle w:val="42"/>
        <w:ind w:firstLine="480"/>
      </w:pPr>
      <w:r>
        <w:rPr>
          <w:rFonts w:hint="eastAsia"/>
        </w:rPr>
        <w:t>《给水排水管道工程施工及验收规范》 GB</w:t>
      </w:r>
      <w:r>
        <w:t xml:space="preserve"> </w:t>
      </w:r>
      <w:r>
        <w:rPr>
          <w:rFonts w:hint="eastAsia"/>
        </w:rPr>
        <w:t>50268</w:t>
      </w:r>
    </w:p>
    <w:p>
      <w:pPr>
        <w:pStyle w:val="42"/>
        <w:ind w:firstLine="480"/>
      </w:pPr>
      <w:r>
        <w:rPr>
          <w:rFonts w:hint="eastAsia"/>
        </w:rPr>
        <w:t>《装配式混凝土建筑技术标准》 GB/T</w:t>
      </w:r>
      <w:r>
        <w:t xml:space="preserve"> </w:t>
      </w:r>
      <w:r>
        <w:rPr>
          <w:rFonts w:hint="eastAsia"/>
        </w:rPr>
        <w:t>51231</w:t>
      </w:r>
    </w:p>
    <w:p>
      <w:pPr>
        <w:pStyle w:val="42"/>
        <w:ind w:firstLine="480"/>
      </w:pPr>
      <w:r>
        <w:rPr>
          <w:rFonts w:hint="eastAsia"/>
        </w:rPr>
        <w:t>《焊缝无损检测射线检测第1部分：X和伽马射线的胶片技术》 GB/T</w:t>
      </w:r>
      <w:r>
        <w:t xml:space="preserve"> </w:t>
      </w:r>
      <w:r>
        <w:rPr>
          <w:rFonts w:hint="eastAsia"/>
        </w:rPr>
        <w:t>3323.1</w:t>
      </w:r>
    </w:p>
    <w:p>
      <w:pPr>
        <w:pStyle w:val="42"/>
        <w:ind w:firstLine="480"/>
      </w:pPr>
      <w:r>
        <w:rPr>
          <w:rFonts w:hint="eastAsia"/>
        </w:rPr>
        <w:t>《焊缝无损检测射线检测第2部分：使用数字化探测器的X和伽马射线技术》 GB/T</w:t>
      </w:r>
      <w:r>
        <w:t xml:space="preserve"> </w:t>
      </w:r>
      <w:r>
        <w:rPr>
          <w:rFonts w:hint="eastAsia"/>
        </w:rPr>
        <w:t>3323.2</w:t>
      </w:r>
    </w:p>
    <w:p>
      <w:pPr>
        <w:pStyle w:val="42"/>
        <w:ind w:firstLine="480"/>
      </w:pPr>
      <w:r>
        <w:rPr>
          <w:rFonts w:hint="eastAsia"/>
        </w:rPr>
        <w:t>《城市污水处理工程项目建设标准》 建标1</w:t>
      </w:r>
      <w:r>
        <w:t>98</w:t>
      </w:r>
      <w:r>
        <w:rPr>
          <w:rFonts w:hint="eastAsia"/>
        </w:rPr>
        <w:t>-</w:t>
      </w:r>
      <w:r>
        <w:t>2022</w:t>
      </w:r>
    </w:p>
    <w:p>
      <w:pPr>
        <w:pStyle w:val="42"/>
        <w:ind w:firstLine="480"/>
      </w:pPr>
      <w:r>
        <w:rPr>
          <w:rFonts w:hint="eastAsia"/>
        </w:rPr>
        <w:t>《城镇污水处理厂运行、维护及安全技术规程》 CJJ</w:t>
      </w:r>
      <w:r>
        <w:t xml:space="preserve"> </w:t>
      </w:r>
      <w:r>
        <w:rPr>
          <w:rFonts w:hint="eastAsia"/>
        </w:rPr>
        <w:t>60</w:t>
      </w:r>
    </w:p>
    <w:p>
      <w:pPr>
        <w:pStyle w:val="42"/>
        <w:ind w:firstLine="480"/>
      </w:pPr>
      <w:r>
        <w:rPr>
          <w:rFonts w:hint="eastAsia"/>
        </w:rPr>
        <w:t>《水处理用高密度聚乙烯悬浮载体填料》 CJ/T</w:t>
      </w:r>
      <w:r>
        <w:t xml:space="preserve"> </w:t>
      </w:r>
      <w:r>
        <w:rPr>
          <w:rFonts w:hint="eastAsia"/>
        </w:rPr>
        <w:t>461</w:t>
      </w:r>
    </w:p>
    <w:p>
      <w:pPr>
        <w:pStyle w:val="42"/>
        <w:ind w:firstLine="480"/>
      </w:pPr>
      <w:r>
        <w:rPr>
          <w:rFonts w:hint="eastAsia"/>
        </w:rPr>
        <w:t>《碳钢、低合金钢焊接构件焊后热处理方法》 JB/T</w:t>
      </w:r>
      <w:r>
        <w:t xml:space="preserve"> </w:t>
      </w:r>
      <w:r>
        <w:rPr>
          <w:rFonts w:hint="eastAsia"/>
        </w:rPr>
        <w:t>6046</w:t>
      </w:r>
      <w:r>
        <w:br w:type="page"/>
      </w:r>
    </w:p>
    <w:p>
      <w:pPr>
        <w:jc w:val="center"/>
        <w:rPr>
          <w:rFonts w:ascii="宋体" w:hAnsi="宋体"/>
          <w:b/>
          <w:sz w:val="48"/>
          <w:szCs w:val="48"/>
        </w:rPr>
      </w:pPr>
    </w:p>
    <w:p>
      <w:pPr>
        <w:jc w:val="center"/>
        <w:rPr>
          <w:rFonts w:ascii="宋体" w:hAnsi="宋体"/>
          <w:b/>
          <w:sz w:val="48"/>
          <w:szCs w:val="48"/>
        </w:rPr>
      </w:pPr>
    </w:p>
    <w:p>
      <w:pPr>
        <w:jc w:val="center"/>
        <w:rPr>
          <w:rFonts w:ascii="宋体" w:hAnsi="宋体"/>
          <w:b/>
          <w:sz w:val="48"/>
          <w:szCs w:val="48"/>
        </w:rPr>
      </w:pPr>
      <w:r>
        <w:rPr>
          <w:rFonts w:hint="eastAsia" w:ascii="宋体" w:hAnsi="宋体"/>
          <w:b/>
          <w:sz w:val="48"/>
          <w:szCs w:val="48"/>
        </w:rPr>
        <w:t>广东省标准</w:t>
      </w:r>
    </w:p>
    <w:p>
      <w:pPr>
        <w:jc w:val="center"/>
        <w:rPr>
          <w:rFonts w:ascii="宋体" w:hAnsi="宋体"/>
          <w:b/>
          <w:sz w:val="48"/>
          <w:szCs w:val="48"/>
        </w:rPr>
      </w:pPr>
    </w:p>
    <w:p>
      <w:pPr>
        <w:jc w:val="center"/>
        <w:rPr>
          <w:rFonts w:hint="eastAsia" w:ascii="宋体" w:hAnsi="宋体" w:eastAsia="宋体"/>
          <w:b/>
          <w:sz w:val="48"/>
          <w:szCs w:val="48"/>
          <w:lang w:eastAsia="zh-CN"/>
        </w:rPr>
      </w:pPr>
      <w:r>
        <w:rPr>
          <w:rFonts w:hint="eastAsia" w:ascii="宋体" w:hAnsi="宋体"/>
          <w:b/>
          <w:sz w:val="48"/>
          <w:szCs w:val="48"/>
        </w:rPr>
        <w:t>悬浮载体生物膜速净技术规程</w:t>
      </w:r>
    </w:p>
    <w:p>
      <w:pPr>
        <w:jc w:val="center"/>
        <w:rPr>
          <w:rFonts w:hint="eastAsia" w:ascii="宋体" w:hAnsi="宋体" w:eastAsia="宋体"/>
          <w:b/>
          <w:sz w:val="48"/>
          <w:szCs w:val="48"/>
          <w:lang w:eastAsia="zh-CN"/>
        </w:rPr>
      </w:pPr>
    </w:p>
    <w:p>
      <w:pPr>
        <w:jc w:val="center"/>
        <w:rPr>
          <w:b/>
          <w:sz w:val="48"/>
          <w:szCs w:val="48"/>
        </w:rPr>
      </w:pPr>
      <w:r>
        <w:rPr>
          <w:b/>
          <w:sz w:val="48"/>
          <w:szCs w:val="48"/>
        </w:rPr>
        <w:t>DBJ15-XX-2023</w:t>
      </w:r>
    </w:p>
    <w:p>
      <w:pPr>
        <w:jc w:val="center"/>
        <w:rPr>
          <w:rFonts w:ascii="宋体" w:hAnsi="宋体"/>
          <w:b/>
          <w:sz w:val="48"/>
          <w:szCs w:val="48"/>
        </w:rPr>
      </w:pPr>
    </w:p>
    <w:p>
      <w:pPr>
        <w:pStyle w:val="2"/>
        <w:pageBreakBefore w:val="0"/>
        <w:numPr>
          <w:ilvl w:val="0"/>
          <w:numId w:val="0"/>
        </w:numPr>
      </w:pPr>
      <w:bookmarkStart w:id="146" w:name="_Toc122709931"/>
      <w:bookmarkStart w:id="147" w:name="_Toc122709420"/>
      <w:bookmarkStart w:id="148" w:name="_Toc122709343"/>
      <w:r>
        <w:rPr>
          <w:rFonts w:hint="eastAsia"/>
        </w:rPr>
        <w:t>条文说明</w:t>
      </w:r>
      <w:bookmarkEnd w:id="146"/>
      <w:bookmarkEnd w:id="147"/>
      <w:bookmarkEnd w:id="148"/>
    </w:p>
    <w:p>
      <w:pPr>
        <w:jc w:val="center"/>
        <w:rPr>
          <w:rFonts w:ascii="宋体" w:hAnsi="宋体"/>
          <w:b/>
          <w:sz w:val="40"/>
          <w:szCs w:val="40"/>
        </w:rPr>
      </w:pPr>
    </w:p>
    <w:p>
      <w:pPr>
        <w:jc w:val="center"/>
        <w:rPr>
          <w:rFonts w:ascii="宋体" w:hAnsi="宋体"/>
          <w:b/>
          <w:sz w:val="48"/>
          <w:szCs w:val="48"/>
        </w:rPr>
      </w:pPr>
      <w:r>
        <w:rPr>
          <w:rFonts w:ascii="宋体" w:hAnsi="宋体"/>
          <w:b/>
          <w:sz w:val="48"/>
          <w:szCs w:val="48"/>
        </w:rPr>
        <w:br w:type="page"/>
      </w:r>
    </w:p>
    <w:p>
      <w:pPr>
        <w:jc w:val="center"/>
        <w:rPr>
          <w:rFonts w:ascii="宋体" w:hAnsi="宋体"/>
          <w:b/>
          <w:sz w:val="44"/>
          <w:szCs w:val="44"/>
        </w:rPr>
      </w:pPr>
      <w:r>
        <w:rPr>
          <w:rFonts w:hint="eastAsia" w:ascii="宋体" w:hAnsi="宋体"/>
          <w:b/>
          <w:sz w:val="28"/>
          <w:szCs w:val="28"/>
        </w:rPr>
        <w:t>编制说明</w:t>
      </w:r>
    </w:p>
    <w:p>
      <w:pPr>
        <w:pStyle w:val="42"/>
        <w:ind w:firstLine="480"/>
      </w:pPr>
    </w:p>
    <w:p>
      <w:pPr>
        <w:pStyle w:val="42"/>
        <w:ind w:firstLine="480"/>
      </w:pPr>
      <w:r>
        <w:rPr>
          <w:rFonts w:hint="eastAsia"/>
        </w:rPr>
        <w:t>《悬浮载体生物膜速净技术规程》</w:t>
      </w:r>
      <w:r>
        <w:rPr>
          <w:rFonts w:ascii="TimesNewRomanPSMT" w:eastAsia="TimesNewRomanPSMT" w:cs="TimesNewRomanPSMT"/>
        </w:rPr>
        <w:t>DBJ15-XX-2023</w:t>
      </w:r>
      <w:r>
        <w:rPr>
          <w:rFonts w:hint="eastAsia"/>
        </w:rPr>
        <w:t>，经广东省住房和城乡建设厅</w:t>
      </w:r>
      <w:r>
        <w:rPr>
          <w:rFonts w:ascii="TimesNewRomanPSMT" w:eastAsia="TimesNewRomanPSMT" w:cs="TimesNewRomanPSMT"/>
        </w:rPr>
        <w:t>2023</w:t>
      </w:r>
      <w:r>
        <w:rPr>
          <w:rFonts w:hint="eastAsia"/>
        </w:rPr>
        <w:t>年</w:t>
      </w:r>
      <w:r>
        <w:rPr>
          <w:rFonts w:ascii="TimesNewRomanPSMT" w:eastAsia="TimesNewRomanPSMT" w:cs="TimesNewRomanPSMT"/>
        </w:rPr>
        <w:t>X</w:t>
      </w:r>
      <w:r>
        <w:rPr>
          <w:rFonts w:hint="eastAsia"/>
        </w:rPr>
        <w:t>月</w:t>
      </w:r>
      <w:r>
        <w:rPr>
          <w:rFonts w:ascii="TimesNewRomanPSMT" w:eastAsia="TimesNewRomanPSMT" w:cs="TimesNewRomanPSMT"/>
        </w:rPr>
        <w:t>X</w:t>
      </w:r>
      <w:r>
        <w:rPr>
          <w:rFonts w:hint="eastAsia"/>
        </w:rPr>
        <w:t>日以粤建公告〔</w:t>
      </w:r>
      <w:r>
        <w:rPr>
          <w:rFonts w:ascii="TimesNewRomanPSMT" w:eastAsia="TimesNewRomanPSMT" w:cs="TimesNewRomanPSMT"/>
        </w:rPr>
        <w:t>2023</w:t>
      </w:r>
      <w:r>
        <w:rPr>
          <w:rFonts w:hint="eastAsia"/>
        </w:rPr>
        <w:t>〕</w:t>
      </w:r>
      <w:r>
        <w:rPr>
          <w:rFonts w:ascii="TimesNewRomanPSMT" w:eastAsia="TimesNewRomanPSMT" w:cs="TimesNewRomanPSMT"/>
        </w:rPr>
        <w:t>X</w:t>
      </w:r>
      <w:r>
        <w:rPr>
          <w:rFonts w:hint="eastAsia"/>
        </w:rPr>
        <w:t>号文批准、颁布。</w:t>
      </w:r>
    </w:p>
    <w:p>
      <w:pPr>
        <w:pStyle w:val="42"/>
        <w:ind w:firstLine="480"/>
      </w:pPr>
      <w:r>
        <w:rPr>
          <w:rFonts w:hint="eastAsia"/>
        </w:rPr>
        <w:t>本规程制定过程中，编制组针对我国悬浮载体生物膜速净工艺应用进行了广泛的调研，吸收并借鉴了国内外相关标准和工程实践经验，开展了工艺处理性能的相关试验，广泛征求了行业内相关专家的意见，对具体内容进行了反复讨论、协调和修改，以指导悬浮载体生物膜速净工艺的设计、建设、验收及运行维护。</w:t>
      </w:r>
    </w:p>
    <w:p>
      <w:pPr>
        <w:pStyle w:val="42"/>
        <w:ind w:firstLine="480"/>
      </w:pPr>
      <w:r>
        <w:rPr>
          <w:rFonts w:hint="eastAsia"/>
        </w:rPr>
        <w:t>为便于广大设计、施工、监理、科研、高校等单位有关人员在使用本标准时能正确理解和执行条文规定，《悬浮载体生物膜速净技术规程》编制组按章、节、条顺序编制了本标准的条文说明，对条文规定的目的、依据及执行中需注意的有关事项进行了补充说明。但是，本条文说明不具备与标准正文同等的法律效力，仅供使用者作为理解和把握标准规定的参考。</w:t>
      </w:r>
      <w:r>
        <w:br w:type="page"/>
      </w:r>
    </w:p>
    <w:sdt>
      <w:sdtPr>
        <w:rPr>
          <w:rFonts w:ascii="Times New Roman" w:hAnsi="Times New Roman" w:eastAsia="宋体" w:cs="Times New Roman"/>
          <w:color w:val="auto"/>
          <w:kern w:val="2"/>
          <w:sz w:val="21"/>
          <w:szCs w:val="24"/>
          <w:lang w:val="zh-CN"/>
        </w:rPr>
        <w:id w:val="-157769512"/>
        <w:docPartObj>
          <w:docPartGallery w:val="Table of Contents"/>
          <w:docPartUnique/>
        </w:docPartObj>
      </w:sdtPr>
      <w:sdtEndPr>
        <w:rPr>
          <w:rFonts w:ascii="Times New Roman" w:hAnsi="Times New Roman" w:eastAsia="宋体" w:cs="Times New Roman"/>
          <w:b/>
          <w:bCs/>
          <w:color w:val="auto"/>
          <w:kern w:val="2"/>
          <w:sz w:val="21"/>
          <w:szCs w:val="24"/>
          <w:lang w:val="zh-CN"/>
        </w:rPr>
      </w:sdtEndPr>
      <w:sdtContent>
        <w:p>
          <w:pPr>
            <w:pStyle w:val="81"/>
            <w:jc w:val="center"/>
            <w:rPr>
              <w:rFonts w:eastAsia="黑体"/>
              <w:b/>
              <w:bCs/>
              <w:color w:val="auto"/>
            </w:rPr>
          </w:pPr>
          <w:r>
            <w:rPr>
              <w:rFonts w:eastAsia="黑体"/>
              <w:b/>
              <w:bCs/>
              <w:color w:val="auto"/>
              <w:lang w:val="zh-CN"/>
            </w:rPr>
            <w:t>目</w:t>
          </w:r>
          <w:r>
            <w:rPr>
              <w:rFonts w:hint="eastAsia" w:eastAsia="黑体"/>
              <w:b/>
              <w:bCs/>
              <w:color w:val="auto"/>
              <w:lang w:val="zh-CN"/>
            </w:rPr>
            <w:t xml:space="preserve"> </w:t>
          </w:r>
          <w:r>
            <w:rPr>
              <w:rFonts w:eastAsia="黑体"/>
              <w:b/>
              <w:bCs/>
              <w:color w:val="auto"/>
              <w:lang w:val="zh-CN"/>
            </w:rPr>
            <w:t>录</w:t>
          </w:r>
        </w:p>
        <w:p>
          <w:pPr>
            <w:pStyle w:val="17"/>
            <w:tabs>
              <w:tab w:val="right" w:leader="dot" w:pos="8296"/>
            </w:tabs>
            <w:rPr>
              <w:rFonts w:asciiTheme="minorHAnsi" w:hAnsiTheme="minorHAnsi" w:eastAsiaTheme="minorEastAsia" w:cstheme="minorBidi"/>
              <w:sz w:val="21"/>
              <w:szCs w:val="22"/>
            </w:rPr>
          </w:pPr>
          <w:r>
            <w:fldChar w:fldCharType="begin"/>
          </w:r>
          <w:r>
            <w:instrText xml:space="preserve"> TOC \o "1-3" \h \z \u </w:instrText>
          </w:r>
          <w:r>
            <w:fldChar w:fldCharType="separate"/>
          </w:r>
        </w:p>
        <w:p>
          <w:pPr>
            <w:pStyle w:val="17"/>
            <w:tabs>
              <w:tab w:val="right" w:leader="dot" w:pos="8296"/>
            </w:tabs>
            <w:rPr>
              <w:rFonts w:asciiTheme="minorHAnsi" w:hAnsiTheme="minorHAnsi" w:eastAsiaTheme="minorEastAsia" w:cstheme="minorBidi"/>
              <w:sz w:val="21"/>
              <w:szCs w:val="22"/>
            </w:rPr>
          </w:pPr>
          <w:r>
            <w:fldChar w:fldCharType="begin"/>
          </w:r>
          <w:r>
            <w:instrText xml:space="preserve"> HYPERLINK \l "_Toc122709932" </w:instrText>
          </w:r>
          <w:r>
            <w:fldChar w:fldCharType="separate"/>
          </w:r>
          <w:r>
            <w:rPr>
              <w:rStyle w:val="28"/>
              <w:lang w:bidi="zh-CN"/>
            </w:rPr>
            <w:t>1</w:t>
          </w:r>
          <w:r>
            <w:rPr>
              <w:rStyle w:val="28"/>
            </w:rPr>
            <w:t xml:space="preserve"> 总则</w:t>
          </w:r>
          <w:r>
            <w:tab/>
          </w:r>
          <w:r>
            <w:fldChar w:fldCharType="begin"/>
          </w:r>
          <w:r>
            <w:instrText xml:space="preserve"> PAGEREF _Toc122709932 \h </w:instrText>
          </w:r>
          <w:r>
            <w:fldChar w:fldCharType="separate"/>
          </w:r>
          <w:r>
            <w:t>40</w:t>
          </w:r>
          <w:r>
            <w:fldChar w:fldCharType="end"/>
          </w:r>
          <w:r>
            <w:fldChar w:fldCharType="end"/>
          </w:r>
        </w:p>
        <w:p>
          <w:pPr>
            <w:pStyle w:val="17"/>
            <w:tabs>
              <w:tab w:val="right" w:leader="dot" w:pos="8296"/>
            </w:tabs>
            <w:rPr>
              <w:rFonts w:asciiTheme="minorHAnsi" w:hAnsiTheme="minorHAnsi" w:eastAsiaTheme="minorEastAsia" w:cstheme="minorBidi"/>
              <w:sz w:val="21"/>
              <w:szCs w:val="22"/>
            </w:rPr>
          </w:pPr>
          <w:r>
            <w:fldChar w:fldCharType="begin"/>
          </w:r>
          <w:r>
            <w:instrText xml:space="preserve"> HYPERLINK \l "_Toc122709933" </w:instrText>
          </w:r>
          <w:r>
            <w:fldChar w:fldCharType="separate"/>
          </w:r>
          <w:r>
            <w:rPr>
              <w:rStyle w:val="28"/>
              <w:lang w:bidi="zh-CN"/>
            </w:rPr>
            <w:t>2</w:t>
          </w:r>
          <w:r>
            <w:rPr>
              <w:rStyle w:val="28"/>
            </w:rPr>
            <w:t xml:space="preserve"> 术语</w:t>
          </w:r>
          <w:r>
            <w:tab/>
          </w:r>
          <w:r>
            <w:fldChar w:fldCharType="begin"/>
          </w:r>
          <w:r>
            <w:instrText xml:space="preserve"> PAGEREF _Toc122709933 \h </w:instrText>
          </w:r>
          <w:r>
            <w:fldChar w:fldCharType="separate"/>
          </w:r>
          <w:r>
            <w:t>41</w:t>
          </w:r>
          <w:r>
            <w:fldChar w:fldCharType="end"/>
          </w:r>
          <w:r>
            <w:fldChar w:fldCharType="end"/>
          </w:r>
        </w:p>
        <w:p>
          <w:pPr>
            <w:pStyle w:val="17"/>
            <w:tabs>
              <w:tab w:val="right" w:leader="dot" w:pos="8296"/>
            </w:tabs>
            <w:rPr>
              <w:rFonts w:asciiTheme="minorHAnsi" w:hAnsiTheme="minorHAnsi" w:eastAsiaTheme="minorEastAsia" w:cstheme="minorBidi"/>
              <w:sz w:val="21"/>
              <w:szCs w:val="22"/>
            </w:rPr>
          </w:pPr>
          <w:r>
            <w:fldChar w:fldCharType="begin"/>
          </w:r>
          <w:r>
            <w:instrText xml:space="preserve"> HYPERLINK \l "_Toc122709934" </w:instrText>
          </w:r>
          <w:r>
            <w:fldChar w:fldCharType="separate"/>
          </w:r>
          <w:r>
            <w:rPr>
              <w:rStyle w:val="28"/>
              <w:lang w:bidi="zh-CN"/>
            </w:rPr>
            <w:t>3</w:t>
          </w:r>
          <w:r>
            <w:rPr>
              <w:rStyle w:val="28"/>
            </w:rPr>
            <w:t xml:space="preserve"> 基本规定</w:t>
          </w:r>
          <w:r>
            <w:tab/>
          </w:r>
          <w:r>
            <w:fldChar w:fldCharType="begin"/>
          </w:r>
          <w:r>
            <w:instrText xml:space="preserve"> PAGEREF _Toc122709934 \h </w:instrText>
          </w:r>
          <w:r>
            <w:fldChar w:fldCharType="separate"/>
          </w:r>
          <w:r>
            <w:t>42</w:t>
          </w:r>
          <w:r>
            <w:fldChar w:fldCharType="end"/>
          </w:r>
          <w:r>
            <w:fldChar w:fldCharType="end"/>
          </w:r>
        </w:p>
        <w:p>
          <w:pPr>
            <w:pStyle w:val="17"/>
            <w:tabs>
              <w:tab w:val="right" w:leader="dot" w:pos="8296"/>
            </w:tabs>
            <w:rPr>
              <w:rFonts w:asciiTheme="minorHAnsi" w:hAnsiTheme="minorHAnsi" w:eastAsiaTheme="minorEastAsia" w:cstheme="minorBidi"/>
              <w:sz w:val="21"/>
              <w:szCs w:val="22"/>
            </w:rPr>
          </w:pPr>
          <w:r>
            <w:fldChar w:fldCharType="begin"/>
          </w:r>
          <w:r>
            <w:instrText xml:space="preserve"> HYPERLINK \l "_Toc122709935" </w:instrText>
          </w:r>
          <w:r>
            <w:fldChar w:fldCharType="separate"/>
          </w:r>
          <w:r>
            <w:rPr>
              <w:rStyle w:val="28"/>
              <w:lang w:bidi="zh-CN"/>
            </w:rPr>
            <w:t>4</w:t>
          </w:r>
          <w:r>
            <w:rPr>
              <w:rStyle w:val="28"/>
            </w:rPr>
            <w:t xml:space="preserve"> 工艺设计</w:t>
          </w:r>
          <w:r>
            <w:tab/>
          </w:r>
          <w:r>
            <w:fldChar w:fldCharType="begin"/>
          </w:r>
          <w:r>
            <w:instrText xml:space="preserve"> PAGEREF _Toc122709935 \h </w:instrText>
          </w:r>
          <w:r>
            <w:fldChar w:fldCharType="separate"/>
          </w:r>
          <w:r>
            <w:t>46</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"_Toc122709936" </w:instrText>
          </w:r>
          <w:r>
            <w:fldChar w:fldCharType="separate"/>
          </w:r>
          <w:r>
            <w:rPr>
              <w:rStyle w:val="28"/>
            </w:rPr>
            <w:t>4.1 预处理</w:t>
          </w:r>
          <w:r>
            <w:tab/>
          </w:r>
          <w:r>
            <w:fldChar w:fldCharType="begin"/>
          </w:r>
          <w:r>
            <w:instrText xml:space="preserve"> PAGEREF _Toc122709936 \h </w:instrText>
          </w:r>
          <w:r>
            <w:fldChar w:fldCharType="separate"/>
          </w:r>
          <w:r>
            <w:t>46</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"_Toc122709937" </w:instrText>
          </w:r>
          <w:r>
            <w:fldChar w:fldCharType="separate"/>
          </w:r>
          <w:r>
            <w:rPr>
              <w:rStyle w:val="28"/>
            </w:rPr>
            <w:t>4.2 BFM-B段</w:t>
          </w:r>
          <w:r>
            <w:tab/>
          </w:r>
          <w:r>
            <w:fldChar w:fldCharType="begin"/>
          </w:r>
          <w:r>
            <w:instrText xml:space="preserve"> PAGEREF _Toc122709937 \h </w:instrText>
          </w:r>
          <w:r>
            <w:fldChar w:fldCharType="separate"/>
          </w:r>
          <w:r>
            <w:t>46</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"_Toc122709938" </w:instrText>
          </w:r>
          <w:r>
            <w:fldChar w:fldCharType="separate"/>
          </w:r>
          <w:r>
            <w:rPr>
              <w:rStyle w:val="28"/>
            </w:rPr>
            <w:t>4.3 BFM-M段</w:t>
          </w:r>
          <w:r>
            <w:tab/>
          </w:r>
          <w:r>
            <w:fldChar w:fldCharType="begin"/>
          </w:r>
          <w:r>
            <w:instrText xml:space="preserve"> PAGEREF _Toc122709938 \h </w:instrText>
          </w:r>
          <w:r>
            <w:fldChar w:fldCharType="separate"/>
          </w:r>
          <w:r>
            <w:t>52</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"_Toc122709939" </w:instrText>
          </w:r>
          <w:r>
            <w:fldChar w:fldCharType="separate"/>
          </w:r>
          <w:r>
            <w:rPr>
              <w:rStyle w:val="28"/>
            </w:rPr>
            <w:t>4.4 污泥产量</w:t>
          </w:r>
          <w:r>
            <w:tab/>
          </w:r>
          <w:r>
            <w:fldChar w:fldCharType="begin"/>
          </w:r>
          <w:r>
            <w:instrText xml:space="preserve"> PAGEREF _Toc122709939 \h </w:instrText>
          </w:r>
          <w:r>
            <w:fldChar w:fldCharType="separate"/>
          </w:r>
          <w:r>
            <w:t>54</w:t>
          </w:r>
          <w:r>
            <w:fldChar w:fldCharType="end"/>
          </w:r>
          <w:r>
            <w:fldChar w:fldCharType="end"/>
          </w:r>
        </w:p>
        <w:p>
          <w:pPr>
            <w:pStyle w:val="17"/>
            <w:tabs>
              <w:tab w:val="right" w:leader="dot" w:pos="8296"/>
            </w:tabs>
            <w:rPr>
              <w:rFonts w:asciiTheme="minorHAnsi" w:hAnsiTheme="minorHAnsi" w:eastAsiaTheme="minorEastAsia" w:cstheme="minorBidi"/>
              <w:sz w:val="21"/>
              <w:szCs w:val="22"/>
            </w:rPr>
          </w:pPr>
          <w:r>
            <w:fldChar w:fldCharType="begin"/>
          </w:r>
          <w:r>
            <w:instrText xml:space="preserve"> HYPERLINK \l "_Toc122709940" </w:instrText>
          </w:r>
          <w:r>
            <w:fldChar w:fldCharType="separate"/>
          </w:r>
          <w:r>
            <w:rPr>
              <w:rStyle w:val="28"/>
              <w:lang w:bidi="zh-CN"/>
            </w:rPr>
            <w:t>5</w:t>
          </w:r>
          <w:r>
            <w:rPr>
              <w:rStyle w:val="28"/>
            </w:rPr>
            <w:t xml:space="preserve"> 检测与控制</w:t>
          </w:r>
          <w:r>
            <w:tab/>
          </w:r>
          <w:r>
            <w:fldChar w:fldCharType="begin"/>
          </w:r>
          <w:r>
            <w:instrText xml:space="preserve"> PAGEREF _Toc122709940 \h </w:instrText>
          </w:r>
          <w:r>
            <w:fldChar w:fldCharType="separate"/>
          </w:r>
          <w:r>
            <w:t>55</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"_Toc122709941" </w:instrText>
          </w:r>
          <w:r>
            <w:fldChar w:fldCharType="separate"/>
          </w:r>
          <w:r>
            <w:rPr>
              <w:rStyle w:val="28"/>
            </w:rPr>
            <w:t>5.2 检测</w:t>
          </w:r>
          <w:r>
            <w:tab/>
          </w:r>
          <w:r>
            <w:fldChar w:fldCharType="begin"/>
          </w:r>
          <w:r>
            <w:instrText xml:space="preserve"> PAGEREF _Toc122709941 \h </w:instrText>
          </w:r>
          <w:r>
            <w:fldChar w:fldCharType="separate"/>
          </w:r>
          <w:r>
            <w:t>55</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"_Toc122709942" </w:instrText>
          </w:r>
          <w:r>
            <w:fldChar w:fldCharType="separate"/>
          </w:r>
          <w:r>
            <w:rPr>
              <w:rStyle w:val="28"/>
            </w:rPr>
            <w:t>5.3 控制</w:t>
          </w:r>
          <w:r>
            <w:tab/>
          </w:r>
          <w:r>
            <w:fldChar w:fldCharType="begin"/>
          </w:r>
          <w:r>
            <w:instrText xml:space="preserve"> PAGEREF _Toc122709942 \h </w:instrText>
          </w:r>
          <w:r>
            <w:fldChar w:fldCharType="separate"/>
          </w:r>
          <w:r>
            <w:t>55</w:t>
          </w:r>
          <w:r>
            <w:fldChar w:fldCharType="end"/>
          </w:r>
          <w:r>
            <w:fldChar w:fldCharType="end"/>
          </w:r>
        </w:p>
        <w:p>
          <w:pPr>
            <w:pStyle w:val="17"/>
            <w:tabs>
              <w:tab w:val="right" w:leader="dot" w:pos="8296"/>
            </w:tabs>
            <w:rPr>
              <w:rFonts w:asciiTheme="minorHAnsi" w:hAnsiTheme="minorHAnsi" w:eastAsiaTheme="minorEastAsia" w:cstheme="minorBidi"/>
              <w:sz w:val="21"/>
              <w:szCs w:val="22"/>
            </w:rPr>
          </w:pPr>
          <w:r>
            <w:fldChar w:fldCharType="begin"/>
          </w:r>
          <w:r>
            <w:instrText xml:space="preserve"> HYPERLINK \l "_Toc122709943" </w:instrText>
          </w:r>
          <w:r>
            <w:fldChar w:fldCharType="separate"/>
          </w:r>
          <w:r>
            <w:rPr>
              <w:rStyle w:val="28"/>
              <w:lang w:bidi="zh-CN"/>
            </w:rPr>
            <w:t>6</w:t>
          </w:r>
          <w:r>
            <w:rPr>
              <w:rStyle w:val="28"/>
            </w:rPr>
            <w:t xml:space="preserve"> 施工与安装</w:t>
          </w:r>
          <w:r>
            <w:tab/>
          </w:r>
          <w:r>
            <w:fldChar w:fldCharType="begin"/>
          </w:r>
          <w:r>
            <w:instrText xml:space="preserve"> PAGEREF _Toc122709943 \h </w:instrText>
          </w:r>
          <w:r>
            <w:fldChar w:fldCharType="separate"/>
          </w:r>
          <w:r>
            <w:t>56</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"_Toc122709944" </w:instrText>
          </w:r>
          <w:r>
            <w:fldChar w:fldCharType="separate"/>
          </w:r>
          <w:r>
            <w:rPr>
              <w:rStyle w:val="28"/>
            </w:rPr>
            <w:t>6.1 一般规定</w:t>
          </w:r>
          <w:r>
            <w:tab/>
          </w:r>
          <w:r>
            <w:fldChar w:fldCharType="begin"/>
          </w:r>
          <w:r>
            <w:instrText xml:space="preserve"> PAGEREF _Toc122709944 \h </w:instrText>
          </w:r>
          <w:r>
            <w:fldChar w:fldCharType="separate"/>
          </w:r>
          <w:r>
            <w:t>56</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"_Toc122709945" </w:instrText>
          </w:r>
          <w:r>
            <w:fldChar w:fldCharType="separate"/>
          </w:r>
          <w:r>
            <w:rPr>
              <w:rStyle w:val="28"/>
            </w:rPr>
            <w:t>6.2 施工</w:t>
          </w:r>
          <w:r>
            <w:tab/>
          </w:r>
          <w:r>
            <w:fldChar w:fldCharType="begin"/>
          </w:r>
          <w:r>
            <w:instrText xml:space="preserve"> PAGEREF _Toc122709945 \h </w:instrText>
          </w:r>
          <w:r>
            <w:fldChar w:fldCharType="separate"/>
          </w:r>
          <w:r>
            <w:t>56</w:t>
          </w:r>
          <w:r>
            <w:fldChar w:fldCharType="end"/>
          </w:r>
          <w:r>
            <w:fldChar w:fldCharType="end"/>
          </w:r>
        </w:p>
        <w:p>
          <w:pPr>
            <w:pStyle w:val="17"/>
            <w:tabs>
              <w:tab w:val="right" w:leader="dot" w:pos="8296"/>
            </w:tabs>
            <w:rPr>
              <w:rFonts w:asciiTheme="minorHAnsi" w:hAnsiTheme="minorHAnsi" w:eastAsiaTheme="minorEastAsia" w:cstheme="minorBidi"/>
              <w:sz w:val="21"/>
              <w:szCs w:val="22"/>
            </w:rPr>
          </w:pPr>
          <w:r>
            <w:fldChar w:fldCharType="begin"/>
          </w:r>
          <w:r>
            <w:instrText xml:space="preserve"> HYPERLINK \l "_Toc122709946" </w:instrText>
          </w:r>
          <w:r>
            <w:fldChar w:fldCharType="separate"/>
          </w:r>
          <w:r>
            <w:rPr>
              <w:rStyle w:val="28"/>
              <w:lang w:bidi="zh-CN"/>
            </w:rPr>
            <w:t>7</w:t>
          </w:r>
          <w:r>
            <w:rPr>
              <w:rStyle w:val="28"/>
            </w:rPr>
            <w:t xml:space="preserve"> 调试与验收</w:t>
          </w:r>
          <w:r>
            <w:tab/>
          </w:r>
          <w:r>
            <w:fldChar w:fldCharType="begin"/>
          </w:r>
          <w:r>
            <w:instrText xml:space="preserve"> PAGEREF _Toc122709946 \h </w:instrText>
          </w:r>
          <w:r>
            <w:fldChar w:fldCharType="separate"/>
          </w:r>
          <w:r>
            <w:t>57</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"_Toc122709947" </w:instrText>
          </w:r>
          <w:r>
            <w:fldChar w:fldCharType="separate"/>
          </w:r>
          <w:r>
            <w:rPr>
              <w:rStyle w:val="28"/>
            </w:rPr>
            <w:t>7.2 调试</w:t>
          </w:r>
          <w:r>
            <w:tab/>
          </w:r>
          <w:r>
            <w:fldChar w:fldCharType="begin"/>
          </w:r>
          <w:r>
            <w:instrText xml:space="preserve"> PAGEREF _Toc122709947 \h </w:instrText>
          </w:r>
          <w:r>
            <w:fldChar w:fldCharType="separate"/>
          </w:r>
          <w:r>
            <w:t>57</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"_Toc122709948" </w:instrText>
          </w:r>
          <w:r>
            <w:fldChar w:fldCharType="separate"/>
          </w:r>
          <w:r>
            <w:rPr>
              <w:rStyle w:val="28"/>
            </w:rPr>
            <w:t>7.3 验收</w:t>
          </w:r>
          <w:r>
            <w:tab/>
          </w:r>
          <w:r>
            <w:fldChar w:fldCharType="begin"/>
          </w:r>
          <w:r>
            <w:instrText xml:space="preserve"> PAGEREF _Toc122709948 \h </w:instrText>
          </w:r>
          <w:r>
            <w:fldChar w:fldCharType="separate"/>
          </w:r>
          <w:r>
            <w:t>57</w:t>
          </w:r>
          <w:r>
            <w:fldChar w:fldCharType="end"/>
          </w:r>
          <w:r>
            <w:fldChar w:fldCharType="end"/>
          </w:r>
        </w:p>
        <w:p>
          <w:pPr>
            <w:pStyle w:val="17"/>
            <w:tabs>
              <w:tab w:val="right" w:leader="dot" w:pos="8296"/>
            </w:tabs>
            <w:rPr>
              <w:rFonts w:asciiTheme="minorHAnsi" w:hAnsiTheme="minorHAnsi" w:eastAsiaTheme="minorEastAsia" w:cstheme="minorBidi"/>
              <w:sz w:val="21"/>
              <w:szCs w:val="22"/>
            </w:rPr>
          </w:pPr>
          <w:r>
            <w:fldChar w:fldCharType="begin"/>
          </w:r>
          <w:r>
            <w:instrText xml:space="preserve"> HYPERLINK \l "_Toc122709949" </w:instrText>
          </w:r>
          <w:r>
            <w:fldChar w:fldCharType="separate"/>
          </w:r>
          <w:r>
            <w:rPr>
              <w:rStyle w:val="28"/>
              <w:lang w:bidi="zh-CN"/>
            </w:rPr>
            <w:t>8</w:t>
          </w:r>
          <w:r>
            <w:rPr>
              <w:rStyle w:val="28"/>
            </w:rPr>
            <w:t xml:space="preserve"> 运行与维护</w:t>
          </w:r>
          <w:r>
            <w:tab/>
          </w:r>
          <w:r>
            <w:fldChar w:fldCharType="begin"/>
          </w:r>
          <w:r>
            <w:instrText xml:space="preserve"> PAGEREF _Toc122709949 \h </w:instrText>
          </w:r>
          <w:r>
            <w:fldChar w:fldCharType="separate"/>
          </w:r>
          <w:r>
            <w:t>58</w:t>
          </w:r>
          <w:r>
            <w:fldChar w:fldCharType="end"/>
          </w:r>
          <w:r>
            <w:fldChar w:fldCharType="end"/>
          </w:r>
        </w:p>
        <w:p>
          <w:pPr>
            <w:pStyle w:val="18"/>
            <w:tabs>
              <w:tab w:val="right" w:leader="dot" w:pos="8296"/>
            </w:tabs>
            <w:rPr>
              <w:rFonts w:asciiTheme="minorHAnsi" w:hAnsiTheme="minorHAnsi" w:eastAsiaTheme="minorEastAsia" w:cstheme="minorBidi"/>
              <w:sz w:val="21"/>
              <w:szCs w:val="22"/>
            </w:rPr>
          </w:pPr>
          <w:r>
            <w:fldChar w:fldCharType="begin"/>
          </w:r>
          <w:r>
            <w:instrText xml:space="preserve"> HYPERLINK \l "_Toc122709950" </w:instrText>
          </w:r>
          <w:r>
            <w:fldChar w:fldCharType="separate"/>
          </w:r>
          <w:r>
            <w:rPr>
              <w:rStyle w:val="28"/>
            </w:rPr>
            <w:t>8.2 运行</w:t>
          </w:r>
          <w:r>
            <w:tab/>
          </w:r>
          <w:r>
            <w:fldChar w:fldCharType="begin"/>
          </w:r>
          <w:r>
            <w:instrText xml:space="preserve"> PAGEREF _Toc122709950 \h </w:instrText>
          </w:r>
          <w:r>
            <w:fldChar w:fldCharType="separate"/>
          </w:r>
          <w:r>
            <w:t>58</w:t>
          </w:r>
          <w:r>
            <w:fldChar w:fldCharType="end"/>
          </w:r>
          <w:r>
            <w:fldChar w:fldCharType="end"/>
          </w:r>
        </w:p>
        <w:p>
          <w:r>
            <w:rPr>
              <w:b/>
              <w:bCs/>
              <w:lang w:val="zh-CN"/>
            </w:rPr>
            <w:fldChar w:fldCharType="end"/>
          </w:r>
        </w:p>
      </w:sdtContent>
    </w:sdt>
    <w:p>
      <w:pPr>
        <w:pStyle w:val="42"/>
        <w:ind w:firstLine="480"/>
      </w:pPr>
    </w:p>
    <w:p>
      <w:pPr>
        <w:pStyle w:val="42"/>
        <w:ind w:firstLine="480"/>
      </w:pPr>
      <w:r>
        <w:br w:type="page"/>
      </w:r>
    </w:p>
    <w:p>
      <w:pPr>
        <w:pStyle w:val="2"/>
        <w:numPr>
          <w:ilvl w:val="0"/>
          <w:numId w:val="10"/>
        </w:numPr>
      </w:pPr>
      <w:bookmarkStart w:id="149" w:name="_Toc122709932"/>
      <w:bookmarkStart w:id="150" w:name="_Toc122709421"/>
      <w:bookmarkStart w:id="151" w:name="_Toc122709344"/>
      <w:r>
        <w:rPr>
          <w:rFonts w:hint="eastAsia"/>
        </w:rPr>
        <w:t>总则</w:t>
      </w:r>
      <w:bookmarkEnd w:id="149"/>
      <w:bookmarkEnd w:id="150"/>
      <w:bookmarkEnd w:id="151"/>
    </w:p>
    <w:p>
      <w:pPr>
        <w:pStyle w:val="49"/>
        <w:spacing w:before="156" w:after="156"/>
      </w:pPr>
      <w:r>
        <w:rPr>
          <w:rFonts w:hint="eastAsia"/>
        </w:rPr>
        <w:t>规定本规程制定的宗旨和目的。</w:t>
      </w:r>
    </w:p>
    <w:p>
      <w:pPr>
        <w:pStyle w:val="42"/>
        <w:ind w:firstLine="480"/>
      </w:pPr>
      <w:r>
        <w:rPr>
          <w:rFonts w:hint="eastAsia"/>
        </w:rPr>
        <w:t>悬浮载体生物膜速净工艺在应用过程中展现出了节地、灵活、稳定、高效的优势，随着国内水环境治理需求的不断增加，普遍面临着缺地、出水标准提高、工艺运行稳定性不足的难题，该工艺在国内的应用基础和需求在不断扩大。</w:t>
      </w:r>
    </w:p>
    <w:p>
      <w:pPr>
        <w:pStyle w:val="49"/>
        <w:spacing w:before="156" w:after="156"/>
      </w:pPr>
      <w:r>
        <w:rPr>
          <w:rFonts w:hint="eastAsia"/>
        </w:rPr>
        <w:t>规定本规程的适用范围。</w:t>
      </w:r>
    </w:p>
    <w:p>
      <w:pPr>
        <w:pStyle w:val="42"/>
        <w:ind w:firstLine="480"/>
      </w:pPr>
      <w:r>
        <w:rPr>
          <w:rFonts w:hint="eastAsia"/>
          <w:bCs/>
        </w:rPr>
        <w:t>截至2021年底，采用</w:t>
      </w:r>
      <w:r>
        <w:rPr>
          <w:rFonts w:hint="eastAsia"/>
        </w:rPr>
        <w:t>悬浮载体生物膜速净工艺已完成近2</w:t>
      </w:r>
      <w:r>
        <w:t>0项</w:t>
      </w:r>
      <w:r>
        <w:rPr>
          <w:rFonts w:hint="eastAsia"/>
        </w:rPr>
        <w:t>污水处理项目，处理水量近</w:t>
      </w:r>
      <w:r>
        <w:t xml:space="preserve">300 </w:t>
      </w:r>
      <w:r>
        <w:rPr>
          <w:rFonts w:hint="eastAsia"/>
        </w:rPr>
        <w:t>万</w:t>
      </w:r>
      <w:r>
        <w:rPr>
          <w:rFonts w:hint="eastAsia"/>
          <w:lang w:eastAsia="zh-CN"/>
        </w:rPr>
        <w:t>m³</w:t>
      </w:r>
      <w:r>
        <w:rPr>
          <w:rFonts w:hint="eastAsia"/>
        </w:rPr>
        <w:t>/天。应用场景涵盖市政污水节地新建以及扩容提标改造、制药及石化等工业废水处理、河道水体及初期雨水等微污染水处理。根据待处理水水质特点以及出水水质要求，该工艺具备较为广泛的适用性。</w:t>
      </w:r>
    </w:p>
    <w:p>
      <w:pPr>
        <w:pStyle w:val="2"/>
      </w:pPr>
      <w:bookmarkStart w:id="152" w:name="_Toc122709422"/>
      <w:bookmarkStart w:id="153" w:name="_Toc122709345"/>
      <w:bookmarkStart w:id="154" w:name="_Toc122709933"/>
      <w:r>
        <w:rPr>
          <w:rFonts w:hint="eastAsia"/>
        </w:rPr>
        <w:t>术语</w:t>
      </w:r>
      <w:bookmarkEnd w:id="152"/>
      <w:bookmarkEnd w:id="153"/>
      <w:bookmarkEnd w:id="154"/>
    </w:p>
    <w:p>
      <w:pPr>
        <w:pStyle w:val="49"/>
        <w:numPr>
          <w:ilvl w:val="2"/>
          <w:numId w:val="11"/>
        </w:numPr>
        <w:spacing w:before="156" w:after="156"/>
        <w:ind w:left="0"/>
      </w:pPr>
      <w:r>
        <w:rPr>
          <w:rFonts w:hint="eastAsia"/>
        </w:rPr>
        <w:t>对准Ⅳ类标准定义的解释</w:t>
      </w:r>
    </w:p>
    <w:p>
      <w:pPr>
        <w:pStyle w:val="42"/>
        <w:ind w:firstLine="480"/>
      </w:pPr>
      <w:r>
        <w:rPr>
          <w:rFonts w:hint="eastAsia"/>
        </w:rPr>
        <w:t>目前，广东地区暂无对T</w:t>
      </w:r>
      <w:r>
        <w:t>N有要求</w:t>
      </w:r>
      <w:r>
        <w:rPr>
          <w:rFonts w:hint="eastAsia"/>
        </w:rPr>
        <w:t>高于1</w:t>
      </w:r>
      <w:r>
        <w:t>5mg/L的地方</w:t>
      </w:r>
      <w:r>
        <w:rPr>
          <w:rFonts w:hint="eastAsia"/>
        </w:rPr>
        <w:t>标准。但针对流域治理，各地已陆续颁布了更严格的地方标准，实现准Ⅳ类水的精准提标，符合行业趋势。根据珠江口近岸海域污染防治规划，珠江口六市已开始进行总氮排放削减计划，要求提高总氮排放要求，出水总氮浓度控制在1</w:t>
      </w:r>
      <w:r>
        <w:t>0</w:t>
      </w:r>
      <w:r>
        <w:rPr>
          <w:rFonts w:hint="eastAsia"/>
        </w:rPr>
        <w:t>mg/L以下。</w:t>
      </w:r>
    </w:p>
    <w:p>
      <w:pPr>
        <w:pStyle w:val="42"/>
        <w:ind w:firstLine="480"/>
      </w:pPr>
    </w:p>
    <w:p>
      <w:pPr>
        <w:pStyle w:val="2"/>
      </w:pPr>
      <w:bookmarkStart w:id="155" w:name="_Toc122709346"/>
      <w:bookmarkStart w:id="156" w:name="_Toc122709423"/>
      <w:bookmarkStart w:id="157" w:name="_Toc122709934"/>
      <w:r>
        <w:rPr>
          <w:rFonts w:hint="eastAsia"/>
        </w:rPr>
        <w:t>基本规定</w:t>
      </w:r>
      <w:bookmarkEnd w:id="155"/>
      <w:bookmarkEnd w:id="156"/>
      <w:bookmarkEnd w:id="157"/>
    </w:p>
    <w:p>
      <w:pPr>
        <w:pStyle w:val="49"/>
        <w:spacing w:before="156" w:after="156"/>
      </w:pPr>
      <w:r>
        <w:rPr>
          <w:rFonts w:hint="eastAsia"/>
        </w:rPr>
        <w:t>当处理工业废水时，由于其水质类型复杂，可能含有重金属、酚、氟等对微生物具有抑制和毒害的作用，此时应增加预处理措施进行处理。如酚类物质含量高时宜增加高级氧化工艺、氟离子高时，宜投加钙盐除氟。</w:t>
      </w:r>
    </w:p>
    <w:p>
      <w:pPr>
        <w:pStyle w:val="49"/>
        <w:spacing w:before="156" w:after="156"/>
      </w:pPr>
      <w:r>
        <w:rPr>
          <w:rFonts w:hint="eastAsia"/>
        </w:rPr>
        <w:t>对于B</w:t>
      </w:r>
      <w:r>
        <w:t>FM</w:t>
      </w:r>
      <w:r>
        <w:rPr>
          <w:rFonts w:hint="eastAsia"/>
        </w:rPr>
        <w:t>工艺发展及组成的说明。</w:t>
      </w:r>
    </w:p>
    <w:p>
      <w:pPr>
        <w:pStyle w:val="42"/>
        <w:ind w:firstLine="480"/>
      </w:pPr>
      <w:r>
        <w:rPr>
          <w:rFonts w:hint="eastAsia"/>
        </w:rPr>
        <w:t>纯膜M</w:t>
      </w:r>
      <w:r>
        <w:t>BBR</w:t>
      </w:r>
      <w:r>
        <w:rPr>
          <w:rFonts w:hint="eastAsia"/>
        </w:rPr>
        <w:t>工艺最早于1</w:t>
      </w:r>
      <w:r>
        <w:t>991</w:t>
      </w:r>
      <w:r>
        <w:rPr>
          <w:rFonts w:hint="eastAsia"/>
        </w:rPr>
        <w:t>年在挪威实现了首个工程应用，并获得超过3</w:t>
      </w:r>
      <w:r>
        <w:t>0</w:t>
      </w:r>
      <w:r>
        <w:rPr>
          <w:rFonts w:hint="eastAsia"/>
        </w:rPr>
        <w:t>年的稳定运行效果。纯膜M</w:t>
      </w:r>
      <w:r>
        <w:t>BBR</w:t>
      </w:r>
      <w:r>
        <w:rPr>
          <w:rFonts w:hint="eastAsia"/>
        </w:rPr>
        <w:t>工艺在国内应用初期主要是处理微污染水为主，解决低基质条件下微生物难以富集的难题，处理后出水氨氮可以实现《地表水环境质量标准》G</w:t>
      </w:r>
      <w:r>
        <w:t>B 3838</w:t>
      </w:r>
      <w:r>
        <w:rPr>
          <w:rFonts w:hint="eastAsia"/>
        </w:rPr>
        <w:t>中Ⅱ类水标准。2</w:t>
      </w:r>
      <w:r>
        <w:t>019</w:t>
      </w:r>
      <w:r>
        <w:rPr>
          <w:rFonts w:hint="eastAsia"/>
        </w:rPr>
        <w:t>年，纯膜M</w:t>
      </w:r>
      <w:r>
        <w:t>BBR</w:t>
      </w:r>
      <w:r>
        <w:rPr>
          <w:rFonts w:hint="eastAsia"/>
        </w:rPr>
        <w:t>工艺在国内实现了首个制药废水的处理，解决高基质条件下活性污泥被抑制的难题，实现了高氨氮废水的生化处理。2</w:t>
      </w:r>
      <w:r>
        <w:t>020</w:t>
      </w:r>
      <w:r>
        <w:rPr>
          <w:rFonts w:hint="eastAsia"/>
        </w:rPr>
        <w:t>年，纯膜M</w:t>
      </w:r>
      <w:r>
        <w:t>BBR</w:t>
      </w:r>
      <w:r>
        <w:rPr>
          <w:rFonts w:hint="eastAsia"/>
        </w:rPr>
        <w:t>工艺在国内实现了首个市政污水处理，解决了项目缺地的难题。随着国内污水处理厂对于占地要求的进一步严格、排放标准按需提高，纯膜MBBR工艺应用需求日益增多。</w:t>
      </w:r>
    </w:p>
    <w:p>
      <w:pPr>
        <w:pStyle w:val="42"/>
        <w:ind w:firstLine="480"/>
      </w:pPr>
      <w:r>
        <w:rPr>
          <w:rFonts w:hint="eastAsia"/>
        </w:rPr>
        <w:t>纯膜M</w:t>
      </w:r>
      <w:r>
        <w:t>BBR</w:t>
      </w:r>
      <w:r>
        <w:rPr>
          <w:rFonts w:hint="eastAsia"/>
        </w:rPr>
        <w:t>工艺的优势是可以实现微生物定向培养，借助流化的作用实现微生物的筛选与驯化，通过悬浮载体的专区流化、生物膜长泥龄的优势实现微生物高效富集。具有处理性能高、耐冲击能力强、处理效果稳定、运行简易等优势。作为B</w:t>
      </w:r>
      <w:r>
        <w:t>FM</w:t>
      </w:r>
      <w:r>
        <w:rPr>
          <w:rFonts w:hint="eastAsia"/>
        </w:rPr>
        <w:t>工艺的生化单元，纯膜</w:t>
      </w:r>
      <w:r>
        <w:t>MBBR</w:t>
      </w:r>
      <w:r>
        <w:rPr>
          <w:rFonts w:hint="eastAsia"/>
        </w:rPr>
        <w:t>工艺主要执行脱碳、脱氮以及少量溶解性总磷的去除功能。</w:t>
      </w:r>
    </w:p>
    <w:p>
      <w:pPr>
        <w:pStyle w:val="42"/>
        <w:ind w:firstLine="480"/>
      </w:pPr>
      <w:r>
        <w:rPr>
          <w:rFonts w:hint="eastAsia"/>
        </w:rPr>
        <w:t>纯膜MBBR固液分离方式选择对运行效果、运行稳定性、节地效果有重大影响。纯膜M</w:t>
      </w:r>
      <w:r>
        <w:t>BBR</w:t>
      </w:r>
      <w:r>
        <w:rPr>
          <w:rFonts w:hint="eastAsia"/>
        </w:rPr>
        <w:t>固液分离与活性污泥法有显著差异。活性污泥法生化段MLSS在</w:t>
      </w:r>
      <w:r>
        <w:t>3000 m</w:t>
      </w:r>
      <w:r>
        <w:rPr>
          <w:rFonts w:hint="eastAsia"/>
        </w:rPr>
        <w:t>g</w:t>
      </w:r>
      <w:r>
        <w:t>/L</w:t>
      </w:r>
      <w:r>
        <w:rPr>
          <w:rFonts w:hint="eastAsia"/>
        </w:rPr>
        <w:t>~</w:t>
      </w:r>
      <w:r>
        <w:t>5000 m</w:t>
      </w:r>
      <w:r>
        <w:rPr>
          <w:rFonts w:hint="eastAsia"/>
        </w:rPr>
        <w:t>g</w:t>
      </w:r>
      <w:r>
        <w:t>/L</w:t>
      </w:r>
      <w:r>
        <w:rPr>
          <w:rFonts w:hint="eastAsia"/>
        </w:rPr>
        <w:t>，经过二沉池出水SS一般&lt;</w:t>
      </w:r>
      <w:r>
        <w:t>50 mg/L</w:t>
      </w:r>
      <w:r>
        <w:rPr>
          <w:rFonts w:hint="eastAsia"/>
        </w:rPr>
        <w:t>，运行良好的可&lt;</w:t>
      </w:r>
      <w:r>
        <w:t>20 mg/L</w:t>
      </w:r>
      <w:r>
        <w:rPr>
          <w:rFonts w:hint="eastAsia"/>
        </w:rPr>
        <w:t>，再经过深度处理的混凝沉淀、过滤进一步去除SS，活性污泥法至少通过2次</w:t>
      </w:r>
      <w:r>
        <w:t>~3</w:t>
      </w:r>
      <w:r>
        <w:rPr>
          <w:rFonts w:hint="eastAsia"/>
        </w:rPr>
        <w:t>次固液分离实现SS达标处理。纯膜MBBR出水SS与进水水质</w:t>
      </w:r>
      <w:r>
        <w:rPr>
          <w:rFonts w:hint="eastAsia"/>
          <w:lang w:eastAsia="zh-CN"/>
        </w:rPr>
        <w:t>，</w:t>
      </w:r>
      <w:r>
        <w:rPr>
          <w:rFonts w:hint="eastAsia"/>
        </w:rPr>
        <w:t>尤其是进水SS和COD密切相关，以市政污水为例，纯膜MBBR出水S</w:t>
      </w:r>
      <w:r>
        <w:t>S</w:t>
      </w:r>
      <w:r>
        <w:rPr>
          <w:rFonts w:hint="eastAsia"/>
        </w:rPr>
        <w:t>一般为</w:t>
      </w:r>
      <w:r>
        <w:t>200 mg/L</w:t>
      </w:r>
      <w:r>
        <w:rPr>
          <w:rFonts w:hint="eastAsia"/>
        </w:rPr>
        <w:t>~</w:t>
      </w:r>
      <w:r>
        <w:t>400 mg/L</w:t>
      </w:r>
      <w:r>
        <w:rPr>
          <w:rFonts w:hint="eastAsia"/>
        </w:rPr>
        <w:t>，此浓度范围低于活性污泥法生化段污泥浓度、高于活性污泥法二沉池出水S</w:t>
      </w:r>
      <w:r>
        <w:t>S</w:t>
      </w:r>
      <w:r>
        <w:rPr>
          <w:rFonts w:hint="eastAsia"/>
        </w:rPr>
        <w:t>浓度。早期，北欧国家采用纯膜MBBR时，对于其固液分离进行了多种探索。</w:t>
      </w:r>
    </w:p>
    <w:p>
      <w:pPr>
        <w:pStyle w:val="42"/>
        <w:ind w:firstLine="480"/>
      </w:pPr>
      <w:r>
        <w:rPr>
          <w:rFonts w:hint="eastAsia"/>
        </w:rPr>
        <w:t>1）纯膜MBBR+二沉池：纯膜MBBR中脱落的生物膜具有E</w:t>
      </w:r>
      <w:r>
        <w:t>PS</w:t>
      </w:r>
      <w:r>
        <w:rPr>
          <w:rFonts w:hint="eastAsia"/>
        </w:rPr>
        <w:t>含量高、黏性大、易内源反硝化产气上浮等特点，采用二沉池固液分离效果不佳，污泥上浮、跑泥现象严重。如Lillehammer污水处理厂，M</w:t>
      </w:r>
      <w:r>
        <w:t>BBR</w:t>
      </w:r>
      <w:r>
        <w:rPr>
          <w:rFonts w:hint="eastAsia"/>
        </w:rPr>
        <w:t>出水直接进入混凝沉淀池，出水S</w:t>
      </w:r>
      <w:r>
        <w:t>S</w:t>
      </w:r>
      <w:r>
        <w:rPr>
          <w:rFonts w:hint="eastAsia"/>
        </w:rPr>
        <w:t>高于</w:t>
      </w:r>
      <w:r>
        <w:t xml:space="preserve">20 </w:t>
      </w:r>
      <w:r>
        <w:rPr>
          <w:rFonts w:hint="eastAsia"/>
        </w:rPr>
        <w:t>mg/L。</w:t>
      </w:r>
    </w:p>
    <w:p>
      <w:pPr>
        <w:pStyle w:val="42"/>
        <w:ind w:firstLine="480"/>
      </w:pPr>
      <w:r>
        <w:rPr>
          <w:rFonts w:hint="eastAsia"/>
        </w:rPr>
        <w:t>2）纯膜MBBR+气浮：仅当纯膜MBBR进水SS和BOD较低时，可直接在气浮中进行固液分离并不设二沉池，如污水处理厂尾水的深度处理或微污染水处理等；国外纯膜MBBR应用，有部分工程案例是在二级生化+二沉池之后，进入纯膜MBBR进行深度脱氮，采用了纯膜MBBR+气浮方式，如Sjolunda污水处理厂，在纯膜M</w:t>
      </w:r>
      <w:r>
        <w:t>BBR</w:t>
      </w:r>
      <w:r>
        <w:rPr>
          <w:rFonts w:hint="eastAsia"/>
        </w:rPr>
        <w:t>后置反硝化池之后加入气浮工艺。若直接处理市政污水，无法满足固液分离要求；国外对于SS标准要求相对国内低，主要是SS会对TN和总磷产生影响，并未直接限制SS浓度或SS标准相对宽松，这也是纯膜MBBR+气浮得以部分应用的关键要素；对于常规市政污水处理，纯膜MBBR后接续单级气浮时，因气浮难以承受较高的固体通量负荷，设计时其水力负荷较常规气浮进一步降低，且出水SS均值仅能保证在</w:t>
      </w:r>
      <w:r>
        <w:t>50 mg/L</w:t>
      </w:r>
      <w:r>
        <w:rPr>
          <w:rFonts w:hint="eastAsia"/>
        </w:rPr>
        <w:t>以下，良好的设计、设备和运行可能达到3</w:t>
      </w:r>
      <w:r>
        <w:t>0 mg/L</w:t>
      </w:r>
      <w:r>
        <w:rPr>
          <w:rFonts w:hint="eastAsia"/>
        </w:rPr>
        <w:t>以下。</w:t>
      </w:r>
    </w:p>
    <w:p>
      <w:pPr>
        <w:pStyle w:val="42"/>
        <w:ind w:firstLine="480"/>
      </w:pPr>
      <w:r>
        <w:rPr>
          <w:rFonts w:hint="eastAsia"/>
        </w:rPr>
        <w:t>通过实际工程实践表明，单独使用气浮、强化沉淀等方式固液分离效果不佳，需继续串联其他固液分离工艺才可能满足一级A对于SS的要求。</w:t>
      </w:r>
    </w:p>
    <w:p>
      <w:pPr>
        <w:pStyle w:val="42"/>
        <w:ind w:firstLine="480"/>
      </w:pPr>
      <w:r>
        <w:t>3</w:t>
      </w:r>
      <w:r>
        <w:rPr>
          <w:rFonts w:hint="eastAsia"/>
        </w:rPr>
        <w:t>）纯膜MBBR+二沉池+气浮：主要利用二沉池进行SS的削减，然后采用气浮工艺进一步降低SS；挪威Gardermoen污水处理厂，固液分离采用“混凝沉淀池+气浮”组合工艺，实际出水S</w:t>
      </w:r>
      <w:r>
        <w:t>S</w:t>
      </w:r>
      <w:r>
        <w:rPr>
          <w:rFonts w:hint="eastAsia"/>
        </w:rPr>
        <w:t>均值为1</w:t>
      </w:r>
      <w:r>
        <w:t xml:space="preserve">2 </w:t>
      </w:r>
      <w:r>
        <w:rPr>
          <w:rFonts w:hint="eastAsia"/>
        </w:rPr>
        <w:t>mg/L，与国内一级A标准要求瞬时值和混合样&lt;</w:t>
      </w:r>
      <w:r>
        <w:t>10 mg/L</w:t>
      </w:r>
      <w:r>
        <w:rPr>
          <w:rFonts w:hint="eastAsia"/>
        </w:rPr>
        <w:t>有较大差距；同时气浮表面负荷仅4</w:t>
      </w:r>
      <w:r>
        <w:t xml:space="preserve">~8 </w:t>
      </w:r>
      <w:r>
        <w:rPr>
          <w:rFonts w:hint="eastAsia"/>
          <w:lang w:eastAsia="zh-CN"/>
        </w:rPr>
        <w:t>m³</w:t>
      </w:r>
      <w:r>
        <w:t>/(</w:t>
      </w:r>
      <w:r>
        <w:rPr>
          <w:rFonts w:hint="eastAsia"/>
        </w:rPr>
        <w:t>m</w:t>
      </w:r>
      <w:r>
        <w:rPr>
          <w:vertAlign w:val="superscript"/>
        </w:rPr>
        <w:t>2</w:t>
      </w:r>
      <w:r>
        <w:rPr>
          <w:rFonts w:hint="eastAsia"/>
        </w:rPr>
        <w:t>·h</w:t>
      </w:r>
      <w:r>
        <w:t>)</w:t>
      </w:r>
      <w:r>
        <w:rPr>
          <w:rFonts w:hint="eastAsia"/>
        </w:rPr>
        <w:t>，占地指标进一步扩大。</w:t>
      </w:r>
    </w:p>
    <w:p>
      <w:pPr>
        <w:pStyle w:val="42"/>
        <w:ind w:firstLine="480"/>
      </w:pPr>
      <w:r>
        <w:t>4</w:t>
      </w:r>
      <w:r>
        <w:rPr>
          <w:rFonts w:hint="eastAsia"/>
        </w:rPr>
        <w:t>）纯膜MBBR+二沉池+气浮+过滤：为解决气浮出水SS不稳定、并要达到一级A要求的1</w:t>
      </w:r>
      <w:r>
        <w:t>0 mg/L</w:t>
      </w:r>
      <w:r>
        <w:rPr>
          <w:rFonts w:hint="eastAsia"/>
        </w:rPr>
        <w:t>以下的问题，气浮后增加过滤工艺，建议为砂滤，最终在过滤工艺的保障下实现SS的稳定达标。</w:t>
      </w:r>
    </w:p>
    <w:p>
      <w:pPr>
        <w:pStyle w:val="42"/>
        <w:ind w:firstLine="480"/>
      </w:pPr>
      <w:r>
        <w:t>5</w:t>
      </w:r>
      <w:r>
        <w:rPr>
          <w:rFonts w:hint="eastAsia"/>
        </w:rPr>
        <w:t>）纯膜MBBR+一级气浮+二级气浮+过滤：通过一级气浮削减SS浓度，达到传统二沉池出水水平，但此流程占地大、流程长、运行费用高、投资不经济，尚未有相关工程报道。</w:t>
      </w:r>
    </w:p>
    <w:p>
      <w:pPr>
        <w:pStyle w:val="42"/>
        <w:ind w:firstLine="480"/>
      </w:pPr>
      <w:r>
        <w:rPr>
          <w:rFonts w:hint="eastAsia"/>
        </w:rPr>
        <w:t>6）纯膜MBBR+传统加载沉淀：鉴于纯膜MBBR中脱落的生物膜具有E</w:t>
      </w:r>
      <w:r>
        <w:t>PS</w:t>
      </w:r>
      <w:r>
        <w:rPr>
          <w:rFonts w:hint="eastAsia"/>
        </w:rPr>
        <w:t>含量高、黏性大、易内源反硝化产气上浮等特点，故应采用停留时间短、水力负荷高的快速固液分离工艺；脱落生物膜对于加载介质包裹能力强，介质分离回收困难，限制了传统加载沉淀工艺在MBBR固液分离中的应用；加载沉淀工艺的开发及应用较晚，尤其是磁混凝沉淀工艺，2</w:t>
      </w:r>
      <w:r>
        <w:t>010</w:t>
      </w:r>
      <w:r>
        <w:rPr>
          <w:rFonts w:hint="eastAsia"/>
        </w:rPr>
        <w:t>年后在国内逐步应用；国外对于SS指标要求相对宽松，磁混凝沉淀工艺对于SS的高效处理能力在国外应用的报道较少，反而在国内有大量应用案例，满足国内要求严格的一级A或更高水平的排放标准；这也为BFM在国内的创新形成和应用奠定了基础。</w:t>
      </w:r>
    </w:p>
    <w:p>
      <w:pPr>
        <w:pStyle w:val="42"/>
        <w:ind w:firstLine="480"/>
      </w:pPr>
      <w:r>
        <w:rPr>
          <w:rFonts w:hint="eastAsia"/>
        </w:rPr>
        <w:t>7）纯膜MBBR+超效分离：针对MBBR脱落生物膜的理化性质，对传统磁混凝沉淀工艺进行改良，关注脱落生物膜对于介质回收的影响，强化介质分离、回收，形成改良磁混凝沉淀-超效分离工艺，磁粉回收率&gt;</w:t>
      </w:r>
      <w:r>
        <w:t>99%</w:t>
      </w:r>
      <w:r>
        <w:rPr>
          <w:rFonts w:hint="eastAsia"/>
        </w:rPr>
        <w:t>；超效分离工艺对于进水SS容忍度高，可满足平均8</w:t>
      </w:r>
      <w:r>
        <w:t>00 mg/L</w:t>
      </w:r>
      <w:r>
        <w:rPr>
          <w:rFonts w:hint="eastAsia"/>
        </w:rPr>
        <w:t>或以上水质，短时耐受冲击的SS浓度可达到2</w:t>
      </w:r>
      <w:r>
        <w:t>000 mg/L</w:t>
      </w:r>
      <w:r>
        <w:rPr>
          <w:rFonts w:hint="eastAsia"/>
        </w:rPr>
        <w:t>以上，完全覆盖了纯膜MBBR出水SS范围，经超效分离工艺处理后出水S</w:t>
      </w:r>
      <w:r>
        <w:t>S</w:t>
      </w:r>
      <w:r>
        <w:rPr>
          <w:rFonts w:hint="eastAsia"/>
        </w:rPr>
        <w:t>可稳定达到一级A标准；如广东肇庆某项目，出水执行一级A排放标准，经过超效分离工艺之后无需过滤工艺，直接消毒外排，已稳定运行2年；投资不设限时，可增加简单过滤工艺，如滤布滤池，进一步强化保障S</w:t>
      </w:r>
      <w:r>
        <w:t>S</w:t>
      </w:r>
      <w:r>
        <w:rPr>
          <w:rFonts w:hint="eastAsia"/>
        </w:rPr>
        <w:t>出水稳定性。纯膜M</w:t>
      </w:r>
      <w:r>
        <w:t>BBR</w:t>
      </w:r>
      <w:r>
        <w:rPr>
          <w:rFonts w:hint="eastAsia"/>
        </w:rPr>
        <w:t>与超效分离工艺同时具备高效的优势，在出水稳定达标的前提下实现用地的集约。</w:t>
      </w:r>
    </w:p>
    <w:p>
      <w:pPr>
        <w:pStyle w:val="42"/>
        <w:ind w:firstLine="480"/>
      </w:pPr>
      <w:r>
        <w:rPr>
          <w:rFonts w:hint="eastAsia"/>
        </w:rPr>
        <w:t>综上，纯膜MBBR的固液分离，可不设传统意义上的二沉池，采用超效分离工艺，一次固液分离达到要求；当对于出水SS要求不高时，如SS</w:t>
      </w:r>
      <w:r>
        <w:t>&lt;50 mg/L</w:t>
      </w:r>
      <w:r>
        <w:rPr>
          <w:rFonts w:hint="eastAsia"/>
        </w:rPr>
        <w:t>，也可采用纯膜MBBR+气浮的工艺路线。</w:t>
      </w:r>
    </w:p>
    <w:p>
      <w:pPr>
        <w:pStyle w:val="49"/>
        <w:spacing w:before="156" w:after="156"/>
      </w:pPr>
      <w:r>
        <w:rPr>
          <w:rFonts w:hint="eastAsia"/>
        </w:rPr>
        <w:t>关于以BFM工艺为核心的水处理工艺流程说明</w:t>
      </w:r>
    </w:p>
    <w:p>
      <w:pPr>
        <w:pStyle w:val="42"/>
        <w:ind w:firstLine="480"/>
      </w:pPr>
      <w:r>
        <w:rPr>
          <w:rFonts w:hint="eastAsia"/>
        </w:rPr>
        <w:t>根据待处理水的水质特点以及处理后去向选择预处理及其他后续工艺。对于市政污水，当出水执行一级A标准时，B</w:t>
      </w:r>
      <w:r>
        <w:t>FM</w:t>
      </w:r>
      <w:r>
        <w:rPr>
          <w:rFonts w:hint="eastAsia"/>
        </w:rPr>
        <w:t>后可不设深度处理工艺，经消毒后即可外排；当进水难降解有机物浓度高或出水C</w:t>
      </w:r>
      <w:r>
        <w:t>OD</w:t>
      </w:r>
      <w:r>
        <w:rPr>
          <w:rFonts w:hint="eastAsia"/>
        </w:rPr>
        <w:t>排放标准高时，宜在B</w:t>
      </w:r>
      <w:r>
        <w:t>FM</w:t>
      </w:r>
      <w:r>
        <w:rPr>
          <w:rFonts w:hint="eastAsia"/>
        </w:rPr>
        <w:t>工艺后增加深度处理工艺，深度处理工艺可选用高级氧化等深度脱碳工艺；当出水S</w:t>
      </w:r>
      <w:r>
        <w:t>S</w:t>
      </w:r>
      <w:r>
        <w:rPr>
          <w:rFonts w:hint="eastAsia"/>
        </w:rPr>
        <w:t>、总磷要求较高且用地和投资均不受限时，深度处理工艺可选择滤池工艺。对于黑臭水体或河道水的处理，可不设消毒工艺，如广东东莞某河道水处理项目，出水排入河道，未设置消毒工艺。</w:t>
      </w:r>
    </w:p>
    <w:p>
      <w:pPr>
        <w:pStyle w:val="49"/>
        <w:spacing w:before="156" w:after="156"/>
      </w:pPr>
      <w:r>
        <w:rPr>
          <w:rFonts w:hint="eastAsia"/>
        </w:rPr>
        <w:t>在建设规模上，B</w:t>
      </w:r>
      <w:r>
        <w:t>FM</w:t>
      </w:r>
      <w:r>
        <w:rPr>
          <w:rFonts w:hint="eastAsia"/>
        </w:rPr>
        <w:t>不受限制，如处理水量较大时，可采取分组的方式进行处理；B</w:t>
      </w:r>
      <w:r>
        <w:t>FM</w:t>
      </w:r>
      <w:r>
        <w:rPr>
          <w:rFonts w:hint="eastAsia"/>
        </w:rPr>
        <w:t>出水氮磷最优可达到G</w:t>
      </w:r>
      <w:r>
        <w:t>B3838</w:t>
      </w:r>
      <w:r>
        <w:rPr>
          <w:rFonts w:hint="eastAsia"/>
        </w:rPr>
        <w:t>中Ⅲ类及以上标准，如进水水质浓度过高，可通过多级处理的方式予以实施；目前，B</w:t>
      </w:r>
      <w:r>
        <w:t>FM</w:t>
      </w:r>
      <w:r>
        <w:rPr>
          <w:rFonts w:hint="eastAsia"/>
        </w:rPr>
        <w:t>工艺最低的使用温度是3℃，耐低温性能良好。此处工艺参数包括设计表面污染物去除负荷、填充率、变化系统等。实际设计时，建设规模会影响变化系数的取值，建设规模越大，其变化系数相应越小。对于填充率的取值设计时也会参考占地等因素。</w:t>
      </w:r>
    </w:p>
    <w:p>
      <w:pPr>
        <w:pStyle w:val="49"/>
        <w:spacing w:before="156" w:after="156"/>
      </w:pPr>
      <w:r>
        <w:rPr>
          <w:rFonts w:hint="eastAsia"/>
        </w:rPr>
        <w:t>根据国内污水处理厂的设计和运行经验，生化段构筑物的分个（格）数不应少于2个（格），便于检修维护；同时按并联设计，可使污水处理工艺运行更为可靠、灵活和合理。特殊情况如一体化形式的点源污染处理、改建项目时，根据具体项目情况，也可设置1个（格），或多个（格）串联运行。如天津某市政污水处理厂，设计水量1</w:t>
      </w:r>
      <w:r>
        <w:t>.25</w:t>
      </w:r>
      <w:r>
        <w:rPr>
          <w:rFonts w:hint="eastAsia"/>
        </w:rPr>
        <w:t>×10</w:t>
      </w:r>
      <w:r>
        <w:rPr>
          <w:rFonts w:hint="eastAsia"/>
          <w:vertAlign w:val="superscript"/>
        </w:rPr>
        <w:t>4</w:t>
      </w:r>
      <w:r>
        <w:rPr>
          <w:rFonts w:hint="eastAsia"/>
          <w:lang w:eastAsia="zh-CN"/>
        </w:rPr>
        <w:t>m³</w:t>
      </w:r>
      <w:r>
        <w:t>/</w:t>
      </w:r>
      <w:r>
        <w:rPr>
          <w:rFonts w:hint="eastAsia"/>
        </w:rPr>
        <w:t>d，改建项目，生化段设置了7格，采用串联的运行方式。广东四会某污水处理厂，设计水量3×10</w:t>
      </w:r>
      <w:r>
        <w:rPr>
          <w:rFonts w:hint="eastAsia"/>
          <w:vertAlign w:val="superscript"/>
        </w:rPr>
        <w:t>4</w:t>
      </w:r>
      <w:r>
        <w:rPr>
          <w:rFonts w:hint="eastAsia"/>
          <w:lang w:eastAsia="zh-CN"/>
        </w:rPr>
        <w:t>m³</w:t>
      </w:r>
      <w:r>
        <w:t>/</w:t>
      </w:r>
      <w:r>
        <w:rPr>
          <w:rFonts w:hint="eastAsia"/>
        </w:rPr>
        <w:t>d，改建项目，生化段仅设置</w:t>
      </w:r>
      <w:r>
        <w:t>4</w:t>
      </w:r>
      <w:r>
        <w:rPr>
          <w:rFonts w:hint="eastAsia"/>
        </w:rPr>
        <w:t>格，采用串联的方式。实际建设时，考虑检修等情况，如条件允许，建议增加1个（格）备用池。</w:t>
      </w:r>
    </w:p>
    <w:p>
      <w:pPr>
        <w:pStyle w:val="49"/>
        <w:spacing w:before="156" w:after="156"/>
      </w:pPr>
      <w:r>
        <w:rPr>
          <w:rFonts w:hint="eastAsia"/>
        </w:rPr>
        <w:t>我国污水处理厂建设多采用混凝土现场浇筑的形式。随着装配式建设形式的快速兴起，其与土建形式相比，具有模块化、标准化、轻量化、快速化等优点，可以很好适应各类污水处理设施的建设需求，尤其适用于应急等对于施工时间要求严格的工艺构筑物建设。</w:t>
      </w:r>
      <w:r>
        <w:fldChar w:fldCharType="begin"/>
      </w:r>
      <w:r>
        <w:instrText xml:space="preserve"> </w:instrText>
      </w:r>
      <w:r>
        <w:rPr>
          <w:rFonts w:hint="eastAsia"/>
        </w:rPr>
        <w:instrText xml:space="preserve">REF _Ref120621414 \r \h</w:instrText>
      </w:r>
      <w:r>
        <w:instrText xml:space="preserve"> </w:instrText>
      </w:r>
      <w:r>
        <w:fldChar w:fldCharType="separate"/>
      </w:r>
      <w:r>
        <w:rPr>
          <w:rFonts w:hint="eastAsia"/>
        </w:rPr>
        <w:t>表3.0.6</w:t>
      </w:r>
      <w:r>
        <w:fldChar w:fldCharType="end"/>
      </w:r>
      <w:r>
        <w:rPr>
          <w:rFonts w:hint="eastAsia"/>
        </w:rPr>
        <w:t>所述实施时间不包含装配式设施制造时间，只限于现场安装时间，为安装到达到通水标准所需要的时间。</w:t>
      </w:r>
    </w:p>
    <w:p>
      <w:pPr>
        <w:pStyle w:val="49"/>
        <w:spacing w:before="156" w:after="156"/>
      </w:pPr>
      <w:r>
        <w:fldChar w:fldCharType="begin"/>
      </w:r>
      <w:r>
        <w:instrText xml:space="preserve"> </w:instrText>
      </w:r>
      <w:r>
        <w:rPr>
          <w:rFonts w:hint="eastAsia"/>
        </w:rPr>
        <w:instrText xml:space="preserve">REF _Ref108167974 \r \h</w:instrText>
      </w:r>
      <w:r>
        <w:instrText xml:space="preserve">  \* MERGEFORMAT </w:instrText>
      </w:r>
      <w:r>
        <w:fldChar w:fldCharType="separate"/>
      </w:r>
      <w:r>
        <w:rPr>
          <w:rFonts w:hint="eastAsia"/>
        </w:rPr>
        <w:t>表3.0.7</w:t>
      </w:r>
      <w:r>
        <w:fldChar w:fldCharType="end"/>
      </w:r>
      <w:r>
        <w:rPr>
          <w:rFonts w:hint="eastAsia"/>
        </w:rPr>
        <w:t>中所提供的占地指标，为水处理工艺线，包含从预处理到最终排放的所有生产构筑物占地，不包含功能车间、绿化、污泥处理系统等占地。由于污水厂整体用地受办公、绿化、道路、污泥处理系统等其他功能区综合影响，差异较大，故本条文不宜进行具体限定全厂占地指标，全厂占地指标可参考《城市污水处理工程项目建设标准》（建标1</w:t>
      </w:r>
      <w:r>
        <w:t>98</w:t>
      </w:r>
      <w:r>
        <w:rPr>
          <w:rFonts w:hint="eastAsia"/>
        </w:rPr>
        <w:t>-</w:t>
      </w:r>
      <w:r>
        <w:t>2022</w:t>
      </w:r>
      <w:r>
        <w:rPr>
          <w:rFonts w:hint="eastAsia"/>
        </w:rPr>
        <w:t>）</w:t>
      </w:r>
      <w:bookmarkStart w:id="213" w:name="_GoBack"/>
      <w:bookmarkEnd w:id="213"/>
      <w:r>
        <w:rPr>
          <w:rFonts w:hint="eastAsia"/>
        </w:rPr>
        <w:t>。其他地区的用地可根据设计进出水水质、设计水温等参考本规程进行估算。</w:t>
      </w:r>
    </w:p>
    <w:p>
      <w:pPr>
        <w:pStyle w:val="49"/>
        <w:numPr>
          <w:ilvl w:val="2"/>
          <w:numId w:val="12"/>
        </w:numPr>
        <w:spacing w:before="156" w:after="156"/>
        <w:ind w:left="0"/>
      </w:pPr>
      <w:r>
        <w:rPr>
          <w:rFonts w:hint="eastAsia"/>
        </w:rPr>
        <w:t>由于B</w:t>
      </w:r>
      <w:r>
        <w:t>FM</w:t>
      </w:r>
      <w:r>
        <w:rPr>
          <w:rFonts w:hint="eastAsia"/>
        </w:rPr>
        <w:t>工艺停留时间短，所以对于控制灵敏性、精确性、及时性有了更高的要求，因此需要增加智慧化控制系统，实现信息化、自动化和智能化运行，以提高工艺运行稳定性、耐冲击能力，并实现节能降耗。</w:t>
      </w:r>
    </w:p>
    <w:p>
      <w:pPr>
        <w:pStyle w:val="2"/>
      </w:pPr>
      <w:bookmarkStart w:id="158" w:name="_Toc122709424"/>
      <w:bookmarkStart w:id="159" w:name="_Toc122709935"/>
      <w:bookmarkStart w:id="160" w:name="_Toc122709347"/>
      <w:r>
        <w:rPr>
          <w:rFonts w:hint="eastAsia"/>
        </w:rPr>
        <w:t>工艺设计</w:t>
      </w:r>
      <w:bookmarkEnd w:id="158"/>
      <w:bookmarkEnd w:id="159"/>
      <w:bookmarkEnd w:id="160"/>
    </w:p>
    <w:p>
      <w:pPr>
        <w:pStyle w:val="3"/>
        <w:numPr>
          <w:ilvl w:val="1"/>
          <w:numId w:val="13"/>
        </w:numPr>
      </w:pPr>
      <w:bookmarkStart w:id="161" w:name="_Toc122709348"/>
      <w:bookmarkStart w:id="162" w:name="_Toc122709425"/>
      <w:bookmarkStart w:id="163" w:name="_Toc122709936"/>
      <w:r>
        <w:rPr>
          <w:rFonts w:hint="eastAsia"/>
        </w:rPr>
        <w:t>预处理</w:t>
      </w:r>
      <w:bookmarkEnd w:id="161"/>
      <w:bookmarkEnd w:id="162"/>
      <w:bookmarkEnd w:id="163"/>
    </w:p>
    <w:p>
      <w:pPr>
        <w:pStyle w:val="49"/>
        <w:numPr>
          <w:ilvl w:val="2"/>
          <w:numId w:val="14"/>
        </w:numPr>
        <w:spacing w:before="156" w:after="156"/>
        <w:ind w:left="0"/>
      </w:pPr>
      <w:r>
        <w:rPr>
          <w:rFonts w:hint="eastAsia"/>
        </w:rPr>
        <w:t>关于调节池设置的说明</w:t>
      </w:r>
    </w:p>
    <w:p>
      <w:pPr>
        <w:pStyle w:val="42"/>
        <w:ind w:firstLine="480"/>
      </w:pPr>
      <w:r>
        <w:rPr>
          <w:rFonts w:hint="eastAsia"/>
        </w:rPr>
        <w:t>当进水水质或水量波动大时，应设置调节池，停留时间根据一天中水量或水质波动情况而定。</w:t>
      </w:r>
    </w:p>
    <w:p>
      <w:pPr>
        <w:pStyle w:val="49"/>
        <w:spacing w:before="156" w:after="156"/>
      </w:pPr>
      <w:r>
        <w:rPr>
          <w:rFonts w:hint="eastAsia"/>
        </w:rPr>
        <w:t>格栅的作用是拦截颗粒物质与漂浮物。为防止原水中漂浮物、大颗粒物质进入后续单元，影响相关设备运行，细格栅栅距应≤3</w:t>
      </w:r>
      <w:r>
        <w:t xml:space="preserve"> </w:t>
      </w:r>
      <w:r>
        <w:rPr>
          <w:rFonts w:hint="eastAsia"/>
        </w:rPr>
        <w:t>mm。根据工程实际使用效果，宜选用网孔板细格栅。对于纺织废水，格栅栅距建议进一步缩小至1mm以下的超细格栅。</w:t>
      </w:r>
    </w:p>
    <w:p>
      <w:pPr>
        <w:pStyle w:val="3"/>
      </w:pPr>
      <w:bookmarkStart w:id="164" w:name="_Toc122709426"/>
      <w:bookmarkStart w:id="165" w:name="_Toc122709349"/>
      <w:bookmarkStart w:id="166" w:name="_Toc122709937"/>
      <w:r>
        <w:rPr>
          <w:rFonts w:hint="eastAsia"/>
        </w:rPr>
        <w:t>BFM</w:t>
      </w:r>
      <w:r>
        <w:t>-</w:t>
      </w:r>
      <w:r>
        <w:rPr>
          <w:rFonts w:hint="eastAsia"/>
        </w:rPr>
        <w:t>B段</w:t>
      </w:r>
      <w:bookmarkEnd w:id="164"/>
      <w:bookmarkEnd w:id="165"/>
      <w:bookmarkEnd w:id="166"/>
    </w:p>
    <w:p>
      <w:pPr>
        <w:pStyle w:val="49"/>
        <w:spacing w:before="156" w:after="156"/>
      </w:pPr>
      <w:r>
        <w:rPr>
          <w:rFonts w:hint="eastAsia"/>
        </w:rPr>
        <w:t>关于B段工艺流程设置的说明</w:t>
      </w:r>
    </w:p>
    <w:p>
      <w:pPr>
        <w:pStyle w:val="42"/>
        <w:ind w:firstLine="480"/>
      </w:pPr>
      <w:r>
        <w:rPr>
          <w:rFonts w:hint="eastAsia"/>
        </w:rPr>
        <w:t>工艺流程确定与污染物去除需求相关。好氧区主要功能是脱碳和硝化，所以当仅需要去除有机物或氨氮时，采用纯曝气的形式；缺氧区的主要功能是反硝化脱氮，所以当同时需要脱氮时，应增加缺氧区的设置，具体的工艺流程与原水C</w:t>
      </w:r>
      <w:r>
        <w:t>/N</w:t>
      </w:r>
      <w:r>
        <w:rPr>
          <w:rFonts w:hint="eastAsia"/>
        </w:rPr>
        <w:t>和脱氮要求有关：当</w:t>
      </w:r>
      <w:r>
        <w:t>系统</w:t>
      </w:r>
      <w:r>
        <w:rPr>
          <w:rFonts w:hint="eastAsia"/>
        </w:rPr>
        <w:t>T</w:t>
      </w:r>
      <w:r>
        <w:t>N</w:t>
      </w:r>
      <w:r>
        <w:rPr>
          <w:rFonts w:hint="eastAsia"/>
        </w:rPr>
        <w:t>去除率＜7</w:t>
      </w:r>
      <w:r>
        <w:t>0%</w:t>
      </w:r>
      <w:r>
        <w:rPr>
          <w:rFonts w:hint="eastAsia"/>
        </w:rPr>
        <w:t>时，且主要考虑原水碳源进行脱氮时，宜采用A</w:t>
      </w:r>
      <w:r>
        <w:t>O</w:t>
      </w:r>
      <w:r>
        <w:rPr>
          <w:rFonts w:hint="eastAsia"/>
        </w:rPr>
        <w:t>工艺，当主要考虑外投碳源进行脱氮时，宜采用</w:t>
      </w:r>
      <w:r>
        <w:t>OAO</w:t>
      </w:r>
      <w:r>
        <w:rPr>
          <w:rFonts w:hint="eastAsia"/>
        </w:rPr>
        <w:t>的工艺流程，可以免去硝化液回流，节能降耗；当系统T</w:t>
      </w:r>
      <w:r>
        <w:t>N</w:t>
      </w:r>
      <w:r>
        <w:rPr>
          <w:rFonts w:hint="eastAsia"/>
        </w:rPr>
        <w:t>去除率≥</w:t>
      </w:r>
      <w:r>
        <w:t>70%</w:t>
      </w:r>
      <w:r>
        <w:rPr>
          <w:rFonts w:hint="eastAsia"/>
        </w:rPr>
        <w:t>或出水T</w:t>
      </w:r>
      <w:r>
        <w:t>N</w:t>
      </w:r>
      <w:r>
        <w:rPr>
          <w:rFonts w:hint="eastAsia"/>
        </w:rPr>
        <w:t>≤</w:t>
      </w:r>
      <w:r>
        <w:t xml:space="preserve">10 </w:t>
      </w:r>
      <w:r>
        <w:rPr>
          <w:rFonts w:hint="eastAsia"/>
        </w:rPr>
        <w:t>mg/L时，宜采用A</w:t>
      </w:r>
      <w:r>
        <w:t>OA</w:t>
      </w:r>
      <w:r>
        <w:rPr>
          <w:rFonts w:hint="eastAsia"/>
        </w:rPr>
        <w:t>或多级A</w:t>
      </w:r>
      <w:r>
        <w:t>O</w:t>
      </w:r>
      <w:r>
        <w:rPr>
          <w:rFonts w:hint="eastAsia"/>
        </w:rPr>
        <w:t>工艺，此时通过后A的设置，可以破除传统A</w:t>
      </w:r>
      <w:r>
        <w:t>O</w:t>
      </w:r>
      <w:r>
        <w:rPr>
          <w:rFonts w:hint="eastAsia"/>
        </w:rPr>
        <w:t>工艺中硝化液回流比对于T</w:t>
      </w:r>
      <w:r>
        <w:t>N</w:t>
      </w:r>
      <w:r>
        <w:rPr>
          <w:rFonts w:hint="eastAsia"/>
        </w:rPr>
        <w:t>去除的限制，从而获得高T</w:t>
      </w:r>
      <w:r>
        <w:t>N</w:t>
      </w:r>
      <w:r>
        <w:rPr>
          <w:rFonts w:hint="eastAsia"/>
        </w:rPr>
        <w:t>去除效果；后好氧段的设置，主要防止缺氧投加碳源过量，确保出水COD和B</w:t>
      </w:r>
      <w:r>
        <w:t>OD</w:t>
      </w:r>
      <w:r>
        <w:rPr>
          <w:vertAlign w:val="subscript"/>
        </w:rPr>
        <w:t>5</w:t>
      </w:r>
      <w:r>
        <w:rPr>
          <w:rFonts w:hint="eastAsia"/>
        </w:rPr>
        <w:t>指标合格。</w:t>
      </w:r>
    </w:p>
    <w:p>
      <w:pPr>
        <w:pStyle w:val="49"/>
        <w:spacing w:before="156" w:after="156"/>
      </w:pPr>
      <w:r>
        <w:rPr>
          <w:rFonts w:hint="eastAsia"/>
        </w:rPr>
        <w:t>关于B段以表面污染物去除负荷为设计参数的说明</w:t>
      </w:r>
    </w:p>
    <w:p>
      <w:pPr>
        <w:pStyle w:val="42"/>
        <w:ind w:firstLine="480"/>
      </w:pPr>
      <w:r>
        <w:t>BFM-B</w:t>
      </w:r>
      <w:r>
        <w:rPr>
          <w:rFonts w:hint="eastAsia"/>
        </w:rPr>
        <w:t>段以悬浮载体富集生物膜，传质对于效果影响较大，而传质是界面过程，与表面积密切相关，故应采用表面负荷进行设计。未采用污泥负荷作为设计参数主要原因在于生物膜生物量测定困难，准确性差，且生物量与水质及组成密切相关，数值变化范围大且不稳定。BFM-B段不宜采用容积负荷作为设计参数，主要原因在于一方面受悬浮载体填充率影响，容积负荷随之改变，表述复杂；另一方面，悬浮载体型号不同，相同填充率下其容积负荷也不相同。根据已运行污水处理厂调研，各项目悬浮载体生物膜表面负荷具有较好的规律性，应作为M</w:t>
      </w:r>
      <w:r>
        <w:t>BBR</w:t>
      </w:r>
      <w:r>
        <w:rPr>
          <w:rFonts w:hint="eastAsia"/>
        </w:rPr>
        <w:t>的设计参数。</w:t>
      </w:r>
    </w:p>
    <w:p>
      <w:pPr>
        <w:pStyle w:val="49"/>
        <w:spacing w:before="156" w:after="156"/>
      </w:pPr>
      <w:r>
        <w:rPr>
          <w:rFonts w:hint="eastAsia"/>
        </w:rPr>
        <w:t>对于以脱碳为核心的反应区，其表面负荷应根据B</w:t>
      </w:r>
      <w:r>
        <w:t>OD</w:t>
      </w:r>
      <w:r>
        <w:rPr>
          <w:vertAlign w:val="subscript"/>
        </w:rPr>
        <w:t>5</w:t>
      </w:r>
      <w:r>
        <w:rPr>
          <w:rFonts w:hint="eastAsia"/>
        </w:rPr>
        <w:t>的去除要求进行合理取值。设计时应根据经验取值，如特殊水质，宜根据试验进行确定。调研国内污水处理厂的悬浮载体BOD</w:t>
      </w:r>
      <w:r>
        <w:rPr>
          <w:rFonts w:hint="eastAsia"/>
          <w:vertAlign w:val="subscript"/>
        </w:rPr>
        <w:t>5</w:t>
      </w:r>
      <w:r>
        <w:rPr>
          <w:rFonts w:hint="eastAsia"/>
        </w:rPr>
        <w:t>表面有机负荷并结合试验研究，在</w:t>
      </w:r>
      <w:r>
        <w:t>15</w:t>
      </w:r>
      <w:r>
        <w:rPr>
          <w:rFonts w:hint="eastAsia"/>
        </w:rPr>
        <w:t>℃的水温下，实际数据如</w:t>
      </w:r>
      <w:r>
        <w:fldChar w:fldCharType="begin"/>
      </w:r>
      <w:r>
        <w:instrText xml:space="preserve"> </w:instrText>
      </w:r>
      <w:r>
        <w:rPr>
          <w:rFonts w:hint="eastAsia"/>
        </w:rPr>
        <w:instrText xml:space="preserve">REF _Ref122705738 \r \h</w:instrText>
      </w:r>
      <w:r>
        <w:instrText xml:space="preserve"> </w:instrText>
      </w:r>
      <w:r>
        <w:fldChar w:fldCharType="separate"/>
      </w:r>
      <w:r>
        <w:rPr>
          <w:rFonts w:hint="eastAsia"/>
        </w:rPr>
        <w:t>表1</w:t>
      </w:r>
      <w:r>
        <w:fldChar w:fldCharType="end"/>
      </w:r>
      <w:r>
        <w:rPr>
          <w:rFonts w:hint="eastAsia"/>
        </w:rPr>
        <w:t>所示。如山东某工业水处理项目，其进水B</w:t>
      </w:r>
      <w:r>
        <w:t>OD</w:t>
      </w:r>
      <w:r>
        <w:rPr>
          <w:rFonts w:hint="eastAsia"/>
          <w:vertAlign w:val="subscript"/>
        </w:rPr>
        <w:t>5</w:t>
      </w:r>
      <w:r>
        <w:rPr>
          <w:rFonts w:hint="eastAsia"/>
        </w:rPr>
        <w:t>浓度较高，去除率低，故表面有机负荷较高；山东某石化废水处理项目，进水</w:t>
      </w:r>
      <w:r>
        <w:t>BOD</w:t>
      </w:r>
      <w:r>
        <w:rPr>
          <w:rFonts w:hint="eastAsia"/>
          <w:vertAlign w:val="subscript"/>
        </w:rPr>
        <w:t>5</w:t>
      </w:r>
      <w:r>
        <w:rPr>
          <w:rFonts w:hint="eastAsia"/>
        </w:rPr>
        <w:t>浓度低，相应表面有机负荷低。广东地区市政污水进水B</w:t>
      </w:r>
      <w:r>
        <w:t>OD</w:t>
      </w:r>
      <w:r>
        <w:rPr>
          <w:rFonts w:hint="eastAsia"/>
          <w:vertAlign w:val="subscript"/>
        </w:rPr>
        <w:t>5</w:t>
      </w:r>
      <w:r>
        <w:rPr>
          <w:rFonts w:hint="eastAsia"/>
        </w:rPr>
        <w:t>一般为100~150mg/L，B</w:t>
      </w:r>
      <w:r>
        <w:t>OD</w:t>
      </w:r>
      <w:r>
        <w:rPr>
          <w:rFonts w:hint="eastAsia"/>
          <w:vertAlign w:val="subscript"/>
        </w:rPr>
        <w:t>5</w:t>
      </w:r>
      <w:r>
        <w:rPr>
          <w:rFonts w:hint="eastAsia"/>
        </w:rPr>
        <w:t>的去除率在90%以上，其表面有机负荷一般在7~15</w:t>
      </w:r>
      <w:r>
        <w:t>gBOD</w:t>
      </w:r>
      <w:r>
        <w:rPr>
          <w:vertAlign w:val="subscript"/>
        </w:rPr>
        <w:t>5</w:t>
      </w:r>
      <w:r>
        <w:t>/(m</w:t>
      </w:r>
      <w:r>
        <w:rPr>
          <w:vertAlign w:val="superscript"/>
        </w:rPr>
        <w:t>2</w:t>
      </w:r>
      <w:r>
        <w:t>·d)</w:t>
      </w:r>
      <w:r>
        <w:rPr>
          <w:rFonts w:hint="eastAsia"/>
        </w:rPr>
        <w:t>。对于微污染水，如黑臭水体、河道水等，其</w:t>
      </w:r>
      <w:r>
        <w:t>BOD</w:t>
      </w:r>
      <w:r>
        <w:rPr>
          <w:rFonts w:hint="eastAsia"/>
          <w:vertAlign w:val="subscript"/>
        </w:rPr>
        <w:t>5</w:t>
      </w:r>
      <w:r>
        <w:rPr>
          <w:rFonts w:hint="eastAsia"/>
        </w:rPr>
        <w:t>浓度较低，且去除要求不高，故表面有机负荷相应降低。</w:t>
      </w:r>
    </w:p>
    <w:p>
      <w:pPr>
        <w:pStyle w:val="76"/>
      </w:pPr>
      <w:bookmarkStart w:id="167" w:name="_Ref122705738"/>
      <w:r>
        <w:t>15</w:t>
      </w:r>
      <w:r>
        <w:rPr>
          <w:rFonts w:hint="eastAsia"/>
        </w:rPr>
        <w:t>℃时实际案例BOD</w:t>
      </w:r>
      <w:r>
        <w:rPr>
          <w:rFonts w:hint="eastAsia"/>
          <w:vertAlign w:val="subscript"/>
        </w:rPr>
        <w:t>5</w:t>
      </w:r>
      <w:r>
        <w:rPr>
          <w:rFonts w:hint="eastAsia"/>
        </w:rPr>
        <w:t>表面有机负荷</w:t>
      </w:r>
      <w:bookmarkEnd w:id="167"/>
    </w:p>
    <w:tbl>
      <w:tblPr>
        <w:tblStyle w:val="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3842"/>
        <w:gridCol w:w="1583"/>
        <w:gridCol w:w="2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422" w:type="pct"/>
            <w:vAlign w:val="center"/>
          </w:tcPr>
          <w:p>
            <w:pPr>
              <w:pStyle w:val="52"/>
            </w:pPr>
            <w:r>
              <w:rPr>
                <w:rFonts w:hint="eastAsia"/>
              </w:rPr>
              <w:t>序号</w:t>
            </w:r>
          </w:p>
        </w:tc>
        <w:tc>
          <w:tcPr>
            <w:tcW w:w="2254" w:type="pct"/>
            <w:vAlign w:val="center"/>
          </w:tcPr>
          <w:p>
            <w:pPr>
              <w:pStyle w:val="52"/>
            </w:pPr>
            <w:r>
              <w:rPr>
                <w:rFonts w:hint="eastAsia"/>
              </w:rPr>
              <w:t>项目</w:t>
            </w:r>
          </w:p>
        </w:tc>
        <w:tc>
          <w:tcPr>
            <w:tcW w:w="929" w:type="pct"/>
            <w:vAlign w:val="center"/>
          </w:tcPr>
          <w:p>
            <w:pPr>
              <w:pStyle w:val="52"/>
            </w:pPr>
            <w:r>
              <w:rPr>
                <w:rFonts w:hint="eastAsia"/>
              </w:rPr>
              <w:t>B</w:t>
            </w:r>
            <w:r>
              <w:t>OD</w:t>
            </w:r>
            <w:r>
              <w:rPr>
                <w:vertAlign w:val="subscript"/>
              </w:rPr>
              <w:t>5</w:t>
            </w:r>
            <w:r>
              <w:rPr>
                <w:rFonts w:hint="eastAsia"/>
              </w:rPr>
              <w:t>去除率(</w:t>
            </w:r>
            <w:r>
              <w:t>%)</w:t>
            </w:r>
          </w:p>
        </w:tc>
        <w:tc>
          <w:tcPr>
            <w:tcW w:w="1395" w:type="pct"/>
            <w:vAlign w:val="center"/>
          </w:tcPr>
          <w:p>
            <w:pPr>
              <w:pStyle w:val="52"/>
            </w:pPr>
            <w:r>
              <w:rPr>
                <w:rFonts w:hint="eastAsia"/>
              </w:rPr>
              <w:t>BOD</w:t>
            </w:r>
            <w:r>
              <w:rPr>
                <w:vertAlign w:val="subscript"/>
              </w:rPr>
              <w:t>5</w:t>
            </w:r>
            <w:r>
              <w:rPr>
                <w:rFonts w:hint="eastAsia"/>
              </w:rPr>
              <w:t>表面负荷</w:t>
            </w:r>
            <w:r>
              <w:t>[gBOD</w:t>
            </w:r>
            <w:r>
              <w:rPr>
                <w:vertAlign w:val="subscript"/>
              </w:rPr>
              <w:t>5</w:t>
            </w:r>
            <w:r>
              <w:t>/(m</w:t>
            </w:r>
            <w:r>
              <w:rPr>
                <w:vertAlign w:val="superscript"/>
              </w:rPr>
              <w:t>2</w:t>
            </w:r>
            <w: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422" w:type="pct"/>
            <w:vAlign w:val="center"/>
          </w:tcPr>
          <w:p>
            <w:pPr>
              <w:pStyle w:val="52"/>
            </w:pPr>
            <w:r>
              <w:rPr>
                <w:rFonts w:hint="eastAsia"/>
              </w:rPr>
              <w:t>1</w:t>
            </w:r>
          </w:p>
        </w:tc>
        <w:tc>
          <w:tcPr>
            <w:tcW w:w="2254" w:type="pct"/>
            <w:vAlign w:val="center"/>
          </w:tcPr>
          <w:p>
            <w:pPr>
              <w:pStyle w:val="52"/>
            </w:pPr>
            <w:r>
              <w:rPr>
                <w:rFonts w:hint="eastAsia"/>
              </w:rPr>
              <w:t>山东某工业水处理项目</w:t>
            </w:r>
          </w:p>
        </w:tc>
        <w:tc>
          <w:tcPr>
            <w:tcW w:w="929" w:type="pct"/>
            <w:vAlign w:val="center"/>
          </w:tcPr>
          <w:p>
            <w:pPr>
              <w:pStyle w:val="52"/>
            </w:pPr>
            <w:r>
              <w:t>70</w:t>
            </w:r>
          </w:p>
        </w:tc>
        <w:tc>
          <w:tcPr>
            <w:tcW w:w="1395" w:type="pct"/>
            <w:vAlign w:val="center"/>
          </w:tcPr>
          <w:p>
            <w:pPr>
              <w:pStyle w:val="52"/>
            </w:pPr>
            <w:r>
              <w:t>24.609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422" w:type="pct"/>
            <w:vAlign w:val="center"/>
          </w:tcPr>
          <w:p>
            <w:pPr>
              <w:pStyle w:val="52"/>
            </w:pPr>
            <w:r>
              <w:rPr>
                <w:rFonts w:hint="eastAsia"/>
              </w:rPr>
              <w:t>2</w:t>
            </w:r>
          </w:p>
        </w:tc>
        <w:tc>
          <w:tcPr>
            <w:tcW w:w="2254" w:type="pct"/>
            <w:vAlign w:val="center"/>
          </w:tcPr>
          <w:p>
            <w:pPr>
              <w:pStyle w:val="52"/>
            </w:pPr>
            <w:r>
              <w:rPr>
                <w:rFonts w:hint="eastAsia"/>
              </w:rPr>
              <w:t>山东某石化废水处理项目</w:t>
            </w:r>
          </w:p>
        </w:tc>
        <w:tc>
          <w:tcPr>
            <w:tcW w:w="929" w:type="pct"/>
            <w:vAlign w:val="center"/>
          </w:tcPr>
          <w:p>
            <w:pPr>
              <w:pStyle w:val="52"/>
            </w:pPr>
            <w:r>
              <w:t>73</w:t>
            </w:r>
          </w:p>
        </w:tc>
        <w:tc>
          <w:tcPr>
            <w:tcW w:w="1395" w:type="pct"/>
            <w:vAlign w:val="center"/>
          </w:tcPr>
          <w:p>
            <w:pPr>
              <w:pStyle w:val="52"/>
            </w:pPr>
            <w:r>
              <w:t>6.600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422" w:type="pct"/>
            <w:vAlign w:val="center"/>
          </w:tcPr>
          <w:p>
            <w:pPr>
              <w:pStyle w:val="52"/>
            </w:pPr>
            <w:r>
              <w:t>3</w:t>
            </w:r>
          </w:p>
        </w:tc>
        <w:tc>
          <w:tcPr>
            <w:tcW w:w="2254" w:type="pct"/>
            <w:vAlign w:val="center"/>
          </w:tcPr>
          <w:p>
            <w:pPr>
              <w:pStyle w:val="52"/>
            </w:pPr>
            <w:r>
              <w:rPr>
                <w:rFonts w:hint="eastAsia"/>
              </w:rPr>
              <w:t>广东湛江某市政污水处理项目</w:t>
            </w:r>
          </w:p>
        </w:tc>
        <w:tc>
          <w:tcPr>
            <w:tcW w:w="929" w:type="pct"/>
            <w:vAlign w:val="center"/>
          </w:tcPr>
          <w:p>
            <w:pPr>
              <w:pStyle w:val="52"/>
            </w:pPr>
            <w:r>
              <w:t>9</w:t>
            </w:r>
            <w:r>
              <w:rPr>
                <w:rFonts w:hint="eastAsia"/>
              </w:rPr>
              <w:t>1</w:t>
            </w:r>
          </w:p>
        </w:tc>
        <w:tc>
          <w:tcPr>
            <w:tcW w:w="1395" w:type="pct"/>
            <w:vAlign w:val="center"/>
          </w:tcPr>
          <w:p>
            <w:pPr>
              <w:pStyle w:val="52"/>
            </w:pPr>
            <w:r>
              <w:t>14.250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422" w:type="pct"/>
            <w:vAlign w:val="center"/>
          </w:tcPr>
          <w:p>
            <w:pPr>
              <w:pStyle w:val="52"/>
            </w:pPr>
            <w:r>
              <w:t>4</w:t>
            </w:r>
          </w:p>
        </w:tc>
        <w:tc>
          <w:tcPr>
            <w:tcW w:w="2254" w:type="pct"/>
            <w:vAlign w:val="center"/>
          </w:tcPr>
          <w:p>
            <w:pPr>
              <w:pStyle w:val="52"/>
            </w:pPr>
            <w:r>
              <w:rPr>
                <w:rFonts w:hint="eastAsia"/>
              </w:rPr>
              <w:t>广东四会某市政污水改建项目</w:t>
            </w:r>
          </w:p>
        </w:tc>
        <w:tc>
          <w:tcPr>
            <w:tcW w:w="929" w:type="pct"/>
            <w:vAlign w:val="center"/>
          </w:tcPr>
          <w:p>
            <w:pPr>
              <w:pStyle w:val="52"/>
            </w:pPr>
            <w:r>
              <w:rPr>
                <w:rFonts w:hint="eastAsia"/>
              </w:rPr>
              <w:t>93</w:t>
            </w:r>
          </w:p>
        </w:tc>
        <w:tc>
          <w:tcPr>
            <w:tcW w:w="1395" w:type="pct"/>
            <w:vAlign w:val="center"/>
          </w:tcPr>
          <w:p>
            <w:pPr>
              <w:pStyle w:val="52"/>
            </w:pPr>
            <w:r>
              <w:rPr>
                <w:rFonts w:hint="eastAsia"/>
              </w:rPr>
              <w:t>12</w:t>
            </w:r>
            <w:r>
              <w:t>.938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422" w:type="pct"/>
            <w:vAlign w:val="center"/>
          </w:tcPr>
          <w:p>
            <w:pPr>
              <w:pStyle w:val="52"/>
            </w:pPr>
            <w:r>
              <w:rPr>
                <w:rFonts w:hint="eastAsia"/>
              </w:rPr>
              <w:t>5</w:t>
            </w:r>
          </w:p>
        </w:tc>
        <w:tc>
          <w:tcPr>
            <w:tcW w:w="2254" w:type="pct"/>
            <w:vAlign w:val="center"/>
          </w:tcPr>
          <w:p>
            <w:pPr>
              <w:pStyle w:val="52"/>
            </w:pPr>
            <w:r>
              <w:rPr>
                <w:rFonts w:hint="eastAsia"/>
              </w:rPr>
              <w:t>广东东莞某河道水处理项目</w:t>
            </w:r>
          </w:p>
        </w:tc>
        <w:tc>
          <w:tcPr>
            <w:tcW w:w="929" w:type="pct"/>
            <w:vAlign w:val="center"/>
          </w:tcPr>
          <w:p>
            <w:pPr>
              <w:pStyle w:val="52"/>
            </w:pPr>
            <w:r>
              <w:t>82</w:t>
            </w:r>
          </w:p>
        </w:tc>
        <w:tc>
          <w:tcPr>
            <w:tcW w:w="1395" w:type="pct"/>
            <w:vAlign w:val="center"/>
          </w:tcPr>
          <w:p>
            <w:pPr>
              <w:pStyle w:val="52"/>
            </w:pPr>
            <w:r>
              <w:t>3.375</w:t>
            </w:r>
          </w:p>
        </w:tc>
      </w:tr>
    </w:tbl>
    <w:p>
      <w:pPr>
        <w:pStyle w:val="49"/>
        <w:spacing w:before="156" w:after="156"/>
      </w:pPr>
      <w:r>
        <w:rPr>
          <w:rFonts w:hint="eastAsia"/>
        </w:rPr>
        <w:t>表面硝化负荷主要与进水氨氮负荷、进水有机物负荷、出水氨氮浓度、系统分级数等具体参数有关，设计时应根据经验取值，如特殊水质，宜根据试验进行确定。进水氨氮浓度高、有机物负荷低、出水氨氮标准低时，可取上限，反之可取下限。调研国内污水处理厂的悬浮载体表面硝化负荷并结合试验研究，在</w:t>
      </w:r>
      <w:r>
        <w:t>15</w:t>
      </w:r>
      <w:r>
        <w:rPr>
          <w:rFonts w:hint="eastAsia"/>
        </w:rPr>
        <w:t>℃的水温下，实际案例如</w:t>
      </w:r>
      <w:r>
        <w:fldChar w:fldCharType="begin"/>
      </w:r>
      <w:r>
        <w:instrText xml:space="preserve"> </w:instrText>
      </w:r>
      <w:r>
        <w:rPr>
          <w:rFonts w:hint="eastAsia"/>
        </w:rPr>
        <w:instrText xml:space="preserve">REF _Ref122705749 \r \h</w:instrText>
      </w:r>
      <w:r>
        <w:instrText xml:space="preserve"> </w:instrText>
      </w:r>
      <w:r>
        <w:fldChar w:fldCharType="separate"/>
      </w:r>
      <w:r>
        <w:rPr>
          <w:rFonts w:hint="eastAsia"/>
        </w:rPr>
        <w:t>表2</w:t>
      </w:r>
      <w:r>
        <w:fldChar w:fldCharType="end"/>
      </w:r>
      <w:r>
        <w:rPr>
          <w:rFonts w:hint="eastAsia"/>
        </w:rPr>
        <w:t>所示。山东某制药废水项目，属高氨氮废水，其进水氨氮最大可达到950mg/L，故表面硝化负荷高。对于广东地区市政污水厂，表面硝化负荷取值与出水氨氮浓度，好氧区分级关系密切，取值一般为0.3~0.9</w:t>
      </w:r>
      <w:r>
        <w:t xml:space="preserve"> gNH</w:t>
      </w:r>
      <w:r>
        <w:rPr>
          <w:vertAlign w:val="subscript"/>
        </w:rPr>
        <w:t>4</w:t>
      </w:r>
      <w:r>
        <w:rPr>
          <w:vertAlign w:val="superscript"/>
        </w:rPr>
        <w:t>+</w:t>
      </w:r>
      <w:r>
        <w:t>-N/(m</w:t>
      </w:r>
      <w:r>
        <w:rPr>
          <w:vertAlign w:val="superscript"/>
        </w:rPr>
        <w:t>2</w:t>
      </w:r>
      <w:r>
        <w:t>·d)</w:t>
      </w:r>
      <w:r>
        <w:rPr>
          <w:rFonts w:hint="eastAsia"/>
        </w:rPr>
        <w:t>。</w:t>
      </w:r>
    </w:p>
    <w:p>
      <w:pPr>
        <w:pStyle w:val="76"/>
      </w:pPr>
      <w:bookmarkStart w:id="168" w:name="_Ref122705749"/>
      <w:r>
        <w:t>15</w:t>
      </w:r>
      <w:r>
        <w:rPr>
          <w:rFonts w:hint="eastAsia"/>
        </w:rPr>
        <w:t>℃时实际案例表面硝化负荷</w:t>
      </w:r>
      <w:bookmarkEnd w:id="168"/>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4152"/>
        <w:gridCol w:w="1731"/>
        <w:gridCol w:w="1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pPr>
              <w:pStyle w:val="52"/>
            </w:pPr>
            <w:bookmarkStart w:id="169" w:name="_Hlk103025494"/>
            <w:r>
              <w:rPr>
                <w:rFonts w:hint="eastAsia"/>
              </w:rPr>
              <w:t>序号</w:t>
            </w:r>
          </w:p>
        </w:tc>
        <w:tc>
          <w:tcPr>
            <w:tcW w:w="0" w:type="auto"/>
            <w:vAlign w:val="center"/>
          </w:tcPr>
          <w:p>
            <w:pPr>
              <w:pStyle w:val="52"/>
            </w:pPr>
            <w:r>
              <w:rPr>
                <w:rFonts w:hint="eastAsia"/>
              </w:rPr>
              <w:t>项目</w:t>
            </w:r>
          </w:p>
        </w:tc>
        <w:tc>
          <w:tcPr>
            <w:tcW w:w="0" w:type="auto"/>
            <w:vAlign w:val="center"/>
          </w:tcPr>
          <w:p>
            <w:pPr>
              <w:pStyle w:val="52"/>
            </w:pPr>
            <w:r>
              <w:rPr>
                <w:rFonts w:hint="eastAsia"/>
              </w:rPr>
              <w:t>氨氮去除率(</w:t>
            </w:r>
            <w:r>
              <w:t>%)</w:t>
            </w:r>
          </w:p>
        </w:tc>
        <w:tc>
          <w:tcPr>
            <w:tcW w:w="0" w:type="auto"/>
            <w:vAlign w:val="center"/>
          </w:tcPr>
          <w:p>
            <w:pPr>
              <w:pStyle w:val="52"/>
              <w:rPr>
                <w:rFonts w:hint="eastAsia" w:eastAsia="宋体"/>
                <w:lang w:eastAsia="zh-CN"/>
              </w:rPr>
            </w:pPr>
            <w:r>
              <w:rPr>
                <w:rFonts w:hint="eastAsia"/>
              </w:rPr>
              <w:t>表面硝化负荷</w:t>
            </w:r>
          </w:p>
          <w:p>
            <w:pPr>
              <w:pStyle w:val="52"/>
            </w:pPr>
            <w:r>
              <w:t>[gNH</w:t>
            </w:r>
            <w:r>
              <w:rPr>
                <w:vertAlign w:val="subscript"/>
              </w:rPr>
              <w:t>4</w:t>
            </w:r>
            <w:r>
              <w:rPr>
                <w:vertAlign w:val="superscript"/>
              </w:rPr>
              <w:t>+</w:t>
            </w:r>
            <w:r>
              <w:t>-N/(m</w:t>
            </w:r>
            <w:r>
              <w:rPr>
                <w:vertAlign w:val="superscript"/>
              </w:rPr>
              <w:t>2</w:t>
            </w:r>
            <w: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pPr>
              <w:pStyle w:val="52"/>
            </w:pPr>
            <w:r>
              <w:t>1</w:t>
            </w:r>
          </w:p>
        </w:tc>
        <w:tc>
          <w:tcPr>
            <w:tcW w:w="0" w:type="auto"/>
            <w:vAlign w:val="center"/>
          </w:tcPr>
          <w:p>
            <w:pPr>
              <w:pStyle w:val="52"/>
            </w:pPr>
            <w:r>
              <w:rPr>
                <w:rFonts w:hint="eastAsia"/>
              </w:rPr>
              <w:t>山东某制药废水处理项目</w:t>
            </w:r>
          </w:p>
        </w:tc>
        <w:tc>
          <w:tcPr>
            <w:tcW w:w="0" w:type="auto"/>
            <w:vAlign w:val="center"/>
          </w:tcPr>
          <w:p>
            <w:pPr>
              <w:pStyle w:val="52"/>
            </w:pPr>
            <w:r>
              <w:rPr>
                <w:rFonts w:hint="eastAsia"/>
              </w:rPr>
              <w:t>8</w:t>
            </w:r>
            <w:r>
              <w:t>3</w:t>
            </w:r>
          </w:p>
        </w:tc>
        <w:tc>
          <w:tcPr>
            <w:tcW w:w="0" w:type="auto"/>
            <w:vAlign w:val="center"/>
          </w:tcPr>
          <w:p>
            <w:pPr>
              <w:pStyle w:val="52"/>
            </w:pPr>
            <w:r>
              <w:rPr>
                <w:rFonts w:hint="eastAsia"/>
              </w:rPr>
              <w:t>1</w:t>
            </w:r>
            <w: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pPr>
              <w:pStyle w:val="52"/>
            </w:pPr>
            <w:r>
              <w:rPr>
                <w:rFonts w:hint="eastAsia"/>
              </w:rPr>
              <w:t>2</w:t>
            </w:r>
          </w:p>
        </w:tc>
        <w:tc>
          <w:tcPr>
            <w:tcW w:w="0" w:type="auto"/>
            <w:vAlign w:val="center"/>
          </w:tcPr>
          <w:p>
            <w:pPr>
              <w:pStyle w:val="52"/>
            </w:pPr>
            <w:r>
              <w:rPr>
                <w:rFonts w:hint="eastAsia"/>
              </w:rPr>
              <w:t>汕头某市政污水处理项目</w:t>
            </w:r>
          </w:p>
        </w:tc>
        <w:tc>
          <w:tcPr>
            <w:tcW w:w="0" w:type="auto"/>
            <w:vAlign w:val="center"/>
          </w:tcPr>
          <w:p>
            <w:pPr>
              <w:pStyle w:val="52"/>
            </w:pPr>
            <w:r>
              <w:rPr>
                <w:rFonts w:hint="eastAsia"/>
              </w:rPr>
              <w:t>91</w:t>
            </w:r>
          </w:p>
        </w:tc>
        <w:tc>
          <w:tcPr>
            <w:tcW w:w="0" w:type="auto"/>
            <w:vAlign w:val="center"/>
          </w:tcPr>
          <w:p>
            <w:pPr>
              <w:pStyle w:val="52"/>
            </w:pPr>
            <w:r>
              <w:rPr>
                <w:rFonts w:hint="eastAsia"/>
              </w:rPr>
              <w:t>0.504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pPr>
              <w:pStyle w:val="52"/>
            </w:pPr>
            <w:r>
              <w:rPr>
                <w:rFonts w:hint="eastAsia"/>
              </w:rPr>
              <w:t>3</w:t>
            </w:r>
          </w:p>
        </w:tc>
        <w:tc>
          <w:tcPr>
            <w:tcW w:w="0" w:type="auto"/>
            <w:vAlign w:val="center"/>
          </w:tcPr>
          <w:p>
            <w:pPr>
              <w:pStyle w:val="52"/>
            </w:pPr>
            <w:r>
              <w:rPr>
                <w:rFonts w:hint="eastAsia"/>
              </w:rPr>
              <w:t>广东佛山某市政污水处理项目</w:t>
            </w:r>
          </w:p>
        </w:tc>
        <w:tc>
          <w:tcPr>
            <w:tcW w:w="0" w:type="auto"/>
            <w:vAlign w:val="center"/>
          </w:tcPr>
          <w:p>
            <w:pPr>
              <w:pStyle w:val="52"/>
            </w:pPr>
            <w:r>
              <w:rPr>
                <w:rFonts w:hint="eastAsia"/>
              </w:rPr>
              <w:t>79</w:t>
            </w:r>
          </w:p>
        </w:tc>
        <w:tc>
          <w:tcPr>
            <w:tcW w:w="0" w:type="auto"/>
            <w:vAlign w:val="center"/>
          </w:tcPr>
          <w:p>
            <w:pPr>
              <w:pStyle w:val="52"/>
            </w:pPr>
            <w:r>
              <w:rPr>
                <w:rFonts w:hint="eastAsia"/>
              </w:rPr>
              <w:t>0</w:t>
            </w:r>
            <w:r>
              <w:t>.</w:t>
            </w:r>
            <w:r>
              <w:rPr>
                <w:rFonts w:hint="eastAsia"/>
              </w:rPr>
              <w:t>59</w:t>
            </w:r>
            <w: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pPr>
              <w:pStyle w:val="52"/>
            </w:pPr>
            <w:r>
              <w:rPr>
                <w:rFonts w:hint="eastAsia"/>
              </w:rPr>
              <w:t>4</w:t>
            </w:r>
          </w:p>
        </w:tc>
        <w:tc>
          <w:tcPr>
            <w:tcW w:w="0" w:type="auto"/>
            <w:vAlign w:val="center"/>
          </w:tcPr>
          <w:p>
            <w:pPr>
              <w:pStyle w:val="52"/>
            </w:pPr>
            <w:r>
              <w:rPr>
                <w:rFonts w:hint="eastAsia"/>
              </w:rPr>
              <w:t>广东四会某市政污水改建项目好氧一级</w:t>
            </w:r>
          </w:p>
        </w:tc>
        <w:tc>
          <w:tcPr>
            <w:tcW w:w="0" w:type="auto"/>
            <w:vAlign w:val="center"/>
          </w:tcPr>
          <w:p>
            <w:pPr>
              <w:pStyle w:val="52"/>
            </w:pPr>
            <w:r>
              <w:rPr>
                <w:rFonts w:hint="eastAsia"/>
              </w:rPr>
              <w:t>60</w:t>
            </w:r>
          </w:p>
        </w:tc>
        <w:tc>
          <w:tcPr>
            <w:tcW w:w="0" w:type="auto"/>
            <w:vAlign w:val="center"/>
          </w:tcPr>
          <w:p>
            <w:pPr>
              <w:pStyle w:val="52"/>
            </w:pPr>
            <w:r>
              <w:rPr>
                <w:rFonts w:hint="eastAsia"/>
              </w:rPr>
              <w:t>0</w:t>
            </w:r>
            <w:r>
              <w:t>.</w:t>
            </w:r>
            <w:r>
              <w:rPr>
                <w:rFonts w:hint="eastAsia"/>
              </w:rPr>
              <w:t>5</w:t>
            </w:r>
            <w: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pPr>
              <w:pStyle w:val="52"/>
            </w:pPr>
            <w:r>
              <w:rPr>
                <w:rFonts w:hint="eastAsia"/>
              </w:rPr>
              <w:t>5</w:t>
            </w:r>
          </w:p>
        </w:tc>
        <w:tc>
          <w:tcPr>
            <w:tcW w:w="0" w:type="auto"/>
            <w:vAlign w:val="center"/>
          </w:tcPr>
          <w:p>
            <w:pPr>
              <w:pStyle w:val="52"/>
            </w:pPr>
            <w:r>
              <w:rPr>
                <w:rFonts w:hint="eastAsia"/>
              </w:rPr>
              <w:t>广东四会某市政污水改建项目好氧二级</w:t>
            </w:r>
          </w:p>
        </w:tc>
        <w:tc>
          <w:tcPr>
            <w:tcW w:w="0" w:type="auto"/>
            <w:vAlign w:val="center"/>
          </w:tcPr>
          <w:p>
            <w:pPr>
              <w:pStyle w:val="52"/>
            </w:pPr>
            <w:r>
              <w:rPr>
                <w:rFonts w:hint="eastAsia"/>
              </w:rPr>
              <w:t>80</w:t>
            </w:r>
          </w:p>
        </w:tc>
        <w:tc>
          <w:tcPr>
            <w:tcW w:w="0" w:type="auto"/>
            <w:vAlign w:val="center"/>
          </w:tcPr>
          <w:p>
            <w:pPr>
              <w:pStyle w:val="52"/>
            </w:pPr>
            <w:r>
              <w:rPr>
                <w:rFonts w:hint="eastAsia"/>
              </w:rPr>
              <w:t>0.684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pPr>
              <w:pStyle w:val="52"/>
            </w:pPr>
            <w:r>
              <w:rPr>
                <w:rFonts w:hint="eastAsia"/>
              </w:rPr>
              <w:t>6</w:t>
            </w:r>
          </w:p>
        </w:tc>
        <w:tc>
          <w:tcPr>
            <w:tcW w:w="0" w:type="auto"/>
            <w:vAlign w:val="center"/>
          </w:tcPr>
          <w:p>
            <w:pPr>
              <w:pStyle w:val="52"/>
            </w:pPr>
            <w:r>
              <w:rPr>
                <w:rFonts w:hint="eastAsia"/>
              </w:rPr>
              <w:t>安徽某合流制溢流污水处理项目</w:t>
            </w:r>
          </w:p>
        </w:tc>
        <w:tc>
          <w:tcPr>
            <w:tcW w:w="0" w:type="auto"/>
            <w:vAlign w:val="center"/>
          </w:tcPr>
          <w:p>
            <w:pPr>
              <w:pStyle w:val="52"/>
            </w:pPr>
            <w:r>
              <w:rPr>
                <w:rFonts w:hint="eastAsia"/>
              </w:rPr>
              <w:t>9</w:t>
            </w:r>
            <w:r>
              <w:t>2</w:t>
            </w:r>
          </w:p>
        </w:tc>
        <w:tc>
          <w:tcPr>
            <w:tcW w:w="0" w:type="auto"/>
            <w:vAlign w:val="center"/>
          </w:tcPr>
          <w:p>
            <w:pPr>
              <w:pStyle w:val="52"/>
            </w:pPr>
            <w:r>
              <w:rPr>
                <w:rFonts w:hint="eastAsia"/>
              </w:rPr>
              <w:t>0</w:t>
            </w:r>
            <w: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6" w:hRule="atLeast"/>
        </w:trPr>
        <w:tc>
          <w:tcPr>
            <w:tcW w:w="0" w:type="auto"/>
            <w:vAlign w:val="center"/>
          </w:tcPr>
          <w:p>
            <w:pPr>
              <w:pStyle w:val="52"/>
            </w:pPr>
            <w:r>
              <w:rPr>
                <w:rFonts w:hint="eastAsia"/>
              </w:rPr>
              <w:t>7</w:t>
            </w:r>
          </w:p>
        </w:tc>
        <w:tc>
          <w:tcPr>
            <w:tcW w:w="0" w:type="auto"/>
            <w:vAlign w:val="center"/>
          </w:tcPr>
          <w:p>
            <w:pPr>
              <w:pStyle w:val="52"/>
            </w:pPr>
            <w:r>
              <w:rPr>
                <w:rFonts w:hint="eastAsia"/>
              </w:rPr>
              <w:t>广东东莞某水质净化厂降氨氮项目</w:t>
            </w:r>
          </w:p>
        </w:tc>
        <w:tc>
          <w:tcPr>
            <w:tcW w:w="0" w:type="auto"/>
            <w:vAlign w:val="center"/>
          </w:tcPr>
          <w:p>
            <w:pPr>
              <w:pStyle w:val="52"/>
            </w:pPr>
            <w:r>
              <w:rPr>
                <w:rFonts w:hint="eastAsia"/>
              </w:rPr>
              <w:t>89</w:t>
            </w:r>
          </w:p>
        </w:tc>
        <w:tc>
          <w:tcPr>
            <w:tcW w:w="0" w:type="auto"/>
            <w:vAlign w:val="center"/>
          </w:tcPr>
          <w:p>
            <w:pPr>
              <w:pStyle w:val="52"/>
            </w:pPr>
            <w:r>
              <w:rPr>
                <w:rFonts w:hint="eastAsia"/>
              </w:rPr>
              <w:t>0</w:t>
            </w:r>
            <w:r>
              <w:t>.218</w:t>
            </w:r>
          </w:p>
        </w:tc>
      </w:tr>
      <w:bookmarkEnd w:id="169"/>
    </w:tbl>
    <w:p>
      <w:pPr>
        <w:pStyle w:val="42"/>
        <w:ind w:firstLine="480"/>
      </w:pPr>
      <w:r>
        <w:rPr>
          <w:rFonts w:hint="eastAsia"/>
        </w:rPr>
        <w:t>硝化一直是污水处理的重点，假设B段设计表面硝化负荷为0.8g/(m2·d)，投加有效比表面积为800m2/</w:t>
      </w:r>
      <w:r>
        <w:rPr>
          <w:rFonts w:hint="eastAsia"/>
          <w:lang w:eastAsia="zh-CN"/>
        </w:rPr>
        <w:t>m³</w:t>
      </w:r>
      <w:r>
        <w:rPr>
          <w:rFonts w:hint="eastAsia"/>
        </w:rPr>
        <w:t>悬浮载体，填充率60%，则容积负荷为0.384kg/(</w:t>
      </w:r>
      <w:r>
        <w:rPr>
          <w:rFonts w:hint="eastAsia"/>
          <w:lang w:eastAsia="zh-CN"/>
        </w:rPr>
        <w:t>m³</w:t>
      </w:r>
      <w:r>
        <w:rPr>
          <w:rFonts w:hint="eastAsia"/>
        </w:rPr>
        <w:t>·d)；对于活性污泥法，假设污泥负荷0.03kg/(kg·d)，污泥浓度为6g/L，则容积负荷为0.18kg/(</w:t>
      </w:r>
      <w:r>
        <w:rPr>
          <w:rFonts w:hint="eastAsia"/>
          <w:lang w:eastAsia="zh-CN"/>
        </w:rPr>
        <w:t>m³</w:t>
      </w:r>
      <w:r>
        <w:rPr>
          <w:rFonts w:hint="eastAsia"/>
        </w:rPr>
        <w:t>·d)。BFM-B段的容积硝化负荷是活性污泥的2.13倍。</w:t>
      </w:r>
    </w:p>
    <w:p>
      <w:pPr>
        <w:pStyle w:val="49"/>
        <w:spacing w:before="156" w:after="156"/>
      </w:pPr>
      <w:r>
        <w:rPr>
          <w:rFonts w:hint="eastAsia"/>
        </w:rPr>
        <w:t>表面反硝化负荷主要与碳源类型（原水碳源、外投碳源）、出水硝氮浓度有关，设计时应根据经验取值，如特殊水质，宜根据试验进行确定。调研国内污水处理厂的悬浮载体表面反硝化负荷并结合试验研究，在</w:t>
      </w:r>
      <w:r>
        <w:t>15</w:t>
      </w:r>
      <w:r>
        <w:rPr>
          <w:rFonts w:hint="eastAsia"/>
        </w:rPr>
        <w:t>℃的水温下，实际案例如</w:t>
      </w:r>
      <w:r>
        <w:fldChar w:fldCharType="begin"/>
      </w:r>
      <w:r>
        <w:instrText xml:space="preserve"> </w:instrText>
      </w:r>
      <w:r>
        <w:rPr>
          <w:rFonts w:hint="eastAsia"/>
        </w:rPr>
        <w:instrText xml:space="preserve">REF _Ref122705759 \r \h</w:instrText>
      </w:r>
      <w:r>
        <w:instrText xml:space="preserve"> </w:instrText>
      </w:r>
      <w:r>
        <w:fldChar w:fldCharType="separate"/>
      </w:r>
      <w:r>
        <w:rPr>
          <w:rFonts w:hint="eastAsia"/>
        </w:rPr>
        <w:t>表3</w:t>
      </w:r>
      <w:r>
        <w:fldChar w:fldCharType="end"/>
      </w:r>
      <w:r>
        <w:rPr>
          <w:rFonts w:hint="eastAsia"/>
        </w:rPr>
        <w:t>所示。广东四会某市政污水项目T</w:t>
      </w:r>
      <w:r>
        <w:t>N</w:t>
      </w:r>
      <w:r>
        <w:rPr>
          <w:rFonts w:hint="eastAsia"/>
        </w:rPr>
        <w:t>去除率4</w:t>
      </w:r>
      <w:r>
        <w:t>7.9</w:t>
      </w:r>
      <w:r>
        <w:rPr>
          <w:rFonts w:hint="eastAsia"/>
        </w:rPr>
        <w:t>%，后缺氧区悬浮载体投加碳源，其反硝化速率是前缺氧区的2</w:t>
      </w:r>
      <w:r>
        <w:t>.18</w:t>
      </w:r>
      <w:r>
        <w:rPr>
          <w:rFonts w:hint="eastAsia"/>
        </w:rPr>
        <w:t>倍。山东烟台某市政污水处理项目</w:t>
      </w:r>
      <w:r>
        <w:t>TN</w:t>
      </w:r>
      <w:r>
        <w:rPr>
          <w:rFonts w:hint="eastAsia"/>
        </w:rPr>
        <w:t>去除率高达9</w:t>
      </w:r>
      <w:r>
        <w:t>3.8</w:t>
      </w:r>
      <w:r>
        <w:rPr>
          <w:rFonts w:hint="eastAsia"/>
        </w:rPr>
        <w:t>%，出水T</w:t>
      </w:r>
      <w:r>
        <w:t>N</w:t>
      </w:r>
      <w:r>
        <w:rPr>
          <w:rFonts w:hint="eastAsia"/>
        </w:rPr>
        <w:t>小于5mg/L。</w:t>
      </w:r>
    </w:p>
    <w:p>
      <w:pPr>
        <w:pStyle w:val="76"/>
      </w:pPr>
      <w:bookmarkStart w:id="170" w:name="_Ref122705759"/>
      <w:r>
        <w:t>15</w:t>
      </w:r>
      <w:r>
        <w:rPr>
          <w:rFonts w:hint="eastAsia"/>
        </w:rPr>
        <w:t>℃时实际案例表面反硝化负荷</w:t>
      </w:r>
      <w:bookmarkEnd w:id="170"/>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3704"/>
        <w:gridCol w:w="1702"/>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pPr>
              <w:pStyle w:val="52"/>
            </w:pPr>
            <w:r>
              <w:rPr>
                <w:rFonts w:hint="eastAsia"/>
              </w:rPr>
              <w:t>序号</w:t>
            </w:r>
          </w:p>
        </w:tc>
        <w:tc>
          <w:tcPr>
            <w:tcW w:w="3704" w:type="dxa"/>
            <w:vAlign w:val="center"/>
          </w:tcPr>
          <w:p>
            <w:pPr>
              <w:pStyle w:val="52"/>
            </w:pPr>
            <w:r>
              <w:rPr>
                <w:rFonts w:hint="eastAsia"/>
              </w:rPr>
              <w:t>项目</w:t>
            </w:r>
          </w:p>
        </w:tc>
        <w:tc>
          <w:tcPr>
            <w:tcW w:w="1702" w:type="dxa"/>
            <w:vAlign w:val="center"/>
          </w:tcPr>
          <w:p>
            <w:pPr>
              <w:pStyle w:val="52"/>
            </w:pPr>
            <w:r>
              <w:rPr>
                <w:rFonts w:hint="eastAsia"/>
              </w:rPr>
              <w:t>是否投加碳源</w:t>
            </w:r>
          </w:p>
        </w:tc>
        <w:tc>
          <w:tcPr>
            <w:tcW w:w="2205" w:type="dxa"/>
            <w:vAlign w:val="center"/>
          </w:tcPr>
          <w:p>
            <w:pPr>
              <w:pStyle w:val="52"/>
            </w:pPr>
            <w:r>
              <w:rPr>
                <w:rFonts w:hint="eastAsia"/>
              </w:rPr>
              <w:t>表面反硝化负荷</w:t>
            </w:r>
          </w:p>
          <w:p>
            <w:pPr>
              <w:pStyle w:val="52"/>
            </w:pPr>
            <w:r>
              <w:t>[g</w:t>
            </w:r>
            <w:r>
              <w:rPr>
                <w:rFonts w:hint="eastAsia"/>
              </w:rPr>
              <w:t>NO</w:t>
            </w:r>
            <w:r>
              <w:rPr>
                <w:rFonts w:hint="eastAsia"/>
                <w:vertAlign w:val="subscript"/>
              </w:rPr>
              <w:t>x</w:t>
            </w:r>
            <w:r>
              <w:rPr>
                <w:vertAlign w:val="superscript"/>
              </w:rPr>
              <w:t>-</w:t>
            </w:r>
            <w:r>
              <w:t>-N/(m</w:t>
            </w:r>
            <w:r>
              <w:rPr>
                <w:vertAlign w:val="superscript"/>
              </w:rPr>
              <w:t>2</w:t>
            </w:r>
            <w:r>
              <w:t>·</w:t>
            </w:r>
            <w:r>
              <w:rPr>
                <w:rFonts w:hint="eastAsia"/>
              </w:rPr>
              <w:t>d)</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pPr>
              <w:pStyle w:val="52"/>
            </w:pPr>
            <w:r>
              <w:rPr>
                <w:rFonts w:hint="eastAsia"/>
              </w:rPr>
              <w:t>1</w:t>
            </w:r>
          </w:p>
        </w:tc>
        <w:tc>
          <w:tcPr>
            <w:tcW w:w="3704" w:type="dxa"/>
            <w:vAlign w:val="center"/>
          </w:tcPr>
          <w:p>
            <w:pPr>
              <w:pStyle w:val="52"/>
            </w:pPr>
            <w:r>
              <w:rPr>
                <w:rFonts w:hint="eastAsia"/>
              </w:rPr>
              <w:t>广东四会某市政污水改建项目前缺氧区</w:t>
            </w:r>
          </w:p>
        </w:tc>
        <w:tc>
          <w:tcPr>
            <w:tcW w:w="1702" w:type="dxa"/>
            <w:vAlign w:val="center"/>
          </w:tcPr>
          <w:p>
            <w:pPr>
              <w:pStyle w:val="52"/>
            </w:pPr>
            <w:r>
              <w:rPr>
                <w:rFonts w:hint="eastAsia"/>
              </w:rPr>
              <w:t>否</w:t>
            </w:r>
          </w:p>
        </w:tc>
        <w:tc>
          <w:tcPr>
            <w:tcW w:w="2205" w:type="dxa"/>
            <w:vAlign w:val="center"/>
          </w:tcPr>
          <w:p>
            <w:pPr>
              <w:pStyle w:val="52"/>
            </w:pPr>
            <w:r>
              <w:rPr>
                <w:rFonts w:hint="eastAsia"/>
              </w:rPr>
              <w:t>0</w:t>
            </w:r>
            <w: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pPr>
              <w:pStyle w:val="52"/>
            </w:pPr>
            <w:r>
              <w:rPr>
                <w:rFonts w:hint="eastAsia"/>
              </w:rPr>
              <w:t>2</w:t>
            </w:r>
          </w:p>
        </w:tc>
        <w:tc>
          <w:tcPr>
            <w:tcW w:w="3704" w:type="dxa"/>
            <w:vAlign w:val="center"/>
          </w:tcPr>
          <w:p>
            <w:pPr>
              <w:pStyle w:val="52"/>
            </w:pPr>
            <w:r>
              <w:rPr>
                <w:rFonts w:hint="eastAsia"/>
              </w:rPr>
              <w:t>广东四会某市政污水改建项目缺氧区</w:t>
            </w:r>
          </w:p>
        </w:tc>
        <w:tc>
          <w:tcPr>
            <w:tcW w:w="1702" w:type="dxa"/>
            <w:vAlign w:val="center"/>
          </w:tcPr>
          <w:p>
            <w:pPr>
              <w:pStyle w:val="52"/>
            </w:pPr>
            <w:r>
              <w:rPr>
                <w:rFonts w:hint="eastAsia"/>
              </w:rPr>
              <w:t>是</w:t>
            </w:r>
          </w:p>
        </w:tc>
        <w:tc>
          <w:tcPr>
            <w:tcW w:w="2205" w:type="dxa"/>
            <w:vAlign w:val="center"/>
          </w:tcPr>
          <w:p>
            <w:pPr>
              <w:pStyle w:val="52"/>
            </w:pPr>
            <w:r>
              <w:rPr>
                <w:rFonts w:hint="eastAsia"/>
              </w:rPr>
              <w:t>0</w:t>
            </w:r>
            <w:r>
              <w:t>.558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pPr>
              <w:pStyle w:val="52"/>
            </w:pPr>
            <w:r>
              <w:rPr>
                <w:rFonts w:hint="eastAsia"/>
              </w:rPr>
              <w:t>3</w:t>
            </w:r>
          </w:p>
        </w:tc>
        <w:tc>
          <w:tcPr>
            <w:tcW w:w="3704" w:type="dxa"/>
            <w:vAlign w:val="center"/>
          </w:tcPr>
          <w:p>
            <w:pPr>
              <w:pStyle w:val="52"/>
            </w:pPr>
            <w:r>
              <w:rPr>
                <w:rFonts w:hint="eastAsia"/>
              </w:rPr>
              <w:t>山东烟台某市政污水处理项目前缺氧区</w:t>
            </w:r>
          </w:p>
        </w:tc>
        <w:tc>
          <w:tcPr>
            <w:tcW w:w="1702" w:type="dxa"/>
            <w:vAlign w:val="center"/>
          </w:tcPr>
          <w:p>
            <w:pPr>
              <w:pStyle w:val="52"/>
            </w:pPr>
            <w:r>
              <w:rPr>
                <w:rFonts w:hint="eastAsia"/>
              </w:rPr>
              <w:t>否</w:t>
            </w:r>
          </w:p>
        </w:tc>
        <w:tc>
          <w:tcPr>
            <w:tcW w:w="2205" w:type="dxa"/>
            <w:vAlign w:val="center"/>
          </w:tcPr>
          <w:p>
            <w:pPr>
              <w:pStyle w:val="52"/>
            </w:pPr>
            <w:r>
              <w:rPr>
                <w:rFonts w:hint="eastAsia"/>
              </w:rPr>
              <w:t>0</w:t>
            </w:r>
            <w: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pPr>
              <w:pStyle w:val="52"/>
            </w:pPr>
            <w:r>
              <w:rPr>
                <w:rFonts w:hint="eastAsia"/>
              </w:rPr>
              <w:t>4</w:t>
            </w:r>
          </w:p>
        </w:tc>
        <w:tc>
          <w:tcPr>
            <w:tcW w:w="3704" w:type="dxa"/>
            <w:vAlign w:val="center"/>
          </w:tcPr>
          <w:p>
            <w:pPr>
              <w:pStyle w:val="52"/>
            </w:pPr>
            <w:r>
              <w:rPr>
                <w:rFonts w:hint="eastAsia"/>
              </w:rPr>
              <w:t>山东烟台某市政污水处理项目后缺氧区</w:t>
            </w:r>
          </w:p>
        </w:tc>
        <w:tc>
          <w:tcPr>
            <w:tcW w:w="1702" w:type="dxa"/>
            <w:vAlign w:val="center"/>
          </w:tcPr>
          <w:p>
            <w:pPr>
              <w:pStyle w:val="52"/>
            </w:pPr>
            <w:r>
              <w:rPr>
                <w:rFonts w:hint="eastAsia"/>
              </w:rPr>
              <w:t>是</w:t>
            </w:r>
          </w:p>
        </w:tc>
        <w:tc>
          <w:tcPr>
            <w:tcW w:w="2205" w:type="dxa"/>
            <w:vAlign w:val="center"/>
          </w:tcPr>
          <w:p>
            <w:pPr>
              <w:pStyle w:val="52"/>
            </w:pPr>
            <w:r>
              <w:t>1.018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pPr>
              <w:pStyle w:val="52"/>
            </w:pPr>
            <w:r>
              <w:rPr>
                <w:rFonts w:hint="eastAsia"/>
              </w:rPr>
              <w:t>5</w:t>
            </w:r>
          </w:p>
        </w:tc>
        <w:tc>
          <w:tcPr>
            <w:tcW w:w="3704" w:type="dxa"/>
            <w:vAlign w:val="center"/>
          </w:tcPr>
          <w:p>
            <w:pPr>
              <w:pStyle w:val="52"/>
            </w:pPr>
            <w:r>
              <w:rPr>
                <w:rFonts w:hint="eastAsia"/>
              </w:rPr>
              <w:t>山东某污水处理厂原水反硝化中试</w:t>
            </w:r>
          </w:p>
        </w:tc>
        <w:tc>
          <w:tcPr>
            <w:tcW w:w="1702" w:type="dxa"/>
            <w:vAlign w:val="center"/>
          </w:tcPr>
          <w:p>
            <w:pPr>
              <w:pStyle w:val="52"/>
            </w:pPr>
            <w:r>
              <w:rPr>
                <w:rFonts w:hint="eastAsia"/>
              </w:rPr>
              <w:t>否</w:t>
            </w:r>
          </w:p>
        </w:tc>
        <w:tc>
          <w:tcPr>
            <w:tcW w:w="2205" w:type="dxa"/>
            <w:vAlign w:val="center"/>
          </w:tcPr>
          <w:p>
            <w:pPr>
              <w:pStyle w:val="52"/>
            </w:pPr>
            <w:r>
              <w:rPr>
                <w:rFonts w:hint="eastAsia"/>
              </w:rPr>
              <w:t>0</w:t>
            </w:r>
            <w:r>
              <w:t>.913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pPr>
              <w:pStyle w:val="52"/>
            </w:pPr>
            <w:r>
              <w:rPr>
                <w:rFonts w:hint="eastAsia"/>
              </w:rPr>
              <w:t>6</w:t>
            </w:r>
          </w:p>
        </w:tc>
        <w:tc>
          <w:tcPr>
            <w:tcW w:w="3704" w:type="dxa"/>
            <w:vAlign w:val="center"/>
          </w:tcPr>
          <w:p>
            <w:pPr>
              <w:pStyle w:val="52"/>
            </w:pPr>
            <w:r>
              <w:rPr>
                <w:rFonts w:hint="eastAsia"/>
              </w:rPr>
              <w:t>山东某污水处理厂原水脱氮中试</w:t>
            </w:r>
          </w:p>
        </w:tc>
        <w:tc>
          <w:tcPr>
            <w:tcW w:w="1702" w:type="dxa"/>
            <w:vAlign w:val="center"/>
          </w:tcPr>
          <w:p>
            <w:pPr>
              <w:pStyle w:val="52"/>
            </w:pPr>
            <w:r>
              <w:rPr>
                <w:rFonts w:hint="eastAsia"/>
              </w:rPr>
              <w:t>是</w:t>
            </w:r>
          </w:p>
        </w:tc>
        <w:tc>
          <w:tcPr>
            <w:tcW w:w="2205" w:type="dxa"/>
            <w:vAlign w:val="center"/>
          </w:tcPr>
          <w:p>
            <w:pPr>
              <w:pStyle w:val="52"/>
            </w:pPr>
            <w:r>
              <w:rPr>
                <w:rFonts w:hint="eastAsia"/>
              </w:rPr>
              <w:t>2</w:t>
            </w:r>
            <w:r>
              <w:t>.291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pPr>
              <w:pStyle w:val="52"/>
            </w:pPr>
            <w:r>
              <w:rPr>
                <w:rFonts w:hint="eastAsia"/>
              </w:rPr>
              <w:t>7</w:t>
            </w:r>
          </w:p>
        </w:tc>
        <w:tc>
          <w:tcPr>
            <w:tcW w:w="3704" w:type="dxa"/>
            <w:vAlign w:val="center"/>
          </w:tcPr>
          <w:p>
            <w:pPr>
              <w:pStyle w:val="52"/>
            </w:pPr>
            <w:r>
              <w:rPr>
                <w:rFonts w:hint="eastAsia"/>
              </w:rPr>
              <w:t>广东某污水处理厂二沉池尾水脱氮中试</w:t>
            </w:r>
          </w:p>
        </w:tc>
        <w:tc>
          <w:tcPr>
            <w:tcW w:w="1702" w:type="dxa"/>
            <w:vAlign w:val="center"/>
          </w:tcPr>
          <w:p>
            <w:pPr>
              <w:pStyle w:val="52"/>
            </w:pPr>
            <w:r>
              <w:rPr>
                <w:rFonts w:hint="eastAsia"/>
              </w:rPr>
              <w:t>是</w:t>
            </w:r>
          </w:p>
        </w:tc>
        <w:tc>
          <w:tcPr>
            <w:tcW w:w="2205" w:type="dxa"/>
            <w:vAlign w:val="center"/>
          </w:tcPr>
          <w:p>
            <w:pPr>
              <w:pStyle w:val="52"/>
            </w:pPr>
            <w:r>
              <w:rPr>
                <w:rFonts w:hint="eastAsia"/>
              </w:rPr>
              <w:t>0</w:t>
            </w:r>
            <w: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0" w:type="auto"/>
            <w:vAlign w:val="center"/>
          </w:tcPr>
          <w:p>
            <w:pPr>
              <w:pStyle w:val="52"/>
            </w:pPr>
            <w:r>
              <w:rPr>
                <w:rFonts w:hint="eastAsia"/>
              </w:rPr>
              <w:t>8</w:t>
            </w:r>
          </w:p>
        </w:tc>
        <w:tc>
          <w:tcPr>
            <w:tcW w:w="3704" w:type="dxa"/>
            <w:vAlign w:val="center"/>
          </w:tcPr>
          <w:p>
            <w:pPr>
              <w:pStyle w:val="52"/>
            </w:pPr>
            <w:r>
              <w:rPr>
                <w:rFonts w:hint="eastAsia"/>
              </w:rPr>
              <w:t>吉林某污水处理厂二沉池尾水脱氮中试</w:t>
            </w:r>
          </w:p>
        </w:tc>
        <w:tc>
          <w:tcPr>
            <w:tcW w:w="1702" w:type="dxa"/>
            <w:vAlign w:val="center"/>
          </w:tcPr>
          <w:p>
            <w:pPr>
              <w:pStyle w:val="52"/>
            </w:pPr>
            <w:r>
              <w:rPr>
                <w:rFonts w:hint="eastAsia"/>
              </w:rPr>
              <w:t>是</w:t>
            </w:r>
          </w:p>
        </w:tc>
        <w:tc>
          <w:tcPr>
            <w:tcW w:w="2205" w:type="dxa"/>
            <w:vAlign w:val="center"/>
          </w:tcPr>
          <w:p>
            <w:pPr>
              <w:pStyle w:val="52"/>
            </w:pPr>
            <w:r>
              <w:rPr>
                <w:rFonts w:hint="eastAsia"/>
              </w:rPr>
              <w:t>0</w:t>
            </w:r>
            <w:r>
              <w:t>.361</w:t>
            </w:r>
          </w:p>
        </w:tc>
      </w:tr>
    </w:tbl>
    <w:p>
      <w:pPr>
        <w:pStyle w:val="49"/>
        <w:spacing w:before="156" w:after="156"/>
      </w:pPr>
      <w:r>
        <w:rPr>
          <w:rFonts w:hint="eastAsia"/>
        </w:rPr>
        <w:t>BFM-B段以表面污染物去除负荷作为设计依据，在有效比表面积确定的条件下，其容积负荷与填充率有关。填充率越高，一定区域内的悬浮载体的总有效表面积越高，则容积负荷越高，池容越小，进而占地就越小。所以，为实现更大的生化段高效集约，新建项目填充率应尽可能高，但根据工程经验，不应高于6</w:t>
      </w:r>
      <w:r>
        <w:t>7</w:t>
      </w:r>
      <w:r>
        <w:rPr>
          <w:rFonts w:hint="eastAsia"/>
        </w:rPr>
        <w:t>%，以免悬浮载体的流化受限。对于改建项目，由于原池池容已确定，无需考虑节地需求，故为了降低工程量，可根据实际情况适当降低填充率，但同时填充率与有效池容相关，进而影响有效停留时间，所以不对下限进行强制性限定，以免造成有效停留时间过短。调研国内污水处理厂的悬浮载体填充率如</w:t>
      </w:r>
      <w:r>
        <w:fldChar w:fldCharType="begin"/>
      </w:r>
      <w:r>
        <w:instrText xml:space="preserve"> </w:instrText>
      </w:r>
      <w:r>
        <w:rPr>
          <w:rFonts w:hint="eastAsia"/>
        </w:rPr>
        <w:instrText xml:space="preserve">REF _Ref122705786 \r \h</w:instrText>
      </w:r>
      <w:r>
        <w:instrText xml:space="preserve"> </w:instrText>
      </w:r>
      <w:r>
        <w:fldChar w:fldCharType="separate"/>
      </w:r>
      <w:r>
        <w:rPr>
          <w:rFonts w:hint="eastAsia"/>
        </w:rPr>
        <w:t>表4</w:t>
      </w:r>
      <w:r>
        <w:fldChar w:fldCharType="end"/>
      </w:r>
      <w:r>
        <w:rPr>
          <w:rFonts w:hint="eastAsia"/>
        </w:rPr>
        <w:t>所示。</w:t>
      </w:r>
    </w:p>
    <w:p>
      <w:pPr>
        <w:pStyle w:val="76"/>
      </w:pPr>
      <w:bookmarkStart w:id="171" w:name="_Ref122705786"/>
      <w:r>
        <w:rPr>
          <w:rFonts w:hint="eastAsia"/>
        </w:rPr>
        <w:t>污水处理厂各反应区填充率</w:t>
      </w:r>
      <w:bookmarkEnd w:id="171"/>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2694"/>
        <w:gridCol w:w="1275"/>
        <w:gridCol w:w="1134"/>
        <w:gridCol w:w="1276"/>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562" w:type="dxa"/>
            <w:vAlign w:val="center"/>
          </w:tcPr>
          <w:p>
            <w:pPr>
              <w:pStyle w:val="52"/>
            </w:pPr>
            <w:r>
              <w:rPr>
                <w:rFonts w:hint="eastAsia"/>
              </w:rPr>
              <w:t>序号</w:t>
            </w:r>
          </w:p>
        </w:tc>
        <w:tc>
          <w:tcPr>
            <w:tcW w:w="2694" w:type="dxa"/>
            <w:vAlign w:val="center"/>
          </w:tcPr>
          <w:p>
            <w:pPr>
              <w:pStyle w:val="52"/>
            </w:pPr>
            <w:r>
              <w:rPr>
                <w:rFonts w:hint="eastAsia"/>
              </w:rPr>
              <w:t>项目</w:t>
            </w:r>
          </w:p>
        </w:tc>
        <w:tc>
          <w:tcPr>
            <w:tcW w:w="1275" w:type="dxa"/>
            <w:vAlign w:val="center"/>
          </w:tcPr>
          <w:p>
            <w:pPr>
              <w:pStyle w:val="52"/>
            </w:pPr>
            <w:r>
              <w:rPr>
                <w:rFonts w:hint="eastAsia"/>
              </w:rPr>
              <w:t>规模(</w:t>
            </w:r>
            <w:r>
              <w:t>万</w:t>
            </w:r>
            <w:r>
              <w:rPr>
                <w:rFonts w:hint="eastAsia"/>
                <w:lang w:eastAsia="zh-CN"/>
              </w:rPr>
              <w:t>m³</w:t>
            </w:r>
            <w:r>
              <w:t>/</w:t>
            </w:r>
            <w:r>
              <w:rPr>
                <w:rFonts w:hint="eastAsia"/>
              </w:rPr>
              <w:t>d)</w:t>
            </w:r>
          </w:p>
        </w:tc>
        <w:tc>
          <w:tcPr>
            <w:tcW w:w="1134" w:type="dxa"/>
            <w:vAlign w:val="center"/>
          </w:tcPr>
          <w:p>
            <w:pPr>
              <w:pStyle w:val="52"/>
            </w:pPr>
            <w:r>
              <w:rPr>
                <w:rFonts w:hint="eastAsia"/>
              </w:rPr>
              <w:t>类型</w:t>
            </w:r>
          </w:p>
        </w:tc>
        <w:tc>
          <w:tcPr>
            <w:tcW w:w="1276" w:type="dxa"/>
            <w:vAlign w:val="center"/>
          </w:tcPr>
          <w:p>
            <w:pPr>
              <w:pStyle w:val="52"/>
            </w:pPr>
            <w:r>
              <w:rPr>
                <w:rFonts w:hint="eastAsia"/>
              </w:rPr>
              <w:t>好氧区填充率(%)</w:t>
            </w:r>
          </w:p>
        </w:tc>
        <w:tc>
          <w:tcPr>
            <w:tcW w:w="1355" w:type="dxa"/>
            <w:vAlign w:val="center"/>
          </w:tcPr>
          <w:p>
            <w:pPr>
              <w:pStyle w:val="52"/>
            </w:pPr>
            <w:r>
              <w:rPr>
                <w:rFonts w:hint="eastAsia"/>
              </w:rPr>
              <w:t>缺氧区填充率(%)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562" w:type="dxa"/>
            <w:vAlign w:val="center"/>
          </w:tcPr>
          <w:p>
            <w:pPr>
              <w:pStyle w:val="52"/>
            </w:pPr>
            <w:r>
              <w:rPr>
                <w:rFonts w:hint="eastAsia"/>
              </w:rPr>
              <w:t>1</w:t>
            </w:r>
          </w:p>
        </w:tc>
        <w:tc>
          <w:tcPr>
            <w:tcW w:w="2694" w:type="dxa"/>
            <w:vAlign w:val="center"/>
          </w:tcPr>
          <w:p>
            <w:pPr>
              <w:pStyle w:val="52"/>
            </w:pPr>
            <w:r>
              <w:rPr>
                <w:rFonts w:hint="eastAsia"/>
              </w:rPr>
              <w:t>广东东莞某水质净化厂降氨氮项目</w:t>
            </w:r>
          </w:p>
        </w:tc>
        <w:tc>
          <w:tcPr>
            <w:tcW w:w="1275" w:type="dxa"/>
            <w:vAlign w:val="center"/>
          </w:tcPr>
          <w:p>
            <w:pPr>
              <w:pStyle w:val="52"/>
            </w:pPr>
            <w:r>
              <w:rPr>
                <w:rFonts w:hint="eastAsia"/>
              </w:rPr>
              <w:t>2</w:t>
            </w:r>
            <w:r>
              <w:t>60</w:t>
            </w:r>
          </w:p>
        </w:tc>
        <w:tc>
          <w:tcPr>
            <w:tcW w:w="1134" w:type="dxa"/>
            <w:vAlign w:val="center"/>
          </w:tcPr>
          <w:p>
            <w:pPr>
              <w:pStyle w:val="52"/>
            </w:pPr>
            <w:r>
              <w:rPr>
                <w:rFonts w:hint="eastAsia"/>
              </w:rPr>
              <w:t>改建</w:t>
            </w:r>
          </w:p>
        </w:tc>
        <w:tc>
          <w:tcPr>
            <w:tcW w:w="1276" w:type="dxa"/>
            <w:vAlign w:val="center"/>
          </w:tcPr>
          <w:p>
            <w:pPr>
              <w:pStyle w:val="52"/>
            </w:pPr>
            <w:r>
              <w:rPr>
                <w:rFonts w:hint="eastAsia"/>
              </w:rPr>
              <w:t>4</w:t>
            </w:r>
            <w:r>
              <w:t>0</w:t>
            </w:r>
          </w:p>
        </w:tc>
        <w:tc>
          <w:tcPr>
            <w:tcW w:w="1355" w:type="dxa"/>
            <w:vAlign w:val="center"/>
          </w:tcPr>
          <w:p>
            <w:pPr>
              <w:pStyle w:val="52"/>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562" w:type="dxa"/>
            <w:vAlign w:val="center"/>
          </w:tcPr>
          <w:p>
            <w:pPr>
              <w:pStyle w:val="52"/>
            </w:pPr>
            <w:r>
              <w:rPr>
                <w:rFonts w:hint="eastAsia"/>
              </w:rPr>
              <w:t>2</w:t>
            </w:r>
          </w:p>
        </w:tc>
        <w:tc>
          <w:tcPr>
            <w:tcW w:w="2694" w:type="dxa"/>
            <w:vAlign w:val="center"/>
          </w:tcPr>
          <w:p>
            <w:pPr>
              <w:pStyle w:val="52"/>
            </w:pPr>
            <w:r>
              <w:rPr>
                <w:rFonts w:hint="eastAsia"/>
              </w:rPr>
              <w:t>广东肇庆某市政污水处理项目</w:t>
            </w:r>
          </w:p>
        </w:tc>
        <w:tc>
          <w:tcPr>
            <w:tcW w:w="1275" w:type="dxa"/>
            <w:vAlign w:val="center"/>
          </w:tcPr>
          <w:p>
            <w:pPr>
              <w:pStyle w:val="52"/>
            </w:pPr>
            <w:r>
              <w:rPr>
                <w:rFonts w:hint="eastAsia"/>
              </w:rPr>
              <w:t>3</w:t>
            </w:r>
          </w:p>
        </w:tc>
        <w:tc>
          <w:tcPr>
            <w:tcW w:w="1134" w:type="dxa"/>
            <w:vAlign w:val="center"/>
          </w:tcPr>
          <w:p>
            <w:pPr>
              <w:pStyle w:val="52"/>
            </w:pPr>
            <w:r>
              <w:rPr>
                <w:rFonts w:hint="eastAsia"/>
              </w:rPr>
              <w:t>新建</w:t>
            </w:r>
          </w:p>
        </w:tc>
        <w:tc>
          <w:tcPr>
            <w:tcW w:w="1276" w:type="dxa"/>
            <w:vAlign w:val="center"/>
          </w:tcPr>
          <w:p>
            <w:pPr>
              <w:pStyle w:val="52"/>
            </w:pPr>
            <w:r>
              <w:rPr>
                <w:rFonts w:hint="eastAsia"/>
              </w:rPr>
              <w:t>5</w:t>
            </w:r>
            <w:r>
              <w:t>0</w:t>
            </w:r>
          </w:p>
        </w:tc>
        <w:tc>
          <w:tcPr>
            <w:tcW w:w="1355" w:type="dxa"/>
            <w:vAlign w:val="center"/>
          </w:tcPr>
          <w:p>
            <w:pPr>
              <w:pStyle w:val="52"/>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562" w:type="dxa"/>
            <w:vAlign w:val="center"/>
          </w:tcPr>
          <w:p>
            <w:pPr>
              <w:pStyle w:val="52"/>
            </w:pPr>
            <w:r>
              <w:rPr>
                <w:rFonts w:hint="eastAsia"/>
              </w:rPr>
              <w:t>3</w:t>
            </w:r>
          </w:p>
        </w:tc>
        <w:tc>
          <w:tcPr>
            <w:tcW w:w="2694" w:type="dxa"/>
            <w:vAlign w:val="center"/>
          </w:tcPr>
          <w:p>
            <w:pPr>
              <w:pStyle w:val="52"/>
            </w:pPr>
            <w:r>
              <w:rPr>
                <w:rFonts w:hint="eastAsia"/>
              </w:rPr>
              <w:t>广东四会某市政污水改建项目</w:t>
            </w:r>
          </w:p>
        </w:tc>
        <w:tc>
          <w:tcPr>
            <w:tcW w:w="1275" w:type="dxa"/>
            <w:vAlign w:val="center"/>
          </w:tcPr>
          <w:p>
            <w:pPr>
              <w:pStyle w:val="52"/>
            </w:pPr>
            <w:r>
              <w:rPr>
                <w:rFonts w:hint="eastAsia"/>
              </w:rPr>
              <w:t>3</w:t>
            </w:r>
          </w:p>
        </w:tc>
        <w:tc>
          <w:tcPr>
            <w:tcW w:w="1134" w:type="dxa"/>
            <w:vAlign w:val="center"/>
          </w:tcPr>
          <w:p>
            <w:pPr>
              <w:pStyle w:val="52"/>
            </w:pPr>
            <w:r>
              <w:rPr>
                <w:rFonts w:hint="eastAsia"/>
              </w:rPr>
              <w:t>改建</w:t>
            </w:r>
          </w:p>
        </w:tc>
        <w:tc>
          <w:tcPr>
            <w:tcW w:w="1276" w:type="dxa"/>
            <w:vAlign w:val="center"/>
          </w:tcPr>
          <w:p>
            <w:pPr>
              <w:pStyle w:val="52"/>
            </w:pPr>
            <w:r>
              <w:rPr>
                <w:rFonts w:hint="eastAsia"/>
              </w:rPr>
              <w:t>4</w:t>
            </w:r>
            <w:r>
              <w:t>0</w:t>
            </w:r>
          </w:p>
        </w:tc>
        <w:tc>
          <w:tcPr>
            <w:tcW w:w="1355" w:type="dxa"/>
            <w:vAlign w:val="center"/>
          </w:tcPr>
          <w:p>
            <w:pPr>
              <w:pStyle w:val="52"/>
            </w:pPr>
            <w:r>
              <w:rPr>
                <w:rFonts w:hint="eastAsia"/>
              </w:rPr>
              <w:t>2</w:t>
            </w: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562" w:type="dxa"/>
            <w:vAlign w:val="center"/>
          </w:tcPr>
          <w:p>
            <w:pPr>
              <w:pStyle w:val="52"/>
            </w:pPr>
            <w:r>
              <w:rPr>
                <w:rFonts w:hint="eastAsia"/>
              </w:rPr>
              <w:t>4</w:t>
            </w:r>
          </w:p>
        </w:tc>
        <w:tc>
          <w:tcPr>
            <w:tcW w:w="2694" w:type="dxa"/>
            <w:vAlign w:val="center"/>
          </w:tcPr>
          <w:p>
            <w:pPr>
              <w:pStyle w:val="52"/>
            </w:pPr>
            <w:r>
              <w:rPr>
                <w:rFonts w:hint="eastAsia"/>
              </w:rPr>
              <w:t>山东潍坊某市政污水处理项目</w:t>
            </w:r>
          </w:p>
        </w:tc>
        <w:tc>
          <w:tcPr>
            <w:tcW w:w="1275" w:type="dxa"/>
            <w:vAlign w:val="center"/>
          </w:tcPr>
          <w:p>
            <w:pPr>
              <w:pStyle w:val="52"/>
            </w:pPr>
            <w:r>
              <w:rPr>
                <w:rFonts w:hint="eastAsia"/>
              </w:rPr>
              <w:t>6</w:t>
            </w:r>
          </w:p>
        </w:tc>
        <w:tc>
          <w:tcPr>
            <w:tcW w:w="1134" w:type="dxa"/>
            <w:vAlign w:val="center"/>
          </w:tcPr>
          <w:p>
            <w:pPr>
              <w:pStyle w:val="52"/>
            </w:pPr>
            <w:r>
              <w:rPr>
                <w:rFonts w:hint="eastAsia"/>
              </w:rPr>
              <w:t>新建</w:t>
            </w:r>
          </w:p>
        </w:tc>
        <w:tc>
          <w:tcPr>
            <w:tcW w:w="1276" w:type="dxa"/>
            <w:vAlign w:val="center"/>
          </w:tcPr>
          <w:p>
            <w:pPr>
              <w:pStyle w:val="52"/>
            </w:pPr>
            <w:r>
              <w:rPr>
                <w:rFonts w:hint="eastAsia"/>
              </w:rPr>
              <w:t>4</w:t>
            </w:r>
            <w:r>
              <w:t>0</w:t>
            </w:r>
          </w:p>
        </w:tc>
        <w:tc>
          <w:tcPr>
            <w:tcW w:w="1355" w:type="dxa"/>
            <w:vAlign w:val="center"/>
          </w:tcPr>
          <w:p>
            <w:pPr>
              <w:pStyle w:val="52"/>
            </w:pPr>
            <w:r>
              <w:rPr>
                <w:rFonts w:hint="eastAsia"/>
              </w:rPr>
              <w:t>3</w:t>
            </w: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562" w:type="dxa"/>
            <w:vAlign w:val="center"/>
          </w:tcPr>
          <w:p>
            <w:pPr>
              <w:pStyle w:val="52"/>
            </w:pPr>
            <w:r>
              <w:rPr>
                <w:rFonts w:hint="eastAsia"/>
              </w:rPr>
              <w:t>5</w:t>
            </w:r>
          </w:p>
        </w:tc>
        <w:tc>
          <w:tcPr>
            <w:tcW w:w="2694" w:type="dxa"/>
            <w:vAlign w:val="center"/>
          </w:tcPr>
          <w:p>
            <w:pPr>
              <w:pStyle w:val="52"/>
            </w:pPr>
            <w:r>
              <w:rPr>
                <w:rFonts w:hint="eastAsia"/>
              </w:rPr>
              <w:t>山东烟台某市政污水处理项目</w:t>
            </w:r>
          </w:p>
        </w:tc>
        <w:tc>
          <w:tcPr>
            <w:tcW w:w="1275" w:type="dxa"/>
            <w:vAlign w:val="center"/>
          </w:tcPr>
          <w:p>
            <w:pPr>
              <w:pStyle w:val="52"/>
            </w:pPr>
            <w:r>
              <w:rPr>
                <w:rFonts w:hint="eastAsia"/>
              </w:rPr>
              <w:t>1</w:t>
            </w:r>
          </w:p>
        </w:tc>
        <w:tc>
          <w:tcPr>
            <w:tcW w:w="1134" w:type="dxa"/>
            <w:vAlign w:val="center"/>
          </w:tcPr>
          <w:p>
            <w:pPr>
              <w:pStyle w:val="52"/>
            </w:pPr>
            <w:r>
              <w:rPr>
                <w:rFonts w:hint="eastAsia"/>
              </w:rPr>
              <w:t>新建</w:t>
            </w:r>
          </w:p>
        </w:tc>
        <w:tc>
          <w:tcPr>
            <w:tcW w:w="1276" w:type="dxa"/>
            <w:vAlign w:val="center"/>
          </w:tcPr>
          <w:p>
            <w:pPr>
              <w:pStyle w:val="52"/>
            </w:pPr>
            <w:r>
              <w:rPr>
                <w:rFonts w:hint="eastAsia"/>
              </w:rPr>
              <w:t>6</w:t>
            </w:r>
            <w:r>
              <w:t>0</w:t>
            </w:r>
          </w:p>
        </w:tc>
        <w:tc>
          <w:tcPr>
            <w:tcW w:w="1355" w:type="dxa"/>
            <w:vAlign w:val="center"/>
          </w:tcPr>
          <w:p>
            <w:pPr>
              <w:pStyle w:val="52"/>
            </w:pPr>
            <w:r>
              <w:rPr>
                <w:rFonts w:hint="eastAsia"/>
              </w:rPr>
              <w:t>5</w:t>
            </w: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562" w:type="dxa"/>
            <w:vAlign w:val="center"/>
          </w:tcPr>
          <w:p>
            <w:pPr>
              <w:pStyle w:val="52"/>
            </w:pPr>
            <w:r>
              <w:rPr>
                <w:rFonts w:hint="eastAsia"/>
              </w:rPr>
              <w:t>6</w:t>
            </w:r>
          </w:p>
        </w:tc>
        <w:tc>
          <w:tcPr>
            <w:tcW w:w="2694" w:type="dxa"/>
            <w:vAlign w:val="center"/>
          </w:tcPr>
          <w:p>
            <w:pPr>
              <w:pStyle w:val="52"/>
            </w:pPr>
            <w:r>
              <w:rPr>
                <w:rFonts w:hint="eastAsia"/>
              </w:rPr>
              <w:t>河南焦作某工业园区污水处理项目</w:t>
            </w:r>
          </w:p>
        </w:tc>
        <w:tc>
          <w:tcPr>
            <w:tcW w:w="1275" w:type="dxa"/>
            <w:vAlign w:val="center"/>
          </w:tcPr>
          <w:p>
            <w:pPr>
              <w:pStyle w:val="52"/>
            </w:pPr>
            <w:r>
              <w:rPr>
                <w:rFonts w:hint="eastAsia"/>
              </w:rPr>
              <w:t>5</w:t>
            </w:r>
          </w:p>
        </w:tc>
        <w:tc>
          <w:tcPr>
            <w:tcW w:w="1134" w:type="dxa"/>
            <w:vAlign w:val="center"/>
          </w:tcPr>
          <w:p>
            <w:pPr>
              <w:pStyle w:val="52"/>
            </w:pPr>
            <w:r>
              <w:rPr>
                <w:rFonts w:hint="eastAsia"/>
              </w:rPr>
              <w:t>改建</w:t>
            </w:r>
          </w:p>
        </w:tc>
        <w:tc>
          <w:tcPr>
            <w:tcW w:w="1276" w:type="dxa"/>
            <w:vAlign w:val="center"/>
          </w:tcPr>
          <w:p>
            <w:pPr>
              <w:pStyle w:val="52"/>
            </w:pPr>
            <w:r>
              <w:rPr>
                <w:rFonts w:hint="eastAsia"/>
              </w:rPr>
              <w:t>5</w:t>
            </w:r>
            <w:r>
              <w:t>0</w:t>
            </w:r>
          </w:p>
        </w:tc>
        <w:tc>
          <w:tcPr>
            <w:tcW w:w="1355" w:type="dxa"/>
            <w:vAlign w:val="center"/>
          </w:tcPr>
          <w:p>
            <w:pPr>
              <w:pStyle w:val="52"/>
            </w:pPr>
            <w:r>
              <w:rPr>
                <w:rFonts w:hint="eastAsia"/>
              </w:rPr>
              <w:t>2</w:t>
            </w: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562" w:type="dxa"/>
            <w:vAlign w:val="center"/>
          </w:tcPr>
          <w:p>
            <w:pPr>
              <w:pStyle w:val="52"/>
            </w:pPr>
            <w:r>
              <w:t>7</w:t>
            </w:r>
          </w:p>
        </w:tc>
        <w:tc>
          <w:tcPr>
            <w:tcW w:w="2694" w:type="dxa"/>
            <w:vAlign w:val="center"/>
          </w:tcPr>
          <w:p>
            <w:pPr>
              <w:pStyle w:val="52"/>
            </w:pPr>
            <w:r>
              <w:rPr>
                <w:rFonts w:hint="eastAsia"/>
              </w:rPr>
              <w:t>天津某市政污水处理项目</w:t>
            </w:r>
          </w:p>
        </w:tc>
        <w:tc>
          <w:tcPr>
            <w:tcW w:w="1275" w:type="dxa"/>
            <w:vAlign w:val="center"/>
          </w:tcPr>
          <w:p>
            <w:pPr>
              <w:pStyle w:val="52"/>
            </w:pPr>
            <w:r>
              <w:rPr>
                <w:rFonts w:hint="eastAsia"/>
              </w:rPr>
              <w:t>1</w:t>
            </w:r>
            <w:r>
              <w:t>.25</w:t>
            </w:r>
          </w:p>
        </w:tc>
        <w:tc>
          <w:tcPr>
            <w:tcW w:w="1134" w:type="dxa"/>
            <w:vAlign w:val="center"/>
          </w:tcPr>
          <w:p>
            <w:pPr>
              <w:pStyle w:val="52"/>
            </w:pPr>
            <w:r>
              <w:rPr>
                <w:rFonts w:hint="eastAsia"/>
              </w:rPr>
              <w:t>改建</w:t>
            </w:r>
          </w:p>
        </w:tc>
        <w:tc>
          <w:tcPr>
            <w:tcW w:w="1276" w:type="dxa"/>
            <w:vAlign w:val="center"/>
          </w:tcPr>
          <w:p>
            <w:pPr>
              <w:pStyle w:val="52"/>
            </w:pPr>
            <w:r>
              <w:rPr>
                <w:rFonts w:hint="eastAsia"/>
              </w:rPr>
              <w:t>5</w:t>
            </w:r>
            <w:r>
              <w:t>5</w:t>
            </w:r>
          </w:p>
        </w:tc>
        <w:tc>
          <w:tcPr>
            <w:tcW w:w="1355" w:type="dxa"/>
            <w:vAlign w:val="center"/>
          </w:tcPr>
          <w:p>
            <w:pPr>
              <w:pStyle w:val="52"/>
            </w:pPr>
            <w:r>
              <w:rPr>
                <w:rFonts w:hint="eastAsia"/>
              </w:rPr>
              <w:t>1</w:t>
            </w:r>
            <w:r>
              <w:t>7</w:t>
            </w:r>
          </w:p>
        </w:tc>
      </w:tr>
    </w:tbl>
    <w:p>
      <w:pPr>
        <w:pStyle w:val="49"/>
        <w:spacing w:before="156" w:after="156"/>
      </w:pPr>
      <w:r>
        <w:t>BFM-B</w:t>
      </w:r>
      <w:r>
        <w:rPr>
          <w:rFonts w:hint="eastAsia"/>
        </w:rPr>
        <w:t>段在运行过程中，悬浮载体处于流动状态，载体与载体之间，载体与墙体、拦截筛网均会发生碰撞，导致悬浮载体的一些接触面难以有效附着微生物，所以实际计算悬浮载体的堆积体积时应以有效比表面积（E</w:t>
      </w:r>
      <w:r>
        <w:t>SSA</w:t>
      </w:r>
      <w:r>
        <w:rPr>
          <w:rFonts w:hint="eastAsia"/>
        </w:rPr>
        <w:t>）来计算，因T</w:t>
      </w:r>
      <w:r>
        <w:t>SSA</w:t>
      </w:r>
      <w:r>
        <w:rPr>
          <w:rFonts w:hint="eastAsia"/>
        </w:rPr>
        <w:t>＞E</w:t>
      </w:r>
      <w:r>
        <w:t>SSA</w:t>
      </w:r>
      <w:r>
        <w:rPr>
          <w:rFonts w:hint="eastAsia"/>
        </w:rPr>
        <w:t>，如采用总比表面积计算时，会出现悬浮载体投加量不足的情况，影响运行稳定性。首先根据污染物去除量要求（g/d）以及设计表面污染物去除负荷[gX/(m</w:t>
      </w:r>
      <w:r>
        <w:rPr>
          <w:rFonts w:hint="eastAsia"/>
          <w:vertAlign w:val="superscript"/>
        </w:rPr>
        <w:t>2</w:t>
      </w:r>
      <w:r>
        <w:rPr>
          <w:rFonts w:hint="eastAsia"/>
        </w:rPr>
        <w:t>·d)]，核算出所需悬浮载体的总有效表面积（m</w:t>
      </w:r>
      <w:r>
        <w:rPr>
          <w:rFonts w:hint="eastAsia"/>
          <w:vertAlign w:val="superscript"/>
        </w:rPr>
        <w:t>2</w:t>
      </w:r>
      <w:r>
        <w:rPr>
          <w:rFonts w:hint="eastAsia"/>
        </w:rPr>
        <w:t>），再根据所选用悬浮载体的有效比表面积（m</w:t>
      </w:r>
      <w:r>
        <w:rPr>
          <w:rFonts w:hint="eastAsia"/>
          <w:vertAlign w:val="superscript"/>
        </w:rPr>
        <w:t>2</w:t>
      </w:r>
      <w:r>
        <w:rPr>
          <w:rFonts w:hint="eastAsia"/>
        </w:rPr>
        <w:t>/</w:t>
      </w:r>
      <w:r>
        <w:rPr>
          <w:rFonts w:hint="eastAsia"/>
          <w:lang w:eastAsia="zh-CN"/>
        </w:rPr>
        <w:t>m³</w:t>
      </w:r>
      <w:r>
        <w:rPr>
          <w:rFonts w:hint="eastAsia"/>
        </w:rPr>
        <w:t>），转换成该类型悬浮载体的总堆积体积（</w:t>
      </w:r>
      <w:r>
        <w:rPr>
          <w:rFonts w:hint="eastAsia"/>
          <w:lang w:eastAsia="zh-CN"/>
        </w:rPr>
        <w:t>m³</w:t>
      </w:r>
      <w:r>
        <w:rPr>
          <w:rFonts w:hint="eastAsia"/>
        </w:rPr>
        <w:t>）。</w:t>
      </w:r>
    </w:p>
    <w:p>
      <w:pPr>
        <w:pStyle w:val="49"/>
        <w:spacing w:before="156" w:after="156"/>
      </w:pPr>
      <w:r>
        <w:rPr>
          <w:rFonts w:hint="eastAsia"/>
        </w:rPr>
        <w:t>悬浮载体的堆积体积与污染物去除量要求和所选用悬浮载体的有效比表面积（E</w:t>
      </w:r>
      <w:r>
        <w:t>SSA</w:t>
      </w:r>
      <w:r>
        <w:rPr>
          <w:rFonts w:hint="eastAsia"/>
        </w:rPr>
        <w:t>，m</w:t>
      </w:r>
      <w:r>
        <w:rPr>
          <w:rFonts w:hint="eastAsia"/>
          <w:vertAlign w:val="superscript"/>
        </w:rPr>
        <w:t>2</w:t>
      </w:r>
      <w:r>
        <w:rPr>
          <w:rFonts w:hint="eastAsia"/>
        </w:rPr>
        <w:t>/</w:t>
      </w:r>
      <w:r>
        <w:rPr>
          <w:rFonts w:hint="eastAsia"/>
          <w:lang w:eastAsia="zh-CN"/>
        </w:rPr>
        <w:t>m³</w:t>
      </w:r>
      <w:r>
        <w:rPr>
          <w:rFonts w:hint="eastAsia"/>
        </w:rPr>
        <w:t>）有关，在污染物去除量确定的情况下，E</w:t>
      </w:r>
      <w:r>
        <w:t>SSA</w:t>
      </w:r>
      <w:r>
        <w:rPr>
          <w:rFonts w:hint="eastAsia"/>
        </w:rPr>
        <w:t>越大，堆积体积越小，相同池容条件下填充率越低。</w:t>
      </w:r>
    </w:p>
    <w:p>
      <w:pPr>
        <w:pStyle w:val="49"/>
        <w:spacing w:before="156" w:after="156"/>
      </w:pPr>
      <w:r>
        <w:rPr>
          <w:rFonts w:hint="eastAsia"/>
          <w:bCs/>
        </w:rPr>
        <w:t>水力停留时间指的是待处理污水在反应器内的平均停留时间，</w:t>
      </w:r>
      <w:r>
        <w:rPr>
          <w:bCs/>
        </w:rPr>
        <w:t>BFM-</w:t>
      </w:r>
      <w:r>
        <w:t>B</w:t>
      </w:r>
      <w:r>
        <w:rPr>
          <w:rFonts w:hint="eastAsia"/>
        </w:rPr>
        <w:t>段各反应区水力停留时间应根据有效池容和水量进行核算，但考虑实际生物膜的反应速率，保障出水水质的稳定性，核心反应区的H</w:t>
      </w:r>
      <w:r>
        <w:t>RT</w:t>
      </w:r>
      <w:r>
        <w:rPr>
          <w:rFonts w:hint="eastAsia"/>
        </w:rPr>
        <w:t>不宜低于3</w:t>
      </w:r>
      <w:r>
        <w:t xml:space="preserve">0 </w:t>
      </w:r>
      <w:r>
        <w:rPr>
          <w:rFonts w:hint="eastAsia"/>
        </w:rPr>
        <w:t>min，如广东东莞某河道水处理项目，H</w:t>
      </w:r>
      <w:r>
        <w:t>RT</w:t>
      </w:r>
      <w:r>
        <w:rPr>
          <w:rFonts w:hint="eastAsia"/>
        </w:rPr>
        <w:t>为4</w:t>
      </w:r>
      <w:r>
        <w:t>2</w:t>
      </w:r>
      <w:r>
        <w:rPr>
          <w:rFonts w:hint="eastAsia"/>
        </w:rPr>
        <w:t>min。对于多级A</w:t>
      </w:r>
      <w:r>
        <w:t>O</w:t>
      </w:r>
      <w:r>
        <w:rPr>
          <w:rFonts w:hint="eastAsia"/>
        </w:rPr>
        <w:t>工艺，最后一级好氧区的主要功能是去除上一级缺氧区可能存在的过量碳源投加导致的出水有机物超标问题，保障出水COD和B</w:t>
      </w:r>
      <w:r>
        <w:t>OD</w:t>
      </w:r>
      <w:r>
        <w:rPr>
          <w:vertAlign w:val="subscript"/>
        </w:rPr>
        <w:t>5</w:t>
      </w:r>
      <w:r>
        <w:rPr>
          <w:rFonts w:hint="eastAsia"/>
        </w:rPr>
        <w:t>稳定性，故HRT有所降低，但不宜小于15</w:t>
      </w:r>
      <w:r>
        <w:t xml:space="preserve"> </w:t>
      </w:r>
      <w:r>
        <w:rPr>
          <w:rFonts w:hint="eastAsia"/>
        </w:rPr>
        <w:t>min。</w:t>
      </w:r>
    </w:p>
    <w:p>
      <w:pPr>
        <w:pStyle w:val="49"/>
        <w:numPr>
          <w:ilvl w:val="2"/>
          <w:numId w:val="15"/>
        </w:numPr>
        <w:spacing w:before="156" w:after="156"/>
        <w:ind w:left="0"/>
      </w:pPr>
      <w:r>
        <w:t>BFM</w:t>
      </w:r>
      <w:r>
        <w:rPr>
          <w:rFonts w:hint="eastAsia"/>
        </w:rPr>
        <w:t>-</w:t>
      </w:r>
      <w:r>
        <w:t>B</w:t>
      </w:r>
      <w:r>
        <w:rPr>
          <w:rFonts w:hint="eastAsia"/>
          <w:bCs/>
        </w:rPr>
        <w:t>工艺中悬浮载体的流化受气速、搅拌推力以及水平流速的多重影响，宜控制合适的水平流速和长宽比，以促进悬浮载体的纵向循环流态，保障悬浮载体分布的均匀性，避免其在拦截筛网处堆积。</w:t>
      </w:r>
      <w:r>
        <w:rPr>
          <w:rFonts w:hint="eastAsia"/>
        </w:rPr>
        <w:t>对于矩形池体，宜采用长边布水，采用短边布水时应严格控制水平流速。对于圆形池体的水平流速是指最大断面流速。如上海某污水处理厂，采用矩形池体，其水平流速为5</w:t>
      </w:r>
      <w:r>
        <w:t xml:space="preserve">0 </w:t>
      </w:r>
      <w:r>
        <w:rPr>
          <w:rFonts w:hint="eastAsia"/>
        </w:rPr>
        <w:t>m</w:t>
      </w:r>
      <w:r>
        <w:t>/</w:t>
      </w:r>
      <w:r>
        <w:rPr>
          <w:rFonts w:hint="eastAsia"/>
        </w:rPr>
        <w:t>h；成都某污水处理厂池体布水边与非布水边</w:t>
      </w:r>
      <w:r>
        <w:rPr>
          <w:rFonts w:hint="eastAsia"/>
          <w:sz w:val="23"/>
          <w:szCs w:val="23"/>
        </w:rPr>
        <w:t>比为</w:t>
      </w:r>
      <w:r>
        <w:rPr>
          <w:sz w:val="23"/>
          <w:szCs w:val="23"/>
        </w:rPr>
        <w:t>1:5.3</w:t>
      </w:r>
      <w:r>
        <w:rPr>
          <w:rFonts w:hint="eastAsia"/>
          <w:sz w:val="23"/>
          <w:szCs w:val="23"/>
        </w:rPr>
        <w:t>，天津某污水处理厂</w:t>
      </w:r>
      <w:r>
        <w:rPr>
          <w:rFonts w:hint="eastAsia"/>
        </w:rPr>
        <w:t>池体布水边与非布水边比为</w:t>
      </w:r>
      <w:r>
        <w:rPr>
          <w:sz w:val="23"/>
          <w:szCs w:val="23"/>
        </w:rPr>
        <w:t>1:2.4</w:t>
      </w:r>
      <w:r>
        <w:rPr>
          <w:rFonts w:hint="eastAsia"/>
          <w:sz w:val="23"/>
          <w:szCs w:val="23"/>
        </w:rPr>
        <w:t>；浙江丽水某污水处理厂</w:t>
      </w:r>
      <w:r>
        <w:rPr>
          <w:rFonts w:hint="eastAsia"/>
        </w:rPr>
        <w:t>池体布水边与非布水边比为</w:t>
      </w:r>
      <w:r>
        <w:rPr>
          <w:sz w:val="23"/>
          <w:szCs w:val="23"/>
        </w:rPr>
        <w:t>8.9</w:t>
      </w:r>
      <w:r>
        <w:rPr>
          <w:rFonts w:hint="eastAsia"/>
          <w:sz w:val="23"/>
          <w:szCs w:val="23"/>
        </w:rPr>
        <w:t>:</w:t>
      </w:r>
      <w:r>
        <w:rPr>
          <w:sz w:val="23"/>
          <w:szCs w:val="23"/>
        </w:rPr>
        <w:t>1</w:t>
      </w:r>
      <w:r>
        <w:rPr>
          <w:rFonts w:hint="eastAsia"/>
          <w:sz w:val="23"/>
          <w:szCs w:val="23"/>
        </w:rPr>
        <w:t>。</w:t>
      </w:r>
    </w:p>
    <w:p>
      <w:pPr>
        <w:pStyle w:val="49"/>
        <w:numPr>
          <w:ilvl w:val="2"/>
          <w:numId w:val="15"/>
        </w:numPr>
        <w:spacing w:before="156" w:after="156"/>
        <w:ind w:left="0"/>
      </w:pPr>
      <w:r>
        <w:rPr>
          <w:rFonts w:hint="eastAsia"/>
        </w:rPr>
        <w:t>进出水系统包括布水设施、拦截筛网等；流化系统包括推流器或搅拌器、曝气设施，如生物池采用循环流池时，流化系统还包括导流墙。</w:t>
      </w:r>
    </w:p>
    <w:p>
      <w:pPr>
        <w:pStyle w:val="42"/>
        <w:ind w:firstLine="480"/>
      </w:pPr>
      <w:r>
        <w:drawing>
          <wp:inline distT="0" distB="0" distL="0" distR="0">
            <wp:extent cx="2581275" cy="17995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581529" cy="1800000"/>
                    </a:xfrm>
                    <a:prstGeom prst="rect">
                      <a:avLst/>
                    </a:prstGeom>
                    <a:noFill/>
                  </pic:spPr>
                </pic:pic>
              </a:graphicData>
            </a:graphic>
          </wp:inline>
        </w:drawing>
      </w:r>
      <w:r>
        <w:t xml:space="preserve"> </w:t>
      </w:r>
      <w:r>
        <w:drawing>
          <wp:inline distT="0" distB="0" distL="0" distR="0">
            <wp:extent cx="2182495" cy="1799590"/>
            <wp:effectExtent l="0" t="0" r="825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182863" cy="1800000"/>
                    </a:xfrm>
                    <a:prstGeom prst="rect">
                      <a:avLst/>
                    </a:prstGeom>
                    <a:noFill/>
                  </pic:spPr>
                </pic:pic>
              </a:graphicData>
            </a:graphic>
          </wp:inline>
        </w:drawing>
      </w:r>
    </w:p>
    <w:p>
      <w:pPr>
        <w:pStyle w:val="79"/>
      </w:pPr>
      <w:r>
        <w:rPr>
          <w:rFonts w:hint="eastAsia"/>
        </w:rPr>
        <w:t>图1</w:t>
      </w:r>
      <w:r>
        <w:t xml:space="preserve"> B</w:t>
      </w:r>
      <w:r>
        <w:rPr>
          <w:rFonts w:hint="eastAsia"/>
        </w:rPr>
        <w:t>段构造示意图（左-循环流动池，右-微动力混合池）</w:t>
      </w:r>
    </w:p>
    <w:p>
      <w:pPr>
        <w:pStyle w:val="49"/>
        <w:numPr>
          <w:ilvl w:val="2"/>
          <w:numId w:val="16"/>
        </w:numPr>
        <w:spacing w:before="156" w:after="156"/>
        <w:ind w:left="0"/>
      </w:pPr>
      <w:r>
        <w:t>BFM-B</w:t>
      </w:r>
      <w:r>
        <w:rPr>
          <w:rFonts w:hint="eastAsia"/>
        </w:rPr>
        <w:t>段以表面污染物去除负荷作为设计依据，在传质传氧得以保证的前提下，总有效表面积越大，则系统的处理能力就越强。而在悬浮载体堆积体积（</w:t>
      </w:r>
      <w:r>
        <w:rPr>
          <w:rFonts w:hint="eastAsia"/>
          <w:lang w:eastAsia="zh-CN"/>
        </w:rPr>
        <w:t>m³</w:t>
      </w:r>
      <w:r>
        <w:rPr>
          <w:rFonts w:hint="eastAsia"/>
        </w:rPr>
        <w:t>）一定的情况下，系统总有效表面积（m</w:t>
      </w:r>
      <w:r>
        <w:rPr>
          <w:vertAlign w:val="superscript"/>
        </w:rPr>
        <w:t>2</w:t>
      </w:r>
      <w:r>
        <w:rPr>
          <w:rFonts w:hint="eastAsia"/>
        </w:rPr>
        <w:t>）与悬浮载体有效比表面（m</w:t>
      </w:r>
      <w:r>
        <w:rPr>
          <w:vertAlign w:val="superscript"/>
        </w:rPr>
        <w:t>2</w:t>
      </w:r>
      <w:r>
        <w:t>/</w:t>
      </w:r>
      <w:r>
        <w:rPr>
          <w:rFonts w:hint="eastAsia"/>
          <w:lang w:eastAsia="zh-CN"/>
        </w:rPr>
        <w:t>m³</w:t>
      </w:r>
      <w:r>
        <w:rPr>
          <w:rFonts w:hint="eastAsia"/>
        </w:rPr>
        <w:t>）相关。提高悬浮载体的有效比表面积，可获得更高的处理能力，降低占地。</w:t>
      </w:r>
    </w:p>
    <w:p>
      <w:pPr>
        <w:pStyle w:val="49"/>
        <w:numPr>
          <w:ilvl w:val="2"/>
          <w:numId w:val="16"/>
        </w:numPr>
        <w:spacing w:before="156" w:after="156"/>
        <w:ind w:left="0"/>
      </w:pPr>
      <w:r>
        <w:rPr>
          <w:rFonts w:hint="eastAsia"/>
        </w:rPr>
        <w:t>拦截筛网主要功能是确保悬浮载体有效持留。拦截筛网的孔径应小于悬浮载体直径，保证有效拦截。宜采用不锈钢或复合材质，以提高拦截筛网的使用寿命。应保障开孔率≥4</w:t>
      </w:r>
      <w:r>
        <w:t>0</w:t>
      </w:r>
      <w:r>
        <w:rPr>
          <w:rFonts w:hint="eastAsia"/>
        </w:rPr>
        <w:t>%，以提高拦截筛网的过水能力，降低投资。</w:t>
      </w:r>
    </w:p>
    <w:p>
      <w:pPr>
        <w:pStyle w:val="49"/>
        <w:numPr>
          <w:ilvl w:val="2"/>
          <w:numId w:val="16"/>
        </w:numPr>
        <w:spacing w:before="156" w:after="156"/>
        <w:ind w:left="0"/>
      </w:pPr>
      <w:r>
        <w:rPr>
          <w:rFonts w:hint="eastAsia"/>
        </w:rPr>
        <w:t>拦截筛网的应用形式以及设置位置应根据生物池流化装备进行优化布置，需统筹考虑筛网过水能力，以防止悬浮载体在拦截筛网处发生堆积堵塞等。</w:t>
      </w:r>
    </w:p>
    <w:p>
      <w:pPr>
        <w:pStyle w:val="49"/>
        <w:numPr>
          <w:ilvl w:val="2"/>
          <w:numId w:val="16"/>
        </w:numPr>
        <w:spacing w:before="156" w:after="156"/>
        <w:ind w:left="0"/>
      </w:pPr>
      <w:r>
        <w:rPr>
          <w:rFonts w:hint="eastAsia"/>
          <w:bCs/>
        </w:rPr>
        <w:t>好氧区生物池</w:t>
      </w:r>
      <w:r>
        <w:rPr>
          <w:rFonts w:hint="eastAsia"/>
        </w:rPr>
        <w:t>采用非循环流池型，可通过池型设置仅利用曝气实现悬浮载体的均匀流化；生物池采用循环流池型时，好氧区宜在曝气的基础上增加推流搅拌器，以促进悬浮载体在廊道内的推进。缺氧搅拌器方面，青岛某新建项目采用潜水搅拌器，安徽怀宁某项目采用竖轴搅拌器，均可实现缺氧区悬浮载体良好流化，且不会富氧。</w:t>
      </w:r>
    </w:p>
    <w:p>
      <w:pPr>
        <w:pStyle w:val="49"/>
        <w:numPr>
          <w:ilvl w:val="2"/>
          <w:numId w:val="16"/>
        </w:numPr>
        <w:spacing w:before="156" w:after="156"/>
        <w:ind w:left="0"/>
      </w:pPr>
      <w:r>
        <w:rPr>
          <w:rFonts w:hint="eastAsia"/>
        </w:rPr>
        <w:t>好氧区为强化悬浮载体的流化，宜采用穿孔曝气的方式，为提高穿孔曝气的氧利用率，同时为了增加气液接触时间，好氧区有效水深不宜低于6</w:t>
      </w:r>
      <w:r>
        <w:t xml:space="preserve"> </w:t>
      </w:r>
      <w:r>
        <w:rPr>
          <w:rFonts w:hint="eastAsia"/>
        </w:rPr>
        <w:t>m。当水深≤5</w:t>
      </w:r>
      <w:r>
        <w:t xml:space="preserve"> </w:t>
      </w:r>
      <w:r>
        <w:rPr>
          <w:rFonts w:hint="eastAsia"/>
        </w:rPr>
        <w:t>m且填充率低于3</w:t>
      </w:r>
      <w:r>
        <w:t>0</w:t>
      </w:r>
      <w:r>
        <w:rPr>
          <w:rFonts w:hint="eastAsia"/>
        </w:rPr>
        <w:t>%时，为保障好氧区的氧利用率，此时宜在穿孔曝气的基础上分出一部分气量采用微孔曝气的形式。微孔曝气采用宜采用可提升曝气方式，以便于曝气盘更换，避免固定式曝气盘需停水清淤更换，维持水厂正常运行。</w:t>
      </w:r>
    </w:p>
    <w:p>
      <w:pPr>
        <w:pStyle w:val="49"/>
        <w:numPr>
          <w:ilvl w:val="2"/>
          <w:numId w:val="16"/>
        </w:numPr>
        <w:spacing w:before="156" w:after="156"/>
        <w:ind w:left="0"/>
      </w:pPr>
      <w:r>
        <w:rPr>
          <w:rFonts w:hint="eastAsia"/>
        </w:rPr>
        <w:t>好氧区的需氧量主要根据污染物的去除需求进行确定。</w:t>
      </w:r>
    </w:p>
    <w:p>
      <w:pPr>
        <w:pStyle w:val="49"/>
        <w:numPr>
          <w:ilvl w:val="0"/>
          <w:numId w:val="0"/>
        </w:numPr>
        <w:spacing w:before="156" w:after="156"/>
      </w:pPr>
      <w:r>
        <w:rPr>
          <w:b/>
          <w:bCs/>
        </w:rPr>
        <w:t>4.2.21</w:t>
      </w:r>
      <w:r>
        <w:rPr>
          <w:rFonts w:hint="eastAsia"/>
        </w:rPr>
        <w:t>采用穿孔管曝气，为了提高曝气管的使用寿命，宜采用A</w:t>
      </w:r>
      <w:r>
        <w:t>BS</w:t>
      </w:r>
      <w:r>
        <w:rPr>
          <w:rFonts w:hint="eastAsia"/>
        </w:rPr>
        <w:t>或不锈钢耐用</w:t>
      </w:r>
      <w:r>
        <w:t>材质</w:t>
      </w:r>
      <w:r>
        <w:rPr>
          <w:rFonts w:hint="eastAsia"/>
        </w:rPr>
        <w:t>。</w:t>
      </w:r>
    </w:p>
    <w:p>
      <w:pPr>
        <w:pStyle w:val="49"/>
        <w:numPr>
          <w:ilvl w:val="0"/>
          <w:numId w:val="0"/>
        </w:numPr>
        <w:spacing w:before="156" w:after="156"/>
      </w:pPr>
      <w:r>
        <w:rPr>
          <w:b/>
          <w:bCs/>
        </w:rPr>
        <w:t>4.2.22</w:t>
      </w:r>
      <w:r>
        <w:rPr>
          <w:rFonts w:hint="eastAsia"/>
        </w:rPr>
        <w:t>为实现悬浮载体的低耗流化，同时有效保护悬浮载体生物膜，所使用的搅拌器桨叶直径不宜低于1.0</w:t>
      </w:r>
      <w:r>
        <w:t xml:space="preserve"> </w:t>
      </w:r>
      <w:r>
        <w:rPr>
          <w:rFonts w:hint="eastAsia"/>
        </w:rPr>
        <w:t>m，转速不宜高于120</w:t>
      </w:r>
      <w:r>
        <w:t xml:space="preserve"> </w:t>
      </w:r>
      <w:r>
        <w:rPr>
          <w:rFonts w:hint="eastAsia"/>
        </w:rPr>
        <w:t>rpm。同时为了防止与悬浮载体的碰撞导致桨叶损坏，提高搅拌器的使用寿命，浆叶材质宜采用不锈钢材质。</w:t>
      </w:r>
    </w:p>
    <w:p>
      <w:pPr>
        <w:pStyle w:val="49"/>
        <w:numPr>
          <w:ilvl w:val="0"/>
          <w:numId w:val="0"/>
        </w:numPr>
        <w:spacing w:before="156" w:after="156"/>
      </w:pPr>
      <w:r>
        <w:rPr>
          <w:b/>
          <w:bCs/>
        </w:rPr>
        <w:t>4.2.23</w:t>
      </w:r>
      <w:r>
        <w:rPr>
          <w:rFonts w:hint="eastAsia"/>
        </w:rPr>
        <w:t>目前常用的消除泡沫的措施有水喷淋和投加消泡剂等方法。</w:t>
      </w:r>
    </w:p>
    <w:p>
      <w:pPr>
        <w:pStyle w:val="3"/>
      </w:pPr>
      <w:bookmarkStart w:id="172" w:name="_Toc122709350"/>
      <w:bookmarkStart w:id="173" w:name="_Toc122709938"/>
      <w:bookmarkStart w:id="174" w:name="_Toc122709427"/>
      <w:r>
        <w:rPr>
          <w:rFonts w:hint="eastAsia"/>
        </w:rPr>
        <w:t>BFM</w:t>
      </w:r>
      <w:r>
        <w:t>-</w:t>
      </w:r>
      <w:r>
        <w:rPr>
          <w:rFonts w:hint="eastAsia"/>
        </w:rPr>
        <w:t>M段</w:t>
      </w:r>
      <w:bookmarkEnd w:id="172"/>
      <w:bookmarkEnd w:id="173"/>
      <w:bookmarkEnd w:id="174"/>
    </w:p>
    <w:p>
      <w:pPr>
        <w:pStyle w:val="49"/>
        <w:spacing w:before="156" w:after="156"/>
      </w:pPr>
      <w:r>
        <w:rPr>
          <w:rFonts w:hint="eastAsia"/>
        </w:rPr>
        <w:t>超效分离工艺由反应单元、沉淀单元、磁介质回收单元组成（详</w:t>
      </w:r>
      <w:r>
        <w:rPr>
          <w:rFonts w:hint="eastAsia"/>
          <w:lang w:val="en-US" w:eastAsia="zh-CN"/>
        </w:rPr>
        <w:t>见</w:t>
      </w:r>
      <w:r>
        <w:rPr>
          <w:rFonts w:hint="eastAsia"/>
        </w:rPr>
        <w:t>附图4</w:t>
      </w:r>
      <w:r>
        <w:t>.3.1</w:t>
      </w:r>
      <w:r>
        <w:rPr>
          <w:rFonts w:hint="eastAsia"/>
        </w:rPr>
        <w:t>）。其中反应单元主要是投加药剂，通过搅拌使其与原水充分混合，生成磁絮体；沉淀单元主要是完成泥水分离；磁介质回收单元主要是实现磁介质的回收利用。反应单元中混合反应池、磁介质加载池、絮凝反应池应分别投加混凝剂、磁介质和助凝剂。当进水存在生化段难以去除的有机物时，可在该工艺段增加活性炭吸附功能，通过投加活性炭以实现难降解C</w:t>
      </w:r>
      <w:r>
        <w:t>OD</w:t>
      </w:r>
      <w:r>
        <w:rPr>
          <w:rFonts w:hint="eastAsia"/>
        </w:rPr>
        <w:t>的去除。</w:t>
      </w:r>
    </w:p>
    <w:p>
      <w:pPr>
        <w:pStyle w:val="42"/>
        <w:ind w:firstLine="480"/>
      </w:pPr>
      <w:r>
        <w:drawing>
          <wp:inline distT="0" distB="0" distL="0" distR="0">
            <wp:extent cx="5274310" cy="2586990"/>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586990"/>
                    </a:xfrm>
                    <a:prstGeom prst="rect">
                      <a:avLst/>
                    </a:prstGeom>
                    <a:noFill/>
                    <a:ln>
                      <a:noFill/>
                    </a:ln>
                  </pic:spPr>
                </pic:pic>
              </a:graphicData>
            </a:graphic>
          </wp:inline>
        </w:drawing>
      </w:r>
    </w:p>
    <w:p>
      <w:pPr>
        <w:pStyle w:val="79"/>
        <w:numPr>
          <w:ilvl w:val="0"/>
          <w:numId w:val="0"/>
        </w:numPr>
        <w:tabs>
          <w:tab w:val="left" w:pos="426"/>
        </w:tabs>
        <w:ind w:left="-2" w:leftChars="-1" w:firstLine="1"/>
      </w:pPr>
      <w:r>
        <w:rPr>
          <w:rFonts w:hint="eastAsia"/>
        </w:rPr>
        <w:t>图2</w:t>
      </w:r>
      <w:r>
        <w:t xml:space="preserve"> M</w:t>
      </w:r>
      <w:r>
        <w:rPr>
          <w:rFonts w:hint="eastAsia"/>
        </w:rPr>
        <w:t>段池体构造</w:t>
      </w:r>
    </w:p>
    <w:p>
      <w:pPr>
        <w:pStyle w:val="49"/>
        <w:spacing w:before="156" w:after="156"/>
      </w:pPr>
      <w:r>
        <w:rPr>
          <w:rFonts w:hint="eastAsia"/>
        </w:rPr>
        <w:t>混凝过程为物理化学过程，反应较快，如广东肇庆某项目，混合反应池H</w:t>
      </w:r>
      <w:r>
        <w:t>RT</w:t>
      </w:r>
      <w:r>
        <w:rPr>
          <w:rFonts w:hint="eastAsia"/>
        </w:rPr>
        <w:t>为2</w:t>
      </w:r>
      <w:r>
        <w:t xml:space="preserve">.5 </w:t>
      </w:r>
      <w:r>
        <w:rPr>
          <w:rFonts w:hint="eastAsia"/>
        </w:rPr>
        <w:t>min，速度梯度值为6</w:t>
      </w:r>
      <w:r>
        <w:t xml:space="preserve">50 </w:t>
      </w:r>
      <w:r>
        <w:rPr>
          <w:rFonts w:hint="eastAsia"/>
        </w:rPr>
        <w:t>s</w:t>
      </w:r>
      <w:r>
        <w:rPr>
          <w:rFonts w:hint="eastAsia"/>
          <w:vertAlign w:val="superscript"/>
        </w:rPr>
        <w:t>-</w:t>
      </w:r>
      <w:r>
        <w:rPr>
          <w:vertAlign w:val="superscript"/>
        </w:rPr>
        <w:t>1</w:t>
      </w:r>
      <w:r>
        <w:rPr>
          <w:rFonts w:hint="eastAsia"/>
        </w:rPr>
        <w:t>，磁介质加载池H</w:t>
      </w:r>
      <w:r>
        <w:t>RT</w:t>
      </w:r>
      <w:r>
        <w:rPr>
          <w:rFonts w:hint="eastAsia"/>
        </w:rPr>
        <w:t>为2</w:t>
      </w:r>
      <w:r>
        <w:t xml:space="preserve">.5 </w:t>
      </w:r>
      <w:r>
        <w:rPr>
          <w:rFonts w:hint="eastAsia"/>
        </w:rPr>
        <w:t>min，速度梯度值为</w:t>
      </w:r>
      <w:r>
        <w:t xml:space="preserve">400 </w:t>
      </w:r>
      <w:r>
        <w:rPr>
          <w:rFonts w:hint="eastAsia"/>
        </w:rPr>
        <w:t>s</w:t>
      </w:r>
      <w:r>
        <w:rPr>
          <w:rFonts w:hint="eastAsia"/>
          <w:vertAlign w:val="superscript"/>
        </w:rPr>
        <w:t>-</w:t>
      </w:r>
      <w:r>
        <w:rPr>
          <w:vertAlign w:val="superscript"/>
        </w:rPr>
        <w:t>1</w:t>
      </w:r>
      <w:r>
        <w:rPr>
          <w:rFonts w:hint="eastAsia"/>
        </w:rPr>
        <w:t>，絮凝反应池H</w:t>
      </w:r>
      <w:r>
        <w:t>RT</w:t>
      </w:r>
      <w:r>
        <w:rPr>
          <w:rFonts w:hint="eastAsia"/>
        </w:rPr>
        <w:t>为3</w:t>
      </w:r>
      <w:r>
        <w:t xml:space="preserve">.1 </w:t>
      </w:r>
      <w:r>
        <w:rPr>
          <w:rFonts w:hint="eastAsia"/>
        </w:rPr>
        <w:t>min，速度梯度值为</w:t>
      </w:r>
      <w:r>
        <w:t xml:space="preserve">160 </w:t>
      </w:r>
      <w:r>
        <w:rPr>
          <w:rFonts w:hint="eastAsia"/>
        </w:rPr>
        <w:t>s</w:t>
      </w:r>
      <w:r>
        <w:rPr>
          <w:rFonts w:hint="eastAsia"/>
          <w:vertAlign w:val="superscript"/>
        </w:rPr>
        <w:t>-</w:t>
      </w:r>
      <w:r>
        <w:rPr>
          <w:vertAlign w:val="superscript"/>
        </w:rPr>
        <w:t>1</w:t>
      </w:r>
      <w:r>
        <w:rPr>
          <w:rFonts w:hint="eastAsia"/>
        </w:rPr>
        <w:t>。</w:t>
      </w:r>
    </w:p>
    <w:p>
      <w:pPr>
        <w:pStyle w:val="49"/>
        <w:spacing w:before="156" w:after="156"/>
      </w:pPr>
      <w:r>
        <w:rPr>
          <w:rFonts w:hint="eastAsia"/>
        </w:rPr>
        <w:t>由于磁粉的比重较大，所以为了使磁粉与污泥絮体充分混合，磁介质加载池和絮凝反应池桨宜采用专用桨叶，需结合水力模拟和实际应用进行优化设计，确保磁介质污泥均匀混合。</w:t>
      </w:r>
    </w:p>
    <w:p>
      <w:pPr>
        <w:pStyle w:val="49"/>
        <w:numPr>
          <w:ilvl w:val="2"/>
          <w:numId w:val="17"/>
        </w:numPr>
        <w:spacing w:before="156" w:after="156"/>
        <w:ind w:left="0"/>
      </w:pPr>
      <w:r>
        <w:rPr>
          <w:rFonts w:hint="eastAsia"/>
        </w:rPr>
        <w:t>选用大通道、耐磨泵，具有高耐磨及高通过性的回流泵可以降低现场设备的维护频率，增加使用寿命。回流泵过流件宜选用耐磨材质，采用橡胶或高铬合金。</w:t>
      </w:r>
    </w:p>
    <w:p>
      <w:pPr>
        <w:pStyle w:val="49"/>
        <w:numPr>
          <w:ilvl w:val="0"/>
          <w:numId w:val="0"/>
        </w:numPr>
        <w:spacing w:before="156" w:after="156"/>
      </w:pPr>
      <w:r>
        <w:rPr>
          <w:rFonts w:hint="eastAsia"/>
          <w:b/>
          <w:bCs/>
        </w:rPr>
        <w:t>4</w:t>
      </w:r>
      <w:r>
        <w:rPr>
          <w:b/>
          <w:bCs/>
        </w:rPr>
        <w:t>.3.7</w:t>
      </w:r>
      <w:r>
        <w:t xml:space="preserve"> </w:t>
      </w:r>
      <w:r>
        <w:rPr>
          <w:rFonts w:hint="eastAsia"/>
        </w:rPr>
        <w:t>沉淀单元冲洗装置应综合考虑项目投资预算，进水S</w:t>
      </w:r>
      <w:r>
        <w:t>S</w:t>
      </w:r>
      <w:r>
        <w:rPr>
          <w:rFonts w:hint="eastAsia"/>
        </w:rPr>
        <w:t>情况等进行选配。</w:t>
      </w:r>
    </w:p>
    <w:p>
      <w:pPr>
        <w:pStyle w:val="49"/>
        <w:numPr>
          <w:ilvl w:val="0"/>
          <w:numId w:val="0"/>
        </w:numPr>
        <w:spacing w:before="156" w:after="156"/>
      </w:pPr>
      <w:r>
        <w:rPr>
          <w:b/>
          <w:bCs/>
        </w:rPr>
        <w:t xml:space="preserve">4.3.8 </w:t>
      </w:r>
      <w:r>
        <w:rPr>
          <w:rFonts w:hint="eastAsia"/>
        </w:rPr>
        <w:t>超效分离技术通过磁介质的投加强化了泥水分离效果、缩短了泥水分离时间，故该工艺的水力负荷与固体通量高于普通混凝沉淀，但根据实际工程应用显示，沉淀池水力负荷不宜高于</w:t>
      </w:r>
      <w:bookmarkStart w:id="175" w:name="_Hlk103083738"/>
      <w:r>
        <w:rPr>
          <w:rFonts w:hint="eastAsia"/>
        </w:rPr>
        <w:t>25</w:t>
      </w:r>
      <w:r>
        <w:t xml:space="preserve"> </w:t>
      </w:r>
      <w:r>
        <w:rPr>
          <w:rFonts w:hint="eastAsia"/>
          <w:lang w:eastAsia="zh-CN"/>
        </w:rPr>
        <w:t>m³</w:t>
      </w:r>
      <w:r>
        <w:rPr>
          <w:rFonts w:hint="eastAsia"/>
        </w:rPr>
        <w:t>/(m</w:t>
      </w:r>
      <w:r>
        <w:rPr>
          <w:rFonts w:hint="eastAsia"/>
          <w:vertAlign w:val="superscript"/>
        </w:rPr>
        <w:t>2</w:t>
      </w:r>
      <w:r>
        <w:rPr>
          <w:rFonts w:hint="eastAsia"/>
        </w:rPr>
        <w:t>•h)，</w:t>
      </w:r>
      <w:bookmarkEnd w:id="175"/>
      <w:r>
        <w:rPr>
          <w:rFonts w:hint="eastAsia"/>
        </w:rPr>
        <w:t>固体通量不宜高于</w:t>
      </w:r>
      <w:r>
        <w:t>2</w:t>
      </w:r>
      <w:r>
        <w:rPr>
          <w:rFonts w:hint="eastAsia"/>
        </w:rPr>
        <w:t>0</w:t>
      </w:r>
      <w:r>
        <w:t xml:space="preserve"> </w:t>
      </w:r>
      <w:r>
        <w:rPr>
          <w:rFonts w:hint="eastAsia"/>
        </w:rPr>
        <w:t>kg/(m</w:t>
      </w:r>
      <w:r>
        <w:rPr>
          <w:rFonts w:hint="eastAsia"/>
          <w:vertAlign w:val="superscript"/>
        </w:rPr>
        <w:t>2</w:t>
      </w:r>
      <w:r>
        <w:rPr>
          <w:rFonts w:hint="eastAsia"/>
        </w:rPr>
        <w:t>•h)。如广东湛江某项目，平均水力负荷</w:t>
      </w:r>
      <w:r>
        <w:t xml:space="preserve">17.41 </w:t>
      </w:r>
      <w:r>
        <w:rPr>
          <w:rFonts w:hint="eastAsia"/>
          <w:lang w:eastAsia="zh-CN"/>
        </w:rPr>
        <w:t>m³</w:t>
      </w:r>
      <w:r>
        <w:rPr>
          <w:rFonts w:hint="eastAsia"/>
        </w:rPr>
        <w:t>/(m</w:t>
      </w:r>
      <w:r>
        <w:rPr>
          <w:rFonts w:hint="eastAsia"/>
          <w:vertAlign w:val="superscript"/>
        </w:rPr>
        <w:t>2</w:t>
      </w:r>
      <w:r>
        <w:rPr>
          <w:rFonts w:hint="eastAsia"/>
        </w:rPr>
        <w:t>•h)；青岛某新建项目，实际运行固体通量为</w:t>
      </w:r>
      <w:r>
        <w:t xml:space="preserve">18 </w:t>
      </w:r>
      <w:r>
        <w:rPr>
          <w:rFonts w:hint="eastAsia"/>
        </w:rPr>
        <w:t>kg/(m</w:t>
      </w:r>
      <w:r>
        <w:rPr>
          <w:rFonts w:hint="eastAsia"/>
          <w:vertAlign w:val="superscript"/>
        </w:rPr>
        <w:t>2</w:t>
      </w:r>
      <w:r>
        <w:rPr>
          <w:rFonts w:hint="eastAsia"/>
        </w:rPr>
        <w:t>•h)。</w:t>
      </w:r>
    </w:p>
    <w:p>
      <w:pPr>
        <w:pStyle w:val="49"/>
        <w:numPr>
          <w:ilvl w:val="0"/>
          <w:numId w:val="0"/>
        </w:numPr>
        <w:spacing w:before="156" w:after="156"/>
        <w:rPr>
          <w:rStyle w:val="46"/>
          <w:color w:val="auto"/>
        </w:rPr>
      </w:pPr>
      <w:r>
        <w:rPr>
          <w:rFonts w:hint="eastAsia"/>
          <w:b/>
          <w:bCs/>
        </w:rPr>
        <w:t>4</w:t>
      </w:r>
      <w:r>
        <w:rPr>
          <w:b/>
          <w:bCs/>
        </w:rPr>
        <w:t>.3.10</w:t>
      </w:r>
      <w:r>
        <w:t xml:space="preserve"> </w:t>
      </w:r>
      <w:r>
        <w:rPr>
          <w:rStyle w:val="46"/>
          <w:rFonts w:hint="eastAsia"/>
          <w:color w:val="auto"/>
        </w:rPr>
        <w:t>斜管（板）越长，则沉淀效果越好，但具体的长短宜根据具体项目水质、设计负荷等因素进行选取。如山东烟台某项目和山东青岛某新建项目采用1.2 m斜管；安徽怀宁某项目和江西共青城某项目采用1.5 m斜管。清水区的水深宜根据施工方式进行选取，如广东肇庆某项目和四川绵阳某项目沉淀池为箱体结构，清水区水深为0.5 m；山东潍坊某项目和安徽滁州某项目采用沉淀池为土建结构，清水区水深为1.0 m。</w:t>
      </w:r>
    </w:p>
    <w:p>
      <w:pPr>
        <w:pStyle w:val="49"/>
        <w:numPr>
          <w:ilvl w:val="0"/>
          <w:numId w:val="0"/>
        </w:numPr>
        <w:spacing w:before="156" w:after="156"/>
      </w:pPr>
      <w:r>
        <w:rPr>
          <w:rFonts w:hint="eastAsia"/>
          <w:b/>
          <w:bCs/>
        </w:rPr>
        <w:t>4</w:t>
      </w:r>
      <w:r>
        <w:rPr>
          <w:b/>
          <w:bCs/>
        </w:rPr>
        <w:t xml:space="preserve">.3.12 </w:t>
      </w:r>
      <w:r>
        <w:rPr>
          <w:rFonts w:hint="eastAsia"/>
        </w:rPr>
        <w:t>为提高磁介质回收效率，磁分离机宜选用高梯度磁分离机。高梯度磁分离机是指工作磁场中对磁性矿物产生吸附的聚磁介质为较细或者微米级直径的磁分离设备，其能够对微细粒磁性矿物产生较大的磁场吸附力，磁感应强度可达</w:t>
      </w:r>
      <w:r>
        <w:t xml:space="preserve">700 </w:t>
      </w:r>
      <w:r>
        <w:rPr>
          <w:rFonts w:hint="eastAsia"/>
        </w:rPr>
        <w:t>m</w:t>
      </w:r>
      <w:r>
        <w:t>T</w:t>
      </w:r>
      <w:r>
        <w:rPr>
          <w:rFonts w:hint="eastAsia"/>
        </w:rPr>
        <w:t>以上，从而保证磁介质回收效果。磁分离机核心磁材料宜采用钕铁硼，外壳采用304及以上不锈钢材质。</w:t>
      </w:r>
    </w:p>
    <w:p>
      <w:pPr>
        <w:pStyle w:val="49"/>
        <w:numPr>
          <w:ilvl w:val="0"/>
          <w:numId w:val="0"/>
        </w:numPr>
        <w:spacing w:before="156" w:after="156"/>
      </w:pPr>
      <w:r>
        <w:rPr>
          <w:rFonts w:hint="eastAsia"/>
          <w:b/>
          <w:bCs/>
        </w:rPr>
        <w:t>4</w:t>
      </w:r>
      <w:r>
        <w:rPr>
          <w:b/>
          <w:bCs/>
        </w:rPr>
        <w:t>.3.13</w:t>
      </w:r>
      <w:r>
        <w:rPr>
          <w:rFonts w:hint="eastAsia"/>
        </w:rPr>
        <w:t>高剪机是磁介质回收单元重要组成部分。其作用是通过高剪机配套的高速旋转桨叶将含有磁介质的污泥絮体打碎，为磁分离机的高效回收磁介质作铺垫。为了提高设备使用寿命，高剪机筒体宜采用不低于SS316L材质，桨叶选用钛合金或高铬合金等耐磨材质。</w:t>
      </w:r>
    </w:p>
    <w:p>
      <w:pPr>
        <w:pStyle w:val="3"/>
      </w:pPr>
      <w:bookmarkStart w:id="176" w:name="_Toc122709351"/>
      <w:bookmarkStart w:id="177" w:name="_Toc122709939"/>
      <w:bookmarkStart w:id="178" w:name="_Toc122709428"/>
      <w:r>
        <w:rPr>
          <w:rFonts w:hint="eastAsia"/>
        </w:rPr>
        <w:t>污泥产量</w:t>
      </w:r>
      <w:bookmarkEnd w:id="176"/>
      <w:bookmarkEnd w:id="177"/>
      <w:bookmarkEnd w:id="178"/>
    </w:p>
    <w:p>
      <w:pPr>
        <w:pStyle w:val="49"/>
        <w:spacing w:before="156" w:after="156"/>
      </w:pPr>
      <w:r>
        <w:rPr>
          <w:rFonts w:hint="eastAsia"/>
        </w:rPr>
        <w:t>整个系统的污泥产量包括初沉污泥，生化污泥和化学污泥。生化污泥主要来自</w:t>
      </w:r>
      <w:r>
        <w:t>BFM</w:t>
      </w:r>
      <w:r>
        <w:rPr>
          <w:rFonts w:hint="eastAsia"/>
        </w:rPr>
        <w:t>-</w:t>
      </w:r>
      <w:r>
        <w:t>B</w:t>
      </w:r>
      <w:r>
        <w:rPr>
          <w:rFonts w:hint="eastAsia"/>
        </w:rPr>
        <w:t>段，化学污泥来自于B</w:t>
      </w:r>
      <w:r>
        <w:t>FM</w:t>
      </w:r>
      <w:r>
        <w:rPr>
          <w:rFonts w:hint="eastAsia"/>
        </w:rPr>
        <w:t>-</w:t>
      </w:r>
      <w:r>
        <w:t>M</w:t>
      </w:r>
      <w:r>
        <w:rPr>
          <w:rFonts w:hint="eastAsia"/>
        </w:rPr>
        <w:t>段。</w:t>
      </w:r>
    </w:p>
    <w:p>
      <w:pPr>
        <w:pStyle w:val="49"/>
        <w:spacing w:before="156" w:after="156"/>
      </w:pPr>
      <w:r>
        <w:rPr>
          <w:rFonts w:hint="eastAsia"/>
          <w:bCs/>
        </w:rPr>
        <w:t>公式中，</w:t>
      </w:r>
      <m:oMath>
        <m:r>
          <m:rPr/>
          <w:rPr>
            <w:rFonts w:hint="eastAsia" w:ascii="Cambria Math" w:hAnsi="Cambria Math"/>
          </w:rPr>
          <m:t>f</m:t>
        </m:r>
        <m:r>
          <m:rPr>
            <m:sty m:val="p"/>
          </m:rPr>
          <w:rPr>
            <w:rFonts w:ascii="Cambria Math" w:hAnsi="Cambria Math"/>
          </w:rPr>
          <m:t>×</m:t>
        </m:r>
        <m:r>
          <m:rPr/>
          <w:rPr>
            <w:rFonts w:ascii="Cambria Math" w:hAnsi="Cambria Math"/>
          </w:rPr>
          <m:t>Q</m:t>
        </m:r>
        <m:r>
          <m:rPr>
            <m:sty m:val="p"/>
          </m:rPr>
          <w:rPr>
            <w:rFonts w:ascii="Cambria Math" w:hAnsi="Cambria Math"/>
          </w:rPr>
          <m:t>×</m:t>
        </m:r>
        <m:sSub>
          <m:sSubPr>
            <m:ctrlPr>
              <w:rPr>
                <w:rFonts w:ascii="Cambria Math" w:hAnsi="Cambria Math"/>
              </w:rPr>
            </m:ctrlPr>
          </m:sSubPr>
          <m:e>
            <m:r>
              <m:rPr/>
              <w:rPr>
                <w:rFonts w:ascii="Cambria Math" w:hAnsi="Cambria Math"/>
              </w:rPr>
              <m:t>SS</m:t>
            </m:r>
            <m:ctrlPr>
              <w:rPr>
                <w:rFonts w:ascii="Cambria Math" w:hAnsi="Cambria Math"/>
              </w:rPr>
            </m:ctrlPr>
          </m:e>
          <m:sub>
            <m:r>
              <m:rPr>
                <m:sty m:val="p"/>
              </m:rPr>
              <w:rPr>
                <w:rFonts w:ascii="Cambria Math" w:hAnsi="Cambria Math"/>
              </w:rPr>
              <m:t>0</m:t>
            </m:r>
            <m:ctrlPr>
              <w:rPr>
                <w:rFonts w:ascii="Cambria Math" w:hAnsi="Cambria Math"/>
              </w:rPr>
            </m:ctrlPr>
          </m:sub>
        </m:sSub>
      </m:oMath>
      <w:r>
        <w:rPr>
          <w:rFonts w:hint="eastAsia"/>
        </w:rPr>
        <w:t>为由进水S</w:t>
      </w:r>
      <w:r>
        <w:t>S</w:t>
      </w:r>
      <w:r>
        <w:rPr>
          <w:rFonts w:hint="eastAsia"/>
        </w:rPr>
        <w:t>而产生的污泥量，</w:t>
      </w:r>
      <m:oMath>
        <m:sSub>
          <m:sSubPr>
            <m:ctrlPr>
              <w:rPr>
                <w:rFonts w:ascii="Cambria Math" w:hAnsi="Cambria Math"/>
              </w:rPr>
            </m:ctrlPr>
          </m:sSubPr>
          <m:e>
            <m:r>
              <m:rPr/>
              <w:rPr>
                <w:rFonts w:ascii="Cambria Math" w:hAnsi="Cambria Math"/>
              </w:rPr>
              <m:t>Y</m:t>
            </m:r>
            <m:ctrlPr>
              <w:rPr>
                <w:rFonts w:ascii="Cambria Math" w:hAnsi="Cambria Math"/>
              </w:rPr>
            </m:ctrlPr>
          </m:e>
          <m:sub>
            <m:r>
              <m:rPr/>
              <w:rPr>
                <w:rFonts w:ascii="Cambria Math" w:hAnsi="Cambria Math"/>
              </w:rPr>
              <m:t>obs</m:t>
            </m:r>
            <m:ctrlPr>
              <w:rPr>
                <w:rFonts w:ascii="Cambria Math" w:hAnsi="Cambria Math"/>
              </w:rPr>
            </m:ctrlPr>
          </m:sub>
        </m:sSub>
        <m:r>
          <m:rPr>
            <m:sty m:val="p"/>
          </m:rPr>
          <w:rPr>
            <w:rFonts w:ascii="Cambria Math" w:hAnsi="Cambria Math"/>
          </w:rPr>
          <m:t>×</m:t>
        </m:r>
        <m:r>
          <m:rPr/>
          <w:rPr>
            <w:rFonts w:ascii="Cambria Math" w:hAnsi="Cambria Math"/>
          </w:rPr>
          <m:t>Q</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w:rPr>
                    <w:rFonts w:ascii="Cambria Math" w:hAnsi="Cambria Math"/>
                  </w:rPr>
                  <m:t>S</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e</m:t>
                </m:r>
                <m:ctrlPr>
                  <w:rPr>
                    <w:rFonts w:ascii="Cambria Math" w:hAnsi="Cambria Math"/>
                  </w:rPr>
                </m:ctrlPr>
              </m:sub>
            </m:sSub>
            <m:ctrlPr>
              <w:rPr>
                <w:rFonts w:ascii="Cambria Math" w:hAnsi="Cambria Math"/>
              </w:rPr>
            </m:ctrlPr>
          </m:e>
        </m:d>
      </m:oMath>
      <w:r>
        <w:rPr>
          <w:rFonts w:hint="eastAsia"/>
        </w:rPr>
        <w:t>为微生物增值所产生的污泥量，</w:t>
      </w:r>
      <m:oMath>
        <m:r>
          <m:rPr/>
          <w:rPr>
            <w:rFonts w:ascii="Cambria Math" w:hAnsi="Cambria Math"/>
          </w:rPr>
          <m:t>K×</m:t>
        </m:r>
        <m:sSub>
          <m:sSubPr>
            <m:ctrlPr>
              <w:rPr>
                <w:rFonts w:ascii="Cambria Math" w:hAnsi="Cambria Math"/>
                <w:i/>
              </w:rPr>
            </m:ctrlPr>
          </m:sSubPr>
          <m:e>
            <m:r>
              <m:rPr/>
              <w:rPr>
                <w:rFonts w:ascii="Cambria Math" w:hAnsi="Cambria Math"/>
              </w:rPr>
              <m:t>m</m:t>
            </m:r>
            <m:ctrlPr>
              <w:rPr>
                <w:rFonts w:ascii="Cambria Math" w:hAnsi="Cambria Math"/>
                <w:i/>
              </w:rPr>
            </m:ctrlPr>
          </m:e>
          <m:sub>
            <m:r>
              <m:rPr/>
              <w:rPr>
                <w:rFonts w:hint="eastAsia" w:ascii="Cambria Math" w:hAnsi="Cambria Math"/>
              </w:rPr>
              <m:t>C</m:t>
            </m:r>
            <m:ctrlPr>
              <w:rPr>
                <w:rFonts w:ascii="Cambria Math" w:hAnsi="Cambria Math"/>
                <w:i/>
              </w:rPr>
            </m:ctrlPr>
          </m:sub>
        </m:sSub>
      </m:oMath>
      <w:r>
        <w:rPr>
          <w:rFonts w:hint="eastAsia"/>
        </w:rPr>
        <w:t>为除磷而产生的化学污泥量，由于磁粉和助凝剂的投加量较低，对于污泥产量的影响可忽略不计。广东某新建项目根据断面法测定表观污泥产率系数</w:t>
      </w:r>
      <w:r>
        <w:rPr>
          <w:rFonts w:hint="eastAsia"/>
          <w:i/>
          <w:iCs/>
        </w:rPr>
        <w:t>Y</w:t>
      </w:r>
      <w:r>
        <w:rPr>
          <w:rFonts w:hint="eastAsia"/>
          <w:i/>
          <w:iCs/>
          <w:vertAlign w:val="subscript"/>
        </w:rPr>
        <w:t>obs</w:t>
      </w:r>
      <w:r>
        <w:rPr>
          <w:rFonts w:hint="eastAsia"/>
        </w:rPr>
        <w:t>为</w:t>
      </w:r>
      <w:bookmarkStart w:id="179" w:name="_Hlk86399471"/>
      <w:r>
        <w:t>0.</w:t>
      </w:r>
      <w:bookmarkEnd w:id="179"/>
      <w:r>
        <w:rPr>
          <w:rFonts w:hint="eastAsia"/>
        </w:rPr>
        <w:t>17</w:t>
      </w:r>
      <w:r>
        <w:rPr>
          <w:iCs/>
        </w:rPr>
        <w:t xml:space="preserve"> </w:t>
      </w:r>
      <w:r>
        <w:rPr>
          <w:i/>
        </w:rPr>
        <w:t>kgSS/kgBOD</w:t>
      </w:r>
      <w:r>
        <w:rPr>
          <w:i/>
          <w:vertAlign w:val="subscript"/>
        </w:rPr>
        <w:t>5</w:t>
      </w:r>
      <w:r>
        <w:rPr>
          <w:rFonts w:hint="eastAsia"/>
        </w:rPr>
        <w:t>。</w:t>
      </w:r>
    </w:p>
    <w:p>
      <w:pPr>
        <w:pStyle w:val="42"/>
        <w:ind w:firstLine="480"/>
      </w:pPr>
    </w:p>
    <w:p>
      <w:pPr>
        <w:pStyle w:val="2"/>
      </w:pPr>
      <w:bookmarkStart w:id="180" w:name="_Toc122709352"/>
      <w:bookmarkStart w:id="181" w:name="_Toc122709940"/>
      <w:bookmarkStart w:id="182" w:name="_Toc122709429"/>
      <w:r>
        <w:rPr>
          <w:rFonts w:hint="eastAsia"/>
        </w:rPr>
        <w:t>检测与控制</w:t>
      </w:r>
      <w:bookmarkEnd w:id="180"/>
      <w:bookmarkEnd w:id="181"/>
      <w:bookmarkEnd w:id="182"/>
    </w:p>
    <w:p>
      <w:pPr>
        <w:pStyle w:val="3"/>
        <w:numPr>
          <w:ilvl w:val="1"/>
          <w:numId w:val="18"/>
        </w:numPr>
      </w:pPr>
      <w:bookmarkStart w:id="183" w:name="_Toc122709941"/>
      <w:bookmarkStart w:id="184" w:name="_Toc122709353"/>
      <w:bookmarkStart w:id="185" w:name="_Toc122709430"/>
      <w:r>
        <w:rPr>
          <w:rFonts w:hint="eastAsia"/>
        </w:rPr>
        <w:t>检测</w:t>
      </w:r>
      <w:bookmarkEnd w:id="183"/>
      <w:bookmarkEnd w:id="184"/>
      <w:bookmarkEnd w:id="185"/>
    </w:p>
    <w:p>
      <w:pPr>
        <w:pStyle w:val="49"/>
        <w:numPr>
          <w:ilvl w:val="2"/>
          <w:numId w:val="19"/>
        </w:numPr>
        <w:spacing w:before="156" w:after="156"/>
        <w:ind w:left="0"/>
      </w:pPr>
      <w:r>
        <w:rPr>
          <w:rFonts w:hint="eastAsia"/>
        </w:rPr>
        <w:t>液位差是反映筛网是否正常通水的参数。通过设置液位计，检测液位差，能够及时了解拦截筛网的过水性能，但并非所有的拦截筛网前后都需要设置液位计。</w:t>
      </w:r>
    </w:p>
    <w:p>
      <w:pPr>
        <w:pStyle w:val="49"/>
        <w:spacing w:before="156" w:after="156"/>
      </w:pPr>
      <w:r>
        <w:rPr>
          <w:rFonts w:hint="eastAsia"/>
        </w:rPr>
        <w:t>M段设置在线检测仪表主要是便于进行加药控制，处理污水时宜采用悬浮物在线测定仪表，处理微污染水时宜采用浊度在线检测仪表；如M段未增设活性炭吸附池，则可不设置化学需氧量在线检测仪表；如M段出水后无其他污染物去除功能段，则M段可不额外设置相关在线检测仪表，直接使用总出水在线检测数据进行工艺运行调控即可。</w:t>
      </w:r>
    </w:p>
    <w:p>
      <w:pPr>
        <w:pStyle w:val="3"/>
      </w:pPr>
      <w:bookmarkStart w:id="186" w:name="_Toc122709942"/>
      <w:bookmarkStart w:id="187" w:name="_Toc122709354"/>
      <w:bookmarkStart w:id="188" w:name="_Toc122709431"/>
      <w:r>
        <w:t>控制</w:t>
      </w:r>
      <w:bookmarkEnd w:id="186"/>
      <w:bookmarkEnd w:id="187"/>
      <w:bookmarkEnd w:id="188"/>
    </w:p>
    <w:p>
      <w:pPr>
        <w:pStyle w:val="49"/>
        <w:spacing w:before="156" w:after="156"/>
      </w:pPr>
      <w:r>
        <w:rPr>
          <w:rFonts w:hint="eastAsia"/>
        </w:rPr>
        <w:t>生物膜法的特点是传质传氧，为保障高去除效果，提高传氧性能，好氧区D</w:t>
      </w:r>
      <w:r>
        <w:t>O</w:t>
      </w:r>
      <w:r>
        <w:rPr>
          <w:rFonts w:hint="eastAsia"/>
        </w:rPr>
        <w:t>宜为2</w:t>
      </w:r>
      <w:r>
        <w:t xml:space="preserve"> </w:t>
      </w:r>
      <w:r>
        <w:rPr>
          <w:rFonts w:hint="eastAsia"/>
        </w:rPr>
        <w:t>mg/L~6</w:t>
      </w:r>
      <w:r>
        <w:t xml:space="preserve"> </w:t>
      </w:r>
      <w:r>
        <w:rPr>
          <w:rFonts w:hint="eastAsia"/>
        </w:rPr>
        <w:t>mg/L。</w:t>
      </w:r>
    </w:p>
    <w:p>
      <w:pPr>
        <w:pStyle w:val="49"/>
        <w:spacing w:before="156" w:after="156"/>
      </w:pPr>
      <w:r>
        <w:rPr>
          <w:rFonts w:hint="eastAsia"/>
        </w:rPr>
        <w:t>搅拌强度应根据混合区要求进行选择，宜参考</w:t>
      </w:r>
      <w:r>
        <w:fldChar w:fldCharType="begin"/>
      </w:r>
      <w:r>
        <w:instrText xml:space="preserve"> </w:instrText>
      </w:r>
      <w:r>
        <w:rPr>
          <w:rFonts w:hint="eastAsia"/>
        </w:rPr>
        <w:instrText xml:space="preserve">REF _Ref106393492 \r \h</w:instrText>
      </w:r>
      <w:r>
        <w:instrText xml:space="preserve">  \* MERGEFORMAT </w:instrText>
      </w:r>
      <w:r>
        <w:fldChar w:fldCharType="separate"/>
      </w:r>
      <w:r>
        <w:rPr>
          <w:rFonts w:hint="eastAsia"/>
        </w:rPr>
        <w:t>表4.3.2</w:t>
      </w:r>
      <w:r>
        <w:fldChar w:fldCharType="end"/>
      </w:r>
      <w:r>
        <w:rPr>
          <w:rFonts w:hint="eastAsia"/>
        </w:rPr>
        <w:t>进行选择。</w:t>
      </w:r>
    </w:p>
    <w:p>
      <w:pPr>
        <w:pStyle w:val="42"/>
        <w:ind w:firstLine="480"/>
      </w:pPr>
    </w:p>
    <w:p>
      <w:pPr>
        <w:pStyle w:val="2"/>
      </w:pPr>
      <w:bookmarkStart w:id="189" w:name="_Toc122709432"/>
      <w:bookmarkStart w:id="190" w:name="_Toc122709355"/>
      <w:bookmarkStart w:id="191" w:name="_Toc122709943"/>
      <w:r>
        <w:rPr>
          <w:rFonts w:hint="eastAsia"/>
        </w:rPr>
        <w:t>施工与安装</w:t>
      </w:r>
      <w:bookmarkEnd w:id="189"/>
      <w:bookmarkEnd w:id="190"/>
      <w:bookmarkEnd w:id="191"/>
    </w:p>
    <w:p>
      <w:pPr>
        <w:pStyle w:val="3"/>
        <w:numPr>
          <w:ilvl w:val="1"/>
          <w:numId w:val="20"/>
        </w:numPr>
      </w:pPr>
      <w:bookmarkStart w:id="192" w:name="_Toc122709433"/>
      <w:bookmarkStart w:id="193" w:name="_Toc122709356"/>
      <w:bookmarkStart w:id="194" w:name="_Toc122709944"/>
      <w:r>
        <w:rPr>
          <w:rFonts w:hint="eastAsia"/>
        </w:rPr>
        <w:t>一般规定</w:t>
      </w:r>
      <w:bookmarkEnd w:id="192"/>
      <w:bookmarkEnd w:id="193"/>
      <w:bookmarkEnd w:id="194"/>
    </w:p>
    <w:p>
      <w:pPr>
        <w:pStyle w:val="49"/>
        <w:numPr>
          <w:ilvl w:val="2"/>
          <w:numId w:val="21"/>
        </w:numPr>
        <w:spacing w:before="156" w:after="156"/>
        <w:ind w:left="0"/>
      </w:pPr>
      <w:r>
        <w:rPr>
          <w:rFonts w:hint="eastAsia"/>
        </w:rPr>
        <w:t>鉴于每个项目的独特性，新、改、扩建项目在施工方面的差异性，施工单位应在施工前了解技术资料，做好施工组织工作。</w:t>
      </w:r>
    </w:p>
    <w:p>
      <w:pPr>
        <w:pStyle w:val="49"/>
        <w:spacing w:before="156" w:after="156"/>
      </w:pPr>
      <w:r>
        <w:rPr>
          <w:rFonts w:hint="eastAsia"/>
        </w:rPr>
        <w:t>为确保施工质量，要求所有涉及或是参与到本工程施工的技术及管理人员必须充分了解和掌握施工图纸的设计意图、工艺特点及设备安装的要求，为此，必须做到设计、项目管理和施工等相关方之间的技术交底。</w:t>
      </w:r>
    </w:p>
    <w:p>
      <w:pPr>
        <w:pStyle w:val="49"/>
        <w:spacing w:before="156" w:after="156"/>
      </w:pPr>
      <w:r>
        <w:rPr>
          <w:rFonts w:hint="eastAsia"/>
        </w:rPr>
        <w:t>为避免任何技术的差错或隐患可能造成的人身安全事故和经济损失，务必需认真做好技术准备工作。审查施工图纸是否完整、齐全，是否符合国家相关规范和满足本项目要求；审查设计图纸与施工现场实际情况及设备技术要求之间有无矛盾和错误。</w:t>
      </w:r>
    </w:p>
    <w:p>
      <w:pPr>
        <w:pStyle w:val="49"/>
        <w:spacing w:before="156" w:after="156"/>
      </w:pPr>
      <w:r>
        <w:rPr>
          <w:rFonts w:hint="eastAsia"/>
        </w:rPr>
        <w:t>为确保设备正常运行，安装前，应审查设计图纸与现场设备基础、预埋件位置、几何尺寸、坐标、标高等方面是否一致或控制在允许偏差范围内，发现问题及时进行校正。</w:t>
      </w:r>
    </w:p>
    <w:p>
      <w:pPr>
        <w:pStyle w:val="3"/>
      </w:pPr>
      <w:bookmarkStart w:id="195" w:name="_Toc122709945"/>
      <w:bookmarkStart w:id="196" w:name="_Toc122709357"/>
      <w:bookmarkStart w:id="197" w:name="_Toc122709434"/>
      <w:r>
        <w:rPr>
          <w:rFonts w:hint="eastAsia"/>
        </w:rPr>
        <w:t>施工</w:t>
      </w:r>
      <w:bookmarkEnd w:id="195"/>
      <w:bookmarkEnd w:id="196"/>
      <w:bookmarkEnd w:id="197"/>
    </w:p>
    <w:p>
      <w:pPr>
        <w:pStyle w:val="49"/>
        <w:spacing w:before="156" w:after="156"/>
      </w:pPr>
      <w:r>
        <w:rPr>
          <w:rFonts w:hint="eastAsia"/>
        </w:rPr>
        <w:t>配水方面：可调堰板密封面应严密，堰、堰板出水应均匀。堰板与基础的接触部位应严密、无渗漏；堰板的厚度应均匀一致，外形尺寸应对称并分布均匀；堰板安装应平整、垂直、牢固；堰的齿口接缝应严密；配气方面：曝气设备管路安装完毕后应吹扫干净，曝气设备的出气孔不应堵塞。微孔曝气设备应做清水养护及曝气试验，出气应均匀，无漏气现象；曝气设备的连接应紧密，管路安装应牢固、无泄漏。</w:t>
      </w:r>
    </w:p>
    <w:p>
      <w:pPr>
        <w:pStyle w:val="42"/>
        <w:ind w:firstLine="480"/>
      </w:pPr>
    </w:p>
    <w:p>
      <w:pPr>
        <w:pStyle w:val="2"/>
      </w:pPr>
      <w:bookmarkStart w:id="198" w:name="_Toc122709946"/>
      <w:bookmarkStart w:id="199" w:name="_Toc122709358"/>
      <w:bookmarkStart w:id="200" w:name="_Toc122709435"/>
      <w:r>
        <w:rPr>
          <w:rFonts w:hint="eastAsia"/>
        </w:rPr>
        <w:t>调试与验收</w:t>
      </w:r>
      <w:bookmarkEnd w:id="198"/>
      <w:bookmarkEnd w:id="199"/>
      <w:bookmarkEnd w:id="200"/>
    </w:p>
    <w:p>
      <w:pPr>
        <w:pStyle w:val="3"/>
        <w:numPr>
          <w:ilvl w:val="1"/>
          <w:numId w:val="22"/>
        </w:numPr>
      </w:pPr>
      <w:bookmarkStart w:id="201" w:name="_Toc122709947"/>
      <w:bookmarkStart w:id="202" w:name="_Toc122709359"/>
      <w:bookmarkStart w:id="203" w:name="_Toc122709436"/>
      <w:r>
        <w:t>调试</w:t>
      </w:r>
      <w:bookmarkEnd w:id="201"/>
      <w:bookmarkEnd w:id="202"/>
      <w:bookmarkEnd w:id="203"/>
    </w:p>
    <w:p>
      <w:pPr>
        <w:pStyle w:val="49"/>
        <w:numPr>
          <w:ilvl w:val="2"/>
          <w:numId w:val="23"/>
        </w:numPr>
        <w:spacing w:before="156" w:after="156"/>
        <w:ind w:left="0"/>
      </w:pPr>
      <w:r>
        <w:rPr>
          <w:rFonts w:hint="eastAsia"/>
        </w:rPr>
        <w:t>为了防止悬浮载体填料堆积、保证流化均匀及挂膜效果，悬浮载体宜分批次进行投加。根据悬浮载体总投加量，宜在1周内分批次投加完毕。</w:t>
      </w:r>
    </w:p>
    <w:p>
      <w:pPr>
        <w:pStyle w:val="3"/>
      </w:pPr>
      <w:bookmarkStart w:id="204" w:name="_Toc122709360"/>
      <w:bookmarkStart w:id="205" w:name="_Toc122709437"/>
      <w:bookmarkStart w:id="206" w:name="_Toc122709948"/>
      <w:r>
        <w:t>验收</w:t>
      </w:r>
      <w:bookmarkEnd w:id="204"/>
      <w:bookmarkEnd w:id="205"/>
      <w:bookmarkEnd w:id="206"/>
    </w:p>
    <w:p>
      <w:pPr>
        <w:pStyle w:val="49"/>
        <w:numPr>
          <w:ilvl w:val="2"/>
          <w:numId w:val="24"/>
        </w:numPr>
        <w:spacing w:before="156" w:after="156"/>
        <w:ind w:left="0"/>
      </w:pPr>
      <w:r>
        <w:rPr>
          <w:rFonts w:hint="eastAsia"/>
        </w:rPr>
        <w:t>施工过程的质量验收是以检验批的施工质量为基本验收单元，通过验收后留下完整的质量验收记录和资料，为工程项目竣工质量验收提供依据。</w:t>
      </w:r>
    </w:p>
    <w:p>
      <w:pPr>
        <w:pStyle w:val="49"/>
        <w:numPr>
          <w:ilvl w:val="2"/>
          <w:numId w:val="25"/>
        </w:numPr>
        <w:spacing w:before="156" w:after="156"/>
        <w:ind w:left="0"/>
      </w:pPr>
      <w:r>
        <w:rPr>
          <w:rFonts w:hint="eastAsia"/>
        </w:rPr>
        <w:t>配套管道和其他机电设备安装工程的验收应符合《给水排水管道工程施工及验收规范》GB</w:t>
      </w:r>
      <w:r>
        <w:t xml:space="preserve"> </w:t>
      </w:r>
      <w:r>
        <w:rPr>
          <w:rFonts w:hint="eastAsia"/>
        </w:rPr>
        <w:t>50268和《机械设备安装工程施工及验收通用规范》GB</w:t>
      </w:r>
      <w:r>
        <w:t xml:space="preserve"> </w:t>
      </w:r>
      <w:r>
        <w:rPr>
          <w:rFonts w:hint="eastAsia"/>
        </w:rPr>
        <w:t>50231的规定。</w:t>
      </w:r>
    </w:p>
    <w:p>
      <w:pPr>
        <w:pStyle w:val="49"/>
        <w:numPr>
          <w:ilvl w:val="0"/>
          <w:numId w:val="0"/>
        </w:numPr>
        <w:spacing w:before="156" w:after="156"/>
      </w:pPr>
      <w:r>
        <w:rPr>
          <w:rFonts w:hint="eastAsia"/>
          <w:b/>
          <w:bCs/>
        </w:rPr>
        <w:t>7</w:t>
      </w:r>
      <w:r>
        <w:rPr>
          <w:b/>
          <w:bCs/>
        </w:rPr>
        <w:t>.3.13</w:t>
      </w:r>
      <w:r>
        <w:t xml:space="preserve"> </w:t>
      </w:r>
      <w:r>
        <w:rPr>
          <w:rFonts w:hint="eastAsia"/>
        </w:rPr>
        <w:t>竣工验收资料和文件是工程项目竣工验收的重要依据，从施工开始就应完整地积累和保管，竣工验收时应经编目建档。验收依据主要有：上级主管部门批准的设计纲要、设计文件、施工图和说明书、设备技术说明书、招投标文件及工程合同、图纸会审记录、设计修改技术核定单、现行施工技术验收标准及规范、施工交底文件、质量检验记录和验收记录，以及施工单位提供的有关质量保证文件和技术资料等。</w:t>
      </w:r>
    </w:p>
    <w:p>
      <w:pPr>
        <w:pStyle w:val="49"/>
        <w:numPr>
          <w:ilvl w:val="0"/>
          <w:numId w:val="0"/>
        </w:numPr>
        <w:spacing w:before="156" w:after="156"/>
        <w:ind w:left="568"/>
      </w:pPr>
    </w:p>
    <w:p>
      <w:pPr>
        <w:pStyle w:val="2"/>
      </w:pPr>
      <w:bookmarkStart w:id="207" w:name="_Toc122709438"/>
      <w:bookmarkStart w:id="208" w:name="_Toc122709949"/>
      <w:bookmarkStart w:id="209" w:name="_Toc122709361"/>
      <w:r>
        <w:rPr>
          <w:rFonts w:hint="eastAsia"/>
        </w:rPr>
        <w:t>运行与维护</w:t>
      </w:r>
      <w:bookmarkEnd w:id="207"/>
      <w:bookmarkEnd w:id="208"/>
      <w:bookmarkEnd w:id="209"/>
    </w:p>
    <w:p>
      <w:pPr>
        <w:pStyle w:val="3"/>
        <w:numPr>
          <w:ilvl w:val="1"/>
          <w:numId w:val="26"/>
        </w:numPr>
      </w:pPr>
      <w:bookmarkStart w:id="210" w:name="_Toc122709950"/>
      <w:bookmarkStart w:id="211" w:name="_Toc122709439"/>
      <w:bookmarkStart w:id="212" w:name="_Toc122709362"/>
      <w:r>
        <w:rPr>
          <w:rFonts w:hint="eastAsia"/>
        </w:rPr>
        <w:t>运行</w:t>
      </w:r>
      <w:bookmarkEnd w:id="210"/>
      <w:bookmarkEnd w:id="211"/>
      <w:bookmarkEnd w:id="212"/>
    </w:p>
    <w:p>
      <w:pPr>
        <w:pStyle w:val="49"/>
        <w:numPr>
          <w:ilvl w:val="2"/>
          <w:numId w:val="27"/>
        </w:numPr>
        <w:spacing w:before="156" w:after="156"/>
        <w:ind w:left="0"/>
      </w:pPr>
      <w:r>
        <w:rPr>
          <w:rFonts w:hint="eastAsia"/>
        </w:rPr>
        <w:t>拦截筛网是保障</w:t>
      </w:r>
      <w:r>
        <w:t>MBBR</w:t>
      </w:r>
      <w:r>
        <w:rPr>
          <w:rFonts w:hint="eastAsia"/>
        </w:rPr>
        <w:t>工艺安全运行的关键，应防止拦截筛网磨损导致填料泄露的问题。悬浮载体使用H</w:t>
      </w:r>
      <w:r>
        <w:t>DPE</w:t>
      </w:r>
      <w:r>
        <w:rPr>
          <w:rFonts w:hint="eastAsia"/>
        </w:rPr>
        <w:t>进行制作，具有较长的使用寿命和强度，目前国内运行时间最长的MBBR工艺是无锡芦村污水处理厂已稳定运行14年，国外Lardal污水厂已稳定运行31年，均未出现悬浮载体的损坏和补投。</w:t>
      </w:r>
    </w:p>
    <w:p>
      <w:pPr>
        <w:pStyle w:val="49"/>
        <w:numPr>
          <w:ilvl w:val="2"/>
          <w:numId w:val="28"/>
        </w:numPr>
        <w:spacing w:before="156" w:after="156"/>
        <w:ind w:left="0"/>
      </w:pPr>
      <w:r>
        <w:rPr>
          <w:rFonts w:hint="eastAsia"/>
        </w:rPr>
        <w:t>液位差是反映筛网是否正常通水的参数，通过在线液位计和人工巡视相结合的方式关注生物池的液位是否上升。一般情况下，好氧区拦截筛网前后液位差应该在10</w:t>
      </w:r>
      <w:r>
        <w:t xml:space="preserve"> </w:t>
      </w:r>
      <w:r>
        <w:rPr>
          <w:rFonts w:hint="eastAsia"/>
        </w:rPr>
        <w:t>cm内；如水位上升超过设计水位一定值时（工艺型式不同，水位上升限值要求不同，各项目根据具体情况判定），应开启或加大填料拦截装置前的吹扫气量，找到问题症结所在，及时排除故障点。而当水位超过设计水位较多时（工艺型式不同，水位上升限值要求不同，各项目根据具体情况判定），应减少进水和内外回流，液位恢复正常并排除故障10分钟后再恢复正常生产。</w:t>
      </w:r>
    </w:p>
    <w:sectPr>
      <w:pgSz w:w="11906" w:h="16838"/>
      <w:pgMar w:top="1440" w:right="1800" w:bottom="1118" w:left="1800" w:header="851" w:footer="992" w:gutter="0"/>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Helv">
    <w:altName w:val="Segoe Print"/>
    <w:panose1 w:val="020B0604020202030204"/>
    <w:charset w:val="00"/>
    <w:family w:val="swiss"/>
    <w:pitch w:val="default"/>
    <w:sig w:usb0="00000000" w:usb1="00000000" w:usb2="00000000" w:usb3="00000000" w:csb0="00000001" w:csb1="00000000"/>
  </w:font>
  <w:font w:name="楷体_GB2312">
    <w:altName w:val="楷体"/>
    <w:panose1 w:val="02010609030101010101"/>
    <w:charset w:val="86"/>
    <w:family w:val="modern"/>
    <w:pitch w:val="default"/>
    <w:sig w:usb0="00000000" w:usb1="00000000" w:usb2="00000000" w:usb3="00000000" w:csb0="00040000" w:csb1="00000000"/>
  </w:font>
  <w:font w:name="Microsoft JhengHei">
    <w:panose1 w:val="020B0604030504040204"/>
    <w:charset w:val="88"/>
    <w:family w:val="swiss"/>
    <w:pitch w:val="default"/>
    <w:sig w:usb0="000002A7" w:usb1="28CF4400" w:usb2="00000016" w:usb3="00000000" w:csb0="00100009" w:csb1="00000000"/>
  </w:font>
  <w:font w:name="MS Gothic">
    <w:panose1 w:val="020B0609070205080204"/>
    <w:charset w:val="80"/>
    <w:family w:val="modern"/>
    <w:pitch w:val="default"/>
    <w:sig w:usb0="E00002FF" w:usb1="6AC7FDFB" w:usb2="08000012" w:usb3="00000000" w:csb0="4002009F" w:csb1="DFD7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83742204"/>
      <w:docPartObj>
        <w:docPartGallery w:val="autotext"/>
      </w:docPartObj>
    </w:sdtPr>
    <w:sdtContent>
      <w:p>
        <w:pPr>
          <w:pStyle w:val="15"/>
          <w:jc w:val="center"/>
        </w:pPr>
        <w:r>
          <w:fldChar w:fldCharType="begin"/>
        </w:r>
        <w:r>
          <w:instrText xml:space="preserve">PAGE   \* MERGEFORMAT</w:instrText>
        </w:r>
        <w:r>
          <w:fldChar w:fldCharType="separate"/>
        </w:r>
        <w:r>
          <w:rPr>
            <w:lang w:val="zh-CN"/>
          </w:rPr>
          <w:t>1</w:t>
        </w:r>
        <w:r>
          <w:fldChar w:fldCharType="end"/>
        </w:r>
      </w:p>
    </w:sdtContent>
  </w:sdt>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93277002"/>
      <w:docPartObj>
        <w:docPartGallery w:val="autotext"/>
      </w:docPartObj>
    </w:sdtPr>
    <w:sdtContent>
      <w:p>
        <w:pPr>
          <w:pStyle w:val="15"/>
          <w:jc w:val="center"/>
        </w:pPr>
        <w:r>
          <w:fldChar w:fldCharType="begin"/>
        </w:r>
        <w:r>
          <w:instrText xml:space="preserve">PAGE   \* MERGEFORMAT</w:instrText>
        </w:r>
        <w:r>
          <w:fldChar w:fldCharType="separate"/>
        </w:r>
        <w:r>
          <w:rPr>
            <w:lang w:val="zh-CN"/>
          </w:rPr>
          <w:t>13</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541AEA"/>
    <w:multiLevelType w:val="multilevel"/>
    <w:tmpl w:val="0C541AEA"/>
    <w:lvl w:ilvl="0" w:tentative="0">
      <w:start w:val="1"/>
      <w:numFmt w:val="decimal"/>
      <w:pStyle w:val="2"/>
      <w:suff w:val="space"/>
      <w:lvlText w:val="%1"/>
      <w:lvlJc w:val="left"/>
      <w:pPr>
        <w:ind w:left="0" w:firstLine="0"/>
      </w:pPr>
      <w:rPr>
        <w:rFonts w:hint="eastAsia"/>
        <w:lang w:bidi="zh-CN"/>
      </w:rPr>
    </w:lvl>
    <w:lvl w:ilvl="1" w:tentative="0">
      <w:start w:val="0"/>
      <w:numFmt w:val="decimal"/>
      <w:pStyle w:val="3"/>
      <w:suff w:val="space"/>
      <w:lvlText w:val="%1.%2"/>
      <w:lvlJc w:val="left"/>
      <w:pPr>
        <w:ind w:left="0" w:firstLine="0"/>
      </w:pPr>
      <w:rPr>
        <w:rFonts w:hint="eastAsia"/>
      </w:rPr>
    </w:lvl>
    <w:lvl w:ilvl="2" w:tentative="0">
      <w:start w:val="1"/>
      <w:numFmt w:val="decimal"/>
      <w:pStyle w:val="49"/>
      <w:suff w:val="space"/>
      <w:lvlText w:val="%1.%2.%3"/>
      <w:lvlJc w:val="left"/>
      <w:pPr>
        <w:ind w:left="568" w:firstLine="0"/>
      </w:pPr>
      <w:rPr>
        <w:rFonts w:hint="default" w:ascii="Times New Roman" w:hAnsi="Times New Roman"/>
        <w:b/>
        <w:i w:val="0"/>
      </w:rPr>
    </w:lvl>
    <w:lvl w:ilvl="3" w:tentative="0">
      <w:start w:val="1"/>
      <w:numFmt w:val="decimal"/>
      <w:pStyle w:val="5"/>
      <w:suff w:val="space"/>
      <w:lvlText w:val="%1.%2.%3.%4"/>
      <w:lvlJc w:val="left"/>
      <w:pPr>
        <w:ind w:left="0" w:firstLine="0"/>
      </w:pPr>
      <w:rPr>
        <w:rFonts w:hint="eastAsia"/>
      </w:rPr>
    </w:lvl>
    <w:lvl w:ilvl="4" w:tentative="0">
      <w:start w:val="1"/>
      <w:numFmt w:val="none"/>
      <w:lvlRestart w:val="0"/>
      <w:pStyle w:val="6"/>
      <w:suff w:val="space"/>
      <w:lvlText w:val="表%1.%2.%3"/>
      <w:lvlJc w:val="center"/>
      <w:pPr>
        <w:ind w:left="0" w:firstLine="288"/>
      </w:pPr>
      <w:rPr>
        <w:rFonts w:hint="eastAsia"/>
        <w:lang w:val="en-US"/>
      </w:rPr>
    </w:lvl>
    <w:lvl w:ilvl="5" w:tentative="0">
      <w:start w:val="1"/>
      <w:numFmt w:val="none"/>
      <w:lvlRestart w:val="0"/>
      <w:pStyle w:val="7"/>
      <w:suff w:val="space"/>
      <w:lvlText w:val="图%1.%2.%3"/>
      <w:lvlJc w:val="center"/>
      <w:pPr>
        <w:ind w:left="0" w:firstLine="288"/>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
    <w:nsid w:val="18A774D2"/>
    <w:multiLevelType w:val="multilevel"/>
    <w:tmpl w:val="18A774D2"/>
    <w:lvl w:ilvl="0" w:tentative="0">
      <w:start w:val="1"/>
      <w:numFmt w:val="decimal"/>
      <w:pStyle w:val="76"/>
      <w:suff w:val="space"/>
      <w:lvlText w:val="表%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568F6B3C"/>
    <w:multiLevelType w:val="multilevel"/>
    <w:tmpl w:val="568F6B3C"/>
    <w:lvl w:ilvl="0" w:tentative="0">
      <w:start w:val="1"/>
      <w:numFmt w:val="decimal"/>
      <w:pStyle w:val="77"/>
      <w:isLgl/>
      <w:suff w:val="space"/>
      <w:lvlText w:val="图%1图"/>
      <w:lvlJc w:val="center"/>
      <w:pPr>
        <w:ind w:left="420" w:hanging="420"/>
      </w:pPr>
      <w:rPr>
        <w:rFonts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14:cntxtalts w14:val="0"/>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6CEA2025"/>
    <w:multiLevelType w:val="multilevel"/>
    <w:tmpl w:val="6CEA2025"/>
    <w:lvl w:ilvl="0" w:tentative="0">
      <w:start w:val="1"/>
      <w:numFmt w:val="none"/>
      <w:pStyle w:val="74"/>
      <w:suff w:val="nothing"/>
      <w:lvlText w:val="%1"/>
      <w:lvlJc w:val="left"/>
      <w:pPr>
        <w:ind w:left="0" w:firstLine="0"/>
      </w:pPr>
    </w:lvl>
    <w:lvl w:ilvl="1" w:tentative="0">
      <w:start w:val="1"/>
      <w:numFmt w:val="decimal"/>
      <w:pStyle w:val="72"/>
      <w:suff w:val="nothing"/>
      <w:lvlText w:val="%1%2　"/>
      <w:lvlJc w:val="left"/>
      <w:pPr>
        <w:ind w:left="0" w:firstLine="0"/>
      </w:pPr>
      <w:rPr>
        <w:rFonts w:hint="eastAsia" w:ascii="黑体" w:hAnsi="Times New Roman" w:eastAsia="黑体"/>
        <w:b w:val="0"/>
        <w:i w:val="0"/>
        <w:sz w:val="21"/>
      </w:rPr>
    </w:lvl>
    <w:lvl w:ilvl="2" w:tentative="0">
      <w:start w:val="1"/>
      <w:numFmt w:val="decimal"/>
      <w:pStyle w:val="73"/>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pStyle w:val="68"/>
      <w:suff w:val="nothing"/>
      <w:lvlText w:val="%1%2.%3.%4　"/>
      <w:lvlJc w:val="left"/>
      <w:pPr>
        <w:ind w:left="0" w:firstLine="0"/>
      </w:pPr>
      <w:rPr>
        <w:rFonts w:hint="eastAsia" w:ascii="黑体" w:hAnsi="Times New Roman" w:eastAsia="黑体"/>
        <w:b w:val="0"/>
        <w:i w:val="0"/>
        <w:sz w:val="21"/>
      </w:rPr>
    </w:lvl>
    <w:lvl w:ilvl="4" w:tentative="0">
      <w:start w:val="1"/>
      <w:numFmt w:val="decimal"/>
      <w:pStyle w:val="69"/>
      <w:suff w:val="nothing"/>
      <w:lvlText w:val="%1%2.%3.%4.%5　"/>
      <w:lvlJc w:val="left"/>
      <w:pPr>
        <w:ind w:left="0" w:firstLine="0"/>
      </w:pPr>
      <w:rPr>
        <w:rFonts w:hint="eastAsia" w:ascii="黑体" w:hAnsi="Times New Roman" w:eastAsia="黑体"/>
        <w:b w:val="0"/>
        <w:i w:val="0"/>
        <w:sz w:val="21"/>
      </w:rPr>
    </w:lvl>
    <w:lvl w:ilvl="5" w:tentative="0">
      <w:start w:val="1"/>
      <w:numFmt w:val="decimal"/>
      <w:pStyle w:val="70"/>
      <w:suff w:val="nothing"/>
      <w:lvlText w:val="%1%2.%3.%4.%5.%6　"/>
      <w:lvlJc w:val="left"/>
      <w:pPr>
        <w:ind w:left="0" w:firstLine="0"/>
      </w:pPr>
      <w:rPr>
        <w:rFonts w:hint="eastAsia" w:ascii="黑体" w:hAnsi="Times New Roman" w:eastAsia="黑体"/>
        <w:b w:val="0"/>
        <w:i w:val="0"/>
        <w:sz w:val="21"/>
      </w:rPr>
    </w:lvl>
    <w:lvl w:ilvl="6" w:tentative="0">
      <w:start w:val="1"/>
      <w:numFmt w:val="decimal"/>
      <w:pStyle w:val="71"/>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lvl>
    <w:lvl w:ilvl="8" w:tentative="0">
      <w:start w:val="1"/>
      <w:numFmt w:val="decimal"/>
      <w:lvlText w:val="%1.%2.%3.%4.%5.%6.%7.%8.%9"/>
      <w:lvlJc w:val="left"/>
      <w:pPr>
        <w:tabs>
          <w:tab w:val="left" w:pos="4777"/>
        </w:tabs>
        <w:ind w:left="4677" w:hanging="1700"/>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2"/>
    </w:lvlOverride>
    <w:lvlOverride w:ilvl="2">
      <w:startOverride w:val="1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3"/>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4"/>
    </w:lvlOverride>
    <w:lvlOverride w:ilvl="1">
      <w:startOverride w:val="2"/>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4"/>
    </w:lvlOverride>
    <w:lvlOverride w:ilvl="1">
      <w:startOverride w:val="2"/>
    </w:lvlOverride>
    <w:lvlOverride w:ilvl="2">
      <w:startOverride w:val="1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4"/>
    </w:lvlOverride>
    <w:lvlOverride w:ilvl="1">
      <w:startOverride w:val="3"/>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5"/>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6"/>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7"/>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7"/>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7"/>
    </w:lvlOverride>
    <w:lvlOverride w:ilvl="1">
      <w:startOverride w:val="3"/>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8"/>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8"/>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0"/>
  <w:drawingGridHorizontalSpacing w:val="105"/>
  <w:drawingGridVerticalSpacing w:val="156"/>
  <w:displayHorizontalDrawingGridEvery w:val="2"/>
  <w:displayVerticalDrawingGridEvery w:val="2"/>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UxNjY1YWU0Y2M4ZDU0NmZmMGY0ZDRhZTU4ZmUyNmEifQ=="/>
  </w:docVars>
  <w:rsids>
    <w:rsidRoot w:val="00172A27"/>
    <w:rsid w:val="00000160"/>
    <w:rsid w:val="0000029E"/>
    <w:rsid w:val="00000B2D"/>
    <w:rsid w:val="000019D6"/>
    <w:rsid w:val="00002FBB"/>
    <w:rsid w:val="000035BF"/>
    <w:rsid w:val="000040A4"/>
    <w:rsid w:val="0000420A"/>
    <w:rsid w:val="00006FFE"/>
    <w:rsid w:val="00007028"/>
    <w:rsid w:val="0000766B"/>
    <w:rsid w:val="0001059F"/>
    <w:rsid w:val="00010BD3"/>
    <w:rsid w:val="00010D1B"/>
    <w:rsid w:val="00011078"/>
    <w:rsid w:val="000117CB"/>
    <w:rsid w:val="00011E12"/>
    <w:rsid w:val="00012A8E"/>
    <w:rsid w:val="0001346E"/>
    <w:rsid w:val="00013CA6"/>
    <w:rsid w:val="00013E10"/>
    <w:rsid w:val="00014751"/>
    <w:rsid w:val="00016649"/>
    <w:rsid w:val="00016988"/>
    <w:rsid w:val="0001747C"/>
    <w:rsid w:val="000204F0"/>
    <w:rsid w:val="0002097F"/>
    <w:rsid w:val="00020F9B"/>
    <w:rsid w:val="0002405D"/>
    <w:rsid w:val="00024EDA"/>
    <w:rsid w:val="0002533F"/>
    <w:rsid w:val="00027982"/>
    <w:rsid w:val="000313F9"/>
    <w:rsid w:val="00031C90"/>
    <w:rsid w:val="00031DE0"/>
    <w:rsid w:val="00031F9B"/>
    <w:rsid w:val="00033E3F"/>
    <w:rsid w:val="00034997"/>
    <w:rsid w:val="0003590D"/>
    <w:rsid w:val="00041D3A"/>
    <w:rsid w:val="00045479"/>
    <w:rsid w:val="00045722"/>
    <w:rsid w:val="00050F75"/>
    <w:rsid w:val="00051834"/>
    <w:rsid w:val="00051845"/>
    <w:rsid w:val="000519F9"/>
    <w:rsid w:val="00052F75"/>
    <w:rsid w:val="00053898"/>
    <w:rsid w:val="00053D0D"/>
    <w:rsid w:val="000548BD"/>
    <w:rsid w:val="00054C5F"/>
    <w:rsid w:val="0005537C"/>
    <w:rsid w:val="00057615"/>
    <w:rsid w:val="00060106"/>
    <w:rsid w:val="0006036D"/>
    <w:rsid w:val="000652AC"/>
    <w:rsid w:val="00065E35"/>
    <w:rsid w:val="000663AB"/>
    <w:rsid w:val="00066A29"/>
    <w:rsid w:val="00066F76"/>
    <w:rsid w:val="00067379"/>
    <w:rsid w:val="000701BA"/>
    <w:rsid w:val="000718E9"/>
    <w:rsid w:val="00071E46"/>
    <w:rsid w:val="00073FB7"/>
    <w:rsid w:val="00074135"/>
    <w:rsid w:val="0007525B"/>
    <w:rsid w:val="00075601"/>
    <w:rsid w:val="00075FFF"/>
    <w:rsid w:val="00076932"/>
    <w:rsid w:val="00076EAC"/>
    <w:rsid w:val="00080457"/>
    <w:rsid w:val="00080FBD"/>
    <w:rsid w:val="00081039"/>
    <w:rsid w:val="00081E8B"/>
    <w:rsid w:val="0008377A"/>
    <w:rsid w:val="00084D69"/>
    <w:rsid w:val="00085778"/>
    <w:rsid w:val="00085D6C"/>
    <w:rsid w:val="0008723F"/>
    <w:rsid w:val="00091404"/>
    <w:rsid w:val="000918FF"/>
    <w:rsid w:val="00093260"/>
    <w:rsid w:val="00093AA0"/>
    <w:rsid w:val="00093F4F"/>
    <w:rsid w:val="00097E58"/>
    <w:rsid w:val="000A07BB"/>
    <w:rsid w:val="000A34D6"/>
    <w:rsid w:val="000A3706"/>
    <w:rsid w:val="000A38B0"/>
    <w:rsid w:val="000A4AE4"/>
    <w:rsid w:val="000A4BCE"/>
    <w:rsid w:val="000A4F0B"/>
    <w:rsid w:val="000A6B4A"/>
    <w:rsid w:val="000A7A97"/>
    <w:rsid w:val="000B0DD5"/>
    <w:rsid w:val="000B1132"/>
    <w:rsid w:val="000B1C8E"/>
    <w:rsid w:val="000B35CD"/>
    <w:rsid w:val="000B3BD1"/>
    <w:rsid w:val="000C1012"/>
    <w:rsid w:val="000C2A2F"/>
    <w:rsid w:val="000C419D"/>
    <w:rsid w:val="000C451E"/>
    <w:rsid w:val="000C651F"/>
    <w:rsid w:val="000D15B1"/>
    <w:rsid w:val="000D2292"/>
    <w:rsid w:val="000D236F"/>
    <w:rsid w:val="000D2806"/>
    <w:rsid w:val="000D2D29"/>
    <w:rsid w:val="000D5326"/>
    <w:rsid w:val="000D5D72"/>
    <w:rsid w:val="000D7E21"/>
    <w:rsid w:val="000E1A49"/>
    <w:rsid w:val="000E233D"/>
    <w:rsid w:val="000E29C6"/>
    <w:rsid w:val="000E4AE3"/>
    <w:rsid w:val="000E4FDE"/>
    <w:rsid w:val="000E67AC"/>
    <w:rsid w:val="000E7796"/>
    <w:rsid w:val="000F1542"/>
    <w:rsid w:val="000F3E9B"/>
    <w:rsid w:val="000F440E"/>
    <w:rsid w:val="000F49EE"/>
    <w:rsid w:val="000F51BD"/>
    <w:rsid w:val="000F522F"/>
    <w:rsid w:val="000F5996"/>
    <w:rsid w:val="000F73CF"/>
    <w:rsid w:val="001003F1"/>
    <w:rsid w:val="00100F83"/>
    <w:rsid w:val="00102816"/>
    <w:rsid w:val="00103831"/>
    <w:rsid w:val="00103A25"/>
    <w:rsid w:val="00106BA2"/>
    <w:rsid w:val="0010722A"/>
    <w:rsid w:val="0010772D"/>
    <w:rsid w:val="00110420"/>
    <w:rsid w:val="001104B0"/>
    <w:rsid w:val="00111552"/>
    <w:rsid w:val="00111922"/>
    <w:rsid w:val="001119E4"/>
    <w:rsid w:val="00111BA0"/>
    <w:rsid w:val="00112E6F"/>
    <w:rsid w:val="001154BA"/>
    <w:rsid w:val="001158F9"/>
    <w:rsid w:val="00115F61"/>
    <w:rsid w:val="00117EDD"/>
    <w:rsid w:val="001210DB"/>
    <w:rsid w:val="00121C62"/>
    <w:rsid w:val="001221B6"/>
    <w:rsid w:val="0012289B"/>
    <w:rsid w:val="00122E04"/>
    <w:rsid w:val="00123338"/>
    <w:rsid w:val="001258BC"/>
    <w:rsid w:val="00125FEC"/>
    <w:rsid w:val="00126B52"/>
    <w:rsid w:val="00127D88"/>
    <w:rsid w:val="00130794"/>
    <w:rsid w:val="00130D8A"/>
    <w:rsid w:val="00130E29"/>
    <w:rsid w:val="001319F5"/>
    <w:rsid w:val="00131BD4"/>
    <w:rsid w:val="00131E03"/>
    <w:rsid w:val="00132660"/>
    <w:rsid w:val="00136869"/>
    <w:rsid w:val="001370FE"/>
    <w:rsid w:val="001378E7"/>
    <w:rsid w:val="0014089F"/>
    <w:rsid w:val="00141288"/>
    <w:rsid w:val="00142B0B"/>
    <w:rsid w:val="001443C1"/>
    <w:rsid w:val="001447E0"/>
    <w:rsid w:val="00146244"/>
    <w:rsid w:val="0014707C"/>
    <w:rsid w:val="00147900"/>
    <w:rsid w:val="00151DF1"/>
    <w:rsid w:val="001528B3"/>
    <w:rsid w:val="00152CED"/>
    <w:rsid w:val="00152D70"/>
    <w:rsid w:val="00153510"/>
    <w:rsid w:val="001556A0"/>
    <w:rsid w:val="00155D90"/>
    <w:rsid w:val="00156580"/>
    <w:rsid w:val="001575D1"/>
    <w:rsid w:val="00157C5B"/>
    <w:rsid w:val="001628F2"/>
    <w:rsid w:val="00164BB4"/>
    <w:rsid w:val="00165494"/>
    <w:rsid w:val="00165C9F"/>
    <w:rsid w:val="00165FD3"/>
    <w:rsid w:val="00167AB3"/>
    <w:rsid w:val="00170C4B"/>
    <w:rsid w:val="00171394"/>
    <w:rsid w:val="00172087"/>
    <w:rsid w:val="001727D8"/>
    <w:rsid w:val="001729D0"/>
    <w:rsid w:val="00172A27"/>
    <w:rsid w:val="00172FA6"/>
    <w:rsid w:val="001745DE"/>
    <w:rsid w:val="001746D0"/>
    <w:rsid w:val="0017673B"/>
    <w:rsid w:val="00177046"/>
    <w:rsid w:val="00177EA4"/>
    <w:rsid w:val="00180E3F"/>
    <w:rsid w:val="001817B0"/>
    <w:rsid w:val="0018255B"/>
    <w:rsid w:val="00182951"/>
    <w:rsid w:val="001832E2"/>
    <w:rsid w:val="001854BE"/>
    <w:rsid w:val="001856B5"/>
    <w:rsid w:val="00185B75"/>
    <w:rsid w:val="00185C49"/>
    <w:rsid w:val="001867B7"/>
    <w:rsid w:val="0018688C"/>
    <w:rsid w:val="00186B91"/>
    <w:rsid w:val="00186D03"/>
    <w:rsid w:val="00187719"/>
    <w:rsid w:val="00190C9E"/>
    <w:rsid w:val="001916A0"/>
    <w:rsid w:val="00192DCD"/>
    <w:rsid w:val="00194811"/>
    <w:rsid w:val="00196CEA"/>
    <w:rsid w:val="0019714E"/>
    <w:rsid w:val="00197785"/>
    <w:rsid w:val="00197D2C"/>
    <w:rsid w:val="001A0B88"/>
    <w:rsid w:val="001A21E6"/>
    <w:rsid w:val="001A3245"/>
    <w:rsid w:val="001A3D08"/>
    <w:rsid w:val="001A4B37"/>
    <w:rsid w:val="001A69D5"/>
    <w:rsid w:val="001A727D"/>
    <w:rsid w:val="001B0386"/>
    <w:rsid w:val="001B0405"/>
    <w:rsid w:val="001B0862"/>
    <w:rsid w:val="001B113D"/>
    <w:rsid w:val="001B1678"/>
    <w:rsid w:val="001B180E"/>
    <w:rsid w:val="001B23A5"/>
    <w:rsid w:val="001B2410"/>
    <w:rsid w:val="001B4F84"/>
    <w:rsid w:val="001B5AFD"/>
    <w:rsid w:val="001B718A"/>
    <w:rsid w:val="001B7811"/>
    <w:rsid w:val="001B7BC1"/>
    <w:rsid w:val="001C002D"/>
    <w:rsid w:val="001C25ED"/>
    <w:rsid w:val="001C3543"/>
    <w:rsid w:val="001C5A64"/>
    <w:rsid w:val="001C7BA7"/>
    <w:rsid w:val="001D03A0"/>
    <w:rsid w:val="001D1204"/>
    <w:rsid w:val="001D1E5F"/>
    <w:rsid w:val="001D1F92"/>
    <w:rsid w:val="001D291E"/>
    <w:rsid w:val="001D294E"/>
    <w:rsid w:val="001D5F8A"/>
    <w:rsid w:val="001D69F8"/>
    <w:rsid w:val="001D6EAA"/>
    <w:rsid w:val="001D7567"/>
    <w:rsid w:val="001D7B26"/>
    <w:rsid w:val="001E152A"/>
    <w:rsid w:val="001E47B4"/>
    <w:rsid w:val="001E67C3"/>
    <w:rsid w:val="001F12D4"/>
    <w:rsid w:val="001F42F0"/>
    <w:rsid w:val="001F52A7"/>
    <w:rsid w:val="001F67DE"/>
    <w:rsid w:val="001F7893"/>
    <w:rsid w:val="00200090"/>
    <w:rsid w:val="0020018C"/>
    <w:rsid w:val="002006EE"/>
    <w:rsid w:val="00200E0F"/>
    <w:rsid w:val="00201C0F"/>
    <w:rsid w:val="00201EC6"/>
    <w:rsid w:val="002023F9"/>
    <w:rsid w:val="00202C70"/>
    <w:rsid w:val="002032D3"/>
    <w:rsid w:val="00203593"/>
    <w:rsid w:val="00203D26"/>
    <w:rsid w:val="00204DE2"/>
    <w:rsid w:val="0020510E"/>
    <w:rsid w:val="00210224"/>
    <w:rsid w:val="002118C5"/>
    <w:rsid w:val="00212AC8"/>
    <w:rsid w:val="00213EC6"/>
    <w:rsid w:val="002175B9"/>
    <w:rsid w:val="0022023A"/>
    <w:rsid w:val="00220D45"/>
    <w:rsid w:val="0022215A"/>
    <w:rsid w:val="00222624"/>
    <w:rsid w:val="002256CD"/>
    <w:rsid w:val="00225BE6"/>
    <w:rsid w:val="0022739E"/>
    <w:rsid w:val="00230188"/>
    <w:rsid w:val="00230373"/>
    <w:rsid w:val="0023054E"/>
    <w:rsid w:val="00230F88"/>
    <w:rsid w:val="00231E5C"/>
    <w:rsid w:val="00232AEF"/>
    <w:rsid w:val="00234366"/>
    <w:rsid w:val="002357B3"/>
    <w:rsid w:val="002361CF"/>
    <w:rsid w:val="00237B90"/>
    <w:rsid w:val="00237BCF"/>
    <w:rsid w:val="002401DE"/>
    <w:rsid w:val="00240FD2"/>
    <w:rsid w:val="00241165"/>
    <w:rsid w:val="00241745"/>
    <w:rsid w:val="00241FCC"/>
    <w:rsid w:val="00244099"/>
    <w:rsid w:val="00244670"/>
    <w:rsid w:val="00244E4B"/>
    <w:rsid w:val="00247380"/>
    <w:rsid w:val="00252F21"/>
    <w:rsid w:val="00253672"/>
    <w:rsid w:val="0025397A"/>
    <w:rsid w:val="00255C35"/>
    <w:rsid w:val="00256D34"/>
    <w:rsid w:val="00256FC3"/>
    <w:rsid w:val="00261576"/>
    <w:rsid w:val="0026226B"/>
    <w:rsid w:val="00262CBD"/>
    <w:rsid w:val="00262F62"/>
    <w:rsid w:val="00263D29"/>
    <w:rsid w:val="00263E13"/>
    <w:rsid w:val="0026451A"/>
    <w:rsid w:val="00265FCB"/>
    <w:rsid w:val="002668D6"/>
    <w:rsid w:val="00266AA2"/>
    <w:rsid w:val="00266C57"/>
    <w:rsid w:val="00267ACE"/>
    <w:rsid w:val="002726C0"/>
    <w:rsid w:val="002726D1"/>
    <w:rsid w:val="00284CA2"/>
    <w:rsid w:val="00284DA1"/>
    <w:rsid w:val="00285A68"/>
    <w:rsid w:val="0028741E"/>
    <w:rsid w:val="00287932"/>
    <w:rsid w:val="00287D32"/>
    <w:rsid w:val="0029159D"/>
    <w:rsid w:val="0029403C"/>
    <w:rsid w:val="00294204"/>
    <w:rsid w:val="00295017"/>
    <w:rsid w:val="00295897"/>
    <w:rsid w:val="002967DB"/>
    <w:rsid w:val="002968DC"/>
    <w:rsid w:val="002A2339"/>
    <w:rsid w:val="002A3255"/>
    <w:rsid w:val="002A4A4D"/>
    <w:rsid w:val="002A6600"/>
    <w:rsid w:val="002B2B2D"/>
    <w:rsid w:val="002B30DF"/>
    <w:rsid w:val="002B3ED4"/>
    <w:rsid w:val="002B4FF6"/>
    <w:rsid w:val="002C03D5"/>
    <w:rsid w:val="002C08E9"/>
    <w:rsid w:val="002C1A90"/>
    <w:rsid w:val="002C1ADD"/>
    <w:rsid w:val="002C1AEF"/>
    <w:rsid w:val="002C1F83"/>
    <w:rsid w:val="002C228D"/>
    <w:rsid w:val="002C41D1"/>
    <w:rsid w:val="002C567A"/>
    <w:rsid w:val="002C6AA8"/>
    <w:rsid w:val="002C7C60"/>
    <w:rsid w:val="002D0A61"/>
    <w:rsid w:val="002D0F0A"/>
    <w:rsid w:val="002D133A"/>
    <w:rsid w:val="002D2B2D"/>
    <w:rsid w:val="002D5C01"/>
    <w:rsid w:val="002E04BA"/>
    <w:rsid w:val="002E08CC"/>
    <w:rsid w:val="002E0913"/>
    <w:rsid w:val="002E148B"/>
    <w:rsid w:val="002E18FB"/>
    <w:rsid w:val="002E21AB"/>
    <w:rsid w:val="002E43E7"/>
    <w:rsid w:val="002E5A4C"/>
    <w:rsid w:val="002E6D3B"/>
    <w:rsid w:val="002E72C8"/>
    <w:rsid w:val="002F0165"/>
    <w:rsid w:val="002F055E"/>
    <w:rsid w:val="002F1447"/>
    <w:rsid w:val="002F1A27"/>
    <w:rsid w:val="002F3E72"/>
    <w:rsid w:val="002F424A"/>
    <w:rsid w:val="002F4C13"/>
    <w:rsid w:val="002F6AE3"/>
    <w:rsid w:val="002F6B2A"/>
    <w:rsid w:val="002F75B9"/>
    <w:rsid w:val="002F7E7C"/>
    <w:rsid w:val="0030018B"/>
    <w:rsid w:val="00301DBC"/>
    <w:rsid w:val="003030E8"/>
    <w:rsid w:val="003031EF"/>
    <w:rsid w:val="003049F9"/>
    <w:rsid w:val="00304A05"/>
    <w:rsid w:val="00304CC8"/>
    <w:rsid w:val="00305073"/>
    <w:rsid w:val="0030577E"/>
    <w:rsid w:val="00307154"/>
    <w:rsid w:val="00307F82"/>
    <w:rsid w:val="003110D8"/>
    <w:rsid w:val="00311F82"/>
    <w:rsid w:val="00312C1F"/>
    <w:rsid w:val="00312FC2"/>
    <w:rsid w:val="0031398C"/>
    <w:rsid w:val="00315DBA"/>
    <w:rsid w:val="003177D0"/>
    <w:rsid w:val="00320076"/>
    <w:rsid w:val="00320332"/>
    <w:rsid w:val="003225DE"/>
    <w:rsid w:val="00322E46"/>
    <w:rsid w:val="003232E3"/>
    <w:rsid w:val="003250DE"/>
    <w:rsid w:val="003266D6"/>
    <w:rsid w:val="00326954"/>
    <w:rsid w:val="003270C1"/>
    <w:rsid w:val="00330E69"/>
    <w:rsid w:val="00332132"/>
    <w:rsid w:val="00333A7C"/>
    <w:rsid w:val="00334F7C"/>
    <w:rsid w:val="00335000"/>
    <w:rsid w:val="0033751F"/>
    <w:rsid w:val="00337DA9"/>
    <w:rsid w:val="00341586"/>
    <w:rsid w:val="00342370"/>
    <w:rsid w:val="00342971"/>
    <w:rsid w:val="00343B0D"/>
    <w:rsid w:val="00344072"/>
    <w:rsid w:val="003454A4"/>
    <w:rsid w:val="00345AF8"/>
    <w:rsid w:val="003470AB"/>
    <w:rsid w:val="00347F00"/>
    <w:rsid w:val="003503E4"/>
    <w:rsid w:val="00350CB4"/>
    <w:rsid w:val="00351738"/>
    <w:rsid w:val="00353674"/>
    <w:rsid w:val="00353B0F"/>
    <w:rsid w:val="00353D08"/>
    <w:rsid w:val="00355A14"/>
    <w:rsid w:val="00355E04"/>
    <w:rsid w:val="003561B6"/>
    <w:rsid w:val="00356393"/>
    <w:rsid w:val="0036011B"/>
    <w:rsid w:val="00361080"/>
    <w:rsid w:val="00361408"/>
    <w:rsid w:val="00362339"/>
    <w:rsid w:val="003628ED"/>
    <w:rsid w:val="003645AC"/>
    <w:rsid w:val="00365ED1"/>
    <w:rsid w:val="003660B0"/>
    <w:rsid w:val="0036612E"/>
    <w:rsid w:val="003666DC"/>
    <w:rsid w:val="00366F97"/>
    <w:rsid w:val="00367128"/>
    <w:rsid w:val="00367C12"/>
    <w:rsid w:val="0037171A"/>
    <w:rsid w:val="00371DD1"/>
    <w:rsid w:val="0037216B"/>
    <w:rsid w:val="003728AA"/>
    <w:rsid w:val="00372B29"/>
    <w:rsid w:val="00372C9C"/>
    <w:rsid w:val="003758DD"/>
    <w:rsid w:val="00380925"/>
    <w:rsid w:val="003823E6"/>
    <w:rsid w:val="003830FB"/>
    <w:rsid w:val="00383845"/>
    <w:rsid w:val="003841AD"/>
    <w:rsid w:val="00384310"/>
    <w:rsid w:val="0038474C"/>
    <w:rsid w:val="00386A85"/>
    <w:rsid w:val="00386CC3"/>
    <w:rsid w:val="00387B61"/>
    <w:rsid w:val="00387C62"/>
    <w:rsid w:val="003901F8"/>
    <w:rsid w:val="00390560"/>
    <w:rsid w:val="00397049"/>
    <w:rsid w:val="003972EB"/>
    <w:rsid w:val="00397DCA"/>
    <w:rsid w:val="003A0830"/>
    <w:rsid w:val="003A202A"/>
    <w:rsid w:val="003A23CE"/>
    <w:rsid w:val="003A30D1"/>
    <w:rsid w:val="003A5075"/>
    <w:rsid w:val="003A54DA"/>
    <w:rsid w:val="003A60A3"/>
    <w:rsid w:val="003A6A03"/>
    <w:rsid w:val="003A77F7"/>
    <w:rsid w:val="003A7A48"/>
    <w:rsid w:val="003A7F37"/>
    <w:rsid w:val="003B0273"/>
    <w:rsid w:val="003B063D"/>
    <w:rsid w:val="003B0BC7"/>
    <w:rsid w:val="003B1327"/>
    <w:rsid w:val="003B16D7"/>
    <w:rsid w:val="003B180D"/>
    <w:rsid w:val="003B1A12"/>
    <w:rsid w:val="003B2652"/>
    <w:rsid w:val="003B26DC"/>
    <w:rsid w:val="003B2A61"/>
    <w:rsid w:val="003B319C"/>
    <w:rsid w:val="003B5289"/>
    <w:rsid w:val="003B6C30"/>
    <w:rsid w:val="003C3003"/>
    <w:rsid w:val="003C312B"/>
    <w:rsid w:val="003C335A"/>
    <w:rsid w:val="003C337D"/>
    <w:rsid w:val="003C386F"/>
    <w:rsid w:val="003C43B2"/>
    <w:rsid w:val="003C4E36"/>
    <w:rsid w:val="003C6E61"/>
    <w:rsid w:val="003C6E65"/>
    <w:rsid w:val="003D00B9"/>
    <w:rsid w:val="003D146F"/>
    <w:rsid w:val="003D15B8"/>
    <w:rsid w:val="003D1A43"/>
    <w:rsid w:val="003D31AC"/>
    <w:rsid w:val="003D41F0"/>
    <w:rsid w:val="003D4DA7"/>
    <w:rsid w:val="003D573C"/>
    <w:rsid w:val="003D5F11"/>
    <w:rsid w:val="003D65C3"/>
    <w:rsid w:val="003D6FE2"/>
    <w:rsid w:val="003E1818"/>
    <w:rsid w:val="003E1FD6"/>
    <w:rsid w:val="003E2B22"/>
    <w:rsid w:val="003E2CB7"/>
    <w:rsid w:val="003E2DBF"/>
    <w:rsid w:val="003E4144"/>
    <w:rsid w:val="003E6564"/>
    <w:rsid w:val="003E67BD"/>
    <w:rsid w:val="003E746B"/>
    <w:rsid w:val="003E79B7"/>
    <w:rsid w:val="003F0D38"/>
    <w:rsid w:val="003F11BF"/>
    <w:rsid w:val="003F1E72"/>
    <w:rsid w:val="003F2554"/>
    <w:rsid w:val="003F2FA7"/>
    <w:rsid w:val="003F4BB5"/>
    <w:rsid w:val="003F4FA8"/>
    <w:rsid w:val="003F517F"/>
    <w:rsid w:val="004004C9"/>
    <w:rsid w:val="004006BD"/>
    <w:rsid w:val="00401F28"/>
    <w:rsid w:val="0040205A"/>
    <w:rsid w:val="00403C62"/>
    <w:rsid w:val="0040468A"/>
    <w:rsid w:val="0040478D"/>
    <w:rsid w:val="00404D45"/>
    <w:rsid w:val="00406586"/>
    <w:rsid w:val="004066F4"/>
    <w:rsid w:val="00406DB8"/>
    <w:rsid w:val="004103E5"/>
    <w:rsid w:val="00411BF7"/>
    <w:rsid w:val="00414232"/>
    <w:rsid w:val="00414F4E"/>
    <w:rsid w:val="0042078A"/>
    <w:rsid w:val="00420D53"/>
    <w:rsid w:val="00423777"/>
    <w:rsid w:val="00423797"/>
    <w:rsid w:val="00424772"/>
    <w:rsid w:val="00424CE4"/>
    <w:rsid w:val="004258B0"/>
    <w:rsid w:val="00426156"/>
    <w:rsid w:val="00426B55"/>
    <w:rsid w:val="00431535"/>
    <w:rsid w:val="0043259B"/>
    <w:rsid w:val="00432FFC"/>
    <w:rsid w:val="0043366B"/>
    <w:rsid w:val="00434DDB"/>
    <w:rsid w:val="00435852"/>
    <w:rsid w:val="004401BB"/>
    <w:rsid w:val="0044095B"/>
    <w:rsid w:val="00441C82"/>
    <w:rsid w:val="0044310E"/>
    <w:rsid w:val="004435C3"/>
    <w:rsid w:val="00443998"/>
    <w:rsid w:val="004462F7"/>
    <w:rsid w:val="004467E8"/>
    <w:rsid w:val="0044798C"/>
    <w:rsid w:val="0045133C"/>
    <w:rsid w:val="0045417A"/>
    <w:rsid w:val="004543BC"/>
    <w:rsid w:val="00454900"/>
    <w:rsid w:val="0045785E"/>
    <w:rsid w:val="00463336"/>
    <w:rsid w:val="004635F1"/>
    <w:rsid w:val="00463BFA"/>
    <w:rsid w:val="00465D9A"/>
    <w:rsid w:val="004660B3"/>
    <w:rsid w:val="00470E15"/>
    <w:rsid w:val="00472B43"/>
    <w:rsid w:val="00472CBA"/>
    <w:rsid w:val="00473C00"/>
    <w:rsid w:val="0047428C"/>
    <w:rsid w:val="004763F9"/>
    <w:rsid w:val="00481AD5"/>
    <w:rsid w:val="004849A0"/>
    <w:rsid w:val="00485EE9"/>
    <w:rsid w:val="00485FF1"/>
    <w:rsid w:val="004904AC"/>
    <w:rsid w:val="0049072A"/>
    <w:rsid w:val="00490753"/>
    <w:rsid w:val="00490D67"/>
    <w:rsid w:val="00492958"/>
    <w:rsid w:val="00494F30"/>
    <w:rsid w:val="00495175"/>
    <w:rsid w:val="00495324"/>
    <w:rsid w:val="00495527"/>
    <w:rsid w:val="00496605"/>
    <w:rsid w:val="00497C00"/>
    <w:rsid w:val="004A0186"/>
    <w:rsid w:val="004A0B46"/>
    <w:rsid w:val="004A1C6F"/>
    <w:rsid w:val="004A1E25"/>
    <w:rsid w:val="004A299E"/>
    <w:rsid w:val="004A394B"/>
    <w:rsid w:val="004A422E"/>
    <w:rsid w:val="004A45B7"/>
    <w:rsid w:val="004A4CF7"/>
    <w:rsid w:val="004A6A04"/>
    <w:rsid w:val="004A6C4D"/>
    <w:rsid w:val="004A7962"/>
    <w:rsid w:val="004B025E"/>
    <w:rsid w:val="004B0D79"/>
    <w:rsid w:val="004B0ED8"/>
    <w:rsid w:val="004B11D2"/>
    <w:rsid w:val="004B1641"/>
    <w:rsid w:val="004B1B44"/>
    <w:rsid w:val="004B44A6"/>
    <w:rsid w:val="004B4864"/>
    <w:rsid w:val="004B4FD2"/>
    <w:rsid w:val="004C1608"/>
    <w:rsid w:val="004C28CC"/>
    <w:rsid w:val="004C40C3"/>
    <w:rsid w:val="004C4A60"/>
    <w:rsid w:val="004C57FA"/>
    <w:rsid w:val="004C63FF"/>
    <w:rsid w:val="004C6A1B"/>
    <w:rsid w:val="004C6A6E"/>
    <w:rsid w:val="004C73CF"/>
    <w:rsid w:val="004D0D42"/>
    <w:rsid w:val="004D15DD"/>
    <w:rsid w:val="004D1F6F"/>
    <w:rsid w:val="004D2868"/>
    <w:rsid w:val="004D4781"/>
    <w:rsid w:val="004D6C5B"/>
    <w:rsid w:val="004E2EBF"/>
    <w:rsid w:val="004E4191"/>
    <w:rsid w:val="004E43D3"/>
    <w:rsid w:val="004E44A3"/>
    <w:rsid w:val="004F082D"/>
    <w:rsid w:val="004F2C68"/>
    <w:rsid w:val="004F3BAD"/>
    <w:rsid w:val="004F41AB"/>
    <w:rsid w:val="004F4B95"/>
    <w:rsid w:val="004F76EC"/>
    <w:rsid w:val="004F7A97"/>
    <w:rsid w:val="00500305"/>
    <w:rsid w:val="005016EB"/>
    <w:rsid w:val="00502229"/>
    <w:rsid w:val="005023AB"/>
    <w:rsid w:val="00502D4E"/>
    <w:rsid w:val="00502FA3"/>
    <w:rsid w:val="005033EC"/>
    <w:rsid w:val="00503A51"/>
    <w:rsid w:val="005059EF"/>
    <w:rsid w:val="00506889"/>
    <w:rsid w:val="005101AA"/>
    <w:rsid w:val="00511455"/>
    <w:rsid w:val="00511B5E"/>
    <w:rsid w:val="00512397"/>
    <w:rsid w:val="005144AE"/>
    <w:rsid w:val="00514D1A"/>
    <w:rsid w:val="00515080"/>
    <w:rsid w:val="00515989"/>
    <w:rsid w:val="00515A75"/>
    <w:rsid w:val="00515EE6"/>
    <w:rsid w:val="0052101D"/>
    <w:rsid w:val="005216F7"/>
    <w:rsid w:val="005228CD"/>
    <w:rsid w:val="00522FEB"/>
    <w:rsid w:val="00523A5C"/>
    <w:rsid w:val="00524D9F"/>
    <w:rsid w:val="0053168E"/>
    <w:rsid w:val="0053367B"/>
    <w:rsid w:val="00533F4C"/>
    <w:rsid w:val="00537B84"/>
    <w:rsid w:val="005414F4"/>
    <w:rsid w:val="005423F3"/>
    <w:rsid w:val="00542962"/>
    <w:rsid w:val="00543444"/>
    <w:rsid w:val="00543E35"/>
    <w:rsid w:val="005450C4"/>
    <w:rsid w:val="0054518C"/>
    <w:rsid w:val="00547E92"/>
    <w:rsid w:val="0055023A"/>
    <w:rsid w:val="00550F98"/>
    <w:rsid w:val="00554297"/>
    <w:rsid w:val="00554CF6"/>
    <w:rsid w:val="00554DA5"/>
    <w:rsid w:val="00555881"/>
    <w:rsid w:val="00555CC1"/>
    <w:rsid w:val="00562A23"/>
    <w:rsid w:val="00562D14"/>
    <w:rsid w:val="00563CA5"/>
    <w:rsid w:val="0056464D"/>
    <w:rsid w:val="00564C23"/>
    <w:rsid w:val="00566263"/>
    <w:rsid w:val="00571577"/>
    <w:rsid w:val="005721B1"/>
    <w:rsid w:val="00573238"/>
    <w:rsid w:val="00573B8F"/>
    <w:rsid w:val="00574C3D"/>
    <w:rsid w:val="00575A5F"/>
    <w:rsid w:val="0057617E"/>
    <w:rsid w:val="00577517"/>
    <w:rsid w:val="00580385"/>
    <w:rsid w:val="0058058D"/>
    <w:rsid w:val="00580D20"/>
    <w:rsid w:val="0058272A"/>
    <w:rsid w:val="00582843"/>
    <w:rsid w:val="0058360F"/>
    <w:rsid w:val="00583E4B"/>
    <w:rsid w:val="005842F2"/>
    <w:rsid w:val="005869C5"/>
    <w:rsid w:val="00590EBA"/>
    <w:rsid w:val="005933B5"/>
    <w:rsid w:val="00593789"/>
    <w:rsid w:val="00593E75"/>
    <w:rsid w:val="00595854"/>
    <w:rsid w:val="005960B6"/>
    <w:rsid w:val="00597A9E"/>
    <w:rsid w:val="005A0FEE"/>
    <w:rsid w:val="005A2ADE"/>
    <w:rsid w:val="005A4ED1"/>
    <w:rsid w:val="005A5291"/>
    <w:rsid w:val="005A54D9"/>
    <w:rsid w:val="005A79DA"/>
    <w:rsid w:val="005B06AD"/>
    <w:rsid w:val="005B08CE"/>
    <w:rsid w:val="005B10C6"/>
    <w:rsid w:val="005B1615"/>
    <w:rsid w:val="005B1F32"/>
    <w:rsid w:val="005B2F0E"/>
    <w:rsid w:val="005B2FB6"/>
    <w:rsid w:val="005B3DBE"/>
    <w:rsid w:val="005B419C"/>
    <w:rsid w:val="005B5745"/>
    <w:rsid w:val="005B69CC"/>
    <w:rsid w:val="005C0697"/>
    <w:rsid w:val="005C0DA9"/>
    <w:rsid w:val="005C1017"/>
    <w:rsid w:val="005C11D9"/>
    <w:rsid w:val="005C1F80"/>
    <w:rsid w:val="005C3014"/>
    <w:rsid w:val="005C3057"/>
    <w:rsid w:val="005C49EA"/>
    <w:rsid w:val="005C52F5"/>
    <w:rsid w:val="005C701D"/>
    <w:rsid w:val="005D10E5"/>
    <w:rsid w:val="005D1347"/>
    <w:rsid w:val="005D19B3"/>
    <w:rsid w:val="005D1FDD"/>
    <w:rsid w:val="005D52A3"/>
    <w:rsid w:val="005D551C"/>
    <w:rsid w:val="005D57EE"/>
    <w:rsid w:val="005D6830"/>
    <w:rsid w:val="005D7051"/>
    <w:rsid w:val="005E0AF6"/>
    <w:rsid w:val="005E0DF5"/>
    <w:rsid w:val="005E0F59"/>
    <w:rsid w:val="005E2BDB"/>
    <w:rsid w:val="005E2DED"/>
    <w:rsid w:val="005E3218"/>
    <w:rsid w:val="005E3C02"/>
    <w:rsid w:val="005E42D2"/>
    <w:rsid w:val="005E7B99"/>
    <w:rsid w:val="005F0E45"/>
    <w:rsid w:val="005F16D0"/>
    <w:rsid w:val="005F19AE"/>
    <w:rsid w:val="005F201D"/>
    <w:rsid w:val="005F46CE"/>
    <w:rsid w:val="005F4EBE"/>
    <w:rsid w:val="005F5CBE"/>
    <w:rsid w:val="005F5FE7"/>
    <w:rsid w:val="005F68D3"/>
    <w:rsid w:val="006000EC"/>
    <w:rsid w:val="0060123E"/>
    <w:rsid w:val="00601A28"/>
    <w:rsid w:val="0060422D"/>
    <w:rsid w:val="0060426A"/>
    <w:rsid w:val="006053B0"/>
    <w:rsid w:val="00605BEF"/>
    <w:rsid w:val="00605F17"/>
    <w:rsid w:val="00606003"/>
    <w:rsid w:val="00606EDD"/>
    <w:rsid w:val="00607565"/>
    <w:rsid w:val="006105F6"/>
    <w:rsid w:val="00610B00"/>
    <w:rsid w:val="0061155A"/>
    <w:rsid w:val="00612008"/>
    <w:rsid w:val="0061443E"/>
    <w:rsid w:val="00620056"/>
    <w:rsid w:val="006207CB"/>
    <w:rsid w:val="006209C3"/>
    <w:rsid w:val="0062294B"/>
    <w:rsid w:val="00625703"/>
    <w:rsid w:val="00625A89"/>
    <w:rsid w:val="006268E7"/>
    <w:rsid w:val="00630302"/>
    <w:rsid w:val="006314D6"/>
    <w:rsid w:val="00631A82"/>
    <w:rsid w:val="006336B2"/>
    <w:rsid w:val="006347F8"/>
    <w:rsid w:val="00634B5C"/>
    <w:rsid w:val="00636D4B"/>
    <w:rsid w:val="00637B42"/>
    <w:rsid w:val="00640CA6"/>
    <w:rsid w:val="00641B63"/>
    <w:rsid w:val="0064321E"/>
    <w:rsid w:val="00643CB6"/>
    <w:rsid w:val="006458DB"/>
    <w:rsid w:val="00646FAD"/>
    <w:rsid w:val="0064726B"/>
    <w:rsid w:val="006478D2"/>
    <w:rsid w:val="006502F1"/>
    <w:rsid w:val="00650615"/>
    <w:rsid w:val="0065063A"/>
    <w:rsid w:val="006518CE"/>
    <w:rsid w:val="00653B8A"/>
    <w:rsid w:val="00653FD2"/>
    <w:rsid w:val="00654807"/>
    <w:rsid w:val="00655772"/>
    <w:rsid w:val="00660001"/>
    <w:rsid w:val="006623A5"/>
    <w:rsid w:val="00662738"/>
    <w:rsid w:val="0066345B"/>
    <w:rsid w:val="00663723"/>
    <w:rsid w:val="00663E45"/>
    <w:rsid w:val="00663FBB"/>
    <w:rsid w:val="00664476"/>
    <w:rsid w:val="00665303"/>
    <w:rsid w:val="00665E9E"/>
    <w:rsid w:val="00667F43"/>
    <w:rsid w:val="0067382B"/>
    <w:rsid w:val="00674A1F"/>
    <w:rsid w:val="00675942"/>
    <w:rsid w:val="006762CC"/>
    <w:rsid w:val="00676786"/>
    <w:rsid w:val="00676CB0"/>
    <w:rsid w:val="00676EC3"/>
    <w:rsid w:val="00677060"/>
    <w:rsid w:val="0067728C"/>
    <w:rsid w:val="00677DE9"/>
    <w:rsid w:val="00682CBF"/>
    <w:rsid w:val="006845E7"/>
    <w:rsid w:val="0068732E"/>
    <w:rsid w:val="00690DEC"/>
    <w:rsid w:val="0069299F"/>
    <w:rsid w:val="00693904"/>
    <w:rsid w:val="00695BCA"/>
    <w:rsid w:val="00695C41"/>
    <w:rsid w:val="00696186"/>
    <w:rsid w:val="00696A4D"/>
    <w:rsid w:val="006A018F"/>
    <w:rsid w:val="006A0EDA"/>
    <w:rsid w:val="006A3822"/>
    <w:rsid w:val="006A5A4B"/>
    <w:rsid w:val="006A6A70"/>
    <w:rsid w:val="006A6F34"/>
    <w:rsid w:val="006A7C12"/>
    <w:rsid w:val="006B029D"/>
    <w:rsid w:val="006B110B"/>
    <w:rsid w:val="006B3BDB"/>
    <w:rsid w:val="006B3F41"/>
    <w:rsid w:val="006B4FA4"/>
    <w:rsid w:val="006B5684"/>
    <w:rsid w:val="006B56A4"/>
    <w:rsid w:val="006C1646"/>
    <w:rsid w:val="006C3008"/>
    <w:rsid w:val="006C3F06"/>
    <w:rsid w:val="006C4E2E"/>
    <w:rsid w:val="006C58C7"/>
    <w:rsid w:val="006D0A9D"/>
    <w:rsid w:val="006D1E9B"/>
    <w:rsid w:val="006D38DE"/>
    <w:rsid w:val="006D5420"/>
    <w:rsid w:val="006D57D3"/>
    <w:rsid w:val="006D6051"/>
    <w:rsid w:val="006D6BBE"/>
    <w:rsid w:val="006D6E35"/>
    <w:rsid w:val="006D732C"/>
    <w:rsid w:val="006D742B"/>
    <w:rsid w:val="006E045E"/>
    <w:rsid w:val="006E09B6"/>
    <w:rsid w:val="006E1C9B"/>
    <w:rsid w:val="006E26EF"/>
    <w:rsid w:val="006E3FCE"/>
    <w:rsid w:val="006E4077"/>
    <w:rsid w:val="006E47FF"/>
    <w:rsid w:val="006E5C43"/>
    <w:rsid w:val="006E7B58"/>
    <w:rsid w:val="006F0C24"/>
    <w:rsid w:val="006F7758"/>
    <w:rsid w:val="00701DEC"/>
    <w:rsid w:val="0070384A"/>
    <w:rsid w:val="00703D61"/>
    <w:rsid w:val="00703F22"/>
    <w:rsid w:val="0070499D"/>
    <w:rsid w:val="0070596D"/>
    <w:rsid w:val="00705BCB"/>
    <w:rsid w:val="0071231F"/>
    <w:rsid w:val="0071249F"/>
    <w:rsid w:val="00712DCF"/>
    <w:rsid w:val="00713E85"/>
    <w:rsid w:val="00714BE8"/>
    <w:rsid w:val="00716381"/>
    <w:rsid w:val="00720029"/>
    <w:rsid w:val="00720BA8"/>
    <w:rsid w:val="00721528"/>
    <w:rsid w:val="007239E1"/>
    <w:rsid w:val="00723AC0"/>
    <w:rsid w:val="007244EF"/>
    <w:rsid w:val="00724FA5"/>
    <w:rsid w:val="00725955"/>
    <w:rsid w:val="00726A92"/>
    <w:rsid w:val="00726F39"/>
    <w:rsid w:val="00727D93"/>
    <w:rsid w:val="00730B7B"/>
    <w:rsid w:val="00732836"/>
    <w:rsid w:val="00732CC4"/>
    <w:rsid w:val="0073378D"/>
    <w:rsid w:val="007337E3"/>
    <w:rsid w:val="00733DF6"/>
    <w:rsid w:val="007356B2"/>
    <w:rsid w:val="0073655F"/>
    <w:rsid w:val="007378E1"/>
    <w:rsid w:val="00737A25"/>
    <w:rsid w:val="00737D4B"/>
    <w:rsid w:val="0074091B"/>
    <w:rsid w:val="00742E47"/>
    <w:rsid w:val="00742F6A"/>
    <w:rsid w:val="00744B40"/>
    <w:rsid w:val="00745FDE"/>
    <w:rsid w:val="00746EC0"/>
    <w:rsid w:val="00746EDF"/>
    <w:rsid w:val="00747047"/>
    <w:rsid w:val="00747FAE"/>
    <w:rsid w:val="00750221"/>
    <w:rsid w:val="00751F1A"/>
    <w:rsid w:val="00753123"/>
    <w:rsid w:val="00753ED3"/>
    <w:rsid w:val="00753FAC"/>
    <w:rsid w:val="00754C16"/>
    <w:rsid w:val="007552B1"/>
    <w:rsid w:val="0075573E"/>
    <w:rsid w:val="00755763"/>
    <w:rsid w:val="00755FFF"/>
    <w:rsid w:val="007562D8"/>
    <w:rsid w:val="00757150"/>
    <w:rsid w:val="00760636"/>
    <w:rsid w:val="00760868"/>
    <w:rsid w:val="00761038"/>
    <w:rsid w:val="007618E2"/>
    <w:rsid w:val="00761ADB"/>
    <w:rsid w:val="0076283E"/>
    <w:rsid w:val="0076301A"/>
    <w:rsid w:val="00764D8D"/>
    <w:rsid w:val="007662C3"/>
    <w:rsid w:val="00767284"/>
    <w:rsid w:val="00767B97"/>
    <w:rsid w:val="00770820"/>
    <w:rsid w:val="00771582"/>
    <w:rsid w:val="00771905"/>
    <w:rsid w:val="007726F8"/>
    <w:rsid w:val="00772A48"/>
    <w:rsid w:val="00772CE4"/>
    <w:rsid w:val="007746AD"/>
    <w:rsid w:val="0077580C"/>
    <w:rsid w:val="00777320"/>
    <w:rsid w:val="007801FD"/>
    <w:rsid w:val="0078045B"/>
    <w:rsid w:val="00780535"/>
    <w:rsid w:val="007808ED"/>
    <w:rsid w:val="007828B1"/>
    <w:rsid w:val="00783A88"/>
    <w:rsid w:val="00785C68"/>
    <w:rsid w:val="00785DF9"/>
    <w:rsid w:val="007861C5"/>
    <w:rsid w:val="007863B3"/>
    <w:rsid w:val="00790321"/>
    <w:rsid w:val="0079183E"/>
    <w:rsid w:val="007929AA"/>
    <w:rsid w:val="007932A1"/>
    <w:rsid w:val="00793869"/>
    <w:rsid w:val="00794B36"/>
    <w:rsid w:val="0079508D"/>
    <w:rsid w:val="00796562"/>
    <w:rsid w:val="0079657E"/>
    <w:rsid w:val="007966BD"/>
    <w:rsid w:val="00796BA1"/>
    <w:rsid w:val="007A0882"/>
    <w:rsid w:val="007A4B68"/>
    <w:rsid w:val="007A5A7E"/>
    <w:rsid w:val="007A5D86"/>
    <w:rsid w:val="007A660E"/>
    <w:rsid w:val="007A6CE7"/>
    <w:rsid w:val="007A76B8"/>
    <w:rsid w:val="007A7A5B"/>
    <w:rsid w:val="007A7EDB"/>
    <w:rsid w:val="007B189B"/>
    <w:rsid w:val="007B3B1C"/>
    <w:rsid w:val="007B3CD7"/>
    <w:rsid w:val="007B49D5"/>
    <w:rsid w:val="007B529C"/>
    <w:rsid w:val="007B77E7"/>
    <w:rsid w:val="007C0521"/>
    <w:rsid w:val="007C08C2"/>
    <w:rsid w:val="007C1F40"/>
    <w:rsid w:val="007C222E"/>
    <w:rsid w:val="007C2964"/>
    <w:rsid w:val="007C4290"/>
    <w:rsid w:val="007C4486"/>
    <w:rsid w:val="007C579D"/>
    <w:rsid w:val="007C590F"/>
    <w:rsid w:val="007C631C"/>
    <w:rsid w:val="007C7DEC"/>
    <w:rsid w:val="007D00FC"/>
    <w:rsid w:val="007D1A37"/>
    <w:rsid w:val="007D3825"/>
    <w:rsid w:val="007D4147"/>
    <w:rsid w:val="007D5DEA"/>
    <w:rsid w:val="007D64F4"/>
    <w:rsid w:val="007D68C4"/>
    <w:rsid w:val="007D6C7A"/>
    <w:rsid w:val="007D6D32"/>
    <w:rsid w:val="007D7969"/>
    <w:rsid w:val="007E02E9"/>
    <w:rsid w:val="007E0656"/>
    <w:rsid w:val="007E3405"/>
    <w:rsid w:val="007E4F6D"/>
    <w:rsid w:val="007E5377"/>
    <w:rsid w:val="007E549C"/>
    <w:rsid w:val="007E6870"/>
    <w:rsid w:val="007F1B0B"/>
    <w:rsid w:val="007F1E85"/>
    <w:rsid w:val="007F2048"/>
    <w:rsid w:val="007F24DE"/>
    <w:rsid w:val="007F34E2"/>
    <w:rsid w:val="007F3F73"/>
    <w:rsid w:val="008006A5"/>
    <w:rsid w:val="00800BF8"/>
    <w:rsid w:val="008014BB"/>
    <w:rsid w:val="00801C7D"/>
    <w:rsid w:val="00801DB4"/>
    <w:rsid w:val="008023E5"/>
    <w:rsid w:val="008023F8"/>
    <w:rsid w:val="00805286"/>
    <w:rsid w:val="00805504"/>
    <w:rsid w:val="00805549"/>
    <w:rsid w:val="00805A7D"/>
    <w:rsid w:val="008074BF"/>
    <w:rsid w:val="008118C8"/>
    <w:rsid w:val="00811DD6"/>
    <w:rsid w:val="00812B8B"/>
    <w:rsid w:val="00812D97"/>
    <w:rsid w:val="0081306B"/>
    <w:rsid w:val="00814CA6"/>
    <w:rsid w:val="008161C9"/>
    <w:rsid w:val="00816376"/>
    <w:rsid w:val="00816B29"/>
    <w:rsid w:val="008170F0"/>
    <w:rsid w:val="008179EC"/>
    <w:rsid w:val="00820840"/>
    <w:rsid w:val="0082138C"/>
    <w:rsid w:val="00821406"/>
    <w:rsid w:val="00821A29"/>
    <w:rsid w:val="00821DD3"/>
    <w:rsid w:val="00824552"/>
    <w:rsid w:val="00824CEB"/>
    <w:rsid w:val="00824D62"/>
    <w:rsid w:val="008252F3"/>
    <w:rsid w:val="0082545B"/>
    <w:rsid w:val="00825D1D"/>
    <w:rsid w:val="008269CE"/>
    <w:rsid w:val="008305A7"/>
    <w:rsid w:val="0083110A"/>
    <w:rsid w:val="008323C5"/>
    <w:rsid w:val="0083244B"/>
    <w:rsid w:val="00833621"/>
    <w:rsid w:val="008355BB"/>
    <w:rsid w:val="0083622C"/>
    <w:rsid w:val="0083720B"/>
    <w:rsid w:val="008372F9"/>
    <w:rsid w:val="008373D8"/>
    <w:rsid w:val="00840DF7"/>
    <w:rsid w:val="008419F9"/>
    <w:rsid w:val="008422D1"/>
    <w:rsid w:val="0084304D"/>
    <w:rsid w:val="00844F93"/>
    <w:rsid w:val="00846029"/>
    <w:rsid w:val="00847E38"/>
    <w:rsid w:val="00850CF3"/>
    <w:rsid w:val="00852BAA"/>
    <w:rsid w:val="00853387"/>
    <w:rsid w:val="008545F3"/>
    <w:rsid w:val="00854B98"/>
    <w:rsid w:val="00854CE7"/>
    <w:rsid w:val="00855622"/>
    <w:rsid w:val="00855BE0"/>
    <w:rsid w:val="00857719"/>
    <w:rsid w:val="008614C7"/>
    <w:rsid w:val="00862874"/>
    <w:rsid w:val="00862D92"/>
    <w:rsid w:val="00864892"/>
    <w:rsid w:val="00864AEC"/>
    <w:rsid w:val="00865574"/>
    <w:rsid w:val="008660EC"/>
    <w:rsid w:val="00870358"/>
    <w:rsid w:val="00871447"/>
    <w:rsid w:val="00871851"/>
    <w:rsid w:val="0087295F"/>
    <w:rsid w:val="00872D1D"/>
    <w:rsid w:val="0087358C"/>
    <w:rsid w:val="0087401D"/>
    <w:rsid w:val="008748D1"/>
    <w:rsid w:val="0087531E"/>
    <w:rsid w:val="00875C50"/>
    <w:rsid w:val="00875FDA"/>
    <w:rsid w:val="0087632F"/>
    <w:rsid w:val="00876CCD"/>
    <w:rsid w:val="00880997"/>
    <w:rsid w:val="008817E0"/>
    <w:rsid w:val="008823A2"/>
    <w:rsid w:val="008823EB"/>
    <w:rsid w:val="008835F2"/>
    <w:rsid w:val="00884E90"/>
    <w:rsid w:val="0088596D"/>
    <w:rsid w:val="008859BD"/>
    <w:rsid w:val="008876F9"/>
    <w:rsid w:val="00887D80"/>
    <w:rsid w:val="00890239"/>
    <w:rsid w:val="008902A0"/>
    <w:rsid w:val="00890335"/>
    <w:rsid w:val="008905B4"/>
    <w:rsid w:val="0089078B"/>
    <w:rsid w:val="008907FE"/>
    <w:rsid w:val="00891F8F"/>
    <w:rsid w:val="0089217C"/>
    <w:rsid w:val="00892741"/>
    <w:rsid w:val="00893AC2"/>
    <w:rsid w:val="00893CED"/>
    <w:rsid w:val="00894D87"/>
    <w:rsid w:val="00895EAB"/>
    <w:rsid w:val="00896211"/>
    <w:rsid w:val="008A1F1C"/>
    <w:rsid w:val="008A28C5"/>
    <w:rsid w:val="008A4004"/>
    <w:rsid w:val="008A5701"/>
    <w:rsid w:val="008B0E10"/>
    <w:rsid w:val="008B1839"/>
    <w:rsid w:val="008B3670"/>
    <w:rsid w:val="008B3A83"/>
    <w:rsid w:val="008B3BC1"/>
    <w:rsid w:val="008B42BC"/>
    <w:rsid w:val="008B46A1"/>
    <w:rsid w:val="008B483F"/>
    <w:rsid w:val="008B4A39"/>
    <w:rsid w:val="008B4A6E"/>
    <w:rsid w:val="008B57FB"/>
    <w:rsid w:val="008B661E"/>
    <w:rsid w:val="008C2BB3"/>
    <w:rsid w:val="008C2EC8"/>
    <w:rsid w:val="008C2FCE"/>
    <w:rsid w:val="008C3886"/>
    <w:rsid w:val="008C3B4A"/>
    <w:rsid w:val="008C71BD"/>
    <w:rsid w:val="008C7406"/>
    <w:rsid w:val="008C75D5"/>
    <w:rsid w:val="008D0627"/>
    <w:rsid w:val="008D241C"/>
    <w:rsid w:val="008D2BEB"/>
    <w:rsid w:val="008D3491"/>
    <w:rsid w:val="008D39B4"/>
    <w:rsid w:val="008D3AE2"/>
    <w:rsid w:val="008D4C4C"/>
    <w:rsid w:val="008D7B01"/>
    <w:rsid w:val="008E0A26"/>
    <w:rsid w:val="008E0BDF"/>
    <w:rsid w:val="008E1341"/>
    <w:rsid w:val="008E1DF7"/>
    <w:rsid w:val="008E266B"/>
    <w:rsid w:val="008E3484"/>
    <w:rsid w:val="008E3AB0"/>
    <w:rsid w:val="008E3FB4"/>
    <w:rsid w:val="008E4B67"/>
    <w:rsid w:val="008E6956"/>
    <w:rsid w:val="008E753A"/>
    <w:rsid w:val="008F207A"/>
    <w:rsid w:val="008F37C0"/>
    <w:rsid w:val="008F6244"/>
    <w:rsid w:val="008F7B53"/>
    <w:rsid w:val="00900DF8"/>
    <w:rsid w:val="009012C6"/>
    <w:rsid w:val="00901745"/>
    <w:rsid w:val="00901CA3"/>
    <w:rsid w:val="00906D40"/>
    <w:rsid w:val="00906F1B"/>
    <w:rsid w:val="00907E2C"/>
    <w:rsid w:val="0091089D"/>
    <w:rsid w:val="009115CC"/>
    <w:rsid w:val="009116B2"/>
    <w:rsid w:val="00912C60"/>
    <w:rsid w:val="00913317"/>
    <w:rsid w:val="009144FE"/>
    <w:rsid w:val="0091495C"/>
    <w:rsid w:val="00915566"/>
    <w:rsid w:val="009155F8"/>
    <w:rsid w:val="00915F0F"/>
    <w:rsid w:val="00915F58"/>
    <w:rsid w:val="009205EA"/>
    <w:rsid w:val="00922DA1"/>
    <w:rsid w:val="00923122"/>
    <w:rsid w:val="00925D35"/>
    <w:rsid w:val="00927F39"/>
    <w:rsid w:val="00930136"/>
    <w:rsid w:val="00930CC4"/>
    <w:rsid w:val="00930FA1"/>
    <w:rsid w:val="00934053"/>
    <w:rsid w:val="00934B5D"/>
    <w:rsid w:val="009360F0"/>
    <w:rsid w:val="009409C0"/>
    <w:rsid w:val="00941973"/>
    <w:rsid w:val="00943046"/>
    <w:rsid w:val="0094375D"/>
    <w:rsid w:val="00943E5E"/>
    <w:rsid w:val="00943E90"/>
    <w:rsid w:val="00944361"/>
    <w:rsid w:val="0094743C"/>
    <w:rsid w:val="00947EC4"/>
    <w:rsid w:val="00950CEA"/>
    <w:rsid w:val="009512B0"/>
    <w:rsid w:val="00951583"/>
    <w:rsid w:val="009548B6"/>
    <w:rsid w:val="00956367"/>
    <w:rsid w:val="0096356A"/>
    <w:rsid w:val="009639CB"/>
    <w:rsid w:val="0096514D"/>
    <w:rsid w:val="00965697"/>
    <w:rsid w:val="00966A9B"/>
    <w:rsid w:val="00967854"/>
    <w:rsid w:val="0097016E"/>
    <w:rsid w:val="009706D9"/>
    <w:rsid w:val="009717C1"/>
    <w:rsid w:val="00971B03"/>
    <w:rsid w:val="00972658"/>
    <w:rsid w:val="0097322F"/>
    <w:rsid w:val="00973A32"/>
    <w:rsid w:val="00974078"/>
    <w:rsid w:val="0097436D"/>
    <w:rsid w:val="00975DBB"/>
    <w:rsid w:val="0097658D"/>
    <w:rsid w:val="009774A2"/>
    <w:rsid w:val="009811BB"/>
    <w:rsid w:val="00981A0C"/>
    <w:rsid w:val="00982F0F"/>
    <w:rsid w:val="0098614B"/>
    <w:rsid w:val="00986189"/>
    <w:rsid w:val="00990E16"/>
    <w:rsid w:val="0099128B"/>
    <w:rsid w:val="00991D48"/>
    <w:rsid w:val="009920D4"/>
    <w:rsid w:val="0099381D"/>
    <w:rsid w:val="0099386F"/>
    <w:rsid w:val="009938F3"/>
    <w:rsid w:val="00994283"/>
    <w:rsid w:val="009945B5"/>
    <w:rsid w:val="00995C13"/>
    <w:rsid w:val="009965A1"/>
    <w:rsid w:val="00997949"/>
    <w:rsid w:val="009A250E"/>
    <w:rsid w:val="009A2DB1"/>
    <w:rsid w:val="009A497E"/>
    <w:rsid w:val="009A5661"/>
    <w:rsid w:val="009A59AB"/>
    <w:rsid w:val="009A6D55"/>
    <w:rsid w:val="009A7857"/>
    <w:rsid w:val="009B3DEE"/>
    <w:rsid w:val="009B3E89"/>
    <w:rsid w:val="009B5480"/>
    <w:rsid w:val="009B54CC"/>
    <w:rsid w:val="009B6C69"/>
    <w:rsid w:val="009B7220"/>
    <w:rsid w:val="009C1475"/>
    <w:rsid w:val="009C2434"/>
    <w:rsid w:val="009C24DF"/>
    <w:rsid w:val="009C3558"/>
    <w:rsid w:val="009C4A9D"/>
    <w:rsid w:val="009C4C11"/>
    <w:rsid w:val="009C4E47"/>
    <w:rsid w:val="009C61FF"/>
    <w:rsid w:val="009C67B4"/>
    <w:rsid w:val="009C6D24"/>
    <w:rsid w:val="009C6F64"/>
    <w:rsid w:val="009C7B4A"/>
    <w:rsid w:val="009D0D67"/>
    <w:rsid w:val="009D0F11"/>
    <w:rsid w:val="009D1400"/>
    <w:rsid w:val="009D1C4A"/>
    <w:rsid w:val="009D2A02"/>
    <w:rsid w:val="009D30A0"/>
    <w:rsid w:val="009D3217"/>
    <w:rsid w:val="009D3D89"/>
    <w:rsid w:val="009D7C05"/>
    <w:rsid w:val="009E130E"/>
    <w:rsid w:val="009E1548"/>
    <w:rsid w:val="009E1F24"/>
    <w:rsid w:val="009E2B76"/>
    <w:rsid w:val="009E4754"/>
    <w:rsid w:val="009E520C"/>
    <w:rsid w:val="009E577F"/>
    <w:rsid w:val="009E641A"/>
    <w:rsid w:val="009E64E0"/>
    <w:rsid w:val="009E72A3"/>
    <w:rsid w:val="009F1808"/>
    <w:rsid w:val="009F1AC7"/>
    <w:rsid w:val="009F2010"/>
    <w:rsid w:val="009F31F2"/>
    <w:rsid w:val="009F3D97"/>
    <w:rsid w:val="009F6882"/>
    <w:rsid w:val="009F7B15"/>
    <w:rsid w:val="00A00B48"/>
    <w:rsid w:val="00A00D06"/>
    <w:rsid w:val="00A012F3"/>
    <w:rsid w:val="00A02266"/>
    <w:rsid w:val="00A03586"/>
    <w:rsid w:val="00A070EB"/>
    <w:rsid w:val="00A07837"/>
    <w:rsid w:val="00A102BD"/>
    <w:rsid w:val="00A102E0"/>
    <w:rsid w:val="00A10D3C"/>
    <w:rsid w:val="00A1186C"/>
    <w:rsid w:val="00A12620"/>
    <w:rsid w:val="00A157DF"/>
    <w:rsid w:val="00A158BF"/>
    <w:rsid w:val="00A15B5A"/>
    <w:rsid w:val="00A1617A"/>
    <w:rsid w:val="00A16C7F"/>
    <w:rsid w:val="00A16E93"/>
    <w:rsid w:val="00A17FF3"/>
    <w:rsid w:val="00A20B07"/>
    <w:rsid w:val="00A2478D"/>
    <w:rsid w:val="00A24F21"/>
    <w:rsid w:val="00A25304"/>
    <w:rsid w:val="00A255E8"/>
    <w:rsid w:val="00A256A6"/>
    <w:rsid w:val="00A26938"/>
    <w:rsid w:val="00A270DE"/>
    <w:rsid w:val="00A30025"/>
    <w:rsid w:val="00A31263"/>
    <w:rsid w:val="00A31A97"/>
    <w:rsid w:val="00A32A07"/>
    <w:rsid w:val="00A343A1"/>
    <w:rsid w:val="00A3484F"/>
    <w:rsid w:val="00A359A5"/>
    <w:rsid w:val="00A3605C"/>
    <w:rsid w:val="00A41DFB"/>
    <w:rsid w:val="00A42DD5"/>
    <w:rsid w:val="00A43FE7"/>
    <w:rsid w:val="00A44300"/>
    <w:rsid w:val="00A4445A"/>
    <w:rsid w:val="00A45BC4"/>
    <w:rsid w:val="00A46A3A"/>
    <w:rsid w:val="00A47E01"/>
    <w:rsid w:val="00A52970"/>
    <w:rsid w:val="00A53705"/>
    <w:rsid w:val="00A55FD2"/>
    <w:rsid w:val="00A57162"/>
    <w:rsid w:val="00A57948"/>
    <w:rsid w:val="00A6230D"/>
    <w:rsid w:val="00A65796"/>
    <w:rsid w:val="00A6729E"/>
    <w:rsid w:val="00A70673"/>
    <w:rsid w:val="00A70B1B"/>
    <w:rsid w:val="00A72FD2"/>
    <w:rsid w:val="00A74513"/>
    <w:rsid w:val="00A74C64"/>
    <w:rsid w:val="00A7628B"/>
    <w:rsid w:val="00A76E4F"/>
    <w:rsid w:val="00A773F0"/>
    <w:rsid w:val="00A80C7D"/>
    <w:rsid w:val="00A81E58"/>
    <w:rsid w:val="00A826C9"/>
    <w:rsid w:val="00A83115"/>
    <w:rsid w:val="00A83C69"/>
    <w:rsid w:val="00A841D3"/>
    <w:rsid w:val="00A85100"/>
    <w:rsid w:val="00A85386"/>
    <w:rsid w:val="00A864F1"/>
    <w:rsid w:val="00A9038C"/>
    <w:rsid w:val="00A944EA"/>
    <w:rsid w:val="00A9498F"/>
    <w:rsid w:val="00A9528A"/>
    <w:rsid w:val="00A96BD4"/>
    <w:rsid w:val="00A97411"/>
    <w:rsid w:val="00A977F4"/>
    <w:rsid w:val="00AA1837"/>
    <w:rsid w:val="00AA233C"/>
    <w:rsid w:val="00AA38D8"/>
    <w:rsid w:val="00AA66AA"/>
    <w:rsid w:val="00AA6A4F"/>
    <w:rsid w:val="00AA70EB"/>
    <w:rsid w:val="00AB491E"/>
    <w:rsid w:val="00AB67C0"/>
    <w:rsid w:val="00AB7F66"/>
    <w:rsid w:val="00AC02AB"/>
    <w:rsid w:val="00AC3AE5"/>
    <w:rsid w:val="00AC3B7E"/>
    <w:rsid w:val="00AC6762"/>
    <w:rsid w:val="00AD0671"/>
    <w:rsid w:val="00AD1219"/>
    <w:rsid w:val="00AD1571"/>
    <w:rsid w:val="00AD1695"/>
    <w:rsid w:val="00AD16E1"/>
    <w:rsid w:val="00AD1993"/>
    <w:rsid w:val="00AD2470"/>
    <w:rsid w:val="00AD2865"/>
    <w:rsid w:val="00AD3B85"/>
    <w:rsid w:val="00AD534F"/>
    <w:rsid w:val="00AD53DD"/>
    <w:rsid w:val="00AD54DE"/>
    <w:rsid w:val="00AD5A08"/>
    <w:rsid w:val="00AD7CAC"/>
    <w:rsid w:val="00AD7DF8"/>
    <w:rsid w:val="00AE07A4"/>
    <w:rsid w:val="00AE0D31"/>
    <w:rsid w:val="00AE143E"/>
    <w:rsid w:val="00AE3D37"/>
    <w:rsid w:val="00AE3FEF"/>
    <w:rsid w:val="00AE5355"/>
    <w:rsid w:val="00AE7671"/>
    <w:rsid w:val="00AF0619"/>
    <w:rsid w:val="00AF1164"/>
    <w:rsid w:val="00AF1EA1"/>
    <w:rsid w:val="00AF28D8"/>
    <w:rsid w:val="00AF2E27"/>
    <w:rsid w:val="00AF3C00"/>
    <w:rsid w:val="00AF4776"/>
    <w:rsid w:val="00AF59B2"/>
    <w:rsid w:val="00AF5A36"/>
    <w:rsid w:val="00AF6678"/>
    <w:rsid w:val="00B0060B"/>
    <w:rsid w:val="00B00D26"/>
    <w:rsid w:val="00B03A36"/>
    <w:rsid w:val="00B03EE5"/>
    <w:rsid w:val="00B06C9C"/>
    <w:rsid w:val="00B07AAE"/>
    <w:rsid w:val="00B115CD"/>
    <w:rsid w:val="00B11F81"/>
    <w:rsid w:val="00B14B5B"/>
    <w:rsid w:val="00B14DC2"/>
    <w:rsid w:val="00B176FC"/>
    <w:rsid w:val="00B24191"/>
    <w:rsid w:val="00B259AB"/>
    <w:rsid w:val="00B26221"/>
    <w:rsid w:val="00B272B7"/>
    <w:rsid w:val="00B27B7D"/>
    <w:rsid w:val="00B30C40"/>
    <w:rsid w:val="00B30FC1"/>
    <w:rsid w:val="00B31E00"/>
    <w:rsid w:val="00B31EE3"/>
    <w:rsid w:val="00B31FF9"/>
    <w:rsid w:val="00B32617"/>
    <w:rsid w:val="00B33712"/>
    <w:rsid w:val="00B34439"/>
    <w:rsid w:val="00B344FE"/>
    <w:rsid w:val="00B34E5A"/>
    <w:rsid w:val="00B365D8"/>
    <w:rsid w:val="00B36B96"/>
    <w:rsid w:val="00B36DA2"/>
    <w:rsid w:val="00B36EDE"/>
    <w:rsid w:val="00B36F0E"/>
    <w:rsid w:val="00B379E8"/>
    <w:rsid w:val="00B4028A"/>
    <w:rsid w:val="00B409BF"/>
    <w:rsid w:val="00B430FA"/>
    <w:rsid w:val="00B444AD"/>
    <w:rsid w:val="00B4657D"/>
    <w:rsid w:val="00B47229"/>
    <w:rsid w:val="00B478F4"/>
    <w:rsid w:val="00B47F84"/>
    <w:rsid w:val="00B51860"/>
    <w:rsid w:val="00B523B6"/>
    <w:rsid w:val="00B528F5"/>
    <w:rsid w:val="00B52CC0"/>
    <w:rsid w:val="00B53132"/>
    <w:rsid w:val="00B5349E"/>
    <w:rsid w:val="00B554E2"/>
    <w:rsid w:val="00B55F1B"/>
    <w:rsid w:val="00B563FD"/>
    <w:rsid w:val="00B564A8"/>
    <w:rsid w:val="00B5660B"/>
    <w:rsid w:val="00B57F30"/>
    <w:rsid w:val="00B62ECB"/>
    <w:rsid w:val="00B6324D"/>
    <w:rsid w:val="00B641F8"/>
    <w:rsid w:val="00B65095"/>
    <w:rsid w:val="00B655A7"/>
    <w:rsid w:val="00B658AF"/>
    <w:rsid w:val="00B66CA2"/>
    <w:rsid w:val="00B67152"/>
    <w:rsid w:val="00B67397"/>
    <w:rsid w:val="00B67C7E"/>
    <w:rsid w:val="00B702EA"/>
    <w:rsid w:val="00B70774"/>
    <w:rsid w:val="00B753D3"/>
    <w:rsid w:val="00B7679A"/>
    <w:rsid w:val="00B80EB3"/>
    <w:rsid w:val="00B814BA"/>
    <w:rsid w:val="00B81BBF"/>
    <w:rsid w:val="00B821B0"/>
    <w:rsid w:val="00B855BF"/>
    <w:rsid w:val="00B8643A"/>
    <w:rsid w:val="00B87090"/>
    <w:rsid w:val="00B877E8"/>
    <w:rsid w:val="00B9041D"/>
    <w:rsid w:val="00B90E26"/>
    <w:rsid w:val="00B90FE5"/>
    <w:rsid w:val="00B91DCB"/>
    <w:rsid w:val="00B91F0C"/>
    <w:rsid w:val="00B92581"/>
    <w:rsid w:val="00B931EB"/>
    <w:rsid w:val="00B936F4"/>
    <w:rsid w:val="00B93BC6"/>
    <w:rsid w:val="00B943CB"/>
    <w:rsid w:val="00B946ED"/>
    <w:rsid w:val="00B94D22"/>
    <w:rsid w:val="00B95012"/>
    <w:rsid w:val="00B960A2"/>
    <w:rsid w:val="00B97970"/>
    <w:rsid w:val="00BA0B80"/>
    <w:rsid w:val="00BA28B7"/>
    <w:rsid w:val="00BA2C21"/>
    <w:rsid w:val="00BA384A"/>
    <w:rsid w:val="00BA425D"/>
    <w:rsid w:val="00BA499E"/>
    <w:rsid w:val="00BA4E0F"/>
    <w:rsid w:val="00BA4E49"/>
    <w:rsid w:val="00BA5F70"/>
    <w:rsid w:val="00BA6691"/>
    <w:rsid w:val="00BA6951"/>
    <w:rsid w:val="00BA71CE"/>
    <w:rsid w:val="00BB04C1"/>
    <w:rsid w:val="00BB0F4D"/>
    <w:rsid w:val="00BB278C"/>
    <w:rsid w:val="00BB4C47"/>
    <w:rsid w:val="00BC04B9"/>
    <w:rsid w:val="00BC1891"/>
    <w:rsid w:val="00BC249A"/>
    <w:rsid w:val="00BC375E"/>
    <w:rsid w:val="00BC41FA"/>
    <w:rsid w:val="00BC479A"/>
    <w:rsid w:val="00BC486C"/>
    <w:rsid w:val="00BC5775"/>
    <w:rsid w:val="00BC5B82"/>
    <w:rsid w:val="00BC5F6D"/>
    <w:rsid w:val="00BC79AF"/>
    <w:rsid w:val="00BD2199"/>
    <w:rsid w:val="00BD26C5"/>
    <w:rsid w:val="00BD2F55"/>
    <w:rsid w:val="00BD3E48"/>
    <w:rsid w:val="00BD5189"/>
    <w:rsid w:val="00BD6CB6"/>
    <w:rsid w:val="00BE14D0"/>
    <w:rsid w:val="00BE2688"/>
    <w:rsid w:val="00BE3E49"/>
    <w:rsid w:val="00BE3F30"/>
    <w:rsid w:val="00BE5373"/>
    <w:rsid w:val="00BE66B7"/>
    <w:rsid w:val="00BF0BA0"/>
    <w:rsid w:val="00BF15F0"/>
    <w:rsid w:val="00BF22C2"/>
    <w:rsid w:val="00BF236C"/>
    <w:rsid w:val="00BF26DE"/>
    <w:rsid w:val="00BF3711"/>
    <w:rsid w:val="00BF3A19"/>
    <w:rsid w:val="00BF41D4"/>
    <w:rsid w:val="00BF7B1D"/>
    <w:rsid w:val="00C00005"/>
    <w:rsid w:val="00C003C1"/>
    <w:rsid w:val="00C0109D"/>
    <w:rsid w:val="00C010FC"/>
    <w:rsid w:val="00C012A1"/>
    <w:rsid w:val="00C01E84"/>
    <w:rsid w:val="00C02FD4"/>
    <w:rsid w:val="00C04716"/>
    <w:rsid w:val="00C06953"/>
    <w:rsid w:val="00C06F25"/>
    <w:rsid w:val="00C10F56"/>
    <w:rsid w:val="00C114B4"/>
    <w:rsid w:val="00C1199C"/>
    <w:rsid w:val="00C11B8E"/>
    <w:rsid w:val="00C1271D"/>
    <w:rsid w:val="00C12C3A"/>
    <w:rsid w:val="00C149C1"/>
    <w:rsid w:val="00C14B7F"/>
    <w:rsid w:val="00C15718"/>
    <w:rsid w:val="00C16346"/>
    <w:rsid w:val="00C1670E"/>
    <w:rsid w:val="00C179EF"/>
    <w:rsid w:val="00C17AC5"/>
    <w:rsid w:val="00C17E8C"/>
    <w:rsid w:val="00C2117C"/>
    <w:rsid w:val="00C21A6D"/>
    <w:rsid w:val="00C22CC0"/>
    <w:rsid w:val="00C23687"/>
    <w:rsid w:val="00C23CBF"/>
    <w:rsid w:val="00C23CD3"/>
    <w:rsid w:val="00C254B1"/>
    <w:rsid w:val="00C26294"/>
    <w:rsid w:val="00C26C8B"/>
    <w:rsid w:val="00C26D3C"/>
    <w:rsid w:val="00C306D9"/>
    <w:rsid w:val="00C34876"/>
    <w:rsid w:val="00C35A32"/>
    <w:rsid w:val="00C35C86"/>
    <w:rsid w:val="00C36B52"/>
    <w:rsid w:val="00C4129E"/>
    <w:rsid w:val="00C4134C"/>
    <w:rsid w:val="00C416FC"/>
    <w:rsid w:val="00C41AC1"/>
    <w:rsid w:val="00C41CA3"/>
    <w:rsid w:val="00C42A9A"/>
    <w:rsid w:val="00C438DB"/>
    <w:rsid w:val="00C43A30"/>
    <w:rsid w:val="00C4543A"/>
    <w:rsid w:val="00C4584F"/>
    <w:rsid w:val="00C458AF"/>
    <w:rsid w:val="00C47B32"/>
    <w:rsid w:val="00C507BF"/>
    <w:rsid w:val="00C508B7"/>
    <w:rsid w:val="00C51E21"/>
    <w:rsid w:val="00C53E87"/>
    <w:rsid w:val="00C54C12"/>
    <w:rsid w:val="00C54FEF"/>
    <w:rsid w:val="00C552A7"/>
    <w:rsid w:val="00C575A6"/>
    <w:rsid w:val="00C575A9"/>
    <w:rsid w:val="00C61A20"/>
    <w:rsid w:val="00C630B2"/>
    <w:rsid w:val="00C632F2"/>
    <w:rsid w:val="00C633DC"/>
    <w:rsid w:val="00C6344F"/>
    <w:rsid w:val="00C64B13"/>
    <w:rsid w:val="00C64DB3"/>
    <w:rsid w:val="00C6503B"/>
    <w:rsid w:val="00C652BD"/>
    <w:rsid w:val="00C70204"/>
    <w:rsid w:val="00C707B5"/>
    <w:rsid w:val="00C708C5"/>
    <w:rsid w:val="00C70B37"/>
    <w:rsid w:val="00C71F5D"/>
    <w:rsid w:val="00C71FEA"/>
    <w:rsid w:val="00C730B9"/>
    <w:rsid w:val="00C7315E"/>
    <w:rsid w:val="00C740D0"/>
    <w:rsid w:val="00C748EB"/>
    <w:rsid w:val="00C74E85"/>
    <w:rsid w:val="00C752C9"/>
    <w:rsid w:val="00C75F75"/>
    <w:rsid w:val="00C769B2"/>
    <w:rsid w:val="00C76A48"/>
    <w:rsid w:val="00C80018"/>
    <w:rsid w:val="00C80BE1"/>
    <w:rsid w:val="00C814D1"/>
    <w:rsid w:val="00C82565"/>
    <w:rsid w:val="00C82F91"/>
    <w:rsid w:val="00C83983"/>
    <w:rsid w:val="00C84AA4"/>
    <w:rsid w:val="00C8582C"/>
    <w:rsid w:val="00C85CD8"/>
    <w:rsid w:val="00C86F96"/>
    <w:rsid w:val="00C870AF"/>
    <w:rsid w:val="00C8723F"/>
    <w:rsid w:val="00C87782"/>
    <w:rsid w:val="00C90248"/>
    <w:rsid w:val="00C903AC"/>
    <w:rsid w:val="00C90D77"/>
    <w:rsid w:val="00C917E3"/>
    <w:rsid w:val="00C92CE9"/>
    <w:rsid w:val="00C93C96"/>
    <w:rsid w:val="00C960A7"/>
    <w:rsid w:val="00C965B6"/>
    <w:rsid w:val="00C975DA"/>
    <w:rsid w:val="00C97FBF"/>
    <w:rsid w:val="00CA1431"/>
    <w:rsid w:val="00CA1741"/>
    <w:rsid w:val="00CA1E4D"/>
    <w:rsid w:val="00CA7B48"/>
    <w:rsid w:val="00CB0702"/>
    <w:rsid w:val="00CB0D13"/>
    <w:rsid w:val="00CB1F76"/>
    <w:rsid w:val="00CB25A4"/>
    <w:rsid w:val="00CB493B"/>
    <w:rsid w:val="00CB5CC3"/>
    <w:rsid w:val="00CB670E"/>
    <w:rsid w:val="00CB7040"/>
    <w:rsid w:val="00CC3FB1"/>
    <w:rsid w:val="00CC4001"/>
    <w:rsid w:val="00CC45D0"/>
    <w:rsid w:val="00CC69E6"/>
    <w:rsid w:val="00CC6A52"/>
    <w:rsid w:val="00CC6EDA"/>
    <w:rsid w:val="00CC78BD"/>
    <w:rsid w:val="00CC7F31"/>
    <w:rsid w:val="00CD091E"/>
    <w:rsid w:val="00CD0EBE"/>
    <w:rsid w:val="00CD145F"/>
    <w:rsid w:val="00CD341D"/>
    <w:rsid w:val="00CD4368"/>
    <w:rsid w:val="00CD4442"/>
    <w:rsid w:val="00CD4CC0"/>
    <w:rsid w:val="00CD4D5A"/>
    <w:rsid w:val="00CD59A0"/>
    <w:rsid w:val="00CE00A9"/>
    <w:rsid w:val="00CE0713"/>
    <w:rsid w:val="00CE0803"/>
    <w:rsid w:val="00CE30AF"/>
    <w:rsid w:val="00CE311D"/>
    <w:rsid w:val="00CE36C1"/>
    <w:rsid w:val="00CE3716"/>
    <w:rsid w:val="00CE3C18"/>
    <w:rsid w:val="00CE4431"/>
    <w:rsid w:val="00CE466F"/>
    <w:rsid w:val="00CE4F66"/>
    <w:rsid w:val="00CE619F"/>
    <w:rsid w:val="00CE6451"/>
    <w:rsid w:val="00CE7761"/>
    <w:rsid w:val="00CE78AC"/>
    <w:rsid w:val="00CF0085"/>
    <w:rsid w:val="00CF021B"/>
    <w:rsid w:val="00CF3788"/>
    <w:rsid w:val="00CF3991"/>
    <w:rsid w:val="00CF3C1B"/>
    <w:rsid w:val="00CF534C"/>
    <w:rsid w:val="00CF5C77"/>
    <w:rsid w:val="00CF6021"/>
    <w:rsid w:val="00CF77EE"/>
    <w:rsid w:val="00D00B7E"/>
    <w:rsid w:val="00D00FE8"/>
    <w:rsid w:val="00D01B72"/>
    <w:rsid w:val="00D03157"/>
    <w:rsid w:val="00D034F7"/>
    <w:rsid w:val="00D03BCE"/>
    <w:rsid w:val="00D05703"/>
    <w:rsid w:val="00D0689F"/>
    <w:rsid w:val="00D06EC5"/>
    <w:rsid w:val="00D070DA"/>
    <w:rsid w:val="00D10026"/>
    <w:rsid w:val="00D10B3D"/>
    <w:rsid w:val="00D11D6B"/>
    <w:rsid w:val="00D11F4D"/>
    <w:rsid w:val="00D14857"/>
    <w:rsid w:val="00D156ED"/>
    <w:rsid w:val="00D15B6A"/>
    <w:rsid w:val="00D15DF3"/>
    <w:rsid w:val="00D17AFE"/>
    <w:rsid w:val="00D20404"/>
    <w:rsid w:val="00D205E8"/>
    <w:rsid w:val="00D20927"/>
    <w:rsid w:val="00D20DD7"/>
    <w:rsid w:val="00D22580"/>
    <w:rsid w:val="00D227E4"/>
    <w:rsid w:val="00D22DEA"/>
    <w:rsid w:val="00D25771"/>
    <w:rsid w:val="00D25C61"/>
    <w:rsid w:val="00D266C5"/>
    <w:rsid w:val="00D268F6"/>
    <w:rsid w:val="00D26DFD"/>
    <w:rsid w:val="00D3054C"/>
    <w:rsid w:val="00D3056A"/>
    <w:rsid w:val="00D310EE"/>
    <w:rsid w:val="00D318B1"/>
    <w:rsid w:val="00D3194F"/>
    <w:rsid w:val="00D31FEE"/>
    <w:rsid w:val="00D34BE0"/>
    <w:rsid w:val="00D36008"/>
    <w:rsid w:val="00D40277"/>
    <w:rsid w:val="00D41254"/>
    <w:rsid w:val="00D415BC"/>
    <w:rsid w:val="00D41F29"/>
    <w:rsid w:val="00D44000"/>
    <w:rsid w:val="00D44FFA"/>
    <w:rsid w:val="00D459ED"/>
    <w:rsid w:val="00D47194"/>
    <w:rsid w:val="00D500EA"/>
    <w:rsid w:val="00D50A74"/>
    <w:rsid w:val="00D50FAD"/>
    <w:rsid w:val="00D51388"/>
    <w:rsid w:val="00D51666"/>
    <w:rsid w:val="00D51C0E"/>
    <w:rsid w:val="00D52167"/>
    <w:rsid w:val="00D539B2"/>
    <w:rsid w:val="00D53C0E"/>
    <w:rsid w:val="00D611F0"/>
    <w:rsid w:val="00D6193B"/>
    <w:rsid w:val="00D64299"/>
    <w:rsid w:val="00D64477"/>
    <w:rsid w:val="00D646B8"/>
    <w:rsid w:val="00D65F53"/>
    <w:rsid w:val="00D66A1B"/>
    <w:rsid w:val="00D66F0A"/>
    <w:rsid w:val="00D676E5"/>
    <w:rsid w:val="00D708A5"/>
    <w:rsid w:val="00D7094E"/>
    <w:rsid w:val="00D71647"/>
    <w:rsid w:val="00D71D35"/>
    <w:rsid w:val="00D7222B"/>
    <w:rsid w:val="00D73FC3"/>
    <w:rsid w:val="00D74015"/>
    <w:rsid w:val="00D75535"/>
    <w:rsid w:val="00D75B3A"/>
    <w:rsid w:val="00D7638E"/>
    <w:rsid w:val="00D763E4"/>
    <w:rsid w:val="00D7780E"/>
    <w:rsid w:val="00D77DE9"/>
    <w:rsid w:val="00D8129A"/>
    <w:rsid w:val="00D81434"/>
    <w:rsid w:val="00D817CF"/>
    <w:rsid w:val="00D8230E"/>
    <w:rsid w:val="00D84687"/>
    <w:rsid w:val="00D84A9C"/>
    <w:rsid w:val="00D84EBA"/>
    <w:rsid w:val="00D85BAD"/>
    <w:rsid w:val="00D85E3F"/>
    <w:rsid w:val="00D8632A"/>
    <w:rsid w:val="00D8775C"/>
    <w:rsid w:val="00D87E3D"/>
    <w:rsid w:val="00D9181C"/>
    <w:rsid w:val="00D91D25"/>
    <w:rsid w:val="00D93872"/>
    <w:rsid w:val="00D94152"/>
    <w:rsid w:val="00D944C6"/>
    <w:rsid w:val="00D953C5"/>
    <w:rsid w:val="00D95F5C"/>
    <w:rsid w:val="00D966FD"/>
    <w:rsid w:val="00D9675B"/>
    <w:rsid w:val="00D96827"/>
    <w:rsid w:val="00DA0C28"/>
    <w:rsid w:val="00DA188D"/>
    <w:rsid w:val="00DA2291"/>
    <w:rsid w:val="00DA22E8"/>
    <w:rsid w:val="00DA336C"/>
    <w:rsid w:val="00DA3A8E"/>
    <w:rsid w:val="00DA4E9A"/>
    <w:rsid w:val="00DA51E4"/>
    <w:rsid w:val="00DA577A"/>
    <w:rsid w:val="00DA5914"/>
    <w:rsid w:val="00DA6AC4"/>
    <w:rsid w:val="00DA71CC"/>
    <w:rsid w:val="00DA77E7"/>
    <w:rsid w:val="00DB0D3D"/>
    <w:rsid w:val="00DB1257"/>
    <w:rsid w:val="00DB4435"/>
    <w:rsid w:val="00DB4DB2"/>
    <w:rsid w:val="00DB5BEA"/>
    <w:rsid w:val="00DC03F8"/>
    <w:rsid w:val="00DC0F0E"/>
    <w:rsid w:val="00DC0F9B"/>
    <w:rsid w:val="00DC25BE"/>
    <w:rsid w:val="00DC6D08"/>
    <w:rsid w:val="00DD08DB"/>
    <w:rsid w:val="00DD0DF5"/>
    <w:rsid w:val="00DD1E4F"/>
    <w:rsid w:val="00DD3AE0"/>
    <w:rsid w:val="00DD41FF"/>
    <w:rsid w:val="00DD52A1"/>
    <w:rsid w:val="00DD588D"/>
    <w:rsid w:val="00DD5A1A"/>
    <w:rsid w:val="00DD6006"/>
    <w:rsid w:val="00DD69D8"/>
    <w:rsid w:val="00DD6AAD"/>
    <w:rsid w:val="00DD6C57"/>
    <w:rsid w:val="00DE253E"/>
    <w:rsid w:val="00DE63AF"/>
    <w:rsid w:val="00DE6BC5"/>
    <w:rsid w:val="00DE6D43"/>
    <w:rsid w:val="00DE7A75"/>
    <w:rsid w:val="00DE7F4E"/>
    <w:rsid w:val="00DF03F5"/>
    <w:rsid w:val="00DF0606"/>
    <w:rsid w:val="00DF172F"/>
    <w:rsid w:val="00DF17CB"/>
    <w:rsid w:val="00DF2763"/>
    <w:rsid w:val="00DF4140"/>
    <w:rsid w:val="00DF497E"/>
    <w:rsid w:val="00DF49DC"/>
    <w:rsid w:val="00DF5210"/>
    <w:rsid w:val="00E00051"/>
    <w:rsid w:val="00E00155"/>
    <w:rsid w:val="00E02BF4"/>
    <w:rsid w:val="00E03A0D"/>
    <w:rsid w:val="00E04009"/>
    <w:rsid w:val="00E0494E"/>
    <w:rsid w:val="00E119C6"/>
    <w:rsid w:val="00E11B87"/>
    <w:rsid w:val="00E11F6C"/>
    <w:rsid w:val="00E13948"/>
    <w:rsid w:val="00E1457F"/>
    <w:rsid w:val="00E1522A"/>
    <w:rsid w:val="00E15BC3"/>
    <w:rsid w:val="00E1780D"/>
    <w:rsid w:val="00E200CA"/>
    <w:rsid w:val="00E238F8"/>
    <w:rsid w:val="00E23A1B"/>
    <w:rsid w:val="00E24227"/>
    <w:rsid w:val="00E25E2A"/>
    <w:rsid w:val="00E30791"/>
    <w:rsid w:val="00E30D87"/>
    <w:rsid w:val="00E30FD3"/>
    <w:rsid w:val="00E321F6"/>
    <w:rsid w:val="00E32762"/>
    <w:rsid w:val="00E32BEF"/>
    <w:rsid w:val="00E333A5"/>
    <w:rsid w:val="00E34687"/>
    <w:rsid w:val="00E34D95"/>
    <w:rsid w:val="00E35F13"/>
    <w:rsid w:val="00E364D7"/>
    <w:rsid w:val="00E402AA"/>
    <w:rsid w:val="00E40720"/>
    <w:rsid w:val="00E429EB"/>
    <w:rsid w:val="00E42C16"/>
    <w:rsid w:val="00E439B1"/>
    <w:rsid w:val="00E45350"/>
    <w:rsid w:val="00E4644A"/>
    <w:rsid w:val="00E4706B"/>
    <w:rsid w:val="00E50017"/>
    <w:rsid w:val="00E512D0"/>
    <w:rsid w:val="00E52747"/>
    <w:rsid w:val="00E52C51"/>
    <w:rsid w:val="00E55C3D"/>
    <w:rsid w:val="00E56068"/>
    <w:rsid w:val="00E5646F"/>
    <w:rsid w:val="00E57D2A"/>
    <w:rsid w:val="00E57DEF"/>
    <w:rsid w:val="00E6187F"/>
    <w:rsid w:val="00E62DB4"/>
    <w:rsid w:val="00E632BC"/>
    <w:rsid w:val="00E634B3"/>
    <w:rsid w:val="00E638CB"/>
    <w:rsid w:val="00E639A7"/>
    <w:rsid w:val="00E65D29"/>
    <w:rsid w:val="00E663F7"/>
    <w:rsid w:val="00E66D33"/>
    <w:rsid w:val="00E67690"/>
    <w:rsid w:val="00E7043B"/>
    <w:rsid w:val="00E7173C"/>
    <w:rsid w:val="00E7282E"/>
    <w:rsid w:val="00E74CE3"/>
    <w:rsid w:val="00E77AE8"/>
    <w:rsid w:val="00E8031C"/>
    <w:rsid w:val="00E80FA0"/>
    <w:rsid w:val="00E81250"/>
    <w:rsid w:val="00E83EC0"/>
    <w:rsid w:val="00E86994"/>
    <w:rsid w:val="00E9063B"/>
    <w:rsid w:val="00E92A2B"/>
    <w:rsid w:val="00E93509"/>
    <w:rsid w:val="00E94633"/>
    <w:rsid w:val="00E94D55"/>
    <w:rsid w:val="00E95134"/>
    <w:rsid w:val="00E95239"/>
    <w:rsid w:val="00E960CE"/>
    <w:rsid w:val="00E963D5"/>
    <w:rsid w:val="00EA1CE1"/>
    <w:rsid w:val="00EA3107"/>
    <w:rsid w:val="00EA394C"/>
    <w:rsid w:val="00EA4083"/>
    <w:rsid w:val="00EA44B9"/>
    <w:rsid w:val="00EA45C6"/>
    <w:rsid w:val="00EA5215"/>
    <w:rsid w:val="00EA5694"/>
    <w:rsid w:val="00EA70D3"/>
    <w:rsid w:val="00EA7585"/>
    <w:rsid w:val="00EB01A1"/>
    <w:rsid w:val="00EB058D"/>
    <w:rsid w:val="00EB105A"/>
    <w:rsid w:val="00EB2DE3"/>
    <w:rsid w:val="00EB2E3F"/>
    <w:rsid w:val="00EB3096"/>
    <w:rsid w:val="00EB381F"/>
    <w:rsid w:val="00EB3EA3"/>
    <w:rsid w:val="00EB4556"/>
    <w:rsid w:val="00EB49F2"/>
    <w:rsid w:val="00EB4A2F"/>
    <w:rsid w:val="00EB560E"/>
    <w:rsid w:val="00EB5817"/>
    <w:rsid w:val="00EB620E"/>
    <w:rsid w:val="00EB66B9"/>
    <w:rsid w:val="00EB686C"/>
    <w:rsid w:val="00EC01EC"/>
    <w:rsid w:val="00EC0881"/>
    <w:rsid w:val="00EC0982"/>
    <w:rsid w:val="00EC333A"/>
    <w:rsid w:val="00EC40F9"/>
    <w:rsid w:val="00EC48F0"/>
    <w:rsid w:val="00EC4928"/>
    <w:rsid w:val="00EC4A8A"/>
    <w:rsid w:val="00EC63E9"/>
    <w:rsid w:val="00EC64DD"/>
    <w:rsid w:val="00EC6D84"/>
    <w:rsid w:val="00ED0F00"/>
    <w:rsid w:val="00ED25F1"/>
    <w:rsid w:val="00ED2AA0"/>
    <w:rsid w:val="00ED2DFE"/>
    <w:rsid w:val="00ED3065"/>
    <w:rsid w:val="00ED3119"/>
    <w:rsid w:val="00ED502E"/>
    <w:rsid w:val="00ED5A87"/>
    <w:rsid w:val="00ED5DF8"/>
    <w:rsid w:val="00ED7910"/>
    <w:rsid w:val="00EE07DF"/>
    <w:rsid w:val="00EE1A14"/>
    <w:rsid w:val="00EE1C3B"/>
    <w:rsid w:val="00EE1D49"/>
    <w:rsid w:val="00EE2687"/>
    <w:rsid w:val="00EE3D6A"/>
    <w:rsid w:val="00EE4C42"/>
    <w:rsid w:val="00EE4D96"/>
    <w:rsid w:val="00EE64B0"/>
    <w:rsid w:val="00EE6831"/>
    <w:rsid w:val="00EE73AD"/>
    <w:rsid w:val="00EF03B5"/>
    <w:rsid w:val="00EF1C63"/>
    <w:rsid w:val="00EF2C81"/>
    <w:rsid w:val="00EF33ED"/>
    <w:rsid w:val="00EF4322"/>
    <w:rsid w:val="00EF4B28"/>
    <w:rsid w:val="00EF587F"/>
    <w:rsid w:val="00EF6383"/>
    <w:rsid w:val="00EF7342"/>
    <w:rsid w:val="00EF754D"/>
    <w:rsid w:val="00F0105E"/>
    <w:rsid w:val="00F0146E"/>
    <w:rsid w:val="00F01EB7"/>
    <w:rsid w:val="00F020A5"/>
    <w:rsid w:val="00F037CC"/>
    <w:rsid w:val="00F03A69"/>
    <w:rsid w:val="00F03E6D"/>
    <w:rsid w:val="00F052C2"/>
    <w:rsid w:val="00F056AB"/>
    <w:rsid w:val="00F06528"/>
    <w:rsid w:val="00F07AE8"/>
    <w:rsid w:val="00F101C3"/>
    <w:rsid w:val="00F101F4"/>
    <w:rsid w:val="00F11A29"/>
    <w:rsid w:val="00F11E60"/>
    <w:rsid w:val="00F11E8E"/>
    <w:rsid w:val="00F12204"/>
    <w:rsid w:val="00F15A82"/>
    <w:rsid w:val="00F2033B"/>
    <w:rsid w:val="00F2050A"/>
    <w:rsid w:val="00F20538"/>
    <w:rsid w:val="00F24C15"/>
    <w:rsid w:val="00F24C6A"/>
    <w:rsid w:val="00F265CF"/>
    <w:rsid w:val="00F27E44"/>
    <w:rsid w:val="00F30D23"/>
    <w:rsid w:val="00F33667"/>
    <w:rsid w:val="00F33861"/>
    <w:rsid w:val="00F37112"/>
    <w:rsid w:val="00F42021"/>
    <w:rsid w:val="00F43F0C"/>
    <w:rsid w:val="00F452F4"/>
    <w:rsid w:val="00F51393"/>
    <w:rsid w:val="00F513A9"/>
    <w:rsid w:val="00F51BDD"/>
    <w:rsid w:val="00F5242C"/>
    <w:rsid w:val="00F540A7"/>
    <w:rsid w:val="00F54B85"/>
    <w:rsid w:val="00F55D89"/>
    <w:rsid w:val="00F567D8"/>
    <w:rsid w:val="00F570E6"/>
    <w:rsid w:val="00F5734C"/>
    <w:rsid w:val="00F57E05"/>
    <w:rsid w:val="00F57E48"/>
    <w:rsid w:val="00F6204D"/>
    <w:rsid w:val="00F635B1"/>
    <w:rsid w:val="00F636B3"/>
    <w:rsid w:val="00F63B69"/>
    <w:rsid w:val="00F63F3A"/>
    <w:rsid w:val="00F658D5"/>
    <w:rsid w:val="00F70DA4"/>
    <w:rsid w:val="00F73090"/>
    <w:rsid w:val="00F75AAF"/>
    <w:rsid w:val="00F75CAE"/>
    <w:rsid w:val="00F764B5"/>
    <w:rsid w:val="00F76AA6"/>
    <w:rsid w:val="00F77D1F"/>
    <w:rsid w:val="00F8213C"/>
    <w:rsid w:val="00F825C8"/>
    <w:rsid w:val="00F82DAA"/>
    <w:rsid w:val="00F834F0"/>
    <w:rsid w:val="00F85CC5"/>
    <w:rsid w:val="00F865E5"/>
    <w:rsid w:val="00F86B1A"/>
    <w:rsid w:val="00F86C85"/>
    <w:rsid w:val="00F87239"/>
    <w:rsid w:val="00F90445"/>
    <w:rsid w:val="00F91053"/>
    <w:rsid w:val="00F92A0F"/>
    <w:rsid w:val="00F94B66"/>
    <w:rsid w:val="00F96672"/>
    <w:rsid w:val="00F966BE"/>
    <w:rsid w:val="00F96A60"/>
    <w:rsid w:val="00F96F88"/>
    <w:rsid w:val="00F97687"/>
    <w:rsid w:val="00FA01DD"/>
    <w:rsid w:val="00FA0BA9"/>
    <w:rsid w:val="00FA1543"/>
    <w:rsid w:val="00FA15B6"/>
    <w:rsid w:val="00FA1678"/>
    <w:rsid w:val="00FA30E4"/>
    <w:rsid w:val="00FA3B47"/>
    <w:rsid w:val="00FA53DA"/>
    <w:rsid w:val="00FA5452"/>
    <w:rsid w:val="00FA5FBF"/>
    <w:rsid w:val="00FA664F"/>
    <w:rsid w:val="00FA708F"/>
    <w:rsid w:val="00FA71A7"/>
    <w:rsid w:val="00FA7D89"/>
    <w:rsid w:val="00FB033B"/>
    <w:rsid w:val="00FB34CC"/>
    <w:rsid w:val="00FB36C4"/>
    <w:rsid w:val="00FB4A71"/>
    <w:rsid w:val="00FB5150"/>
    <w:rsid w:val="00FB6268"/>
    <w:rsid w:val="00FB7AF4"/>
    <w:rsid w:val="00FC2897"/>
    <w:rsid w:val="00FC294C"/>
    <w:rsid w:val="00FC3737"/>
    <w:rsid w:val="00FC49F9"/>
    <w:rsid w:val="00FC593D"/>
    <w:rsid w:val="00FC63AD"/>
    <w:rsid w:val="00FC75FB"/>
    <w:rsid w:val="00FC7BDA"/>
    <w:rsid w:val="00FD314C"/>
    <w:rsid w:val="00FD3463"/>
    <w:rsid w:val="00FD34E0"/>
    <w:rsid w:val="00FD3AF1"/>
    <w:rsid w:val="00FD4873"/>
    <w:rsid w:val="00FD5C5B"/>
    <w:rsid w:val="00FD6867"/>
    <w:rsid w:val="00FE05CC"/>
    <w:rsid w:val="00FE060A"/>
    <w:rsid w:val="00FE0FFF"/>
    <w:rsid w:val="00FE1727"/>
    <w:rsid w:val="00FE1FDA"/>
    <w:rsid w:val="00FE2275"/>
    <w:rsid w:val="00FE46DE"/>
    <w:rsid w:val="00FE49B6"/>
    <w:rsid w:val="00FE53C3"/>
    <w:rsid w:val="00FE54A5"/>
    <w:rsid w:val="00FE5F7B"/>
    <w:rsid w:val="00FE646F"/>
    <w:rsid w:val="00FE793E"/>
    <w:rsid w:val="00FF10B1"/>
    <w:rsid w:val="00FF2935"/>
    <w:rsid w:val="00FF2AF6"/>
    <w:rsid w:val="00FF2C6F"/>
    <w:rsid w:val="00FF2E7E"/>
    <w:rsid w:val="00FF36CD"/>
    <w:rsid w:val="00FF3D1B"/>
    <w:rsid w:val="00FF49CC"/>
    <w:rsid w:val="00FF535D"/>
    <w:rsid w:val="00FF71CC"/>
    <w:rsid w:val="00FF75BE"/>
    <w:rsid w:val="01981D96"/>
    <w:rsid w:val="02B56978"/>
    <w:rsid w:val="03514FA7"/>
    <w:rsid w:val="04FA5D52"/>
    <w:rsid w:val="08EE7FD1"/>
    <w:rsid w:val="09382A1F"/>
    <w:rsid w:val="0C302A6B"/>
    <w:rsid w:val="0D5016AD"/>
    <w:rsid w:val="0FF95468"/>
    <w:rsid w:val="1030763E"/>
    <w:rsid w:val="10793D47"/>
    <w:rsid w:val="11763776"/>
    <w:rsid w:val="13C474B3"/>
    <w:rsid w:val="163634D4"/>
    <w:rsid w:val="17D35258"/>
    <w:rsid w:val="1A11433F"/>
    <w:rsid w:val="1A7F18ED"/>
    <w:rsid w:val="1A964469"/>
    <w:rsid w:val="1B410951"/>
    <w:rsid w:val="1DBA49EB"/>
    <w:rsid w:val="1F013613"/>
    <w:rsid w:val="210E021F"/>
    <w:rsid w:val="23A023C0"/>
    <w:rsid w:val="253C5962"/>
    <w:rsid w:val="28EA2783"/>
    <w:rsid w:val="2A5306A1"/>
    <w:rsid w:val="2EE45D6B"/>
    <w:rsid w:val="2EF57CFE"/>
    <w:rsid w:val="30395C43"/>
    <w:rsid w:val="310209FB"/>
    <w:rsid w:val="322E7A29"/>
    <w:rsid w:val="33965D6B"/>
    <w:rsid w:val="33F94067"/>
    <w:rsid w:val="36CA1CEB"/>
    <w:rsid w:val="38827BAA"/>
    <w:rsid w:val="3C3A346E"/>
    <w:rsid w:val="3F36616F"/>
    <w:rsid w:val="3F7E1B5D"/>
    <w:rsid w:val="409273D5"/>
    <w:rsid w:val="43ED0DC6"/>
    <w:rsid w:val="47D50858"/>
    <w:rsid w:val="4BC10754"/>
    <w:rsid w:val="4D5679DC"/>
    <w:rsid w:val="4E8642F1"/>
    <w:rsid w:val="529671F9"/>
    <w:rsid w:val="534D5A23"/>
    <w:rsid w:val="57357020"/>
    <w:rsid w:val="5965057F"/>
    <w:rsid w:val="5BA410C3"/>
    <w:rsid w:val="5FAC4DF2"/>
    <w:rsid w:val="635A7DCF"/>
    <w:rsid w:val="63BD7084"/>
    <w:rsid w:val="6488096B"/>
    <w:rsid w:val="65A215B9"/>
    <w:rsid w:val="65A92947"/>
    <w:rsid w:val="66097AAD"/>
    <w:rsid w:val="676034DA"/>
    <w:rsid w:val="69ED544F"/>
    <w:rsid w:val="6A94006A"/>
    <w:rsid w:val="6AD46F87"/>
    <w:rsid w:val="6D6509D6"/>
    <w:rsid w:val="6E3B02F7"/>
    <w:rsid w:val="71094EE1"/>
    <w:rsid w:val="74C0380A"/>
    <w:rsid w:val="75330480"/>
    <w:rsid w:val="77876114"/>
    <w:rsid w:val="79BF6786"/>
    <w:rsid w:val="7A41363F"/>
    <w:rsid w:val="7A7430CC"/>
    <w:rsid w:val="7D9354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semiHidden="0" w:name="heading 7"/>
    <w:lsdException w:qFormat="1" w:uiPriority="0" w:semiHidden="0" w:name="heading 8"/>
    <w:lsdException w:qFormat="1" w:uiPriority="0" w:name="heading 9"/>
    <w:lsdException w:uiPriority="97" w:name="index 1"/>
    <w:lsdException w:uiPriority="97" w:name="index 2"/>
    <w:lsdException w:uiPriority="97" w:name="index 3"/>
    <w:lsdException w:uiPriority="97" w:name="index 4"/>
    <w:lsdException w:uiPriority="97" w:name="index 5"/>
    <w:lsdException w:uiPriority="97" w:name="index 6"/>
    <w:lsdException w:uiPriority="97" w:name="index 7"/>
    <w:lsdException w:uiPriority="97" w:name="index 8"/>
    <w:lsdException w:uiPriority="97" w:name="index 9"/>
    <w:lsdException w:qFormat="1" w:unhideWhenUsed="0" w:uiPriority="39" w:semiHidden="0" w:name="toc 1"/>
    <w:lsdException w:qFormat="1" w:unhideWhenUsed="0" w:uiPriority="39" w:semiHidden="0" w:name="toc 2"/>
    <w:lsdException w:qFormat="1" w:unhideWhenUsed="0" w:uiPriority="39" w:semiHidden="0" w:name="toc 3"/>
    <w:lsdException w:uiPriority="9" w:name="toc 4"/>
    <w:lsdException w:uiPriority="9" w:name="toc 5"/>
    <w:lsdException w:uiPriority="9" w:name="toc 6"/>
    <w:lsdException w:uiPriority="9" w:name="toc 7"/>
    <w:lsdException w:uiPriority="9" w:name="toc 8"/>
    <w:lsdException w:uiPriority="9" w:name="toc 9"/>
    <w:lsdException w:uiPriority="0" w:name="Normal Indent"/>
    <w:lsdException w:uiPriority="97"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7" w:name="index heading"/>
    <w:lsdException w:qFormat="1" w:uiPriority="97" w:name="caption"/>
    <w:lsdException w:uiPriority="97" w:name="table of figures"/>
    <w:lsdException w:uiPriority="97" w:name="envelope address"/>
    <w:lsdException w:uiPriority="97" w:name="envelope return"/>
    <w:lsdException w:uiPriority="97" w:name="footnote reference"/>
    <w:lsdException w:qFormat="1" w:unhideWhenUsed="0" w:uiPriority="0" w:semiHidden="0" w:name="annotation reference"/>
    <w:lsdException w:uiPriority="97" w:name="line number"/>
    <w:lsdException w:qFormat="1" w:unhideWhenUsed="0" w:uiPriority="0" w:semiHidden="0" w:name="page number"/>
    <w:lsdException w:uiPriority="97" w:name="endnote reference"/>
    <w:lsdException w:uiPriority="97" w:name="endnote text"/>
    <w:lsdException w:unhideWhenUsed="0" w:uiPriority="0" w:semiHidden="0" w:name="table of authorities"/>
    <w:lsdException w:uiPriority="97" w:name="macro"/>
    <w:lsdException w:uiPriority="0" w:name="toa heading"/>
    <w:lsdException w:unhideWhenUsed="0" w:uiPriority="97" w:semiHidden="0" w:name="List"/>
    <w:lsdException w:unhideWhenUsed="0" w:uiPriority="97" w:semiHidden="0" w:name="List Bullet"/>
    <w:lsdException w:uiPriority="97" w:name="List Number"/>
    <w:lsdException w:uiPriority="97" w:name="List 2"/>
    <w:lsdException w:unhideWhenUsed="0" w:uiPriority="97" w:semiHidden="0" w:name="List 3"/>
    <w:lsdException w:uiPriority="97" w:name="List 4"/>
    <w:lsdException w:uiPriority="97" w:name="List 5"/>
    <w:lsdException w:uiPriority="97" w:name="List Bullet 2"/>
    <w:lsdException w:uiPriority="97" w:name="List Bullet 3"/>
    <w:lsdException w:uiPriority="97" w:name="List Bullet 4"/>
    <w:lsdException w:uiPriority="97" w:name="List Bullet 5"/>
    <w:lsdException w:uiPriority="97" w:name="List Number 2"/>
    <w:lsdException w:uiPriority="97" w:name="List Number 3"/>
    <w:lsdException w:uiPriority="97" w:name="List Number 4"/>
    <w:lsdException w:uiPriority="97" w:name="List Number 5"/>
    <w:lsdException w:qFormat="1" w:unhideWhenUsed="0" w:uiPriority="10" w:semiHidden="0" w:name="Title"/>
    <w:lsdException w:uiPriority="97" w:name="Closing"/>
    <w:lsdException w:uiPriority="97" w:name="Signature"/>
    <w:lsdException w:qFormat="1" w:uiPriority="1" w:name="Default Paragraph Font"/>
    <w:lsdException w:uiPriority="0" w:name="Body Text"/>
    <w:lsdException w:uiPriority="0" w:name="Body Text Indent"/>
    <w:lsdException w:uiPriority="97" w:name="List Continue"/>
    <w:lsdException w:unhideWhenUsed="0" w:uiPriority="97" w:semiHidden="0" w:name="List Continue 2"/>
    <w:lsdException w:unhideWhenUsed="0" w:uiPriority="97" w:semiHidden="0" w:name="List Continue 3"/>
    <w:lsdException w:unhideWhenUsed="0" w:uiPriority="97" w:semiHidden="0" w:name="List Continue 4"/>
    <w:lsdException w:unhideWhenUsed="0" w:uiPriority="97" w:semiHidden="0" w:name="List Continue 5"/>
    <w:lsdException w:uiPriority="97" w:name="Message Header"/>
    <w:lsdException w:qFormat="1" w:unhideWhenUsed="0" w:uiPriority="97" w:semiHidden="0" w:name="Subtitle"/>
    <w:lsdException w:uiPriority="97" w:name="Salutation"/>
    <w:lsdException w:qFormat="1" w:uiPriority="97"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97" w:name="Block Text"/>
    <w:lsdException w:qFormat="1" w:unhideWhenUsed="0" w:uiPriority="99" w:semiHidden="0" w:name="Hyperlink"/>
    <w:lsdException w:uiPriority="97" w:name="FollowedHyperlink"/>
    <w:lsdException w:qFormat="1" w:unhideWhenUsed="0" w:uiPriority="97" w:semiHidden="0" w:name="Strong"/>
    <w:lsdException w:qFormat="1" w:unhideWhenUsed="0" w:uiPriority="20" w:semiHidden="0" w:name="Emphasis"/>
    <w:lsdException w:qFormat="1" w:unhideWhenUsed="0" w:uiPriority="97" w:semiHidden="0" w:name="Document Map"/>
    <w:lsdException w:uiPriority="97" w:name="Plain Text"/>
    <w:lsdException w:uiPriority="97" w:name="E-mail Signature"/>
    <w:lsdException w:qFormat="1" w:unhideWhenUsed="0" w:uiPriority="99" w:semiHidden="0" w:name="Normal (Web)"/>
    <w:lsdException w:uiPriority="98" w:name="HTML Acronym"/>
    <w:lsdException w:uiPriority="98" w:name="HTML Address"/>
    <w:lsdException w:uiPriority="98" w:name="HTML Cite"/>
    <w:lsdException w:uiPriority="98" w:name="HTML Code"/>
    <w:lsdException w:uiPriority="98" w:name="HTML Definition"/>
    <w:lsdException w:uiPriority="98" w:name="HTML Keyboard"/>
    <w:lsdException w:uiPriority="98" w:name="HTML Preformatted"/>
    <w:lsdException w:uiPriority="98" w:name="HTML Sample"/>
    <w:lsdException w:uiPriority="98" w:name="HTML Typewriter"/>
    <w:lsdException w:uiPriority="98" w:name="HTML Variable"/>
    <w:lsdException w:qFormat="1" w:uiPriority="99" w:name="Normal Table"/>
    <w:lsdException w:qFormat="1" w:unhideWhenUsed="0" w:uiPriority="97"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7"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pageBreakBefore/>
      <w:numPr>
        <w:ilvl w:val="0"/>
        <w:numId w:val="1"/>
      </w:numPr>
      <w:spacing w:before="340" w:after="330"/>
      <w:jc w:val="center"/>
      <w:outlineLvl w:val="0"/>
    </w:pPr>
    <w:rPr>
      <w:b/>
      <w:bCs/>
      <w:kern w:val="44"/>
      <w:sz w:val="30"/>
      <w:szCs w:val="44"/>
    </w:rPr>
  </w:style>
  <w:style w:type="paragraph" w:styleId="3">
    <w:name w:val="heading 2"/>
    <w:basedOn w:val="1"/>
    <w:next w:val="1"/>
    <w:link w:val="30"/>
    <w:qFormat/>
    <w:uiPriority w:val="0"/>
    <w:pPr>
      <w:keepNext/>
      <w:keepLines/>
      <w:numPr>
        <w:ilvl w:val="1"/>
        <w:numId w:val="1"/>
      </w:numPr>
      <w:spacing w:line="360" w:lineRule="auto"/>
      <w:jc w:val="center"/>
      <w:outlineLvl w:val="1"/>
    </w:pPr>
    <w:rPr>
      <w:b/>
      <w:sz w:val="24"/>
    </w:rPr>
  </w:style>
  <w:style w:type="paragraph" w:styleId="4">
    <w:name w:val="heading 3"/>
    <w:basedOn w:val="1"/>
    <w:next w:val="1"/>
    <w:link w:val="31"/>
    <w:qFormat/>
    <w:uiPriority w:val="0"/>
    <w:pPr>
      <w:keepNext/>
      <w:keepLines/>
      <w:spacing w:before="260" w:after="120" w:line="360" w:lineRule="auto"/>
      <w:outlineLvl w:val="2"/>
    </w:pPr>
    <w:rPr>
      <w:b/>
      <w:bCs/>
      <w:sz w:val="24"/>
      <w:szCs w:val="32"/>
    </w:rPr>
  </w:style>
  <w:style w:type="paragraph" w:styleId="5">
    <w:name w:val="heading 4"/>
    <w:basedOn w:val="1"/>
    <w:next w:val="1"/>
    <w:link w:val="32"/>
    <w:qFormat/>
    <w:uiPriority w:val="0"/>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61"/>
    <w:qFormat/>
    <w:uiPriority w:val="0"/>
    <w:pPr>
      <w:keepNext/>
      <w:keepLines/>
      <w:numPr>
        <w:ilvl w:val="4"/>
        <w:numId w:val="1"/>
      </w:numPr>
      <w:tabs>
        <w:tab w:val="left" w:pos="420"/>
      </w:tabs>
      <w:spacing w:beforeLines="100"/>
      <w:jc w:val="center"/>
      <w:outlineLvl w:val="4"/>
    </w:pPr>
    <w:rPr>
      <w:rFonts w:eastAsia="黑体"/>
      <w:b/>
    </w:rPr>
  </w:style>
  <w:style w:type="paragraph" w:styleId="7">
    <w:name w:val="heading 6"/>
    <w:basedOn w:val="1"/>
    <w:next w:val="1"/>
    <w:link w:val="33"/>
    <w:qFormat/>
    <w:uiPriority w:val="0"/>
    <w:pPr>
      <w:keepNext/>
      <w:keepLines/>
      <w:numPr>
        <w:ilvl w:val="5"/>
        <w:numId w:val="1"/>
      </w:numPr>
      <w:tabs>
        <w:tab w:val="left" w:pos="420"/>
      </w:tabs>
      <w:spacing w:afterLines="100"/>
      <w:jc w:val="center"/>
      <w:outlineLvl w:val="5"/>
    </w:pPr>
    <w:rPr>
      <w:rFonts w:ascii="Arial" w:hAnsi="Arial" w:eastAsia="黑体"/>
      <w:b/>
    </w:rPr>
  </w:style>
  <w:style w:type="paragraph" w:styleId="8">
    <w:name w:val="heading 7"/>
    <w:basedOn w:val="1"/>
    <w:next w:val="1"/>
    <w:link w:val="62"/>
    <w:unhideWhenUsed/>
    <w:qFormat/>
    <w:uiPriority w:val="0"/>
    <w:pPr>
      <w:keepNext/>
      <w:keepLines/>
      <w:spacing w:before="240" w:after="64" w:line="320" w:lineRule="auto"/>
      <w:outlineLvl w:val="6"/>
    </w:pPr>
    <w:rPr>
      <w:b/>
      <w:bCs/>
      <w:sz w:val="24"/>
    </w:rPr>
  </w:style>
  <w:style w:type="paragraph" w:styleId="9">
    <w:name w:val="heading 8"/>
    <w:basedOn w:val="1"/>
    <w:next w:val="1"/>
    <w:link w:val="75"/>
    <w:unhideWhenUsed/>
    <w:qFormat/>
    <w:uiPriority w:val="0"/>
    <w:pPr>
      <w:keepNext/>
      <w:keepLines/>
      <w:spacing w:before="40"/>
      <w:outlineLvl w:val="7"/>
    </w:pPr>
    <w:rPr>
      <w:rFonts w:asciiTheme="majorHAnsi" w:hAnsiTheme="majorHAnsi" w:eastAsiaTheme="majorEastAsia" w:cstheme="majorBidi"/>
      <w:color w:val="262626" w:themeColor="text1" w:themeTint="D9"/>
      <w:szCs w:val="21"/>
      <w14:textFill>
        <w14:solidFill>
          <w14:schemeClr w14:val="tx1">
            <w14:lumMod w14:val="85000"/>
            <w14:lumOff w14:val="15000"/>
          </w14:schemeClr>
        </w14:solidFill>
      </w14:textFill>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10">
    <w:name w:val="Document Map"/>
    <w:basedOn w:val="1"/>
    <w:link w:val="35"/>
    <w:qFormat/>
    <w:uiPriority w:val="97"/>
    <w:rPr>
      <w:rFonts w:ascii="宋体"/>
      <w:sz w:val="18"/>
      <w:szCs w:val="18"/>
    </w:rPr>
  </w:style>
  <w:style w:type="paragraph" w:styleId="11">
    <w:name w:val="annotation text"/>
    <w:basedOn w:val="1"/>
    <w:link w:val="36"/>
    <w:qFormat/>
    <w:uiPriority w:val="99"/>
    <w:pPr>
      <w:jc w:val="left"/>
    </w:pPr>
  </w:style>
  <w:style w:type="paragraph" w:styleId="12">
    <w:name w:val="toc 3"/>
    <w:basedOn w:val="1"/>
    <w:next w:val="1"/>
    <w:qFormat/>
    <w:uiPriority w:val="39"/>
    <w:pPr>
      <w:ind w:left="840" w:leftChars="400"/>
    </w:pPr>
  </w:style>
  <w:style w:type="paragraph" w:styleId="13">
    <w:name w:val="Date"/>
    <w:basedOn w:val="1"/>
    <w:next w:val="1"/>
    <w:link w:val="37"/>
    <w:semiHidden/>
    <w:unhideWhenUsed/>
    <w:qFormat/>
    <w:uiPriority w:val="97"/>
    <w:pPr>
      <w:ind w:left="100" w:leftChars="2500"/>
    </w:pPr>
  </w:style>
  <w:style w:type="paragraph" w:styleId="14">
    <w:name w:val="Balloon Text"/>
    <w:basedOn w:val="1"/>
    <w:qFormat/>
    <w:uiPriority w:val="97"/>
    <w:rPr>
      <w:sz w:val="18"/>
      <w:szCs w:val="18"/>
    </w:rPr>
  </w:style>
  <w:style w:type="paragraph" w:styleId="15">
    <w:name w:val="footer"/>
    <w:basedOn w:val="1"/>
    <w:link w:val="38"/>
    <w:qFormat/>
    <w:uiPriority w:val="99"/>
    <w:pPr>
      <w:tabs>
        <w:tab w:val="center" w:pos="4153"/>
        <w:tab w:val="right" w:pos="8306"/>
      </w:tabs>
      <w:snapToGrid w:val="0"/>
      <w:jc w:val="left"/>
    </w:pPr>
    <w:rPr>
      <w:sz w:val="18"/>
      <w:szCs w:val="18"/>
    </w:rPr>
  </w:style>
  <w:style w:type="paragraph" w:styleId="16">
    <w:name w:val="header"/>
    <w:basedOn w:val="1"/>
    <w:link w:val="39"/>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rPr>
      <w:sz w:val="28"/>
    </w:rPr>
  </w:style>
  <w:style w:type="paragraph" w:styleId="18">
    <w:name w:val="toc 2"/>
    <w:basedOn w:val="1"/>
    <w:next w:val="1"/>
    <w:qFormat/>
    <w:uiPriority w:val="39"/>
    <w:pPr>
      <w:ind w:left="420" w:leftChars="200"/>
    </w:pPr>
    <w:rPr>
      <w:sz w:val="28"/>
    </w:rPr>
  </w:style>
  <w:style w:type="paragraph" w:styleId="19">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0">
    <w:name w:val="Title"/>
    <w:basedOn w:val="1"/>
    <w:next w:val="1"/>
    <w:qFormat/>
    <w:uiPriority w:val="10"/>
    <w:pPr>
      <w:spacing w:before="240" w:after="60"/>
      <w:jc w:val="center"/>
      <w:outlineLvl w:val="0"/>
    </w:pPr>
    <w:rPr>
      <w:rFonts w:eastAsia="仿宋_GB2312"/>
      <w:b/>
      <w:bCs/>
      <w:sz w:val="32"/>
      <w:szCs w:val="32"/>
    </w:rPr>
  </w:style>
  <w:style w:type="paragraph" w:styleId="21">
    <w:name w:val="annotation subject"/>
    <w:basedOn w:val="11"/>
    <w:next w:val="11"/>
    <w:link w:val="40"/>
    <w:qFormat/>
    <w:uiPriority w:val="97"/>
    <w:rPr>
      <w:b/>
      <w:bCs/>
    </w:rPr>
  </w:style>
  <w:style w:type="table" w:styleId="23">
    <w:name w:val="Table Grid"/>
    <w:basedOn w:val="22"/>
    <w:qFormat/>
    <w:uiPriority w:val="0"/>
    <w:pPr>
      <w:jc w:val="center"/>
    </w:pPr>
    <w:tblPr>
      <w:tblBorders>
        <w:bottom w:val="single" w:color="auto" w:sz="4" w:space="0"/>
      </w:tblBorders>
    </w:tblPr>
    <w:tcPr>
      <w:shd w:val="clear" w:color="auto" w:fill="auto"/>
      <w:vAlign w:val="center"/>
    </w:tcPr>
    <w:tblStylePr w:type="firstRow">
      <w:pPr>
        <w:jc w:val="both"/>
      </w:pPr>
      <w:rPr>
        <w:rFonts w:eastAsia="Helv"/>
        <w:sz w:val="21"/>
      </w:rPr>
      <w:tblPr>
        <w:jc w:val="center"/>
      </w:tblPr>
      <w:trPr>
        <w:tblHeader/>
        <w:jc w:val="center"/>
      </w:trPr>
      <w:tcPr>
        <w:tcBorders>
          <w:top w:val="single" w:color="auto" w:sz="4" w:space="0"/>
          <w:left w:val="single" w:color="auto" w:sz="4" w:space="0"/>
          <w:bottom w:val="nil"/>
          <w:right w:val="nil"/>
          <w:insideH w:val="nil"/>
          <w:insideV w:val="nil"/>
          <w:tl2br w:val="nil"/>
          <w:tr2bl w:val="nil"/>
        </w:tcBorders>
      </w:tcPr>
    </w:tblStylePr>
    <w:tblStylePr w:type="band1Horz">
      <w:rPr>
        <w:rFonts w:eastAsia="Helv"/>
        <w:sz w:val="21"/>
      </w:rPr>
      <w:tcPr>
        <w:shd w:val="clear" w:color="auto" w:fill="BEBEBE"/>
      </w:tcPr>
    </w:tblStylePr>
    <w:tblStylePr w:type="band2Horz">
      <w:rPr>
        <w:rFonts w:eastAsia="Helv"/>
        <w:sz w:val="21"/>
      </w:rPr>
    </w:tblStylePr>
  </w:style>
  <w:style w:type="character" w:styleId="25">
    <w:name w:val="Strong"/>
    <w:qFormat/>
    <w:uiPriority w:val="97"/>
    <w:rPr>
      <w:b/>
      <w:bCs/>
    </w:rPr>
  </w:style>
  <w:style w:type="character" w:styleId="26">
    <w:name w:val="page number"/>
    <w:qFormat/>
    <w:uiPriority w:val="0"/>
  </w:style>
  <w:style w:type="character" w:styleId="27">
    <w:name w:val="Emphasis"/>
    <w:basedOn w:val="24"/>
    <w:qFormat/>
    <w:uiPriority w:val="20"/>
    <w:rPr>
      <w:i/>
      <w:iCs/>
    </w:rPr>
  </w:style>
  <w:style w:type="character" w:styleId="28">
    <w:name w:val="Hyperlink"/>
    <w:qFormat/>
    <w:uiPriority w:val="99"/>
    <w:rPr>
      <w:color w:val="666666"/>
      <w:sz w:val="19"/>
      <w:szCs w:val="19"/>
      <w:u w:val="none"/>
    </w:rPr>
  </w:style>
  <w:style w:type="character" w:styleId="29">
    <w:name w:val="annotation reference"/>
    <w:qFormat/>
    <w:uiPriority w:val="0"/>
    <w:rPr>
      <w:sz w:val="21"/>
      <w:szCs w:val="21"/>
    </w:rPr>
  </w:style>
  <w:style w:type="character" w:customStyle="1" w:styleId="30">
    <w:name w:val="标题 2 字符"/>
    <w:basedOn w:val="24"/>
    <w:link w:val="3"/>
    <w:qFormat/>
    <w:uiPriority w:val="0"/>
    <w:rPr>
      <w:b/>
      <w:kern w:val="2"/>
      <w:sz w:val="24"/>
      <w:szCs w:val="24"/>
    </w:rPr>
  </w:style>
  <w:style w:type="character" w:customStyle="1" w:styleId="31">
    <w:name w:val="标题 3 字符"/>
    <w:basedOn w:val="24"/>
    <w:link w:val="4"/>
    <w:qFormat/>
    <w:uiPriority w:val="0"/>
    <w:rPr>
      <w:b/>
      <w:bCs/>
      <w:kern w:val="2"/>
      <w:sz w:val="24"/>
      <w:szCs w:val="32"/>
    </w:rPr>
  </w:style>
  <w:style w:type="character" w:customStyle="1" w:styleId="32">
    <w:name w:val="标题 4 字符"/>
    <w:basedOn w:val="24"/>
    <w:link w:val="5"/>
    <w:qFormat/>
    <w:uiPriority w:val="0"/>
    <w:rPr>
      <w:rFonts w:asciiTheme="majorHAnsi" w:hAnsiTheme="majorHAnsi" w:eastAsiaTheme="majorEastAsia" w:cstheme="majorBidi"/>
      <w:b/>
      <w:bCs/>
      <w:kern w:val="2"/>
      <w:sz w:val="28"/>
      <w:szCs w:val="28"/>
    </w:rPr>
  </w:style>
  <w:style w:type="character" w:customStyle="1" w:styleId="33">
    <w:name w:val="标题 6 字符"/>
    <w:basedOn w:val="24"/>
    <w:link w:val="7"/>
    <w:qFormat/>
    <w:uiPriority w:val="0"/>
    <w:rPr>
      <w:rFonts w:ascii="Arial" w:hAnsi="Arial" w:eastAsia="黑体"/>
      <w:b/>
      <w:kern w:val="2"/>
      <w:sz w:val="21"/>
      <w:szCs w:val="24"/>
    </w:rPr>
  </w:style>
  <w:style w:type="paragraph" w:customStyle="1" w:styleId="34">
    <w:name w:val="TOC 标题1"/>
    <w:basedOn w:val="2"/>
    <w:next w:val="1"/>
    <w:qFormat/>
    <w:uiPriority w:val="39"/>
    <w:pPr>
      <w:numPr>
        <w:numId w:val="0"/>
      </w:numPr>
      <w:spacing w:line="578" w:lineRule="auto"/>
      <w:outlineLvl w:val="9"/>
    </w:pPr>
    <w:rPr>
      <w:rFonts w:eastAsia="黑体"/>
    </w:rPr>
  </w:style>
  <w:style w:type="character" w:customStyle="1" w:styleId="35">
    <w:name w:val="文档结构图 字符"/>
    <w:basedOn w:val="24"/>
    <w:link w:val="10"/>
    <w:qFormat/>
    <w:uiPriority w:val="97"/>
    <w:rPr>
      <w:rFonts w:ascii="宋体"/>
      <w:kern w:val="2"/>
      <w:sz w:val="18"/>
      <w:szCs w:val="18"/>
    </w:rPr>
  </w:style>
  <w:style w:type="character" w:customStyle="1" w:styleId="36">
    <w:name w:val="批注文字 字符"/>
    <w:link w:val="11"/>
    <w:qFormat/>
    <w:uiPriority w:val="99"/>
    <w:rPr>
      <w:kern w:val="2"/>
      <w:sz w:val="21"/>
      <w:szCs w:val="24"/>
    </w:rPr>
  </w:style>
  <w:style w:type="character" w:customStyle="1" w:styleId="37">
    <w:name w:val="日期 字符"/>
    <w:basedOn w:val="24"/>
    <w:link w:val="13"/>
    <w:semiHidden/>
    <w:qFormat/>
    <w:uiPriority w:val="97"/>
    <w:rPr>
      <w:kern w:val="2"/>
      <w:sz w:val="21"/>
      <w:szCs w:val="24"/>
    </w:rPr>
  </w:style>
  <w:style w:type="character" w:customStyle="1" w:styleId="38">
    <w:name w:val="页脚 字符"/>
    <w:basedOn w:val="24"/>
    <w:link w:val="15"/>
    <w:qFormat/>
    <w:uiPriority w:val="99"/>
    <w:rPr>
      <w:kern w:val="2"/>
      <w:sz w:val="18"/>
      <w:szCs w:val="18"/>
    </w:rPr>
  </w:style>
  <w:style w:type="character" w:customStyle="1" w:styleId="39">
    <w:name w:val="页眉 字符"/>
    <w:link w:val="16"/>
    <w:qFormat/>
    <w:uiPriority w:val="0"/>
    <w:rPr>
      <w:kern w:val="2"/>
      <w:sz w:val="18"/>
      <w:szCs w:val="18"/>
    </w:rPr>
  </w:style>
  <w:style w:type="character" w:customStyle="1" w:styleId="40">
    <w:name w:val="批注主题 字符"/>
    <w:link w:val="21"/>
    <w:qFormat/>
    <w:uiPriority w:val="97"/>
    <w:rPr>
      <w:b/>
      <w:bCs/>
      <w:kern w:val="2"/>
      <w:sz w:val="21"/>
      <w:szCs w:val="24"/>
    </w:rPr>
  </w:style>
  <w:style w:type="paragraph" w:customStyle="1" w:styleId="41">
    <w:name w:val="说明"/>
    <w:basedOn w:val="1"/>
    <w:qFormat/>
    <w:uiPriority w:val="97"/>
    <w:pPr>
      <w:spacing w:line="400" w:lineRule="atLeast"/>
    </w:pPr>
    <w:rPr>
      <w:rFonts w:ascii="楷体_GB2312" w:eastAsia="楷体_GB2312"/>
      <w:sz w:val="24"/>
    </w:rPr>
  </w:style>
  <w:style w:type="paragraph" w:customStyle="1" w:styleId="42">
    <w:name w:val="正文A缩进"/>
    <w:basedOn w:val="1"/>
    <w:link w:val="43"/>
    <w:qFormat/>
    <w:uiPriority w:val="0"/>
    <w:pPr>
      <w:spacing w:line="360" w:lineRule="auto"/>
      <w:ind w:firstLine="200" w:firstLineChars="200"/>
    </w:pPr>
    <w:rPr>
      <w:sz w:val="24"/>
    </w:rPr>
  </w:style>
  <w:style w:type="character" w:customStyle="1" w:styleId="43">
    <w:name w:val="正文A缩进 字符"/>
    <w:basedOn w:val="24"/>
    <w:link w:val="42"/>
    <w:qFormat/>
    <w:uiPriority w:val="0"/>
    <w:rPr>
      <w:kern w:val="2"/>
      <w:sz w:val="24"/>
      <w:szCs w:val="24"/>
    </w:rPr>
  </w:style>
  <w:style w:type="paragraph" w:customStyle="1" w:styleId="44">
    <w:name w:val="正文B图片"/>
    <w:basedOn w:val="42"/>
    <w:link w:val="54"/>
    <w:qFormat/>
    <w:uiPriority w:val="0"/>
    <w:pPr>
      <w:keepNext/>
      <w:ind w:firstLine="0" w:firstLineChars="0"/>
      <w:jc w:val="center"/>
    </w:pPr>
  </w:style>
  <w:style w:type="paragraph" w:customStyle="1" w:styleId="45">
    <w:name w:val="正文F条文"/>
    <w:basedOn w:val="42"/>
    <w:link w:val="46"/>
    <w:qFormat/>
    <w:uiPriority w:val="0"/>
    <w:pPr>
      <w:ind w:firstLine="0" w:firstLineChars="0"/>
    </w:pPr>
    <w:rPr>
      <w:color w:val="FF0000"/>
    </w:rPr>
  </w:style>
  <w:style w:type="character" w:customStyle="1" w:styleId="46">
    <w:name w:val="正文F条文 字符"/>
    <w:basedOn w:val="43"/>
    <w:link w:val="45"/>
    <w:qFormat/>
    <w:uiPriority w:val="0"/>
    <w:rPr>
      <w:color w:val="FF0000"/>
      <w:kern w:val="2"/>
      <w:sz w:val="24"/>
      <w:szCs w:val="24"/>
    </w:rPr>
  </w:style>
  <w:style w:type="character" w:customStyle="1" w:styleId="47">
    <w:name w:val="表格文字 Char"/>
    <w:basedOn w:val="24"/>
    <w:link w:val="48"/>
    <w:qFormat/>
    <w:locked/>
    <w:uiPriority w:val="97"/>
    <w:rPr>
      <w:sz w:val="18"/>
    </w:rPr>
  </w:style>
  <w:style w:type="paragraph" w:customStyle="1" w:styleId="48">
    <w:name w:val="表格文字"/>
    <w:basedOn w:val="1"/>
    <w:link w:val="47"/>
    <w:qFormat/>
    <w:uiPriority w:val="97"/>
    <w:pPr>
      <w:jc w:val="center"/>
    </w:pPr>
    <w:rPr>
      <w:kern w:val="0"/>
      <w:sz w:val="18"/>
      <w:szCs w:val="20"/>
    </w:rPr>
  </w:style>
  <w:style w:type="paragraph" w:customStyle="1" w:styleId="49">
    <w:name w:val="正文C条文"/>
    <w:basedOn w:val="42"/>
    <w:link w:val="51"/>
    <w:qFormat/>
    <w:uiPriority w:val="0"/>
    <w:pPr>
      <w:numPr>
        <w:ilvl w:val="2"/>
        <w:numId w:val="1"/>
      </w:numPr>
      <w:spacing w:before="50" w:beforeLines="50" w:after="50" w:afterLines="50"/>
      <w:ind w:left="0" w:firstLineChars="0"/>
    </w:pPr>
  </w:style>
  <w:style w:type="table" w:customStyle="1" w:styleId="50">
    <w:name w:val="Seraphim"/>
    <w:basedOn w:val="22"/>
    <w:qFormat/>
    <w:uiPriority w:val="99"/>
    <w:pPr>
      <w:widowControl w:val="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character" w:customStyle="1" w:styleId="51">
    <w:name w:val="正文C条文 字符"/>
    <w:basedOn w:val="43"/>
    <w:link w:val="49"/>
    <w:qFormat/>
    <w:uiPriority w:val="0"/>
    <w:rPr>
      <w:kern w:val="2"/>
      <w:sz w:val="24"/>
      <w:szCs w:val="24"/>
    </w:rPr>
  </w:style>
  <w:style w:type="paragraph" w:customStyle="1" w:styleId="52">
    <w:name w:val="正文D表格"/>
    <w:basedOn w:val="44"/>
    <w:link w:val="55"/>
    <w:qFormat/>
    <w:uiPriority w:val="0"/>
    <w:pPr>
      <w:keepNext w:val="0"/>
    </w:pPr>
  </w:style>
  <w:style w:type="paragraph" w:customStyle="1" w:styleId="53">
    <w:name w:val="正文E补充"/>
    <w:basedOn w:val="42"/>
    <w:link w:val="56"/>
    <w:qFormat/>
    <w:uiPriority w:val="0"/>
    <w:pPr>
      <w:ind w:firstLine="480"/>
    </w:pPr>
    <w:rPr>
      <w:b/>
      <w:color w:val="FF0000"/>
    </w:rPr>
  </w:style>
  <w:style w:type="character" w:customStyle="1" w:styleId="54">
    <w:name w:val="正文B图片 字符"/>
    <w:basedOn w:val="43"/>
    <w:link w:val="44"/>
    <w:qFormat/>
    <w:uiPriority w:val="0"/>
    <w:rPr>
      <w:kern w:val="2"/>
      <w:sz w:val="24"/>
      <w:szCs w:val="24"/>
    </w:rPr>
  </w:style>
  <w:style w:type="character" w:customStyle="1" w:styleId="55">
    <w:name w:val="正文D表格 字符"/>
    <w:basedOn w:val="54"/>
    <w:link w:val="52"/>
    <w:qFormat/>
    <w:uiPriority w:val="0"/>
    <w:rPr>
      <w:kern w:val="2"/>
      <w:sz w:val="24"/>
      <w:szCs w:val="24"/>
    </w:rPr>
  </w:style>
  <w:style w:type="character" w:customStyle="1" w:styleId="56">
    <w:name w:val="正文E补充 字符"/>
    <w:basedOn w:val="43"/>
    <w:link w:val="53"/>
    <w:qFormat/>
    <w:uiPriority w:val="0"/>
    <w:rPr>
      <w:b/>
      <w:color w:val="FF0000"/>
      <w:kern w:val="2"/>
      <w:sz w:val="24"/>
      <w:szCs w:val="24"/>
    </w:rPr>
  </w:style>
  <w:style w:type="character" w:styleId="57">
    <w:name w:val="Placeholder Text"/>
    <w:basedOn w:val="24"/>
    <w:semiHidden/>
    <w:qFormat/>
    <w:uiPriority w:val="99"/>
    <w:rPr>
      <w:color w:val="808080"/>
    </w:rPr>
  </w:style>
  <w:style w:type="paragraph" w:customStyle="1" w:styleId="58">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59">
    <w:name w:val="表格"/>
    <w:basedOn w:val="1"/>
    <w:qFormat/>
    <w:uiPriority w:val="0"/>
    <w:pPr>
      <w:adjustRightInd w:val="0"/>
      <w:snapToGrid w:val="0"/>
      <w:jc w:val="left"/>
    </w:pPr>
  </w:style>
  <w:style w:type="paragraph" w:customStyle="1" w:styleId="60">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61">
    <w:name w:val="标题 5 字符"/>
    <w:basedOn w:val="24"/>
    <w:link w:val="6"/>
    <w:qFormat/>
    <w:uiPriority w:val="0"/>
    <w:rPr>
      <w:rFonts w:eastAsia="黑体"/>
      <w:b/>
      <w:kern w:val="2"/>
      <w:sz w:val="21"/>
      <w:szCs w:val="24"/>
    </w:rPr>
  </w:style>
  <w:style w:type="character" w:customStyle="1" w:styleId="62">
    <w:name w:val="标题 7 字符"/>
    <w:basedOn w:val="24"/>
    <w:link w:val="8"/>
    <w:qFormat/>
    <w:uiPriority w:val="0"/>
    <w:rPr>
      <w:b/>
      <w:bCs/>
      <w:kern w:val="2"/>
      <w:sz w:val="24"/>
      <w:szCs w:val="24"/>
    </w:rPr>
  </w:style>
  <w:style w:type="character" w:customStyle="1" w:styleId="63">
    <w:name w:val="正文A缩进 Char"/>
    <w:qFormat/>
    <w:uiPriority w:val="1"/>
    <w:rPr>
      <w:kern w:val="2"/>
      <w:sz w:val="21"/>
      <w:szCs w:val="22"/>
      <w:lang w:val="zh-CN"/>
    </w:rPr>
  </w:style>
  <w:style w:type="character" w:customStyle="1" w:styleId="64">
    <w:name w:val="正文A回复 字符"/>
    <w:link w:val="65"/>
    <w:qFormat/>
    <w:uiPriority w:val="0"/>
    <w:rPr>
      <w:color w:val="FF0000"/>
      <w:kern w:val="2"/>
      <w:sz w:val="21"/>
      <w:szCs w:val="22"/>
    </w:rPr>
  </w:style>
  <w:style w:type="paragraph" w:customStyle="1" w:styleId="65">
    <w:name w:val="正文A回复"/>
    <w:basedOn w:val="1"/>
    <w:link w:val="64"/>
    <w:qFormat/>
    <w:uiPriority w:val="0"/>
    <w:pPr>
      <w:spacing w:after="100" w:afterLines="100"/>
      <w:ind w:firstLine="200" w:firstLineChars="200"/>
    </w:pPr>
    <w:rPr>
      <w:color w:val="FF0000"/>
      <w:szCs w:val="22"/>
    </w:rPr>
  </w:style>
  <w:style w:type="character" w:customStyle="1" w:styleId="66">
    <w:name w:val="标准文件_段 Char"/>
    <w:link w:val="67"/>
    <w:qFormat/>
    <w:locked/>
    <w:uiPriority w:val="0"/>
    <w:rPr>
      <w:rFonts w:ascii="宋体"/>
      <w:sz w:val="21"/>
    </w:rPr>
  </w:style>
  <w:style w:type="paragraph" w:customStyle="1" w:styleId="67">
    <w:name w:val="标准文件_段"/>
    <w:link w:val="66"/>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8">
    <w:name w:val="标准文件_二级条标题"/>
    <w:next w:val="67"/>
    <w:qFormat/>
    <w:uiPriority w:val="0"/>
    <w:pPr>
      <w:widowControl w:val="0"/>
      <w:numPr>
        <w:ilvl w:val="3"/>
        <w:numId w:val="2"/>
      </w:numPr>
      <w:spacing w:beforeLines="50" w:afterLines="50"/>
      <w:jc w:val="both"/>
      <w:outlineLvl w:val="2"/>
    </w:pPr>
    <w:rPr>
      <w:rFonts w:ascii="黑体" w:hAnsi="Times New Roman" w:eastAsia="黑体" w:cs="Times New Roman"/>
      <w:sz w:val="21"/>
      <w:lang w:val="en-US" w:eastAsia="zh-CN" w:bidi="ar-SA"/>
    </w:rPr>
  </w:style>
  <w:style w:type="paragraph" w:customStyle="1" w:styleId="69">
    <w:name w:val="标准文件_三级条标题"/>
    <w:basedOn w:val="68"/>
    <w:next w:val="67"/>
    <w:qFormat/>
    <w:uiPriority w:val="0"/>
    <w:pPr>
      <w:widowControl/>
      <w:numPr>
        <w:ilvl w:val="4"/>
      </w:numPr>
      <w:outlineLvl w:val="3"/>
    </w:pPr>
  </w:style>
  <w:style w:type="paragraph" w:customStyle="1" w:styleId="70">
    <w:name w:val="标准文件_四级条标题"/>
    <w:next w:val="67"/>
    <w:qFormat/>
    <w:uiPriority w:val="0"/>
    <w:pPr>
      <w:widowControl w:val="0"/>
      <w:numPr>
        <w:ilvl w:val="5"/>
        <w:numId w:val="2"/>
      </w:numPr>
      <w:spacing w:beforeLines="50" w:afterLines="50"/>
      <w:jc w:val="both"/>
      <w:outlineLvl w:val="4"/>
    </w:pPr>
    <w:rPr>
      <w:rFonts w:ascii="黑体" w:hAnsi="Times New Roman" w:eastAsia="黑体" w:cs="Times New Roman"/>
      <w:sz w:val="21"/>
      <w:lang w:val="en-US" w:eastAsia="zh-CN" w:bidi="ar-SA"/>
    </w:rPr>
  </w:style>
  <w:style w:type="paragraph" w:customStyle="1" w:styleId="71">
    <w:name w:val="标准文件_五级条标题"/>
    <w:next w:val="67"/>
    <w:qFormat/>
    <w:uiPriority w:val="0"/>
    <w:pPr>
      <w:widowControl w:val="0"/>
      <w:numPr>
        <w:ilvl w:val="6"/>
        <w:numId w:val="2"/>
      </w:numPr>
      <w:spacing w:beforeLines="50" w:afterLines="50"/>
      <w:jc w:val="both"/>
      <w:outlineLvl w:val="5"/>
    </w:pPr>
    <w:rPr>
      <w:rFonts w:ascii="黑体" w:hAnsi="Times New Roman" w:eastAsia="黑体" w:cs="Times New Roman"/>
      <w:sz w:val="21"/>
      <w:lang w:val="en-US" w:eastAsia="zh-CN" w:bidi="ar-SA"/>
    </w:rPr>
  </w:style>
  <w:style w:type="paragraph" w:customStyle="1" w:styleId="72">
    <w:name w:val="标准文件_章标题"/>
    <w:next w:val="67"/>
    <w:qFormat/>
    <w:uiPriority w:val="0"/>
    <w:pPr>
      <w:numPr>
        <w:ilvl w:val="1"/>
        <w:numId w:val="2"/>
      </w:numPr>
      <w:spacing w:beforeLines="100" w:afterLines="100"/>
      <w:jc w:val="both"/>
      <w:outlineLvl w:val="0"/>
    </w:pPr>
    <w:rPr>
      <w:rFonts w:ascii="黑体" w:hAnsi="Times New Roman" w:eastAsia="黑体" w:cs="Times New Roman"/>
      <w:sz w:val="21"/>
      <w:lang w:val="en-US" w:eastAsia="zh-CN" w:bidi="ar-SA"/>
    </w:rPr>
  </w:style>
  <w:style w:type="paragraph" w:customStyle="1" w:styleId="73">
    <w:name w:val="标准文件_一级条标题"/>
    <w:basedOn w:val="72"/>
    <w:next w:val="67"/>
    <w:qFormat/>
    <w:uiPriority w:val="0"/>
    <w:pPr>
      <w:numPr>
        <w:ilvl w:val="2"/>
      </w:numPr>
      <w:spacing w:beforeLines="50" w:afterLines="50"/>
      <w:outlineLvl w:val="1"/>
    </w:pPr>
  </w:style>
  <w:style w:type="paragraph" w:customStyle="1" w:styleId="74">
    <w:name w:val="前言标题"/>
    <w:next w:val="1"/>
    <w:qFormat/>
    <w:uiPriority w:val="0"/>
    <w:pPr>
      <w:numPr>
        <w:ilvl w:val="0"/>
        <w:numId w:val="2"/>
      </w:numPr>
      <w:shd w:val="clear" w:color="auto" w:fill="FFFFFF"/>
      <w:spacing w:before="540" w:after="600"/>
      <w:jc w:val="center"/>
      <w:outlineLvl w:val="0"/>
    </w:pPr>
    <w:rPr>
      <w:rFonts w:ascii="黑体" w:hAnsi="Times New Roman" w:eastAsia="黑体" w:cs="Times New Roman"/>
      <w:sz w:val="32"/>
      <w:lang w:val="en-US" w:eastAsia="zh-CN" w:bidi="ar-SA"/>
    </w:rPr>
  </w:style>
  <w:style w:type="character" w:customStyle="1" w:styleId="75">
    <w:name w:val="标题 8 字符"/>
    <w:basedOn w:val="24"/>
    <w:link w:val="9"/>
    <w:qFormat/>
    <w:uiPriority w:val="0"/>
    <w:rPr>
      <w:rFonts w:asciiTheme="majorHAnsi" w:hAnsiTheme="majorHAnsi" w:eastAsiaTheme="majorEastAsia" w:cstheme="majorBidi"/>
      <w:color w:val="262626" w:themeColor="text1" w:themeTint="D9"/>
      <w:kern w:val="2"/>
      <w:sz w:val="21"/>
      <w:szCs w:val="21"/>
      <w14:textFill>
        <w14:solidFill>
          <w14:schemeClr w14:val="tx1">
            <w14:lumMod w14:val="85000"/>
            <w14:lumOff w14:val="15000"/>
          </w14:schemeClr>
        </w14:solidFill>
      </w14:textFill>
    </w:rPr>
  </w:style>
  <w:style w:type="paragraph" w:customStyle="1" w:styleId="76">
    <w:name w:val="表题"/>
    <w:basedOn w:val="49"/>
    <w:link w:val="78"/>
    <w:qFormat/>
    <w:uiPriority w:val="0"/>
    <w:pPr>
      <w:numPr>
        <w:ilvl w:val="0"/>
        <w:numId w:val="3"/>
      </w:numPr>
      <w:spacing w:before="0" w:beforeLines="0" w:after="0" w:afterLines="0"/>
      <w:jc w:val="center"/>
    </w:pPr>
    <w:rPr>
      <w:b/>
    </w:rPr>
  </w:style>
  <w:style w:type="paragraph" w:customStyle="1" w:styleId="77">
    <w:name w:val="图题"/>
    <w:basedOn w:val="76"/>
    <w:link w:val="80"/>
    <w:qFormat/>
    <w:uiPriority w:val="0"/>
    <w:pPr>
      <w:numPr>
        <w:numId w:val="4"/>
      </w:numPr>
    </w:pPr>
  </w:style>
  <w:style w:type="character" w:customStyle="1" w:styleId="78">
    <w:name w:val="表题 字符"/>
    <w:basedOn w:val="51"/>
    <w:link w:val="76"/>
    <w:qFormat/>
    <w:uiPriority w:val="0"/>
    <w:rPr>
      <w:b/>
      <w:kern w:val="2"/>
      <w:sz w:val="24"/>
      <w:szCs w:val="24"/>
    </w:rPr>
  </w:style>
  <w:style w:type="paragraph" w:customStyle="1" w:styleId="79">
    <w:name w:val="图"/>
    <w:basedOn w:val="77"/>
    <w:link w:val="82"/>
    <w:qFormat/>
    <w:uiPriority w:val="0"/>
  </w:style>
  <w:style w:type="character" w:customStyle="1" w:styleId="80">
    <w:name w:val="图题 字符"/>
    <w:basedOn w:val="78"/>
    <w:link w:val="77"/>
    <w:qFormat/>
    <w:uiPriority w:val="0"/>
    <w:rPr>
      <w:kern w:val="2"/>
      <w:sz w:val="24"/>
      <w:szCs w:val="24"/>
    </w:rPr>
  </w:style>
  <w:style w:type="paragraph" w:customStyle="1" w:styleId="81">
    <w:name w:val="TOC Heading"/>
    <w:basedOn w:val="2"/>
    <w:next w:val="1"/>
    <w:unhideWhenUsed/>
    <w:qFormat/>
    <w:uiPriority w:val="39"/>
    <w:pPr>
      <w:keepNext/>
      <w:keepLines/>
      <w:pageBreakBefore w:val="0"/>
      <w:widowControl/>
      <w:numPr>
        <w:numId w:val="0"/>
      </w:numPr>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82">
    <w:name w:val="图 字符"/>
    <w:basedOn w:val="80"/>
    <w:link w:val="79"/>
    <w:qFormat/>
    <w:uiPriority w:val="0"/>
    <w:rPr>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emf"/><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emf"/><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64</Pages>
  <Words>28249</Words>
  <Characters>31953</Characters>
  <Lines>279</Lines>
  <Paragraphs>78</Paragraphs>
  <TotalTime>7816</TotalTime>
  <ScaleCrop>false</ScaleCrop>
  <LinksUpToDate>false</LinksUpToDate>
  <CharactersWithSpaces>32631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2022-02-18T16:23:00Z</dcterms:created>
  <dc:creator>微软用户</dc:creator>
  <cp:lastModifiedBy>陌</cp:lastModifiedBy>
  <cp:lastPrinted>2022-08-26T16:23:00Z</cp:lastPrinted>
  <dcterms:modified xsi:type="dcterms:W3CDTF">2023-03-08T02:31:17Z</dcterms:modified>
  <dc:title>广东省工程建设地方标准化工作细则</dc:title>
  <cp:revision>1420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6E622BA60DB245A5810D46D3D1E59B22</vt:lpwstr>
  </property>
</Properties>
</file>