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bookmarkStart w:id="0" w:name="_GoBack"/>
      <w:bookmarkEnd w:id="0"/>
      <w:r>
        <w:rPr>
          <w:rFonts w:hint="eastAsia"/>
          <w:highlight w:val="none"/>
        </w:rPr>
        <w:drawing>
          <wp:anchor distT="0" distB="0" distL="114300" distR="114300" simplePos="0" relativeHeight="251659264" behindDoc="0" locked="0" layoutInCell="1" allowOverlap="1">
            <wp:simplePos x="0" y="0"/>
            <wp:positionH relativeFrom="column">
              <wp:posOffset>-272415</wp:posOffset>
            </wp:positionH>
            <wp:positionV relativeFrom="paragraph">
              <wp:posOffset>792480</wp:posOffset>
            </wp:positionV>
            <wp:extent cx="8572500" cy="4681855"/>
            <wp:effectExtent l="0" t="0" r="0" b="4445"/>
            <wp:wrapSquare wrapText="bothSides"/>
            <wp:docPr id="2" name="图片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_image002"/>
                    <pic:cNvPicPr>
                      <a:picLocks noChangeAspect="1"/>
                    </pic:cNvPicPr>
                  </pic:nvPicPr>
                  <pic:blipFill>
                    <a:blip r:embed="rId8"/>
                    <a:stretch>
                      <a:fillRect/>
                    </a:stretch>
                  </pic:blipFill>
                  <pic:spPr>
                    <a:xfrm>
                      <a:off x="0" y="0"/>
                      <a:ext cx="8572500" cy="4681855"/>
                    </a:xfrm>
                    <a:prstGeom prst="rect">
                      <a:avLst/>
                    </a:prstGeom>
                    <a:noFill/>
                    <a:ln w="9525">
                      <a:noFill/>
                    </a:ln>
                  </pic:spPr>
                </pic:pic>
              </a:graphicData>
            </a:graphic>
          </wp:anchor>
        </w:drawing>
      </w:r>
      <w:r>
        <w:rPr>
          <w:rFonts w:hint="eastAsia" w:ascii="黑体" w:hAnsi="黑体" w:eastAsia="黑体" w:cs="黑体"/>
        </w:rPr>
        <w:t>附件1</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32" w:firstLineChars="200"/>
        <w:jc w:val="right"/>
        <w:textAlignment w:val="auto"/>
        <w:outlineLvl w:val="9"/>
        <w:rPr>
          <w:rFonts w:hint="eastAsia" w:ascii="宋体" w:hAnsi="宋体" w:cs="宋体"/>
          <w:kern w:val="0"/>
          <w:sz w:val="32"/>
          <w:szCs w:val="32"/>
          <w:highlight w:val="none"/>
          <w:lang w:val="en-US" w:eastAsia="zh-CN"/>
        </w:rPr>
        <w:sectPr>
          <w:footerReference r:id="rId4" w:type="first"/>
          <w:footerReference r:id="rId3" w:type="default"/>
          <w:pgSz w:w="16838" w:h="11905" w:orient="landscape"/>
          <w:pgMar w:top="1474" w:right="1984" w:bottom="1587" w:left="2098" w:header="851" w:footer="1361" w:gutter="0"/>
          <w:pgNumType w:fmt="decimal"/>
          <w:cols w:space="0" w:num="1"/>
          <w:titlePg/>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方正小标宋简体"/>
          <w:b w:val="0"/>
          <w:i w:val="0"/>
          <w:outline w:val="0"/>
          <w:shadow w:val="0"/>
          <w:emboss w:val="0"/>
          <w:imprint w:val="0"/>
          <w:snapToGrid/>
          <w:vanish w:val="0"/>
          <w:spacing w:val="0"/>
          <w:w w:val="100"/>
          <w:kern w:val="2"/>
          <w:position w:val="0"/>
          <w:sz w:val="32"/>
          <w:szCs w:val="44"/>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outline w:val="0"/>
          <w:shadow w:val="0"/>
          <w:emboss w:val="0"/>
          <w:imprint w:val="0"/>
          <w:vanish w:val="0"/>
          <w:w w:val="100"/>
          <w:sz w:val="44"/>
          <w:szCs w:val="44"/>
          <w:u w:val="none"/>
        </w:rPr>
      </w:pPr>
      <w:r>
        <w:rPr>
          <w:rFonts w:hint="eastAsia" w:ascii="方正小标宋简体" w:hAnsi="方正小标宋简体" w:eastAsia="方正小标宋简体" w:cs="方正小标宋简体"/>
          <w:outline w:val="0"/>
          <w:shadow w:val="0"/>
          <w:emboss w:val="0"/>
          <w:imprint w:val="0"/>
          <w:vanish w:val="0"/>
          <w:w w:val="100"/>
          <w:sz w:val="44"/>
          <w:szCs w:val="44"/>
          <w:u w:val="none"/>
        </w:rPr>
        <w:t>西樵镇听音湖片区产业园区开发建设（拓展区）项目宅基地地上房屋（住宅）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outline w:val="0"/>
          <w:shadow w:val="0"/>
          <w:emboss w:val="0"/>
          <w:imprint w:val="0"/>
          <w:vanish w:val="0"/>
          <w:w w:val="100"/>
          <w:sz w:val="44"/>
          <w:szCs w:val="44"/>
          <w:u w:val="none"/>
        </w:rPr>
      </w:pPr>
      <w:r>
        <w:rPr>
          <w:rFonts w:hint="eastAsia" w:ascii="方正小标宋简体" w:hAnsi="方正小标宋简体" w:eastAsia="方正小标宋简体" w:cs="方正小标宋简体"/>
          <w:outline w:val="0"/>
          <w:shadow w:val="0"/>
          <w:emboss w:val="0"/>
          <w:imprint w:val="0"/>
          <w:vanish w:val="0"/>
          <w:w w:val="100"/>
          <w:sz w:val="44"/>
          <w:szCs w:val="44"/>
          <w:u w:val="none"/>
        </w:rPr>
        <w:t>征收补偿安置方案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b w:val="0"/>
          <w:i w:val="0"/>
          <w:outline w:val="0"/>
          <w:shadow w:val="0"/>
          <w:emboss w:val="0"/>
          <w:imprint w:val="0"/>
          <w:snapToGrid/>
          <w:vanish w:val="0"/>
          <w:spacing w:val="0"/>
          <w:w w:val="100"/>
          <w:kern w:val="2"/>
          <w:position w:val="0"/>
          <w:sz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为确保西樵镇听音湖片区产业园区开发建设（拓展区）项目的建设顺利进行，维护被征地（拆迁）单位和个人的合法权益，现启动项目用地范围内宅基地地上房屋（住宅）征拆补偿工作。根据《中华人民共和国土地管理法》等法律法规及省、市、区有关规定和政策，参照《国有土地上房屋征收与补偿条例》，结合西樵镇的实际情况和我区宅基地相关政策规定，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一、建设项目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西樵镇听音湖片区产业园区开发建设（拓展区）项目。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二、征收（拆迁）范围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西樵镇听音湖片区产业园区开发建设（拓展区）项目用地范围涉及的集体宅基地使用权及地上房屋（住宅）。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三、征收补偿对象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西樵镇听音湖片区产业园区开发建设（拓展区）项目征收红线范围内涉及的宅基地使用权、宅基地上房屋（住宅）、建（构）筑物及附着物。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四、征收土地、房屋权属证明材料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（一）《宅基地使用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（二）《房屋所有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（三）《房地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（四）《</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不动产权证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（五）其它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五、征收土地、房屋分类及面积、用途核定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土地与房屋的分类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土地与</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土地是指已</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经办理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不动产权证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统称</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”）的土地。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房屋是指已</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经办理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《房屋所有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不动产权证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统称</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史用地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与历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历史用地是指已建成房屋，没有权属证书（仅指土地使用证、房地产权证或不动产权证），但具有土地所在地经济组织或村（居）委会出具历史用地证明材料的房屋建筑主体占地的土地。（不含房屋附属物和其它构筑物占地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历</w:t>
      </w:r>
      <w:r>
        <w:rPr>
          <w:rFonts w:hint="eastAsia" w:ascii="宋体" w:hAnsi="宋体" w:eastAsia="仿宋_GB2312" w:cs="仿宋"/>
          <w:b w:val="0"/>
          <w:i w:val="0"/>
          <w:outline w:val="0"/>
          <w:shadow w:val="0"/>
          <w:emboss w:val="0"/>
          <w:imprint w:val="0"/>
          <w:snapToGrid/>
          <w:vanish w:val="0"/>
          <w:spacing w:val="5"/>
          <w:w w:val="100"/>
          <w:kern w:val="2"/>
          <w:position w:val="0"/>
          <w:sz w:val="32"/>
          <w:szCs w:val="32"/>
          <w:highlight w:val="none"/>
          <w:u w:val="none"/>
        </w:rPr>
        <w:t>史房屋是指没有权属证书（仅指房屋所有权证、房地产权证或不动产权证），但具有房屋所在地经济组织或村（居）委会出具证明材料的房屋（不含房屋附属物和其它构筑物）。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土地与</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无</w:t>
      </w:r>
      <w:r>
        <w:rPr>
          <w:rFonts w:hint="eastAsia" w:ascii="宋体" w:hAnsi="宋体" w:eastAsia="仿宋_GB2312" w:cs="仿宋"/>
          <w:b w:val="0"/>
          <w:i w:val="0"/>
          <w:outline w:val="0"/>
          <w:shadow w:val="0"/>
          <w:emboss w:val="0"/>
          <w:imprint w:val="0"/>
          <w:snapToGrid/>
          <w:vanish w:val="0"/>
          <w:spacing w:val="3"/>
          <w:w w:val="100"/>
          <w:kern w:val="2"/>
          <w:position w:val="0"/>
          <w:sz w:val="32"/>
          <w:szCs w:val="32"/>
          <w:highlight w:val="none"/>
          <w:u w:val="none"/>
        </w:rPr>
        <w:t>证土地是指已建成房屋或房屋附属物和其它构筑物，</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没有权属证书且没有土地所在地经济组织或村（居）委会出具历史用地证明材料的房屋建筑主体占地的土地；或没有权属证书的房屋附属物和其它构筑物用地。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i w:val="0"/>
          <w:outline w:val="0"/>
          <w:shadow w:val="0"/>
          <w:emboss w:val="0"/>
          <w:imprint w:val="0"/>
          <w:snapToGrid/>
          <w:vanish w:val="0"/>
          <w:spacing w:val="3"/>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无</w:t>
      </w:r>
      <w:r>
        <w:rPr>
          <w:rFonts w:hint="eastAsia" w:ascii="宋体" w:hAnsi="宋体" w:eastAsia="仿宋_GB2312" w:cs="仿宋"/>
          <w:b w:val="0"/>
          <w:i w:val="0"/>
          <w:outline w:val="0"/>
          <w:shadow w:val="0"/>
          <w:emboss w:val="0"/>
          <w:imprint w:val="0"/>
          <w:snapToGrid/>
          <w:vanish w:val="0"/>
          <w:spacing w:val="3"/>
          <w:w w:val="100"/>
          <w:kern w:val="2"/>
          <w:position w:val="0"/>
          <w:sz w:val="32"/>
          <w:szCs w:val="32"/>
          <w:highlight w:val="none"/>
          <w:u w:val="none"/>
        </w:rPr>
        <w:t>证房屋是指没有权属证且没有房屋所在地经济组织或村（居）委会出具证明材料的房屋和房屋附属物和其它构筑</w:t>
      </w:r>
      <w:r>
        <w:rPr>
          <w:rFonts w:hint="eastAsia" w:ascii="宋体" w:hAnsi="宋体" w:eastAsia="仿宋_GB2312" w:cs="楷体_GB2312"/>
          <w:b w:val="0"/>
          <w:i w:val="0"/>
          <w:outline w:val="0"/>
          <w:shadow w:val="0"/>
          <w:emboss w:val="0"/>
          <w:imprint w:val="0"/>
          <w:snapToGrid/>
          <w:vanish w:val="0"/>
          <w:spacing w:val="3"/>
          <w:w w:val="100"/>
          <w:kern w:val="2"/>
          <w:position w:val="0"/>
          <w:sz w:val="32"/>
          <w:szCs w:val="32"/>
          <w:highlight w:val="none"/>
          <w:u w:val="none"/>
        </w:rPr>
        <w:t>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面积、用途的核定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1.原则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上按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权属证载</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作</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为认</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定的依据；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2.若对证载</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异议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的，由有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资质的测绘</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进行测绘</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认</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定的面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3.属于本</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方案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象，</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权属证载</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的，可由有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资质的测绘</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进行测绘</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实际测绘面积计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被征收房屋的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结</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构、用途等以房屋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测绘报告为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准；房屋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对应</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的土地用途以土地登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记用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途</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六、征收补偿方式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（一）征收补偿方式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结合货币补偿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2.货币补偿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（二）</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被征收人可</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结合实际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规定时间内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自</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愿选择</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上述任意一种</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七、签约期限与搬迁期限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1.签约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期限：自</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征收补偿安置公告发布之日起</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迁期</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限：自征收补偿安置公告发布之日起6</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八、补偿标准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（一）宅基地回迁安置结合货币补偿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1.回迁宅基地位置、面积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回迁宅基地位于简村社区海风祖（详见附图），面积约5亩，具体以最终确定住宅规划用地面积为准。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2.回迁宅基地置换原则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与历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史用地面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积原则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上按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，即被征</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收房屋核定的宅基地面</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积1</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平方米置</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换</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宅基地面</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积1</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）被征收房屋核定的宅基地面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积不</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80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平方米且</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允许</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的，被征收人可向征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申请</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购</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80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平方米，按土地取得成本价增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购</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。被征收房屋核定的宅基地面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大于或等于</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150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平方米的可</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选择两块</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对应</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土地不得置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换条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件与要求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申请</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须</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是本方案所确定的被征收人或其直系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亲属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宅基地由西樵</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政府</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负责统筹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安排并另行制定</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选</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取回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地细则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cs="仿宋_GB2312"/>
          <w:b w:val="0"/>
          <w:i w:val="0"/>
          <w:outline w:val="0"/>
          <w:shadow w:val="0"/>
          <w:emboss w:val="0"/>
          <w:imprint w:val="0"/>
          <w:snapToGrid/>
          <w:vanish w:val="0"/>
          <w:spacing w:val="0"/>
          <w:w w:val="100"/>
          <w:kern w:val="2"/>
          <w:position w:val="0"/>
          <w:sz w:val="32"/>
          <w:szCs w:val="32"/>
          <w:highlight w:val="none"/>
          <w:u w:val="none"/>
          <w:lang w:eastAsia="zh-CN"/>
        </w:rPr>
        <w:t>（</w:t>
      </w:r>
      <w:r>
        <w:rPr>
          <w:rFonts w:hint="eastAsia" w:cs="仿宋_GB2312"/>
          <w:b w:val="0"/>
          <w:i w:val="0"/>
          <w:outline w:val="0"/>
          <w:shadow w:val="0"/>
          <w:emboss w:val="0"/>
          <w:imprint w:val="0"/>
          <w:snapToGrid/>
          <w:vanish w:val="0"/>
          <w:spacing w:val="0"/>
          <w:w w:val="100"/>
          <w:kern w:val="2"/>
          <w:position w:val="0"/>
          <w:sz w:val="32"/>
          <w:szCs w:val="32"/>
          <w:highlight w:val="none"/>
          <w:u w:val="none"/>
          <w:lang w:val="en-US" w:eastAsia="zh-CN"/>
        </w:rPr>
        <w:t>3</w:t>
      </w:r>
      <w:r>
        <w:rPr>
          <w:rFonts w:hint="eastAsia" w:cs="仿宋_GB2312"/>
          <w:b w:val="0"/>
          <w:i w:val="0"/>
          <w:outline w:val="0"/>
          <w:shadow w:val="0"/>
          <w:emboss w:val="0"/>
          <w:imprint w:val="0"/>
          <w:snapToGrid/>
          <w:vanish w:val="0"/>
          <w:spacing w:val="0"/>
          <w:w w:val="100"/>
          <w:kern w:val="2"/>
          <w:position w:val="0"/>
          <w:sz w:val="32"/>
          <w:szCs w:val="32"/>
          <w:highlight w:val="none"/>
          <w:u w:val="none"/>
          <w:lang w:eastAsia="zh-CN"/>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宅基地交付被征收人后，被征收人按照西樵镇人民</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lang w:eastAsia="zh-CN"/>
        </w:rPr>
        <w:t>政府</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制定的该部分回迁安置地用地建房细则办理用地报批手续和规划报建手续后并自行建设，由征收实施单位协助办理权属证书。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值补偿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（不含宅基地使用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价值）。</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房屋和</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史房屋按重置价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房屋按建安成本价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按有资质的评估机构采用建安成本价评估补偿。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①房屋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物指</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附属于</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房屋，由房屋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程中</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提高房屋使用效能而改造或追加的，不能异地使用或异地使用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影</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响</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其功能的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财物</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或相</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关设施</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。比如房屋主体建筑以外的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杂</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间、仓库、厕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所等。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②构筑物指不具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不包含或不提供人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类</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居住功能的人工建筑物。比如房屋主体建筑以外的水井、水池、</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化粪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池、</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围墙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、水泥地面、棚架等。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③房屋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物和其它构筑物按有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5.</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）搬出被征收房屋的搬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：按被征收房屋核定的建筑面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积30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并给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）水表、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表、有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线电视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线电话、</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互</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联</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网、空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调</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等房屋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设施设备按有资质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）搬入回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重建房的搬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：按被征收房屋核定的建筑面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积30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并给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）由被征收房屋直接搬入回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重建房的，搬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按被征收房屋核定的建筑面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积30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并给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6.临时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经</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核定的被征收房屋建筑面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w:t>
      </w: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30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从</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被征收人移交被征收房屋（含土地）之日起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临时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补偿费至</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宅基地交付后</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满18个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月（回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重建房的建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设</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）征收实施单位应自本补偿安置公告发布之日起12个月内向被征收人交付回迁宅基地。回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宅基地通知接收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时间</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以征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位出具通知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时间为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准，如被征收人未在通知期限</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接收回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交地通知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书发</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出后第二日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视为已</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）回迁宅基地逾期不能交付（不可抗力因素除外），临时安置补偿费从逾期之日后满18个月（回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重建房的建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设</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期）起递增10%，之后临时安置补偿费每三年递增10%支付至回迁宅基地交付止，不足一年按一年计算。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（5）</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临时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半年支付一次</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包括逾期不能交付的情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（6）被征收人在回</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重建房</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动工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设</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后移交被征收房屋（含土地）的，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临时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7.</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支付期限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签订补偿协议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之日起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30个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工作日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付房屋价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值补偿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签订补偿协议</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之日起</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30个</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工作日</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内支</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付搬</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迁补偿费</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（二）货币补偿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用地按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史用地按扣除</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办证费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权属证书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但有土地所在地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经济组织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或村（居）委</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会</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具历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史用地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明材料的房屋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物和其它构筑物用地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参照历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史用地按扣除</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办证费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值补偿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（不含宅基地使用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价值）。</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房屋和</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史房屋按重置价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无证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房屋按建安成本价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
          <w:b w:val="0"/>
          <w:i w:val="0"/>
          <w:outline w:val="0"/>
          <w:shadow w:val="0"/>
          <w:emboss w:val="0"/>
          <w:imprint w:val="0"/>
          <w:snapToGrid/>
          <w:vanish w:val="0"/>
          <w:spacing w:val="0"/>
          <w:w w:val="100"/>
          <w:kern w:val="2"/>
          <w:position w:val="0"/>
          <w:sz w:val="32"/>
          <w:szCs w:val="32"/>
          <w:highlight w:val="none"/>
          <w:u w:val="none"/>
        </w:rPr>
        <w:t>按有资质的评估机构采用建安成本价评估补偿。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4.</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物指</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附属于</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房屋，由房屋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程中</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提高房屋使用效能而改造或追加的，不能异地使用或异地使用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影</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响</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其功能的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财物</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或相</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关设施</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，比如房屋主体建筑以外的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杂</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间、仓库、厕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所等。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）构筑物指不具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不包含或不提供人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类</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居住功能的人工建筑物。比如房屋主体建筑以外的水井、水池、</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化粪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池、</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围墙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、水泥地面、棚架等。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物和其它构筑物按有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bCs/>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5.</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按被征收房</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屋经</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核定的建筑面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积30</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元</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平方米</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算，</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并给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）水表、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表、有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线电视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线电话、</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互</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联</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网、空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调</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等房屋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设施设备按有资质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估的价值予以一次性</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6.</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支付期限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签订补偿协议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之日起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30个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工作日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付宅基地使用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值补偿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等款</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黑体"/>
          <w:b w:val="0"/>
          <w:i w:val="0"/>
          <w:outline w:val="0"/>
          <w:shadow w:val="0"/>
          <w:emboss w:val="0"/>
          <w:imprint w:val="0"/>
          <w:snapToGrid/>
          <w:vanish w:val="0"/>
          <w:spacing w:val="5"/>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）在</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签订补偿协议</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之日起</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30个</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工作日</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内支</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付搬</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迁补偿费</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九、补助办法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（一）按时签约补助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1.协议签订补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助。被征收人在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规定时间内签订补偿协议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的，按被征收房屋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补偿总额</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（包括房屋、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物、搬</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等</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，不包括</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临时</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补偿费</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20%给</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予</w:t>
      </w:r>
      <w:r>
        <w:rPr>
          <w:rFonts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签约补</w:t>
      </w:r>
      <w:r>
        <w:rPr>
          <w:rFonts w:hint="eastAsia" w:ascii="宋体" w:hAnsi="宋体" w:eastAsia="仿宋_GB2312" w:cs="仿宋_GB2312"/>
          <w:b w:val="0"/>
          <w:i w:val="0"/>
          <w:outline w:val="0"/>
          <w:shadow w:val="0"/>
          <w:emboss w:val="0"/>
          <w:imprint w:val="0"/>
          <w:snapToGrid/>
          <w:vanish w:val="0"/>
          <w:spacing w:val="5"/>
          <w:w w:val="100"/>
          <w:kern w:val="2"/>
          <w:position w:val="0"/>
          <w:sz w:val="32"/>
          <w:szCs w:val="32"/>
          <w:highlight w:val="none"/>
          <w:u w:val="none"/>
        </w:rPr>
        <w:t>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交补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助。被征收人在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规定时间内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、移交被征收房屋及</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移交确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认书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》的，按被征收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补偿总额</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（包括房屋、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物和其它构筑物、搬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，不包括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临时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20%给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交补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pPr>
      <w:r>
        <w:rPr>
          <w:rFonts w:hint="eastAsia" w:ascii="楷体_GB2312" w:hAnsi="楷体_GB2312" w:eastAsia="楷体_GB2312" w:cs="楷体_GB2312"/>
          <w:b w:val="0"/>
          <w:bCs/>
          <w:i w:val="0"/>
          <w:outline w:val="0"/>
          <w:shadow w:val="0"/>
          <w:emboss w:val="0"/>
          <w:imprint w:val="0"/>
          <w:snapToGrid/>
          <w:vanish w:val="0"/>
          <w:spacing w:val="0"/>
          <w:w w:val="100"/>
          <w:kern w:val="2"/>
          <w:position w:val="0"/>
          <w:sz w:val="32"/>
          <w:szCs w:val="32"/>
          <w:highlight w:val="none"/>
          <w:u w:val="none"/>
        </w:rPr>
        <w:t>（二）补助支付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全部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助在被征收人完成搬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移交被征收土地房屋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和附属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物并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移交确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认书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》之日起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30个</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工作日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内支</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付。逾期未</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签订补偿协议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或未</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达</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条</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件的一律不予以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黑体" w:hAnsi="黑体" w:eastAsia="黑体" w:cs="黑体"/>
          <w:b w:val="0"/>
          <w:i w:val="0"/>
          <w:outline w:val="0"/>
          <w:shadow w:val="0"/>
          <w:emboss w:val="0"/>
          <w:imprint w:val="0"/>
          <w:snapToGrid/>
          <w:vanish w:val="0"/>
          <w:spacing w:val="0"/>
          <w:w w:val="100"/>
          <w:kern w:val="2"/>
          <w:position w:val="0"/>
          <w:sz w:val="32"/>
          <w:u w:val="none"/>
        </w:rPr>
      </w:pPr>
      <w:r>
        <w:rPr>
          <w:rFonts w:hint="eastAsia" w:ascii="黑体" w:hAnsi="黑体" w:eastAsia="黑体" w:cs="黑体"/>
          <w:b w:val="0"/>
          <w:i w:val="0"/>
          <w:outline w:val="0"/>
          <w:shadow w:val="0"/>
          <w:emboss w:val="0"/>
          <w:imprint w:val="0"/>
          <w:snapToGrid/>
          <w:vanish w:val="0"/>
          <w:spacing w:val="0"/>
          <w:w w:val="100"/>
          <w:kern w:val="2"/>
          <w:position w:val="0"/>
          <w:sz w:val="32"/>
          <w:u w:val="none"/>
        </w:rPr>
        <w:t>十、其它事项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（一）自本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项</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目征地拆</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通告</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发</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布之日起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，属抢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扩</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建、加建等情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一律不</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给</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（二）征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位按相</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定</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选</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取确定有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资质</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估机构；如被征收人有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异议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的，可以由征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位与被征收人共</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同协</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商确定。</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时点为本补偿与</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安置方案批复之日；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由征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位工作人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员</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和被征收人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现场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认</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（三）征收方案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施完成后，被征收人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应</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同步</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办理</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销原土</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地或房</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记</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手</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续</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（四）征拆有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产权纠纷</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或因其它原因</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暂时</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不能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确定权属的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土地或房屋，由</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人民政府作出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决定</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，公</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关办理证</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据留存、提存后按相</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定</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（五）在征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程中如遇特殊情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，由相</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关权属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人提出</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书</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面</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申请</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，征</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收实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单</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位按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实际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情</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况</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另行</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处</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（六）被征收土地和房屋的所有</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、使用</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权人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逾期未</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签订</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征地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协议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的，</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区</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人民政府依据本方案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和补偿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登</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记结</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果作出征地</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补偿</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安置</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（七）本方案</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仅</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适用于本征收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项目</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pP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（八）本方案由西樵</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镇</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具</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体组织实</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施并</w:t>
      </w:r>
      <w:r>
        <w:rPr>
          <w:rFonts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负责解释</w:t>
      </w:r>
      <w:r>
        <w:rPr>
          <w:rFonts w:hint="eastAsia" w:ascii="宋体" w:hAnsi="宋体" w:eastAsia="仿宋_GB2312" w:cs="仿宋_GB2312"/>
          <w:b w:val="0"/>
          <w:i w:val="0"/>
          <w:outline w:val="0"/>
          <w:shadow w:val="0"/>
          <w:emboss w:val="0"/>
          <w:imprint w:val="0"/>
          <w:snapToGrid/>
          <w:vanish w:val="0"/>
          <w:spacing w:val="0"/>
          <w:w w:val="100"/>
          <w:kern w:val="2"/>
          <w:positio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宋体" w:hAnsi="宋体" w:eastAsia="仿宋_GB2312" w:cs="仿宋_GB2312"/>
          <w:b w:val="0"/>
          <w:bCs/>
          <w:i w:val="0"/>
          <w:outline w:val="0"/>
          <w:shadow w:val="0"/>
          <w:emboss w:val="0"/>
          <w:imprint w:val="0"/>
          <w:snapToGrid/>
          <w:vanish w:val="0"/>
          <w:spacing w:val="0"/>
          <w:w w:val="100"/>
          <w:kern w:val="2"/>
          <w:positio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635" w:leftChars="200" w:right="0" w:rightChars="0" w:hanging="981" w:hangingChars="300"/>
        <w:jc w:val="both"/>
        <w:textAlignment w:val="auto"/>
        <w:outlineLvl w:val="9"/>
        <w:rPr>
          <w:rFonts w:hint="eastAsia" w:ascii="宋体" w:hAnsi="宋体" w:eastAsia="仿宋_GB2312" w:cs="仿宋_GB2312"/>
          <w:b w:val="0"/>
          <w:bCs/>
          <w:i w:val="0"/>
          <w:outline w:val="0"/>
          <w:shadow w:val="0"/>
          <w:emboss w:val="0"/>
          <w:imprint w:val="0"/>
          <w:snapToGrid/>
          <w:vanish w:val="0"/>
          <w:spacing w:val="0"/>
          <w:w w:val="100"/>
          <w:kern w:val="2"/>
          <w:position w:val="0"/>
          <w:sz w:val="32"/>
          <w:szCs w:val="32"/>
          <w:highlight w:val="none"/>
          <w:u w:val="none"/>
          <w:lang w:eastAsia="zh-CN"/>
        </w:rPr>
        <w:sectPr>
          <w:footerReference r:id="rId6" w:type="first"/>
          <w:footerReference r:id="rId5" w:type="default"/>
          <w:pgSz w:w="11905" w:h="16838"/>
          <w:pgMar w:top="1984" w:right="1587" w:bottom="2098" w:left="1474" w:header="851" w:footer="1361" w:gutter="0"/>
          <w:pgNumType w:fmt="decimal"/>
          <w:cols w:space="0" w:num="1"/>
          <w:titlePg/>
          <w:rtlGutter w:val="0"/>
          <w:docGrid w:type="linesAndChars" w:linePitch="589" w:charSpace="1547"/>
        </w:sectPr>
      </w:pPr>
      <w:r>
        <w:rPr>
          <w:rFonts w:hint="eastAsia" w:ascii="宋体" w:hAnsi="宋体" w:eastAsia="仿宋_GB2312" w:cs="仿宋_GB2312"/>
          <w:b w:val="0"/>
          <w:bCs/>
          <w:i w:val="0"/>
          <w:outline w:val="0"/>
          <w:shadow w:val="0"/>
          <w:emboss w:val="0"/>
          <w:imprint w:val="0"/>
          <w:snapToGrid/>
          <w:vanish w:val="0"/>
          <w:spacing w:val="0"/>
          <w:w w:val="100"/>
          <w:kern w:val="2"/>
          <w:position w:val="0"/>
          <w:sz w:val="32"/>
          <w:szCs w:val="32"/>
          <w:highlight w:val="none"/>
          <w:u w:val="none"/>
          <w:lang w:eastAsia="zh-CN"/>
        </w:rPr>
        <w:t>附件：西樵镇听音湖片区产业园开发建设（拓展区）项目宅基地回迁安置用地位置图</w:t>
      </w:r>
    </w:p>
    <w:p>
      <w:pPr>
        <w:spacing w:line="560" w:lineRule="exac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w:t>
      </w:r>
      <w:r>
        <w:rPr>
          <w:rFonts w:hint="eastAsia" w:ascii="黑体" w:hAnsi="黑体" w:eastAsia="黑体" w:cs="黑体"/>
          <w:b w:val="0"/>
          <w:bCs/>
          <w:sz w:val="32"/>
          <w:szCs w:val="32"/>
          <w:highlight w:val="none"/>
          <w:lang w:eastAsia="zh-CN"/>
        </w:rPr>
        <w:t>件</w:t>
      </w:r>
    </w:p>
    <w:p>
      <w:r>
        <w:rPr>
          <w:rFonts w:hint="eastAsia" w:ascii="黑体" w:hAnsi="黑体" w:eastAsia="黑体" w:cs="黑体"/>
          <w:b w:val="0"/>
          <w:bCs/>
          <w:highlight w:val="none"/>
        </w:rPr>
        <w:drawing>
          <wp:anchor distT="0" distB="0" distL="114300" distR="114300" simplePos="0" relativeHeight="251660288" behindDoc="0" locked="0" layoutInCell="1" allowOverlap="1">
            <wp:simplePos x="0" y="0"/>
            <wp:positionH relativeFrom="column">
              <wp:posOffset>527050</wp:posOffset>
            </wp:positionH>
            <wp:positionV relativeFrom="page">
              <wp:posOffset>1751330</wp:posOffset>
            </wp:positionV>
            <wp:extent cx="4633595" cy="6777355"/>
            <wp:effectExtent l="0" t="0" r="14605" b="4445"/>
            <wp:wrapNone/>
            <wp:docPr id="3" name="图片 2" descr="回迁安置地位置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回迁安置地位置图-Model"/>
                    <pic:cNvPicPr>
                      <a:picLocks noChangeAspect="1"/>
                    </pic:cNvPicPr>
                  </pic:nvPicPr>
                  <pic:blipFill>
                    <a:blip r:embed="rId9"/>
                    <a:stretch>
                      <a:fillRect/>
                    </a:stretch>
                  </pic:blipFill>
                  <pic:spPr>
                    <a:xfrm>
                      <a:off x="0" y="0"/>
                      <a:ext cx="4633595" cy="6777355"/>
                    </a:xfrm>
                    <a:prstGeom prst="rect">
                      <a:avLst/>
                    </a:prstGeom>
                    <a:noFill/>
                    <a:ln w="9525">
                      <a:noFill/>
                    </a:ln>
                  </pic:spPr>
                </pic:pic>
              </a:graphicData>
            </a:graphic>
          </wp:anchor>
        </w:drawing>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54" w:firstLineChars="200"/>
        <w:jc w:val="right"/>
        <w:textAlignment w:val="auto"/>
        <w:outlineLvl w:val="9"/>
        <w:rPr>
          <w:rFonts w:hint="eastAsia" w:ascii="宋体" w:hAnsi="宋体" w:cs="宋体"/>
          <w:kern w:val="0"/>
          <w:sz w:val="32"/>
          <w:szCs w:val="32"/>
          <w:highlight w:val="none"/>
          <w:lang w:val="en-US" w:eastAsia="zh-CN"/>
        </w:rPr>
      </w:pPr>
    </w:p>
    <w:p>
      <w:pPr>
        <w:spacing w:line="560" w:lineRule="exact"/>
        <w:rPr>
          <w:rFonts w:hint="eastAsia" w:ascii="黑体" w:hAnsi="黑体" w:eastAsia="黑体" w:cs="黑体"/>
          <w:b w:val="0"/>
          <w:bCs/>
          <w:sz w:val="32"/>
          <w:szCs w:val="32"/>
          <w:highlight w:val="none"/>
        </w:rPr>
      </w:pPr>
    </w:p>
    <w:p/>
    <w:p>
      <w:pPr>
        <w:pStyle w:val="2"/>
      </w:pPr>
    </w:p>
    <w:p/>
    <w:p>
      <w:pPr>
        <w:pStyle w:val="2"/>
      </w:pPr>
    </w:p>
    <w:p/>
    <w:p>
      <w:pPr>
        <w:pStyle w:val="2"/>
      </w:pPr>
    </w:p>
    <w:p/>
    <w:p>
      <w:pPr>
        <w:pStyle w:val="2"/>
      </w:pPr>
    </w:p>
    <w:p/>
    <w:p>
      <w:pPr>
        <w:pStyle w:val="2"/>
      </w:pPr>
    </w:p>
    <w:p/>
    <w:p>
      <w:pPr>
        <w:pStyle w:val="2"/>
      </w:pPr>
    </w:p>
    <w:p>
      <w:pPr>
        <w:pStyle w:val="8"/>
        <w:keepNext w:val="0"/>
        <w:keepLines w:val="0"/>
        <w:pageBreakBefore w:val="0"/>
        <w:widowControl w:val="0"/>
        <w:tabs>
          <w:tab w:val="left" w:pos="8280"/>
          <w:tab w:val="left" w:pos="8487"/>
          <w:tab w:val="left" w:pos="8694"/>
        </w:tabs>
        <w:kinsoku/>
        <w:wordWrap/>
        <w:overflowPunct/>
        <w:topLinePunct w:val="0"/>
        <w:autoSpaceDE/>
        <w:autoSpaceDN/>
        <w:bidi w:val="0"/>
        <w:adjustRightInd/>
        <w:snapToGrid/>
        <w:spacing w:line="900" w:lineRule="exact"/>
        <w:ind w:left="327" w:leftChars="100" w:right="327" w:rightChars="100" w:firstLine="0" w:firstLineChars="0"/>
        <w:textAlignment w:val="auto"/>
        <w:rPr>
          <w:rFonts w:hint="eastAsia" w:ascii="宋体" w:hAnsi="宋体" w:eastAsia="仿宋_GB2312"/>
          <w:sz w:val="28"/>
        </w:rPr>
      </w:pPr>
    </w:p>
    <w:sectPr>
      <w:pgSz w:w="11905" w:h="16838"/>
      <w:pgMar w:top="1984" w:right="1587" w:bottom="2098" w:left="1474" w:header="851" w:footer="1361" w:gutter="0"/>
      <w:pgNumType w:fmt="decimal"/>
      <w:cols w:space="0" w:num="1"/>
      <w:titlePg/>
      <w:rtlGutter w:val="0"/>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51"/>
        <w:tab w:val="clear" w:pos="4153"/>
      </w:tabs>
      <w:ind w:left="320" w:leftChars="100" w:right="320" w:rightChars="100"/>
      <w:jc w:val="both"/>
      <w:rPr>
        <w:rFonts w:hint="eastAsia" w:ascii="宋体" w:hAnsi="宋体" w:eastAsia="宋体" w:cs="宋体"/>
        <w:sz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both"/>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5</w:t>
                          </w:r>
                          <w:r>
                            <w:rPr>
                              <w:rFonts w:hint="eastAsia" w:eastAsia="宋体" w:cs="宋体"/>
                              <w:sz w:val="28"/>
                              <w:lang w:eastAsia="zh-CN"/>
                            </w:rPr>
                            <w:fldChar w:fldCharType="end"/>
                          </w:r>
                          <w:r>
                            <w:rPr>
                              <w:rFonts w:hint="eastAsia"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5</w:t>
                    </w:r>
                    <w:r>
                      <w:rPr>
                        <w:rFonts w:hint="eastAsia" w:eastAsia="宋体" w:cs="宋体"/>
                        <w:sz w:val="28"/>
                        <w:lang w:eastAsia="zh-CN"/>
                      </w:rPr>
                      <w:fldChar w:fldCharType="end"/>
                    </w:r>
                    <w:r>
                      <w:rPr>
                        <w:rFonts w:hint="eastAsia" w:eastAsia="宋体" w:cs="宋体"/>
                        <w:sz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51"/>
        <w:tab w:val="clear" w:pos="4153"/>
      </w:tabs>
      <w:ind w:left="320" w:leftChars="100" w:right="320" w:rightChars="100"/>
      <w:jc w:val="both"/>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- 1 -</w:t>
                          </w:r>
                          <w:r>
                            <w:rPr>
                              <w:rFonts w:hint="eastAsia" w:eastAsia="宋体" w:cs="宋体"/>
                              <w:sz w:val="28"/>
                              <w:lang w:eastAsia="zh-CN"/>
                            </w:rPr>
                            <w:fldChar w:fldCharType="end"/>
                          </w:r>
                          <w:r>
                            <w:rPr>
                              <w:rFonts w:hint="eastAsia"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- 1 -</w:t>
                    </w:r>
                    <w:r>
                      <w:rPr>
                        <w:rFonts w:hint="eastAsia" w:eastAsia="宋体" w:cs="宋体"/>
                        <w:sz w:val="28"/>
                        <w:lang w:eastAsia="zh-CN"/>
                      </w:rPr>
                      <w:fldChar w:fldCharType="end"/>
                    </w:r>
                    <w:r>
                      <w:rPr>
                        <w:rFonts w:hint="eastAsia" w:eastAsia="宋体" w:cs="宋体"/>
                        <w:sz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both"/>
      <w:rPr>
        <w:rFonts w:hint="eastAsia" w:ascii="宋体" w:hAnsi="宋体" w:eastAsia="宋体" w:cs="宋体"/>
        <w:sz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5</w:t>
                          </w:r>
                          <w:r>
                            <w:rPr>
                              <w:rFonts w:hint="eastAsia" w:eastAsia="宋体" w:cs="宋体"/>
                              <w:sz w:val="28"/>
                              <w:lang w:eastAsia="zh-CN"/>
                            </w:rPr>
                            <w:fldChar w:fldCharType="end"/>
                          </w:r>
                          <w:r>
                            <w:rPr>
                              <w:rFonts w:hint="eastAsia"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3"/>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5</w:t>
                    </w:r>
                    <w:r>
                      <w:rPr>
                        <w:rFonts w:hint="eastAsia" w:eastAsia="宋体" w:cs="宋体"/>
                        <w:sz w:val="28"/>
                        <w:lang w:eastAsia="zh-CN"/>
                      </w:rPr>
                      <w:fldChar w:fldCharType="end"/>
                    </w:r>
                    <w:r>
                      <w:rPr>
                        <w:rFonts w:hint="eastAsia" w:eastAsia="宋体" w:cs="宋体"/>
                        <w:sz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996C0"/>
    <w:multiLevelType w:val="singleLevel"/>
    <w:tmpl w:val="225996C0"/>
    <w:lvl w:ilvl="0" w:tentative="0">
      <w:start w:val="1"/>
      <w:numFmt w:val="chineseCounting"/>
      <w:suff w:val="nothing"/>
      <w:lvlText w:val="（%1）"/>
      <w:lvlJc w:val="left"/>
      <w:rPr>
        <w:rFonts w:hint="eastAsia"/>
      </w:rPr>
    </w:lvl>
  </w:abstractNum>
  <w:abstractNum w:abstractNumId="1">
    <w:nsid w:val="5F34A01B"/>
    <w:multiLevelType w:val="singleLevel"/>
    <w:tmpl w:val="5F34A0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4"/>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A11A0"/>
    <w:rsid w:val="2B552315"/>
    <w:rsid w:val="397509A3"/>
    <w:rsid w:val="503640AC"/>
    <w:rsid w:val="594D55B8"/>
    <w:rsid w:val="ED7A9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paragraph" w:styleId="2">
    <w:name w:val="heading 3"/>
    <w:basedOn w:val="1"/>
    <w:next w:val="1"/>
    <w:unhideWhenUsed/>
    <w:qFormat/>
    <w:uiPriority w:val="0"/>
    <w:pPr>
      <w:spacing w:before="104" w:after="104"/>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正文 New New"/>
    <w:qFormat/>
    <w:uiPriority w:val="0"/>
    <w:pPr>
      <w:widowControl w:val="0"/>
      <w:jc w:val="both"/>
    </w:pPr>
    <w:rPr>
      <w:rFonts w:ascii="Calibri" w:hAnsi="Calibri"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lianxiang</dc:creator>
  <cp:lastModifiedBy>崔嘉仪</cp:lastModifiedBy>
  <cp:lastPrinted>2022-12-08T16:26:00Z</cp:lastPrinted>
  <dcterms:modified xsi:type="dcterms:W3CDTF">2022-12-08T18:22:31Z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9F8BAAB771834F5D913286E1D1D75085</vt:lpwstr>
  </property>
</Properties>
</file>