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bidi="ar-SA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bidi="ar-SA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 w:bidi="ar-SA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bidi="ar-SA"/>
        </w:rPr>
        <w:t>年广东省建筑施工“安全生产月”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bidi="ar-SA"/>
        </w:rPr>
        <w:t>和“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eastAsia="zh-CN" w:bidi="ar-SA"/>
        </w:rPr>
        <w:t>安全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val="en-US" w:eastAsia="zh-CN" w:bidi="ar-SA"/>
        </w:rPr>
        <w:t>生产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eastAsia="zh-CN" w:bidi="ar-SA"/>
        </w:rPr>
        <w:t>南粤行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highlight w:val="none"/>
          <w:lang w:bidi="ar-SA"/>
        </w:rPr>
        <w:t>”活动方案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今年6月是全国第21个“安全生产月”，主题是“遵守安全生产法 当好第一责任人”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国务院安委办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和省安委办的有关工作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-SA"/>
        </w:rPr>
        <w:t>省住房城乡建设厅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制定了20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年广东省建筑施工“安全生产月”和“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生产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南粤行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”活动方案，具体内容如下：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Times New Roman"/>
          <w:bCs/>
          <w:spacing w:val="12"/>
          <w:sz w:val="32"/>
          <w:szCs w:val="32"/>
          <w:highlight w:val="none"/>
          <w:lang w:bidi="ar-SA"/>
        </w:rPr>
      </w:pPr>
      <w:r>
        <w:rPr>
          <w:rFonts w:hint="eastAsia" w:ascii="仿宋" w:hAnsi="仿宋" w:eastAsia="仿宋" w:cs="Times New Roman"/>
          <w:bCs/>
          <w:spacing w:val="1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黑体" w:hAnsi="黑体" w:eastAsia="黑体" w:cs="Times New Roman"/>
          <w:bCs/>
          <w:spacing w:val="1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黑体" w:hAnsi="黑体" w:eastAsia="黑体" w:cs="Times New Roman"/>
          <w:bCs/>
          <w:spacing w:val="12"/>
          <w:sz w:val="32"/>
          <w:szCs w:val="32"/>
          <w:highlight w:val="none"/>
          <w:lang w:eastAsia="zh-CN" w:bidi="ar-SA"/>
        </w:rPr>
        <w:t>一、总体思路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1" w:firstLineChars="188"/>
        <w:textAlignment w:val="auto"/>
        <w:outlineLvl w:val="9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以习近平新时代中国特色社会主义思想为指导，深入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学习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贯彻习近平总书记关于安全生产重要论述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精神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，贯彻党中央、国务院关于安全生产重大决策部署，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落实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省委、省政府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有关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安全生产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工作要求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，坚持人民至上、生命至上，统筹经济发展、疫情防控和安全生产工作，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推动做好安全生产领域法律法规、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安全生产十五条措施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省的65条具体措施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等专题宣传，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扎实推进房屋市政工程安全生产治理和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自建房安全专项整治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，强化企业安全生产主体责任落实，全面排查整治建筑施工各类风险隐患，筑牢安全生产防线，提升本质安全水平，全力保障人民群众生命财产安全，为党的二十大胜利召开营造良好安全环境。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8" w:firstLineChars="200"/>
        <w:textAlignment w:val="auto"/>
        <w:outlineLvl w:val="9"/>
        <w:rPr>
          <w:rFonts w:hint="eastAsia" w:ascii="黑体" w:hAnsi="黑体" w:eastAsia="黑体" w:cs="Times New Roman"/>
          <w:bCs/>
          <w:spacing w:val="12"/>
          <w:sz w:val="32"/>
          <w:szCs w:val="32"/>
          <w:highlight w:val="none"/>
          <w:lang w:bidi="ar-SA"/>
        </w:rPr>
      </w:pPr>
      <w:r>
        <w:rPr>
          <w:rFonts w:hint="eastAsia" w:ascii="黑体" w:hAnsi="黑体" w:eastAsia="黑体" w:cs="Times New Roman"/>
          <w:bCs/>
          <w:spacing w:val="12"/>
          <w:sz w:val="32"/>
          <w:szCs w:val="32"/>
          <w:highlight w:val="none"/>
          <w:lang w:eastAsia="zh-CN" w:bidi="ar-SA"/>
        </w:rPr>
        <w:t>二</w:t>
      </w:r>
      <w:r>
        <w:rPr>
          <w:rFonts w:hint="eastAsia" w:ascii="黑体" w:hAnsi="黑体" w:eastAsia="黑体" w:cs="Times New Roman"/>
          <w:bCs/>
          <w:spacing w:val="12"/>
          <w:sz w:val="32"/>
          <w:szCs w:val="32"/>
          <w:highlight w:val="none"/>
          <w:lang w:bidi="ar-SA"/>
        </w:rPr>
        <w:t>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8" w:firstLineChars="200"/>
        <w:textAlignment w:val="auto"/>
        <w:outlineLvl w:val="9"/>
        <w:rPr>
          <w:rFonts w:hint="eastAsia" w:ascii="仿宋_GB2312" w:hAnsi="仿宋_GB2312" w:eastAsia="仿宋_GB2312" w:cs="Times New Roman"/>
          <w:spacing w:val="12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Times New Roman"/>
          <w:spacing w:val="12"/>
          <w:sz w:val="32"/>
          <w:szCs w:val="32"/>
          <w:highlight w:val="none"/>
          <w:lang w:bidi="ar-SA"/>
        </w:rPr>
        <w:t>“安全生产月”活动</w:t>
      </w:r>
      <w:r>
        <w:rPr>
          <w:rFonts w:hint="eastAsia" w:ascii="仿宋_GB2312" w:hAnsi="仿宋_GB2312" w:eastAsia="仿宋_GB2312" w:cs="Times New Roman"/>
          <w:spacing w:val="12"/>
          <w:sz w:val="32"/>
          <w:szCs w:val="32"/>
          <w:highlight w:val="none"/>
          <w:lang w:val="en-US" w:eastAsia="zh-CN" w:bidi="ar-SA"/>
        </w:rPr>
        <w:t>于</w:t>
      </w:r>
      <w:r>
        <w:rPr>
          <w:rFonts w:hint="eastAsia" w:ascii="仿宋_GB2312" w:hAnsi="仿宋_GB2312" w:eastAsia="仿宋_GB2312" w:cs="Times New Roman"/>
          <w:spacing w:val="12"/>
          <w:sz w:val="32"/>
          <w:szCs w:val="32"/>
          <w:highlight w:val="none"/>
          <w:lang w:bidi="ar-SA"/>
        </w:rPr>
        <w:t>20</w:t>
      </w:r>
      <w:r>
        <w:rPr>
          <w:rFonts w:hint="eastAsia" w:ascii="仿宋_GB2312" w:hAnsi="仿宋_GB2312" w:eastAsia="仿宋_GB2312" w:cs="Times New Roman"/>
          <w:spacing w:val="12"/>
          <w:sz w:val="32"/>
          <w:szCs w:val="32"/>
          <w:highlight w:val="none"/>
          <w:lang w:val="en-US" w:eastAsia="zh-CN" w:bidi="ar-SA"/>
        </w:rPr>
        <w:t>22</w:t>
      </w:r>
      <w:r>
        <w:rPr>
          <w:rFonts w:hint="eastAsia" w:ascii="仿宋_GB2312" w:hAnsi="仿宋_GB2312" w:eastAsia="仿宋_GB2312" w:cs="Times New Roman"/>
          <w:spacing w:val="12"/>
          <w:sz w:val="32"/>
          <w:szCs w:val="32"/>
          <w:highlight w:val="none"/>
          <w:lang w:bidi="ar-SA"/>
        </w:rPr>
        <w:t>年6月1日至30日</w:t>
      </w:r>
      <w:r>
        <w:rPr>
          <w:rFonts w:hint="eastAsia" w:ascii="仿宋_GB2312" w:hAnsi="仿宋_GB2312" w:eastAsia="仿宋_GB2312" w:cs="Times New Roman"/>
          <w:spacing w:val="12"/>
          <w:sz w:val="32"/>
          <w:szCs w:val="32"/>
          <w:highlight w:val="none"/>
          <w:lang w:val="en-US" w:eastAsia="zh-CN" w:bidi="ar-SA"/>
        </w:rPr>
        <w:t>开展，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安全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生产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南粤行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”与“安全生产月”同步启动，12月份结束</w:t>
      </w:r>
      <w:r>
        <w:rPr>
          <w:rFonts w:hint="eastAsia" w:ascii="仿宋_GB2312" w:hAnsi="仿宋_GB2312" w:eastAsia="仿宋_GB2312" w:cs="Times New Roman"/>
          <w:spacing w:val="12"/>
          <w:sz w:val="32"/>
          <w:szCs w:val="32"/>
          <w:highlight w:val="none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88" w:firstLineChars="200"/>
        <w:textAlignment w:val="auto"/>
        <w:outlineLvl w:val="9"/>
        <w:rPr>
          <w:rFonts w:hint="eastAsia" w:ascii="黑体" w:hAnsi="黑体" w:eastAsia="黑体" w:cs="Times New Roman"/>
          <w:bCs/>
          <w:spacing w:val="12"/>
          <w:sz w:val="32"/>
          <w:szCs w:val="32"/>
          <w:highlight w:val="none"/>
          <w:lang w:bidi="ar-SA"/>
        </w:rPr>
      </w:pPr>
      <w:r>
        <w:rPr>
          <w:rFonts w:hint="eastAsia" w:ascii="黑体" w:hAnsi="黑体" w:eastAsia="黑体" w:cs="Times New Roman"/>
          <w:bCs/>
          <w:spacing w:val="12"/>
          <w:sz w:val="32"/>
          <w:szCs w:val="32"/>
          <w:highlight w:val="none"/>
          <w:lang w:eastAsia="zh-CN" w:bidi="ar-SA"/>
        </w:rPr>
        <w:t>三、</w:t>
      </w:r>
      <w:r>
        <w:rPr>
          <w:rFonts w:hint="eastAsia" w:ascii="黑体" w:hAnsi="黑体" w:eastAsia="黑体" w:cs="Times New Roman"/>
          <w:bCs/>
          <w:spacing w:val="12"/>
          <w:sz w:val="32"/>
          <w:szCs w:val="32"/>
          <w:highlight w:val="none"/>
          <w:lang w:bidi="ar-SA"/>
        </w:rPr>
        <w:t>“安全生产月”活动安排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bidi="ar-SA"/>
        </w:rPr>
        <w:t>（一）开展安全生产专题学习宣讲活动。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持续深化理论武装。各地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各有关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部门要深刻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学习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领会习近平总书记关于安全生产重要论述的丰富内涵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贯彻落实国务院安委会关于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安全生产十五条硬措施内容要义，持续推进习近平总书记关于安全生产重要论述入脑入心、见行见效，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安全生产十五条硬措施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落实落地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组织专题学习。组织专题观看《生命重于泰山—学习习近平总书记关于安全生产重要论述》电视专题片，教育引导领导干部树牢“人民至上、生命至上”理念，切实把安全责任扛在肩上、落在行动上。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开展专题宣讲。党政“一把手”带头讲安全,企业第一责任人专题讲安全,一线工作者互动讲安全,通过开展安全生产“公开课”“大家谈”“班组会”等学习活动和在线访谈、基层宣讲等形式，提升全民安全意识，在全社会营造重视安全、守护平安的浓厚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bidi="ar-SA"/>
        </w:rPr>
        <w:t>（二）深入宣传贯彻安全生产法规标准。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广泛开展安全生产法主题宣传活动。各地要督促施工企业组织学习，督促企业法定代表人、实际控制人、实际负责人自觉把安全放在第一位，贯穿工作全过程各方面，切实担起安全生产“第一责任人”责任，带头尊法、学法、守法，主动研判风险、排查隐患，认真组织开展全员应急救援演练和知识技能培训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积极做好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安全生产执法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专题宣传。各地要积极宣贯学习住房城乡建设部《住房和城乡建设行政处罚程序规定》和《2022年第一批安全监管典型执法案例》，开展典型执法案例展示交流活动，加大以案释法和以案普法力度，对企业主体责任落实不到位被实行“一案双罚”的执法案例、安全生产行刑衔接典型案例，以及因发生生产安全事故构成重大责任事故罪的典型案例，加大曝光力度，形成舆论声势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积极开展《标准》宣贯。各地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各有关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部门要做好住房城乡建设部《房屋市政工程生产安全重大事故隐患判定标准（2022版）》宣传贯彻和政策解读，将《标准》作为监督执法人员、安全管理人员、关键岗位人员考核培训的重要内容，切实提升施工现场安全管理和安全监管水平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推动安全理念根植人心。各地要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广泛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bidi="ar-SA"/>
        </w:rPr>
        <w:t>开展“我是安全吹哨人”“查找身边的隐患”等活动，调动企业员工参与监督企业和主要负责人、项目负责人落实安全生产责任的主动性和自觉性；持续开展安全生产领域有奖举报，拓宽畅通投诉渠道，鼓励社会公众和施工人员举报安全生产重大风险、事故隐患和违法违规行为，不断深化群防群控、联防共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（三）深入开展房屋市政工程安全生产治理行动。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各地各有关部门要按照《全省房屋市政工程安全生产治理行动实施方案》要求，指导督促企业深入开展安全风险隐患自查和落实整改。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要强化组织领导。主要领导要亲自抓，周密部署，压实责任，明确路线图、时间表，采取精准有效措施，集中力量开展攻坚，推动房屋市政工程安全生产治理行动向纵深开展。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要把握好时间节点。7月底前对本地区所有房屋市政工程在建项目进行一次全覆盖、无死角排查，对发现的隐患问题进行全面整改；9月底前要开展隐患排查整治情况“回头看”，对前一段工作实施层级检查和重点项目抽查。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要突出重点任务、抓好三个结合。开展治理行动过程要严格管控危险性较大的分部分项工程、全面落实工程质量安全手册制度、提升施工现场人防物防技防水平、严厉打击各类违法违规行为、充分发挥政府投资工程示范带头作用。要注重落实参建各方主体责任和落实政府监管责任相结合，建筑市场管理和施工现场管理联动相结合，治理当前问题和夯实长远基础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val="en-US" w:eastAsia="zh-CN" w:bidi="ar-SA"/>
        </w:rPr>
        <w:t>（四）认真夯实城镇燃气安全基础。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围绕落实我省城镇燃气安全排查整治，精心组织开展形式多样、内容丰富的安全生产月系列活动。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发挥党建引领作用，强化燃气安全治理。采取与重点燃气企业共建支部活动等形式，进一步形成合力抓好燃气安全管理的浓厚氛围。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开展2022年度广东省城镇燃气应急救援演练，会同中山市认真筹备演练工作，实现以演促练、以练促战、以战促训的目标，切实提升全省城镇燃气应急处置能力。</w:t>
      </w:r>
      <w:r>
        <w:rPr>
          <w:rFonts w:hint="eastAsia" w:ascii="仿宋_GB2312" w:hAnsi="仿宋_GB2312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在六月份集中组织开展全省城镇燃气安全排查整治实地督导，由厅领导带队分赴各地发现存在的问题和不足，指导抓好安全排查整治工作落实。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 w:bidi="ar-SA"/>
        </w:rPr>
        <w:t>（五）开展“六大活动”增强全行业安全防范意识。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开展“安全宣传咨询日”活动。要创新宣传形式，丰富宣传载体，以群众通俗易懂、喜闻乐见的方式，开展线上为主、线上线下相结合的宣传咨询活动，传播安全知识，提升安全防范技能。邀请有影响的公众人物、行业专家、媒体人员等开展“主播讲安全”“专家远程会诊”“美好生活从安全开始话题征集”“新安法知多少”“救援技能趣味测试”等活动,组织开展“安全宣传全屏传播”,制作公益广告、海报、短视频、提示语音等,利用各传播载体集中推送,在全社会大力营造“关爱生命、关注安全”的浓厚氛围。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开展安全网络知识竞赛。要动员组织安全监管人员、建筑施工人员等参加全国安全知识网络竞赛，提高从业人员的安全知识和能力水平。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开展安全生产“云观摩”交流活动。各地要注重发挥典型示范引领作用，运用“云观摩”工地交流方式集中线上展示施工安全生产标准化建设、新技术应用、危大工程管控和智能建造、绿色建造、精益建造、装配式建造等内容，鼓励施工企业加大安全投入和技术推广，提升自主创新和本质安全水平。省厅推荐5个项目（见附件3）作为全省房屋市政工程领域可供观摩项目名单。</w:t>
      </w:r>
      <w:r>
        <w:rPr>
          <w:rFonts w:hint="eastAsia" w:ascii="仿宋_GB2312" w:hAnsi="仿宋_GB2312" w:eastAsia="仿宋_GB2312" w:cs="宋体"/>
          <w:b/>
          <w:bCs/>
          <w:kern w:val="0"/>
          <w:sz w:val="32"/>
          <w:szCs w:val="32"/>
          <w:highlight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广泛开展安全宣传“五进”活动。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各地各有关部门和相关单位在落实国务院安委办、应急管理部《关于推进安全宣传“五进”工作方案的通知》要求的基础上，结合地区防疫工作实际，紧密结合“我为群众办实事”实践活动，组织广大党员干部深入基层，察民情、访民意、办实事，切实推动安全宣传“五进”。</w:t>
      </w:r>
      <w:r>
        <w:rPr>
          <w:rFonts w:hint="eastAsia" w:ascii="仿宋_GB2312" w:hAnsi="仿宋_GB2312" w:eastAsia="仿宋_GB2312" w:cs="Times New Roman"/>
          <w:b/>
          <w:bCs/>
          <w:sz w:val="32"/>
          <w:szCs w:val="32"/>
          <w:highlight w:val="none"/>
          <w:lang w:val="en-US" w:eastAsia="zh-CN" w:bidi="ar-SA"/>
        </w:rPr>
        <w:t>五是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组织开展专家送服务下基层活动。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省住房城乡建设厅与省建筑安全协会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将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于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bidi="ar-SA"/>
        </w:rPr>
        <w:t>6月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份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bidi="ar-SA"/>
        </w:rPr>
        <w:t>联合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开展建筑施工安全专家送服务下基层活动，通过组织专家到省内边远地区为企业提供技术咨询服务，有效提升经济欠发达地区建筑施工安全生产管理水平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-SA"/>
        </w:rPr>
        <w:t>组织专家到部分地区精准指导企业管控风险、排除隐患，不断提高企业本质安全水平。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 w:bidi="ar-SA"/>
        </w:rPr>
        <w:t>六是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-SA"/>
        </w:rPr>
        <w:t>开展“安全生产南粤行”活动。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各地各有关部门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要积极开展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安全生产治理行动和自建房安全专项整治工作情况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的宣传工作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加大对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房屋市政工程安全生产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先进典型和经验做法的宣传报道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 w:bidi="ar-SA"/>
        </w:rPr>
        <w:t>同时要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结合建筑施工安全实际，开发制作科普知识读本、微课堂、微视频、小游戏等寓教于乐的安全宣传产品，推动应急科普宣传教育和安全体验基地规范化、科学化建设，广泛开展“安全行为红黑榜”“我是安全培训师”“安全生产特色工作法征集”等安全文化示范企业创建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（六）积极发挥媒体和群众监督作用。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各地各有关部门要围绕房屋市政工程安全生产治理、燃气安全专项整治等行动，打击建筑领域违法分包转包行为，强化燃气安全事故追责，严厉查处建筑施工劳务派遣违规用工行为，联合媒体报道进展成效，曝光突出问题。从6月至12月，各地住房城乡建设主管部门每月至少在本地主流媒体曝光1-2个典型案例，并向我厅报送情况。同时，结合我厅和属地政府组织的大检查工作，每月向我厅推荐1个高质量的曝光案例。通过传统媒体、新媒体和户外大屏等平台持续宣传安全生产举报奖励办法，鼓励广大群众特别是企业员工通过12350举报投诉热线、安全生产有奖举报平台，举报重大隐患和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225"/>
        <w:textAlignment w:val="auto"/>
        <w:outlineLvl w:val="9"/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bidi="ar-SA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val="en-US" w:eastAsia="zh-CN" w:bidi="ar-SA"/>
        </w:rPr>
        <w:t>四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黑体" w:hAnsi="黑体" w:eastAsia="黑体" w:cs="宋体"/>
          <w:bCs/>
          <w:kern w:val="0"/>
          <w:sz w:val="32"/>
          <w:szCs w:val="32"/>
          <w:highlight w:val="none"/>
          <w:lang w:bidi="ar-SA"/>
        </w:rPr>
        <w:t>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（一）加强组织领导。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各地各有关部门要具体明确“安全生产月”活动的责任部门、责任领导和责任人员，制定切实可行的“安全生产月”和“安全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生产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南粤行”活动方案，细化工作步骤、工作措施，组织和指导本地区“安全生产月”和“安全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生产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南粤行”相关活动的开展。此外，各地各有关部门领导班子成员要主动参加“安全生产月”和“安全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生产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南粤行”的活动，分管领导要带队检查和到基层工地组织开展施工安全宣传教育，确保活动全覆盖。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Times New Roman"/>
          <w:sz w:val="32"/>
          <w:szCs w:val="32"/>
          <w:highlight w:val="none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（二）精心组织实施。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各地各有关部门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bidi="ar-SA"/>
        </w:rPr>
        <w:t>要根据省住房城乡建设厅的工作部署，精心组织实施本地区“安全生产月”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和“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安全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生产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南粤行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”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bidi="ar-SA"/>
        </w:rPr>
        <w:t>活动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。要切实把“安全生产月”、“安全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生产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南粤行”活动与安全生产治理行动、自建房安全专项整治活动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工作方案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等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部署的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安全生产重点工作结合起来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，创新开展形式多样、成效显著的宣传教育活动，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持续推动安全生产重点工作落实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。要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bidi="ar-SA"/>
        </w:rPr>
        <w:t>牢固树立“安全第一”的思想，正确处理活动开展与当前疫情防控常态化的关系，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val="en-US" w:eastAsia="zh-CN" w:bidi="ar-SA"/>
        </w:rPr>
        <w:t>避免人员大规模聚集，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bidi="ar-SA"/>
        </w:rPr>
        <w:t>及时、妥善处理好各类突发事件和异常情况，全力确保各项活动安全有序进行。要重视发挥相关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eastAsia="zh-CN" w:bidi="ar-SA"/>
        </w:rPr>
        <w:t>行业</w:t>
      </w:r>
      <w:r>
        <w:rPr>
          <w:rFonts w:hint="eastAsia" w:ascii="仿宋_GB2312" w:hAnsi="仿宋_GB2312" w:eastAsia="仿宋_GB2312" w:cs="Times New Roman"/>
          <w:sz w:val="32"/>
          <w:szCs w:val="32"/>
          <w:highlight w:val="none"/>
          <w:lang w:bidi="ar-SA"/>
        </w:rPr>
        <w:t>协会的作用，充分调动建设、施工、监理等单位的积极性，做到活动内容丰富多彩，宣传教育富有成效。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（三）认真总结报告。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请各地各有关部门明确1名联络员，及时报送活动期间好的做法和视频、图片等资料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。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请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于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月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日前报送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2022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年“安全生产月”和“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安全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生产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南粤行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”活动联络员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推荐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表（附件1）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7月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日前和12月31日前分别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  <w:t>报送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lang w:bidi="ar-SA"/>
        </w:rPr>
        <w:t>“安全生产月”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和“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安全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生产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南粤行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”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lang w:bidi="ar-SA"/>
        </w:rPr>
        <w:t>活动总结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统计表（附件2）（纸质文件和电子文本）以及视频、照片等佐证材料。视频分辨率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val="en-US" w:eastAsia="zh-CN" w:bidi="ar-SA"/>
        </w:rPr>
        <w:t>要求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1920dpi×1080dpi，格式为MP4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eastAsia="zh-CN" w:bidi="ar-SA"/>
        </w:rPr>
        <w:t>；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highlight w:val="none"/>
          <w:lang w:bidi="ar-SA"/>
        </w:rPr>
        <w:t>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片分辨率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低于1920dpi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×1080dpi,格式为JPG。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附件：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1.广东省建筑施工“安全生产月”活动联络员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广东省建筑施工“安全生产月”活动进展情况统计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right="0" w:rightChars="0" w:firstLine="320" w:firstLineChars="1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600" w:firstLineChars="500"/>
        <w:textAlignment w:val="auto"/>
        <w:outlineLvl w:val="9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644" w:right="1474" w:bottom="1418" w:left="1588" w:header="851" w:footer="992" w:gutter="0"/>
          <w:pgNumType w:fmt="numberInDash" w:start="1"/>
          <w:cols w:space="720" w:num="1"/>
          <w:docGrid w:type="lines" w:linePitch="318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3.示范项目概况</w:t>
      </w:r>
    </w:p>
    <w:tbl>
      <w:tblPr>
        <w:tblStyle w:val="7"/>
        <w:tblW w:w="138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340"/>
        <w:gridCol w:w="1800"/>
        <w:gridCol w:w="2520"/>
        <w:gridCol w:w="1980"/>
        <w:gridCol w:w="2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9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40" w:lineRule="exact"/>
              <w:rPr>
                <w:rFonts w:hint="eastAsia" w:ascii="宋体" w:hAnsi="宋体" w:eastAsia="黑体" w:cs="宋体"/>
                <w:color w:val="000000"/>
                <w:sz w:val="32"/>
                <w:szCs w:val="24"/>
                <w:lang w:eastAsia="zh-CN" w:bidi="ar-SA"/>
              </w:rPr>
            </w:pPr>
            <w:r>
              <w:rPr>
                <w:rFonts w:hint="eastAsia" w:ascii="宋体" w:hAnsi="宋体" w:eastAsia="黑体" w:cs="宋体"/>
                <w:color w:val="000000"/>
                <w:sz w:val="32"/>
                <w:szCs w:val="24"/>
                <w:lang w:bidi="ar-SA"/>
              </w:rPr>
              <w:t>附件</w:t>
            </w:r>
            <w:r>
              <w:rPr>
                <w:rFonts w:hint="eastAsia" w:ascii="宋体" w:hAnsi="宋体" w:eastAsia="黑体" w:cs="宋体"/>
                <w:color w:val="000000"/>
                <w:sz w:val="32"/>
                <w:szCs w:val="24"/>
                <w:lang w:val="en-US" w:eastAsia="zh-CN" w:bidi="ar-SA"/>
              </w:rPr>
              <w:t>1</w:t>
            </w:r>
          </w:p>
          <w:p>
            <w:pPr>
              <w:spacing w:line="540" w:lineRule="exact"/>
              <w:jc w:val="center"/>
              <w:rPr>
                <w:rFonts w:hint="eastAsia" w:ascii="小标宋" w:hAnsi="小标宋" w:eastAsia="小标宋" w:cs="小标宋"/>
                <w:color w:val="000000"/>
                <w:sz w:val="44"/>
                <w:szCs w:val="44"/>
                <w:lang w:bidi="ar-SA"/>
              </w:rPr>
            </w:pPr>
            <w:r>
              <w:rPr>
                <w:rFonts w:hint="eastAsia" w:ascii="小标宋" w:hAnsi="小标宋" w:eastAsia="小标宋" w:cs="小标宋"/>
                <w:color w:val="000000"/>
                <w:sz w:val="44"/>
                <w:szCs w:val="44"/>
                <w:lang w:val="en-US" w:eastAsia="zh-CN" w:bidi="ar-SA"/>
              </w:rPr>
              <w:t>广东省建筑施工</w:t>
            </w:r>
            <w:r>
              <w:rPr>
                <w:rFonts w:hint="eastAsia" w:ascii="小标宋" w:hAnsi="小标宋" w:eastAsia="小标宋" w:cs="小标宋"/>
                <w:color w:val="000000"/>
                <w:sz w:val="44"/>
                <w:szCs w:val="44"/>
                <w:lang w:bidi="ar-SA"/>
              </w:rPr>
              <w:t>“安全生产月”活动联络员</w:t>
            </w:r>
            <w:r>
              <w:rPr>
                <w:rFonts w:hint="eastAsia" w:ascii="小标宋" w:hAnsi="小标宋" w:eastAsia="小标宋" w:cs="小标宋"/>
                <w:color w:val="000000"/>
                <w:sz w:val="44"/>
                <w:szCs w:val="44"/>
                <w:lang w:val="en-US" w:eastAsia="zh-CN" w:bidi="ar-SA"/>
              </w:rPr>
              <w:t>推荐</w:t>
            </w:r>
            <w:r>
              <w:rPr>
                <w:rFonts w:hint="eastAsia" w:ascii="小标宋" w:hAnsi="小标宋" w:eastAsia="小标宋" w:cs="小标宋"/>
                <w:color w:val="000000"/>
                <w:sz w:val="44"/>
                <w:szCs w:val="44"/>
                <w:lang w:bidi="ar-SA"/>
              </w:rPr>
              <w:t>表</w:t>
            </w:r>
          </w:p>
          <w:p>
            <w:pPr>
              <w:spacing w:line="540" w:lineRule="exact"/>
              <w:jc w:val="center"/>
              <w:rPr>
                <w:rFonts w:ascii="宋体" w:hAnsi="宋体" w:eastAsia="方正小标宋简体" w:cs="宋体"/>
                <w:b/>
                <w:bCs/>
                <w:color w:val="000000"/>
                <w:sz w:val="44"/>
                <w:szCs w:val="4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89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eastAsia="方正小标宋简体" w:cs="宋体"/>
                <w:b/>
                <w:bCs/>
                <w:color w:val="000000"/>
                <w:sz w:val="44"/>
                <w:szCs w:val="4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职务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手机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传真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QQ</w:t>
            </w: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微信号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24"/>
                <w:lang w:bidi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电子邮箱</w:t>
            </w:r>
          </w:p>
        </w:tc>
        <w:tc>
          <w:tcPr>
            <w:tcW w:w="2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单位名称</w:t>
            </w:r>
          </w:p>
        </w:tc>
        <w:tc>
          <w:tcPr>
            <w:tcW w:w="11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ascii="宋体" w:hAnsi="宋体" w:eastAsia="仿宋_GB2312" w:cs="Times New Roman"/>
                <w:color w:val="000000"/>
                <w:sz w:val="32"/>
                <w:szCs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color w:val="000000"/>
                <w:sz w:val="32"/>
                <w:szCs w:val="24"/>
                <w:lang w:bidi="ar-SA"/>
              </w:rPr>
              <w:t>通信地址</w:t>
            </w:r>
          </w:p>
        </w:tc>
        <w:tc>
          <w:tcPr>
            <w:tcW w:w="11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仿宋_GB2312" w:cs="宋体"/>
                <w:color w:val="000000"/>
                <w:sz w:val="32"/>
                <w:szCs w:val="24"/>
                <w:lang w:bidi="ar-SA"/>
              </w:rPr>
            </w:pPr>
          </w:p>
        </w:tc>
      </w:tr>
    </w:tbl>
    <w:p>
      <w:pPr>
        <w:bidi w:val="0"/>
        <w:spacing w:line="240" w:lineRule="auto"/>
        <w:rPr>
          <w:rFonts w:hint="eastAsia" w:ascii="Times New Roman" w:hAnsi="Times New Roman" w:eastAsia="宋体" w:cs="Times New Roman"/>
          <w:sz w:val="21"/>
          <w:szCs w:val="20"/>
          <w:lang w:bidi="ar-SA"/>
        </w:rPr>
      </w:pPr>
    </w:p>
    <w:p>
      <w:pPr>
        <w:pStyle w:val="2"/>
        <w:rPr>
          <w:rFonts w:hint="eastAsia"/>
        </w:rPr>
      </w:pPr>
    </w:p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br w:type="page"/>
      </w:r>
    </w:p>
    <w:p>
      <w:pPr>
        <w:bidi w:val="0"/>
        <w:spacing w:line="240" w:lineRule="auto"/>
        <w:rPr>
          <w:rFonts w:hint="eastAsia" w:ascii="黑体" w:hAnsi="黑体" w:eastAsia="黑体" w:cs="黑体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2</w:t>
      </w:r>
    </w:p>
    <w:p>
      <w:pPr>
        <w:pStyle w:val="2"/>
        <w:ind w:left="0" w:leftChars="0" w:firstLine="0" w:firstLineChars="0"/>
        <w:jc w:val="center"/>
        <w:rPr>
          <w:rFonts w:ascii="方正小标宋简体" w:hAnsi="华文中宋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color w:val="000000"/>
          <w:sz w:val="44"/>
          <w:szCs w:val="44"/>
        </w:rPr>
        <w:t>广东省建筑施工“安全生产月”活动进展情况统计表</w:t>
      </w:r>
    </w:p>
    <w:p>
      <w:pPr>
        <w:pStyle w:val="2"/>
        <w:ind w:left="0" w:leftChars="0" w:firstLine="0" w:firstLineChars="0"/>
        <w:rPr>
          <w:rFonts w:ascii="仿宋_GB2312"/>
          <w:b/>
          <w:bCs/>
          <w:color w:val="000000"/>
          <w:sz w:val="28"/>
          <w:szCs w:val="28"/>
        </w:rPr>
      </w:pP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填报单位（盖章）：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　　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联系人：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电话：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cs="仿宋_GB2312"/>
          <w:b/>
          <w:bCs/>
          <w:color w:val="000000"/>
          <w:sz w:val="28"/>
          <w:szCs w:val="28"/>
        </w:rPr>
        <w:t>填报日期：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cs="仿宋_GB2312"/>
          <w:b/>
          <w:bCs/>
          <w:color w:val="000000"/>
          <w:sz w:val="28"/>
          <w:szCs w:val="28"/>
          <w:u w:val="single"/>
        </w:rPr>
        <w:t>　　</w:t>
      </w:r>
      <w:r>
        <w:rPr>
          <w:rFonts w:ascii="仿宋_GB2312" w:cs="仿宋_GB2312"/>
          <w:b/>
          <w:bCs/>
          <w:color w:val="000000"/>
          <w:sz w:val="28"/>
          <w:szCs w:val="28"/>
          <w:u w:val="single"/>
        </w:rPr>
        <w:t xml:space="preserve">    </w:t>
      </w:r>
    </w:p>
    <w:tbl>
      <w:tblPr>
        <w:tblStyle w:val="7"/>
        <w:tblW w:w="13789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5397"/>
        <w:gridCol w:w="5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601" w:type="dxa"/>
            <w:vAlign w:val="top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</w:rPr>
              <w:t>活动项目</w:t>
            </w:r>
          </w:p>
        </w:tc>
        <w:tc>
          <w:tcPr>
            <w:tcW w:w="5397" w:type="dxa"/>
            <w:tcBorders>
              <w:left w:val="nil"/>
            </w:tcBorders>
            <w:vAlign w:val="top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</w:rPr>
              <w:t>内容要求</w:t>
            </w:r>
          </w:p>
        </w:tc>
        <w:tc>
          <w:tcPr>
            <w:tcW w:w="5791" w:type="dxa"/>
            <w:tcBorders>
              <w:left w:val="nil"/>
            </w:tcBorders>
            <w:vAlign w:val="top"/>
          </w:tcPr>
          <w:p>
            <w:pPr>
              <w:pStyle w:val="2"/>
              <w:ind w:left="-65" w:leftChars="-31" w:firstLine="8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601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  <w:t>学习习近平总书记关于</w:t>
            </w:r>
          </w:p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  <w:t>安全生产重要论述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理论学习中心组开展深入学习，专题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观看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电视专题片；各级领导干部和企业负责人开展安全生产“大家谈”“公开课”“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班组会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”和在线访谈、基层宣讲等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；在报刊、广播、网络等媒体平台开设宣传专题、设置宣传专栏、张贴宣传挂图，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习近平总书记关于安全生产的重要论述精神在基层的宣贯工作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理论学习中心组学习（  ）次，参与（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专题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观看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《生命重于泰山——学习习近平总书记关于安全生产重要论述》电视专题片 □是□否；组织集中学习观看（  ）场，参与（  ）人次；</w:t>
            </w: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开展安全生产“大家谈”“公开课”“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班组会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”和在线访谈、基层宣讲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场，参与（  ）人次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before="0" w:beforeAutospacing="0" w:line="240" w:lineRule="exact"/>
              <w:ind w:left="0" w:leftChars="0" w:firstLine="423" w:firstLineChars="0"/>
              <w:rPr>
                <w:rFonts w:hint="eastAsia" w:asci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在报刊、广播、网络等媒体平台开设宣传专题、设置宣传专栏、张贴宣传挂图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601" w:type="dxa"/>
            <w:vAlign w:val="center"/>
          </w:tcPr>
          <w:p>
            <w:pPr>
              <w:pStyle w:val="2"/>
              <w:spacing w:before="0" w:beforeAutospacing="0" w:line="240" w:lineRule="exact"/>
              <w:ind w:left="6" w:leftChars="0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安全生产治理行动、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自建房安全专项整治专题活动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68" w:firstLineChars="0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组织各类媒体报道集中攻坚重点任务进展情况、工作成效；宣传推广安全生产责任落实和安全诚信、安全承诺、专家服务、精准执法、举报奖励等经验做法；广泛发动企业职工开展“安全红袖章”“事故隐患大扫除”“争做安全吹哨人”等活动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组织媒体报道集中攻坚重点任务进展情况、工作成效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等（  ）次，刊发新闻报道（   ）篇；</w:t>
            </w:r>
          </w:p>
          <w:p>
            <w:pPr>
              <w:pStyle w:val="2"/>
              <w:spacing w:before="0" w:beforeAutospacing="0" w:line="240" w:lineRule="exact"/>
              <w:ind w:left="0" w:leftChars="0" w:firstLineChars="0"/>
              <w:rPr>
                <w:rFonts w:ascii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宣传推广经验做法（  ）个，刊发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新闻报道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（  ）篇；</w:t>
            </w:r>
          </w:p>
          <w:p>
            <w:pPr>
              <w:pStyle w:val="2"/>
              <w:spacing w:before="0" w:beforeAutospacing="0" w:line="240" w:lineRule="exact"/>
              <w:ind w:left="0" w:leftChars="0" w:firstLine="420" w:firstLineChars="20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企业开展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“安全红袖章”“事故隐患大扫除”“争做安全吹哨人”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等活动（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）场，参与（   ）人次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2601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“</w:t>
            </w:r>
            <w:r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·</w:t>
            </w:r>
            <w:r>
              <w:rPr>
                <w:rFonts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16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安全宣传咨询日”</w:t>
            </w:r>
          </w:p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ascii="黑体" w:hAnsi="黑体" w:eastAsia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11" w:firstLineChars="196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各地各有关部门和相关单位要结合属地防疫工作实际，创新宣传方式，广泛开展群众喜闻乐见、形式多样、线上线下相结合的安全宣传咨询活动，集中宣传安全生产方针政策、法律法规、安全知识和自救互救方法等，解答群众关心的安全生产问题、建筑工人维权和建筑安全科普知识宣传。邀请有影响的公众人物、行业专家、媒体人员等开展“主播讲安全”“专家远程会诊”“美好生活从安全开始话题征集”“新安法知多少”“救援技能趣味测试”等活动,组织开展“安全宣传全屏传播”,制作公益广告、海报、短视频、提示语音等,利用各传播载体集中推送,在全社会大力营造“关爱生命、关注安全”的浓厚氛围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开展“主播讲安全”“专家远程会诊”(  )场,参与(  )人次；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“美好生活从安全开始话题征集”(  )条,参与(  )人次；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“新安法知多少”“救援技能趣味测试”等活动(  )场,参与(  )人次；制作公益广告、海报、短视频、提示语音等(  )条/份,宣传受众(  )人次。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2601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推进安全宣传“五进”活动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-57" w:leftChars="-27" w:firstLine="411" w:firstLineChars="196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项目各参建企业认真排查梳理自身重大安全风险，灵活使用沙盘、网络平台等，针对各类危险性较大的分部分项工程组织开展应急救援演练，重点演练建筑起重机械防台风、高空坠落救援、坍塌救援、消防和紧急医疗救援等项目，向一线施工人员普及安全生产和应急救援知识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制作各类安全宣传产品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  ）部，开展建筑起重机械防台风、高空坠落救援、坍塌救援、消防和紧急医疗救援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演练（  ）场，参与（  ）人次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601" w:type="dxa"/>
            <w:vAlign w:val="center"/>
          </w:tcPr>
          <w:p>
            <w:pPr>
              <w:pStyle w:val="2"/>
              <w:spacing w:before="0" w:beforeAutospacing="0" w:line="240" w:lineRule="exact"/>
              <w:ind w:left="-59" w:leftChars="-31" w:hanging="6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“安全生产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南粤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行”活动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pStyle w:val="2"/>
              <w:spacing w:line="240" w:lineRule="exact"/>
              <w:ind w:left="0" w:leftChars="0" w:firstLine="411" w:firstLineChars="196"/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各地区、各有关部门和单位采取多种形式组织开展好专题行、区域行、网上行等活动，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加大对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房屋市政工程安全生产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先进典型和经验做法的宣传报道，加强问题隐患和反面典型曝光，加强典型事故的案例剖析、警示教育，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推动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有关部门和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企业落实安全生产责任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充分利用“全国安全宣教和应急科普平台”，采取线上线下结合、线上为主线下为辅的方式，结合建筑施工安全实际，开发制作科普知识读本、微课堂、微视频、小游戏等寓教于乐的安全宣传产品，推动应急科普宣传教育和安全体验基地规范化、科学化建设，广泛开展“安全行为红黑榜”“我是安全培训师”“安全生产特色工作法征集”等安全文化示范企业创建活动。</w:t>
            </w:r>
          </w:p>
        </w:tc>
        <w:tc>
          <w:tcPr>
            <w:tcW w:w="5791" w:type="dxa"/>
            <w:tcBorders>
              <w:left w:val="nil"/>
            </w:tcBorders>
            <w:vAlign w:val="center"/>
          </w:tcPr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曝光问题隐患（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）条，省级主流媒体曝光典型案例（   ）个，媒体转发报道（   ）篇；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>组织观看典型事故警示教育片（    ）场，参与（   ）人次；组织参观警示教育展览（   ）场，参与（   ）人次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开展“专题行”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次、“区域行”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次、“网上行”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</w:rPr>
              <w:t xml:space="preserve">使用全国安全宣教和应急科普平台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□是</w:t>
            </w:r>
            <w:r>
              <w:rPr>
                <w:rFonts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□否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仿宋_GB2312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安全文化示范企业创建活动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  ）场，参与（  ）人次</w:t>
            </w:r>
            <w:r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spacing w:before="0" w:beforeAutospacing="0" w:line="240" w:lineRule="exact"/>
              <w:ind w:left="-57" w:leftChars="-27" w:firstLine="471" w:firstLineChars="0"/>
              <w:rPr>
                <w:rFonts w:hint="eastAsia" w:ascii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textAlignment w:val="auto"/>
        <w:rPr>
          <w:rFonts w:hint="eastAsia" w:ascii="仿宋_GB2312" w:hAnsi="仿宋_GB2312" w:eastAsia="仿宋_GB2312" w:cs="Times New Roman"/>
          <w:sz w:val="32"/>
          <w:szCs w:val="32"/>
        </w:rPr>
        <w:sectPr>
          <w:pgSz w:w="16838" w:h="11906" w:orient="landscape"/>
          <w:pgMar w:top="1587" w:right="1644" w:bottom="1474" w:left="1417" w:header="851" w:footer="992" w:gutter="0"/>
          <w:pgNumType w:fmt="numberInDash"/>
          <w:cols w:space="720" w:num="1"/>
          <w:rtlGutter w:val="0"/>
          <w:docGrid w:type="lines" w:linePitch="44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-SA"/>
        </w:rPr>
        <w:t>附件3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  <w:highlight w:val="none"/>
          <w:lang w:val="en-US" w:eastAsia="zh-CN" w:bidi="ar-SA"/>
        </w:rPr>
        <w:t>示范项目概况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 w:bidi="ar-SA"/>
        </w:rPr>
        <w:t>分会场项目一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白云机场三期扩建工程周边临空经济产业园区基础设施一期工程（平西安置区-南区）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工程地点：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广州市花都区平步大道南侧、三东大道北侧、平龙路西侧、西临铁山河、跨平西村与新和村区。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建筑面积：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总建筑面积约为61.8万平方米，其中住宅建筑面积约为40万平方米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工程概况：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总建筑面积约为61.8万平方米，其中住宅建筑面积约为40万平方米，塔楼共计58栋（地上13层，地下1/2层），单体建筑面积5000平方米以上均100%采用装配式建筑（装配率52%）。建筑物最大高度41.2米，单跨最大跨度17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施工单位：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广州建筑股份有限公司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监理单位：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广州建筑工程监理有限公司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建设单位：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广州机场建设投资集团有限公司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-SA"/>
        </w:rPr>
        <w:t>观摩亮点：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 w:firstLineChars="200"/>
        <w:jc w:val="both"/>
        <w:textAlignment w:val="auto"/>
        <w:outlineLvl w:val="3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bookmarkStart w:id="0" w:name="_Toc103028753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1.党建活动——项目党建引领聚力，红色引擎推动保安全</w:t>
      </w:r>
      <w:bookmarkEnd w:id="0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2.疫情防控——项目部高度重视疫情防控工作，承办“广州市建设工地疫情防控应急演练活动”；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3.为加强施工现场安全生产和文明施工管理，广建集团编制了《广州市建筑集团有限公司项目标准化管理手册》，用以指导各项目标准化、规范化施工管理；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4.安全应急演练：为提升管理人员及作业人员的安全意识，保证项目安全生产，项目部大力开展应急消防演练，建立应急救援组织、配备救援人员，提升项目处置应急事件的能力；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5.装配式铝模支撑体系+装配式结构吊装平衡架；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-SA"/>
        </w:rPr>
      </w:pPr>
      <w:bookmarkStart w:id="1" w:name="_Toc103028757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6.智慧建造</w:t>
      </w:r>
      <w:bookmarkEnd w:id="1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：通过项目智慧工地平台集成了生产、进度、质量、安全、技术、劳务等子系统；自主研发的GJS施工组织智能系统-塔吊布置模块；塔吊防碰撞系统；劳务实名制系统；施工升降机监控系统；建设工程项目管理信息化系统（广建平台）；BIM+虚拟建造技术；溶洞探测安全技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</w:pPr>
      <w:bookmarkStart w:id="2" w:name="_Toc103028758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7.创新安全技术</w:t>
      </w:r>
      <w:bookmarkEnd w:id="2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：安全计算模块、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-SA"/>
        </w:rPr>
        <w:t>溶洞探测安全技术、新型脚手架连墙件、塔吊模具化防水装置、装配式建筑预制板机电管线及线盒预埋技术、集中电缆和管道穿墙位置封堵施工技术等。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分会场项目二：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鸿荣源博誉府（A812-1039）、鸿荣源博誉府（A812-1040）、宝山时代大厦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工程地点：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深圳市龙华区梅龙大道东，民治民福北路西，民兴路南，民旺路北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建筑面积：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520999.2㎡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工程概况：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项目用地面积53241.6㎡，总建筑面积约为520999.2㎡，共计4个地块；01地块含4栋超150m超高层住宅及1栋3层幼儿园；02地块含5栋超140m超高层住宅；03地块含1栋200m写字楼及1栋4层裙楼；04地块含1栋100m写字楼及4层栋裙楼。地上部分建筑共计11栋塔楼（含9栋住宅、2栋写字楼）、2栋裙楼、1个12班幼儿园、1个社区文化活动室、一个公交首末站组成；是集合大型商业、办公、住宅、幼儿园、旅馆业建筑等公共配套的大型综合体项目；本工程涉及装配式建筑（铝模、爬架、PC）、钢结构等施工，地块内全部为装配式建筑，预制构件为预制凸窗、预制外墙、叠合板、钢筋桁架楼承板、轻质隔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施工单位：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中国华西企业有限公司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监理单位：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深圳市建力建设监理有限公司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建设单位：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深圳市佰亨置业有限公司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bidi="ar-SA"/>
        </w:rPr>
        <w:t>观摩亮点：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永临结合：楼层消防用水采用永临结合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施工道路采用永临结合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楼层临时卫生间采用永临结合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地下室照明采用消防烟感线路永临结合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研发采用新型外墙截水系统（集成成品保护+雨水收集+吊篮停放平台）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四口五临边、防护棚均采用定型化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研发采用施工电梯自动翻板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BIM+智慧工地协同平台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危大工程采用自动检测系统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门岗设置电子哨兵，为防疫工作增加保障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bidi="ar-SA"/>
        </w:rPr>
        <w:t>一站式安全体验、施工用电、小型机具样板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分会场项目三：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横琴科学城（二期）标段二项目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工程地点：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横琴粤澳深度合作区厚朴道东侧、环岛西路西侧、胜洲三路北侧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建筑面积：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约46.1万㎡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工程概况：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项目共包含9栋单体，其中4栋为超高层，最高178.6m，下设两层地下室；是集办公、停车场、商业、公交场站、产业办公设施等多种业态为一体的产业园区。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施工单位：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中国建筑第八工程局有限公司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监理单位：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深圳市恒浩建工程项目管理有限公司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建设单位：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珠海大横琴科学城开发管理有限公司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观摩亮点：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1.安全管理：安全管理核心：项目践行“人民至上，生命至上”安全发展理念，明确各个层级、各个岗位安全职责并开展考核，全员管安全;安全教育开展8项教育4项评比;安全管理7个习惯;移动高空作业平台“3210”管理法则;安全管理可视化;安全管理网格化;安全管理双“211”巡查机制;零散人员安全保护三道防线;21天安全习惯养成反光衣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2.安全设施及工具：消防水到作业面；卸料平台及外部防护网；塔式起重机吊钩激光定位；竖向洞口护栏固定装置；安全标准化防护；行业先进临边高处作业安全带系挂装置如安全绳、防坠器、双钩安全带等；组装式垃圾通道；移动式登高平台标准化；临时用电标准化及电缆线绝缘架空工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3.安全科技：施工升降机安全监测； 塔吊安全监测；施工用电安全监测；高支模安全监测；临边防护网监测；实名制防疫监测等；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分会场项目四：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OPPO长安研发中心项目（二）6号移动互联网研究中心、7号测试中心、8号地下室工程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工程地点：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东莞市长安镇德政中路143号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建筑面积：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236459.38㎡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工程概况：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建设用地面积：35622.36㎡，总建筑面积：236459.38㎡，6号移动互联网研究中心3栋37层塔楼、7号测试中心2栋34层塔楼，共5个单体及裙房、地下室-2层，框架-剪力墙结构，采用桩筏基础。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施工单位：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中国建筑第四工程局有限公司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监理单位：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海建科工程咨询有限公司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建设单位：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广东明创软件科技有限公司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观摩亮点：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1.智慧工地、BIM技术应用、3D智能测量；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2.集成附着式升降脚手架；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3.党建+VR安全党建体验；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4.超高层建筑群、主体结构呈不规则椭圆形结构、外立面为不规则异形玻璃幕墙；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5.工具式定型化临时设施；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6.施工扬尘控制、施工噪音控制；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7.深基坑施工监测技术；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8.实体安全体验教育、劳保用品可视化交底、安全用电认知教学、模拟消防灭火教学、安全知识考核系统；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9.工人健康驿站；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10.塔吊标准节预警螺母使用；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11.塔吊、电梯可视化监控管理；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12.组合铝合金模板施工技术。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分会场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中深科技创新产业园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工程地点：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广东省中山市南朗镇（翠亨新区起步区）东二围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建筑面积：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383051.76㎡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工程概况：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中深科技创新产业园项目位于广东省中山市翠亨新区，占地面积约7.5万平方米，总建筑面积约38.3万平方米，其中地下室建筑面积约6.9万平方米，地下一层，地上16栋2～31层的办公楼、宿舍楼及研发设计楼，合同金额约12.93亿。现阶段地下室全部封顶、局部楼栋封顶，高层施工到5~10层。项目建成后将充分发挥翠亨新区湾央之城的区位优势，依托新区科技、人才相结合的广阔平台，打造集智能制造、高科技研发等高新产业于一体的“产、城、人”融合共生的科技云谷产业新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施工单位：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中建三局第一建设工程有限责任公司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监理单位：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深圳市合创建设工程顾问有限公司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建设单位：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深中（广东）高新产业园发展有限公司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 w:bidi="ar-SA"/>
        </w:rPr>
        <w:t>观摩亮点：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安全文明施工方面：现场临边洞口防护、塔吊防攀爬、安全防护棚与通道均采用工具式成品防护，临水临电消防管线统一按标准化进行铺设并刷漆；现场设置安全体验区，可对消防灭火、心脏复苏等进行实际演练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绿色施工方面：使用海水利用系统、自动喷淋、废料利用加工车间、预制构件加工车间、节能灯具等一系列措施达到节能减排的效果，符合国家推行的低碳环保理念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3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项目积极推广BIM技术，已完成机电管综深化、砌体预留洞口三维出图、三维场布、实景建模、BIM安全标准化建模、塔吊防碰撞模拟、工程量统计等53项内容，利用BIM可视化特点，提高生产效率，减少返工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智慧工地应用：投入使用智慧大屏、智能水电表、多功能门禁系统、防拆报警装置、全景监控、塔吊防碰撞、检到位系统、吊钩可视化系统、自动喷淋等智能设备，将项目打造成高效率的智慧工地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党建工作：项目按照公司要求，设立党建活动室，并与业主开展党建共建活动，张贴党建CI标语等，致力于打造党建示范工地。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Times New Roman"/>
          <w:kern w:val="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Times New Roman"/>
          <w:kern w:val="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Times New Roman"/>
          <w:kern w:val="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Times New Roman"/>
          <w:kern w:val="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Times New Roman"/>
          <w:kern w:val="0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Times New Roman"/>
          <w:kern w:val="0"/>
          <w:sz w:val="32"/>
          <w:szCs w:val="32"/>
          <w:lang w:eastAsia="zh-CN" w:bidi="ar-SA"/>
        </w:rPr>
      </w:pPr>
    </w:p>
    <w:sectPr>
      <w:footerReference r:id="rId8" w:type="default"/>
      <w:pgSz w:w="11906" w:h="16838"/>
      <w:pgMar w:top="1644" w:right="1474" w:bottom="1417" w:left="1587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spacing w:line="240" w:lineRule="atLeast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jc w:val="left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snapToGrid w:val="0"/>
      <w:spacing w:line="240" w:lineRule="atLeast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single" w:color="auto" w:sz="6" w:space="1"/>
      </w:pBdr>
      <w:snapToGrid w:val="0"/>
      <w:spacing w:line="240" w:lineRule="atLeast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Y2JkZjkzNzNmYTY0NmE2NTNhMTRmZGIwMDJmOTUifQ=="/>
  </w:docVars>
  <w:rsids>
    <w:rsidRoot w:val="1E0B5CF0"/>
    <w:rsid w:val="1E0B5CF0"/>
    <w:rsid w:val="5661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4"/>
    <w:next w:val="1"/>
    <w:qFormat/>
    <w:uiPriority w:val="0"/>
    <w:pPr>
      <w:keepNext/>
      <w:keepLines/>
      <w:widowControl w:val="0"/>
      <w:spacing w:beforeLines="0" w:beforeAutospacing="0" w:afterLines="0" w:afterAutospacing="0" w:line="360" w:lineRule="auto"/>
      <w:jc w:val="both"/>
      <w:outlineLvl w:val="3"/>
    </w:pPr>
    <w:rPr>
      <w:rFonts w:ascii="Arial" w:hAnsi="Arial" w:eastAsia="仿宋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Plain Text"/>
    <w:qFormat/>
    <w:uiPriority w:val="0"/>
    <w:pPr>
      <w:widowControl w:val="0"/>
      <w:spacing w:line="600" w:lineRule="exact"/>
      <w:jc w:val="both"/>
    </w:pPr>
    <w:rPr>
      <w:rFonts w:hint="eastAsia" w:ascii="宋体" w:hAnsi="Courier New" w:eastAsia="仿宋_GB2312" w:cs="Times New Roman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仿宋_GB2312" w:asciiTheme="minorHAnsi" w:hAnsiTheme="minorHAnsi" w:cstheme="minorBidi"/>
      <w:kern w:val="2"/>
      <w:sz w:val="18"/>
      <w:szCs w:val="18"/>
      <w:lang w:val="en-US" w:eastAsia="zh-CN" w:bidi="ar-SA"/>
    </w:rPr>
  </w:style>
  <w:style w:type="character" w:styleId="9">
    <w:name w:val="Hyperlink"/>
    <w:qFormat/>
    <w:uiPriority w:val="0"/>
    <w:rPr>
      <w:color w:val="333333"/>
      <w:u w:val="none"/>
    </w:rPr>
  </w:style>
  <w:style w:type="paragraph" w:customStyle="1" w:styleId="10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9285</Words>
  <Characters>9615</Characters>
  <Lines>0</Lines>
  <Paragraphs>0</Paragraphs>
  <TotalTime>2</TotalTime>
  <ScaleCrop>false</ScaleCrop>
  <LinksUpToDate>false</LinksUpToDate>
  <CharactersWithSpaces>9790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2022-06-02T08:49:00Z</dcterms:created>
  <dc:creator>刘妍文</dc:creator>
  <cp:lastModifiedBy>追梦人</cp:lastModifiedBy>
  <cp:lastPrinted>2022-06-02T08:52:00Z</cp:lastPrinted>
  <dcterms:modified xsi:type="dcterms:W3CDTF">2022-06-02T09:35:50Z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BF6334E54E214E8DB47E847F0609A919</vt:lpwstr>
  </property>
</Properties>
</file>