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D28C" w14:textId="48083017" w:rsidR="00731F0F" w:rsidRPr="00731F0F" w:rsidRDefault="00731F0F" w:rsidP="00731F0F">
      <w:pPr>
        <w:jc w:val="right"/>
        <w:rPr>
          <w:rFonts w:ascii="仿宋" w:eastAsia="仿宋" w:hAnsi="仿宋"/>
          <w:sz w:val="30"/>
          <w:szCs w:val="30"/>
        </w:rPr>
      </w:pPr>
      <w:r w:rsidRPr="00731F0F">
        <w:rPr>
          <w:rFonts w:ascii="仿宋" w:eastAsia="仿宋" w:hAnsi="仿宋" w:hint="eastAsia"/>
          <w:sz w:val="30"/>
          <w:szCs w:val="30"/>
        </w:rPr>
        <w:t>建科〔</w:t>
      </w:r>
      <w:r w:rsidRPr="00731F0F">
        <w:rPr>
          <w:rFonts w:ascii="仿宋" w:eastAsia="仿宋" w:hAnsi="仿宋"/>
          <w:sz w:val="30"/>
          <w:szCs w:val="30"/>
        </w:rPr>
        <w:t>2020〕95号</w:t>
      </w:r>
    </w:p>
    <w:p w14:paraId="75D2019E" w14:textId="664DDB31" w:rsidR="00731F0F" w:rsidRPr="00731F0F" w:rsidRDefault="00731F0F" w:rsidP="00731F0F">
      <w:pPr>
        <w:jc w:val="center"/>
        <w:rPr>
          <w:rFonts w:ascii="宋体" w:eastAsia="宋体" w:hAnsi="宋体"/>
          <w:b/>
          <w:bCs/>
          <w:sz w:val="40"/>
          <w:szCs w:val="44"/>
        </w:rPr>
      </w:pPr>
      <w:r w:rsidRPr="00731F0F">
        <w:rPr>
          <w:rFonts w:ascii="宋体" w:eastAsia="宋体" w:hAnsi="宋体" w:hint="eastAsia"/>
          <w:b/>
          <w:bCs/>
          <w:sz w:val="40"/>
          <w:szCs w:val="44"/>
        </w:rPr>
        <w:t>住房和城乡建设部</w:t>
      </w:r>
      <w:r w:rsidRPr="00731F0F">
        <w:rPr>
          <w:rFonts w:ascii="宋体" w:eastAsia="宋体" w:hAnsi="宋体"/>
          <w:b/>
          <w:bCs/>
          <w:sz w:val="40"/>
          <w:szCs w:val="44"/>
        </w:rPr>
        <w:t xml:space="preserve"> 体育总局关于</w:t>
      </w:r>
    </w:p>
    <w:p w14:paraId="26103AB9" w14:textId="3288815B" w:rsidR="007012B5" w:rsidRPr="00731F0F" w:rsidRDefault="00731F0F" w:rsidP="00731F0F">
      <w:pPr>
        <w:jc w:val="center"/>
        <w:rPr>
          <w:rFonts w:ascii="宋体" w:eastAsia="宋体" w:hAnsi="宋体"/>
          <w:b/>
          <w:bCs/>
          <w:sz w:val="40"/>
          <w:szCs w:val="44"/>
        </w:rPr>
      </w:pPr>
      <w:r w:rsidRPr="00731F0F">
        <w:rPr>
          <w:rFonts w:ascii="宋体" w:eastAsia="宋体" w:hAnsi="宋体" w:hint="eastAsia"/>
          <w:b/>
          <w:bCs/>
          <w:sz w:val="40"/>
          <w:szCs w:val="44"/>
        </w:rPr>
        <w:t>全面推进城市社区足球场地设施建设的意见</w:t>
      </w:r>
    </w:p>
    <w:p w14:paraId="39D7418C" w14:textId="3F5D60A0" w:rsidR="00731F0F" w:rsidRDefault="00731F0F" w:rsidP="00731F0F"/>
    <w:p w14:paraId="7C50AA5F" w14:textId="77777777" w:rsidR="00731F0F" w:rsidRDefault="00731F0F" w:rsidP="00731F0F">
      <w:pPr>
        <w:rPr>
          <w:rFonts w:hint="eastAsia"/>
        </w:rPr>
      </w:pPr>
    </w:p>
    <w:p w14:paraId="0B705697" w14:textId="626AF7CD"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各省、自治区住房和城乡建设厅、体育局，直辖市住房和城乡建设（管）委、体育局，新疆生产建设兵团住房和城乡建设局、体育局：</w:t>
      </w:r>
    </w:p>
    <w:p w14:paraId="4D37B499" w14:textId="3CB1599A"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建设城市社区足球场地设施是增加社区活动场地，推动社区足球发展，促进群众体育蓬勃开展的基本保障。</w:t>
      </w:r>
      <w:r w:rsidRPr="00731F0F">
        <w:rPr>
          <w:rFonts w:ascii="仿宋" w:eastAsia="仿宋" w:hAnsi="仿宋"/>
          <w:sz w:val="30"/>
          <w:szCs w:val="30"/>
        </w:rPr>
        <w:t>2019年4月以来，住房和城乡建设部、体育总局指导武汉、大连等9个试点城市探索建设了一批非标准、非规则社区足球场地设施，积累了可复制可推广的经验。为贯彻落实党中央、国务院关于足球改革发展的决策部署，推动实施全民健身计划、健康中国行动，全面推进城市社区足球场地设施建设工作，现提出如下意见。</w:t>
      </w:r>
    </w:p>
    <w:p w14:paraId="53FE97A1" w14:textId="7AC73286"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一、总体要求</w:t>
      </w:r>
    </w:p>
    <w:p w14:paraId="06B0416F" w14:textId="46EA26C1"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一）指导思想。以习近平新时代中国特色社会主义思想为指导，全面贯彻党的十九大和十九届二中、三中、四中、五中全会精神，坚持以人民为中心，贯彻新发展理念，落实《国务院办公厅关于加强全民健身场地设施建设发展群众体育的意见》《中国足球改革发展总体方案》《中国足球中长期发展规划（</w:t>
      </w:r>
      <w:r w:rsidRPr="00731F0F">
        <w:rPr>
          <w:rFonts w:ascii="仿宋" w:eastAsia="仿宋" w:hAnsi="仿宋"/>
          <w:sz w:val="30"/>
          <w:szCs w:val="30"/>
        </w:rPr>
        <w:t>2016—2050年）》，以城市生态修复功能完善、城镇老旧小区改造、完整居住社区建设等城市更新工作为契机，将社区足球场地设施建设</w:t>
      </w:r>
      <w:r w:rsidRPr="00731F0F">
        <w:rPr>
          <w:rFonts w:ascii="仿宋" w:eastAsia="仿宋" w:hAnsi="仿宋"/>
          <w:sz w:val="30"/>
          <w:szCs w:val="30"/>
        </w:rPr>
        <w:lastRenderedPageBreak/>
        <w:t>作为重要民生工程和促进全民健身的基础性工程，以解决实际问题，满足社区居民体育健身需要为出发点，调动全社会力量共</w:t>
      </w:r>
      <w:r w:rsidRPr="00731F0F">
        <w:rPr>
          <w:rFonts w:ascii="仿宋" w:eastAsia="仿宋" w:hAnsi="仿宋" w:hint="eastAsia"/>
          <w:sz w:val="30"/>
          <w:szCs w:val="30"/>
        </w:rPr>
        <w:t>同参与，抓紧补齐社区体育设施短板，推动城市高质量发展，为振兴足球事业、建设体育强国打下坚实基础。</w:t>
      </w:r>
    </w:p>
    <w:p w14:paraId="2C30D269" w14:textId="1FDD9F7E"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（二）总体目标。</w:t>
      </w:r>
    </w:p>
    <w:p w14:paraId="1909D229" w14:textId="143C7566"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w:t>
      </w:r>
      <w:r w:rsidRPr="00731F0F">
        <w:rPr>
          <w:rFonts w:ascii="仿宋" w:eastAsia="仿宋" w:hAnsi="仿宋"/>
          <w:sz w:val="30"/>
          <w:szCs w:val="30"/>
        </w:rPr>
        <w:t>2025年，地级及以上城市建立健全社区足球场地设施建设工作机制和管理模式，按照完整居住社区建设标准，实现新建居住社区内至少配建一片非标准足球场地设施，既有城市社区因地制宜配建社区足球场地设施。</w:t>
      </w:r>
    </w:p>
    <w:p w14:paraId="546A20AF" w14:textId="6E708E9D"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w:t>
      </w:r>
      <w:r w:rsidRPr="00731F0F">
        <w:rPr>
          <w:rFonts w:ascii="仿宋" w:eastAsia="仿宋" w:hAnsi="仿宋"/>
          <w:sz w:val="30"/>
          <w:szCs w:val="30"/>
        </w:rPr>
        <w:t>2035年，地级及以上城市社区实现足球场地设施全覆盖，具备条件的城市街道、街区内配建一片标准足球场地设施。</w:t>
      </w:r>
    </w:p>
    <w:p w14:paraId="44AF4B37" w14:textId="6F1BFE97"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二、夯实基础工作，统筹谋划社区足球场地设施建设</w:t>
      </w:r>
    </w:p>
    <w:p w14:paraId="6206B387" w14:textId="2002D3E1"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三）加强组织领导。提高政治站位，从推进足球改革发展、贯彻全民健身国家战略、实施健康中国行动的高度，推进社区足球场地设施建设。各省级住房和城乡建设、体育主管部门要指导城市结合城镇老旧小区改造、全民健身场地设施建设等工作，建立社区足球场地设施建设推进机制，确定工作目标和重点任务，逐项抓好任务落实。城市住房和城乡建设、体育主管部门要争取将社区足球场地设施建设列入本地重要民生工程、城市更新重点项目，建立政府部门协调机制，明确任务分工，完善支持激励政策，充分发挥区（县）政府、街道和社区的积极性，共同推进社区足球场地设施建设。</w:t>
      </w:r>
    </w:p>
    <w:p w14:paraId="55AB7DBD" w14:textId="27871D4E"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lastRenderedPageBreak/>
        <w:t xml:space="preserve">　　（四）科学制定方案计划。客观评估社区足球场地设施建设、布局和使用情况，摸清家底，找准短板。根据社区人口数量、群众需求、建设条件、服务半径等，因地制宜制定工作方案和实施计划，科学合理确定社区足球场地设施布局和建设要求，明确行动目标、重点任务和建设时序。</w:t>
      </w:r>
    </w:p>
    <w:p w14:paraId="3848D8A3" w14:textId="057C0684"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五）简化建设项目审批程序。城市住房和城乡建设、体育主管部门要加强与发展改革、生态环境、自然资源、文化、水务、园林、城市管理等部门的沟通协调，探索创新城市社区足球场地设施建设项目审批机制，针对社区足球场地设施建设项目审批“周期长、困难多、协同差”等问题，结合工程建设项目审批制度改革，简化审批程序，优化审批流程，推行审批事项清单制和告知承诺制，提高社区足球场地设施建设项目审批效率。</w:t>
      </w:r>
    </w:p>
    <w:p w14:paraId="2037D47C" w14:textId="0212ACE1"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三、充分挖潜资源，破解社区足球场地设施选址建设难题</w:t>
      </w:r>
    </w:p>
    <w:p w14:paraId="4CD49C54" w14:textId="217EECB0"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六）严格执行建设标准。按照《城市居住区规划设计标准》《完整居住社区建设标准（试行）》要求，参照《城市社区足球场地设施建设技术指南》和《城市社区足球场地设施建设试点示范图集》（从住房和城乡建设部门户网站下载），合理配套建设社区足球场地设施。新建住宅项目要严格执行配套建设标准和规定，确保社区足球场地设施与住宅同步规划、同步建设、同步验收和同步交付。</w:t>
      </w:r>
    </w:p>
    <w:p w14:paraId="6A6885D4" w14:textId="1D4AD137"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（七）复合利用存量资源。充分挖潜利用现有场地资源，在群众身边“因地建场”。紧密结合城市生态修复功能完善、城镇</w:t>
      </w:r>
      <w:r w:rsidRPr="00731F0F">
        <w:rPr>
          <w:rFonts w:ascii="仿宋" w:eastAsia="仿宋" w:hAnsi="仿宋" w:hint="eastAsia"/>
          <w:sz w:val="30"/>
          <w:szCs w:val="30"/>
        </w:rPr>
        <w:lastRenderedPageBreak/>
        <w:t>老旧小区改造、完整居住社区建设等城市更新工作，在征得居民同意的前提下，通过租赁、购置、置换和改造等方式，合理利用具备条件的城市空闲地、边角地、公园绿地、城市路桥附属用地、厂房、建筑屋顶等空间资源，建设改造社区足球场地设施。</w:t>
      </w:r>
    </w:p>
    <w:p w14:paraId="0ECD0B8E" w14:textId="5A48FB14"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八）灵活建设场地设施。结合场地条件，灵活建设各类永久性或临时性社区足球场地设施。既有城市社区用地空间紧张的，要因地制宜推动与其他体育项目场地复合利用、综合设置，满足社区居民多样化运动需求。不具备标准足球场地设施建设条件的，鼓励在确保场地安全性的前提下，灵活建设非标准、非规则社区足球场地设施。鼓励推进相邻社区及周边地区联动建设，加强体育设施共建共享。</w:t>
      </w:r>
    </w:p>
    <w:p w14:paraId="39DF65CB" w14:textId="3CD50EC6"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九）积极推行适宜技术。注重社区足球场地设施、建筑材料的多样性、适宜性、经济性和环保性。结合足球场地位置、地势、气候和土壤条件，设计场地形式、选择场地材质，科学设计场地排水、喷灌、围挡、照明和标识等，做到安全、便民、实用。</w:t>
      </w:r>
    </w:p>
    <w:p w14:paraId="1B4AD59F" w14:textId="54A499F8"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四、健全管理体制，完善社区足球场地设施运营维护机制</w:t>
      </w:r>
    </w:p>
    <w:p w14:paraId="7BDFF866" w14:textId="49B3A958"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十）探索运营维护模式。积极探索建立社区足球场地设施运营维护长效机制，明确运营维护主体、责任和权益。可按照属地管理原则，由用地权属单位、所在地街道等委托专业机构、物业公司、社区组织参与社区足球场地设施运营维护，保障足球场地设施功能和服务水平，提高足球场地设施的使用效率和寿命。</w:t>
      </w:r>
    </w:p>
    <w:p w14:paraId="49229562" w14:textId="0C745E2D"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（十一）坚持共建共治共享。探索多元化资金筹措机制，鼓</w:t>
      </w:r>
      <w:r w:rsidRPr="00731F0F">
        <w:rPr>
          <w:rFonts w:ascii="仿宋" w:eastAsia="仿宋" w:hAnsi="仿宋" w:hint="eastAsia"/>
          <w:sz w:val="30"/>
          <w:szCs w:val="30"/>
        </w:rPr>
        <w:lastRenderedPageBreak/>
        <w:t>励政企联动，以公建民营、民办公助等多种形式吸引社会资本建设运营社区足球场地设施。增加对社区足球场地设施建设资金投入，通过财政补助、体育彩票公益金、开发性金融等多种渠道对社区足球场地设施建设予以资金支持。坚持公益为主，让社区居民用得起足球场地，共享优质的公共体育服务。</w:t>
      </w:r>
    </w:p>
    <w:p w14:paraId="29602571" w14:textId="674DA994"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十二）推动场地高效利用。充分利用互联网、大数据等信息化技术，提升社区足球场地设施智能化管理水平。鼓励有条件的地方建设智慧社区、智慧足球场地设施服务系统，提供线上、线下服务，提高场地利用和管理效率。探索在保证正常教学秩序和教学安全的前提下，逐步推动校园足球场地设施在节假日、课余时间向学生和社会开放，建立学校和社区场地资源共享机制。</w:t>
      </w:r>
    </w:p>
    <w:p w14:paraId="6F26438C" w14:textId="296F8CAD"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 xml:space="preserve">　　（十三）营造社区足球氛围。围绕社区足球场地设施有效使用，积极培育发展社区居民身边的健身组织，广泛开展各类体育比赛，推动形成全民健身、全民参与足球运动的良好氛围，让更多的社区居民热爱运动、享受足球，弘扬中华体育精神，培养团结协作、顽强拼搏、昂扬向上的精神风貌。</w:t>
      </w:r>
    </w:p>
    <w:p w14:paraId="00A43EBD" w14:textId="46C6682C" w:rsidR="00731F0F" w:rsidRPr="00731F0F" w:rsidRDefault="00731F0F" w:rsidP="00731F0F">
      <w:pPr>
        <w:ind w:firstLine="420"/>
        <w:rPr>
          <w:rFonts w:ascii="仿宋" w:eastAsia="仿宋" w:hAnsi="仿宋"/>
          <w:sz w:val="30"/>
          <w:szCs w:val="30"/>
        </w:rPr>
      </w:pPr>
      <w:r w:rsidRPr="00731F0F">
        <w:rPr>
          <w:rFonts w:ascii="仿宋" w:eastAsia="仿宋" w:hAnsi="仿宋" w:hint="eastAsia"/>
          <w:sz w:val="30"/>
          <w:szCs w:val="30"/>
        </w:rPr>
        <w:t>各省级住房和城乡建设、体育主管部门要加强对本地区城市社区足球场地设施建设工作的组织领导，指导城市建立工作计划、工作台账和考核机制，推进各类社区足球场地设施建设，确保足球场地设施建设质量和使用安全。住房和城乡建设部、体育总局将加强对各地工作的监督指导。</w:t>
      </w:r>
    </w:p>
    <w:p w14:paraId="7D8A8968" w14:textId="77777777" w:rsidR="00731F0F" w:rsidRPr="00731F0F" w:rsidRDefault="00731F0F" w:rsidP="00731F0F">
      <w:pPr>
        <w:ind w:firstLine="420"/>
        <w:rPr>
          <w:rFonts w:ascii="仿宋" w:eastAsia="仿宋" w:hAnsi="仿宋" w:hint="eastAsia"/>
          <w:sz w:val="30"/>
          <w:szCs w:val="30"/>
        </w:rPr>
      </w:pPr>
    </w:p>
    <w:p w14:paraId="2F93701A" w14:textId="77777777" w:rsidR="00731F0F" w:rsidRPr="00731F0F" w:rsidRDefault="00731F0F" w:rsidP="00731F0F">
      <w:pPr>
        <w:rPr>
          <w:rFonts w:ascii="仿宋" w:eastAsia="仿宋" w:hAnsi="仿宋"/>
          <w:sz w:val="30"/>
          <w:szCs w:val="30"/>
        </w:rPr>
      </w:pPr>
    </w:p>
    <w:p w14:paraId="11D7AC13" w14:textId="772DB55C" w:rsidR="00731F0F" w:rsidRPr="00731F0F" w:rsidRDefault="00731F0F" w:rsidP="00731F0F">
      <w:pPr>
        <w:jc w:val="right"/>
        <w:rPr>
          <w:rFonts w:ascii="仿宋" w:eastAsia="仿宋" w:hAnsi="仿宋"/>
          <w:sz w:val="30"/>
          <w:szCs w:val="30"/>
        </w:rPr>
      </w:pPr>
      <w:r w:rsidRPr="00731F0F">
        <w:rPr>
          <w:rFonts w:ascii="仿宋" w:eastAsia="仿宋" w:hAnsi="仿宋" w:hint="eastAsia"/>
          <w:sz w:val="30"/>
          <w:szCs w:val="30"/>
        </w:rPr>
        <w:t>住房和城乡建设部</w:t>
      </w:r>
    </w:p>
    <w:p w14:paraId="19F11F9C" w14:textId="46405BA7" w:rsidR="00731F0F" w:rsidRPr="00731F0F" w:rsidRDefault="00731F0F" w:rsidP="00731F0F">
      <w:pPr>
        <w:jc w:val="right"/>
        <w:rPr>
          <w:rFonts w:ascii="仿宋" w:eastAsia="仿宋" w:hAnsi="仿宋"/>
          <w:sz w:val="30"/>
          <w:szCs w:val="30"/>
        </w:rPr>
      </w:pPr>
      <w:r w:rsidRPr="00731F0F">
        <w:rPr>
          <w:rFonts w:ascii="仿宋" w:eastAsia="仿宋" w:hAnsi="仿宋"/>
          <w:sz w:val="30"/>
          <w:szCs w:val="30"/>
        </w:rPr>
        <w:t>体 育 总 局</w:t>
      </w:r>
    </w:p>
    <w:p w14:paraId="52565AD1" w14:textId="2E08F713" w:rsidR="00731F0F" w:rsidRPr="00731F0F" w:rsidRDefault="00731F0F" w:rsidP="00731F0F">
      <w:pPr>
        <w:jc w:val="right"/>
        <w:rPr>
          <w:rFonts w:ascii="仿宋" w:eastAsia="仿宋" w:hAnsi="仿宋"/>
          <w:sz w:val="30"/>
          <w:szCs w:val="30"/>
        </w:rPr>
      </w:pPr>
      <w:r w:rsidRPr="00731F0F">
        <w:rPr>
          <w:rFonts w:ascii="仿宋" w:eastAsia="仿宋" w:hAnsi="仿宋"/>
          <w:sz w:val="30"/>
          <w:szCs w:val="30"/>
        </w:rPr>
        <w:t>2020年11月24日</w:t>
      </w:r>
    </w:p>
    <w:p w14:paraId="55E6F823" w14:textId="77777777" w:rsidR="00731F0F" w:rsidRPr="00731F0F" w:rsidRDefault="00731F0F" w:rsidP="00731F0F">
      <w:pPr>
        <w:rPr>
          <w:rFonts w:ascii="仿宋" w:eastAsia="仿宋" w:hAnsi="仿宋"/>
          <w:sz w:val="30"/>
          <w:szCs w:val="30"/>
        </w:rPr>
      </w:pPr>
    </w:p>
    <w:p w14:paraId="18CA4C5B" w14:textId="77777777" w:rsidR="00731F0F" w:rsidRPr="00731F0F" w:rsidRDefault="00731F0F" w:rsidP="00731F0F">
      <w:pPr>
        <w:rPr>
          <w:rFonts w:ascii="仿宋" w:eastAsia="仿宋" w:hAnsi="仿宋"/>
          <w:sz w:val="30"/>
          <w:szCs w:val="30"/>
        </w:rPr>
      </w:pPr>
    </w:p>
    <w:p w14:paraId="4E7E81FE" w14:textId="28FB72D7" w:rsidR="00731F0F" w:rsidRPr="00731F0F" w:rsidRDefault="00731F0F" w:rsidP="00731F0F">
      <w:pPr>
        <w:rPr>
          <w:rFonts w:ascii="仿宋" w:eastAsia="仿宋" w:hAnsi="仿宋" w:hint="eastAsia"/>
          <w:sz w:val="30"/>
          <w:szCs w:val="30"/>
        </w:rPr>
      </w:pPr>
      <w:r w:rsidRPr="00731F0F">
        <w:rPr>
          <w:rFonts w:ascii="仿宋" w:eastAsia="仿宋" w:hAnsi="仿宋" w:hint="eastAsia"/>
          <w:sz w:val="30"/>
          <w:szCs w:val="30"/>
        </w:rPr>
        <w:t>（此件公开发布）</w:t>
      </w:r>
    </w:p>
    <w:sectPr w:rsidR="00731F0F" w:rsidRPr="00731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0F"/>
    <w:rsid w:val="007012B5"/>
    <w:rsid w:val="0073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C5DE"/>
  <w15:chartTrackingRefBased/>
  <w15:docId w15:val="{19B70DF5-8A9B-472E-957E-3F40C0D6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1693">
      <w:bodyDiv w:val="1"/>
      <w:marLeft w:val="0"/>
      <w:marRight w:val="0"/>
      <w:marTop w:val="0"/>
      <w:marBottom w:val="0"/>
      <w:divBdr>
        <w:top w:val="none" w:sz="0" w:space="0" w:color="auto"/>
        <w:left w:val="none" w:sz="0" w:space="0" w:color="auto"/>
        <w:bottom w:val="none" w:sz="0" w:space="0" w:color="auto"/>
        <w:right w:val="none" w:sz="0" w:space="0" w:color="auto"/>
      </w:divBdr>
    </w:div>
    <w:div w:id="10794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jdb</dc:creator>
  <cp:keywords/>
  <dc:description/>
  <cp:lastModifiedBy>jdb</cp:lastModifiedBy>
  <cp:revision>1</cp:revision>
  <dcterms:created xsi:type="dcterms:W3CDTF">2022-03-11T09:52:00Z</dcterms:created>
  <dcterms:modified xsi:type="dcterms:W3CDTF">2022-03-11T09:57:00Z</dcterms:modified>
</cp:coreProperties>
</file>