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firstLineChars="0"/>
        <w:rPr>
          <w:rFonts w:hint="eastAsia" w:ascii="仿宋_GB2312" w:hAnsi="仿宋_GB2312" w:eastAsia="仿宋_GB2312" w:cs="仿宋_GB2312"/>
          <w:sz w:val="32"/>
          <w:szCs w:val="40"/>
        </w:rPr>
      </w:pPr>
      <w:bookmarkStart w:id="0" w:name="_Hlk7437908"/>
      <w:r>
        <w:rPr>
          <w:rFonts w:hint="eastAsia" w:ascii="仿宋_GB2312" w:hAnsi="仿宋_GB2312" w:eastAsia="仿宋_GB2312" w:cs="仿宋_GB2312"/>
          <w:sz w:val="32"/>
          <w:szCs w:val="40"/>
        </w:rPr>
        <w:t>附件</w:t>
      </w:r>
      <w:r>
        <w:rPr>
          <w:rFonts w:hint="eastAsia" w:ascii="仿宋_GB2312" w:hAnsi="仿宋_GB2312" w:eastAsia="仿宋_GB2312" w:cs="仿宋_GB2312"/>
          <w:sz w:val="32"/>
          <w:szCs w:val="40"/>
          <w:lang w:val="en-US" w:eastAsia="zh-CN"/>
        </w:rPr>
        <w:t>1</w:t>
      </w:r>
      <w:bookmarkStart w:id="2" w:name="_GoBack"/>
      <w:bookmarkEnd w:id="2"/>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Times New Roman" w:hAnsi="Times New Roman" w:eastAsia="方正小标宋简体" w:cs="Times New Roman"/>
          <w:sz w:val="44"/>
          <w:szCs w:val="52"/>
        </w:rPr>
      </w:pPr>
      <w:r>
        <w:rPr>
          <w:rFonts w:hint="eastAsia" w:ascii="Times New Roman" w:hAnsi="Times New Roman" w:eastAsia="方正小标宋简体" w:cs="Times New Roman"/>
          <w:sz w:val="44"/>
          <w:szCs w:val="52"/>
        </w:rPr>
        <w:t>广东省建筑工程高技能人才职称评价</w:t>
      </w: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default" w:ascii="Times New Roman" w:hAnsi="Times New Roman" w:eastAsia="方正小标宋简体" w:cs="Times New Roman"/>
          <w:sz w:val="36"/>
          <w:szCs w:val="44"/>
        </w:rPr>
      </w:pPr>
      <w:r>
        <w:rPr>
          <w:rFonts w:hint="eastAsia" w:ascii="Times New Roman" w:hAnsi="Times New Roman" w:eastAsia="方正小标宋简体" w:cs="Times New Roman"/>
          <w:sz w:val="44"/>
          <w:szCs w:val="52"/>
        </w:rPr>
        <w:t>基本标准条件</w:t>
      </w:r>
    </w:p>
    <w:p>
      <w:pPr>
        <w:pStyle w:val="2"/>
        <w:ind w:firstLine="0" w:firstLineChars="0"/>
        <w:jc w:val="center"/>
        <w:rPr>
          <w:rFonts w:hint="default" w:ascii="Times New Roman" w:hAnsi="Times New Roman" w:eastAsia="方正小标宋简体" w:cs="Times New Roman"/>
          <w:sz w:val="32"/>
          <w:szCs w:val="32"/>
        </w:rPr>
      </w:pPr>
      <w:r>
        <w:rPr>
          <w:rFonts w:hint="eastAsia" w:ascii="Times New Roman" w:hAnsi="Times New Roman" w:eastAsia="方正小标宋简体" w:cs="Times New Roman"/>
          <w:sz w:val="32"/>
          <w:szCs w:val="32"/>
        </w:rPr>
        <w:t>（试行）</w:t>
      </w:r>
    </w:p>
    <w:p>
      <w:pPr>
        <w:spacing w:line="580" w:lineRule="exact"/>
        <w:ind w:firstLine="600" w:firstLineChars="200"/>
        <w:rPr>
          <w:rFonts w:ascii="黑体" w:hAnsi="黑体" w:eastAsia="黑体" w:cs="黑体"/>
          <w:sz w:val="30"/>
          <w:szCs w:val="30"/>
        </w:rPr>
      </w:pP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一、遵守中华人民共和国宪法和法律法规。</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二、具有良好的职业道德、敬业精神，作风端正。</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三、热爱本职工作，认真履行岗位职责</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遵守单位规章制度和生产操作规程</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具有高级工以上职业资格或职业技能等级，在现工作岗位上近</w:t>
      </w: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rPr>
        <w:t>年年度考核合格。</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四、高技能人才参评建筑工程系列专业技术职称的，应取得国家职业资格证书或职业技能等级证书，</w:t>
      </w:r>
      <w:r>
        <w:rPr>
          <w:rFonts w:hint="eastAsia" w:ascii="Times New Roman" w:hAnsi="Times New Roman" w:eastAsia="仿宋_GB2312" w:cs="Times New Roman"/>
          <w:sz w:val="32"/>
          <w:szCs w:val="32"/>
          <w:lang w:eastAsia="zh-CN"/>
        </w:rPr>
        <w:t>并提交原件到职称申报点校核</w:t>
      </w:r>
      <w:r>
        <w:rPr>
          <w:rFonts w:hint="eastAsia" w:ascii="Times New Roman" w:hAnsi="Times New Roman" w:eastAsia="仿宋_GB2312" w:cs="Times New Roman"/>
          <w:sz w:val="32"/>
          <w:szCs w:val="32"/>
        </w:rPr>
        <w:t>。</w:t>
      </w:r>
    </w:p>
    <w:p>
      <w:pPr>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五</w:t>
      </w:r>
      <w:r>
        <w:rPr>
          <w:rFonts w:hint="eastAsia" w:ascii="Times New Roman" w:hAnsi="Times New Roman" w:eastAsia="仿宋_GB2312" w:cs="Times New Roman"/>
          <w:sz w:val="32"/>
          <w:szCs w:val="32"/>
        </w:rPr>
        <w:t>、高技能人才申报各层级技术职称，对职称外语、计算机应用能力成绩、</w:t>
      </w:r>
      <w:r>
        <w:rPr>
          <w:rFonts w:hint="eastAsia" w:ascii="Times New Roman" w:hAnsi="Times New Roman" w:eastAsia="仿宋_GB2312" w:cs="Times New Roman"/>
          <w:sz w:val="32"/>
          <w:szCs w:val="32"/>
          <w:lang w:eastAsia="zh-CN"/>
        </w:rPr>
        <w:t>继续教育</w:t>
      </w:r>
      <w:r>
        <w:rPr>
          <w:rFonts w:hint="eastAsia" w:ascii="Times New Roman" w:hAnsi="Times New Roman" w:eastAsia="仿宋_GB2312" w:cs="Times New Roman"/>
          <w:sz w:val="32"/>
          <w:szCs w:val="32"/>
        </w:rPr>
        <w:t>不作要求；突出高技能人才职业特点，以职业能力和工作业绩评定为重点，把技能技艺、工作实绩、生产效率、产品质量、技术和专利发明、科研成果、技能竞赛成绩或相关论文</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可用体现其技术能力的工作报告、技术工艺改进方案、编制的操作手册或解决工作难题的案例报告等替代论文论著</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等作为重要依据和参考。除必须达到上述基本条件外，申报还应分别具备以下条件：</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（一）助理工程师</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1.掌握本专业的基础理论知识和专业技术知识。</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2.具有独立完成一般性技术工作的实际能力，能处理本专业范围内一般性技术难题。申报者应提交2篇体现其技术能力的工作报告、</w:t>
      </w:r>
      <w:r>
        <w:rPr>
          <w:rFonts w:hint="eastAsia" w:ascii="Times New Roman" w:hAnsi="Times New Roman" w:eastAsia="仿宋_GB2312" w:cs="Times New Roman"/>
          <w:color w:val="000000"/>
          <w:sz w:val="32"/>
          <w:szCs w:val="32"/>
          <w:shd w:val="clear" w:fill="auto"/>
        </w:rPr>
        <w:t>技术</w:t>
      </w:r>
      <w:r>
        <w:rPr>
          <w:rFonts w:hint="eastAsia" w:ascii="Times New Roman" w:hAnsi="Times New Roman" w:eastAsia="仿宋_GB2312" w:cs="Times New Roman"/>
          <w:sz w:val="32"/>
          <w:szCs w:val="32"/>
        </w:rPr>
        <w:t>工艺改进方案或解决工作难题的案例，</w:t>
      </w:r>
      <w:r>
        <w:rPr>
          <w:rFonts w:hint="eastAsia" w:ascii="Times New Roman" w:hAnsi="Times New Roman" w:eastAsia="仿宋_GB2312" w:cs="Times New Roman"/>
          <w:sz w:val="32"/>
          <w:szCs w:val="32"/>
          <w:lang w:eastAsia="zh-CN"/>
        </w:rPr>
        <w:t>或</w:t>
      </w:r>
      <w:r>
        <w:rPr>
          <w:rFonts w:hint="eastAsia" w:ascii="Times New Roman" w:hAnsi="Times New Roman" w:eastAsia="仿宋_GB2312" w:cs="Times New Roman"/>
          <w:sz w:val="32"/>
          <w:szCs w:val="32"/>
        </w:rPr>
        <w:t>提交相关专利、论文作为证明材料。</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取得高级工职业资格或职业技能等级后，从事相应专业技术技能工作满2年，可对应申报评</w:t>
      </w:r>
      <w:r>
        <w:rPr>
          <w:rFonts w:hint="eastAsia" w:ascii="Times New Roman" w:hAnsi="Times New Roman" w:eastAsia="仿宋_GB2312" w:cs="Times New Roman"/>
          <w:sz w:val="32"/>
          <w:szCs w:val="32"/>
          <w:lang w:eastAsia="zh-CN"/>
        </w:rPr>
        <w:t>审</w:t>
      </w:r>
      <w:r>
        <w:rPr>
          <w:rFonts w:hint="eastAsia" w:ascii="Times New Roman" w:hAnsi="Times New Roman" w:eastAsia="仿宋_GB2312" w:cs="Times New Roman"/>
          <w:sz w:val="32"/>
          <w:szCs w:val="32"/>
        </w:rPr>
        <w:t>建筑工程专业的助理工程师。</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二</w:t>
      </w:r>
      <w:r>
        <w:rPr>
          <w:rFonts w:hint="eastAsia" w:ascii="Times New Roman" w:hAnsi="Times New Roman" w:eastAsia="仿宋_GB2312" w:cs="Times New Roman"/>
          <w:sz w:val="32"/>
          <w:szCs w:val="32"/>
        </w:rPr>
        <w:t>）工程师</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1.熟练掌握并能够灵活运用本专业基础理论知识和专业技术知识，熟悉本专业技术标准和规程，了解本专业新技术、新工艺、新设备、新材料的现状和发展趋势，取得有实用价值的技术成果。</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2.具有独立承担较复杂工程项目的工作能力，能解决本专业范围内较复杂的工程问题。</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3.具有一定的技术研究能力，能撰写解决复杂技术问题的研究成果或技术报告，</w:t>
      </w:r>
      <w:r>
        <w:rPr>
          <w:rFonts w:hint="eastAsia" w:ascii="Times New Roman" w:hAnsi="Times New Roman" w:eastAsia="仿宋_GB2312" w:cs="Times New Roman"/>
          <w:sz w:val="32"/>
          <w:szCs w:val="32"/>
          <w:lang w:eastAsia="zh-CN"/>
        </w:rPr>
        <w:t>并以</w:t>
      </w:r>
      <w:r>
        <w:rPr>
          <w:rFonts w:hint="eastAsia" w:ascii="Times New Roman" w:hAnsi="Times New Roman" w:eastAsia="仿宋_GB2312" w:cs="Times New Roman"/>
          <w:sz w:val="32"/>
          <w:szCs w:val="32"/>
        </w:rPr>
        <w:t>本人</w:t>
      </w:r>
      <w:r>
        <w:rPr>
          <w:rFonts w:hint="eastAsia" w:ascii="Times New Roman" w:hAnsi="Times New Roman" w:eastAsia="仿宋_GB2312" w:cs="Times New Roman"/>
          <w:sz w:val="32"/>
          <w:szCs w:val="32"/>
          <w:lang w:eastAsia="zh-CN"/>
        </w:rPr>
        <w:t>的</w:t>
      </w:r>
      <w:r>
        <w:rPr>
          <w:rFonts w:hint="eastAsia" w:ascii="Times New Roman" w:hAnsi="Times New Roman" w:eastAsia="仿宋_GB2312" w:cs="Times New Roman"/>
          <w:sz w:val="32"/>
          <w:szCs w:val="32"/>
        </w:rPr>
        <w:t>技能技艺、工作实绩、生产效率、产品质量、技术和专利发明、科研成果、技能竞赛成绩等作为重要依据或证明，</w:t>
      </w:r>
      <w:r>
        <w:rPr>
          <w:rFonts w:hint="eastAsia" w:ascii="Times New Roman" w:hAnsi="Times New Roman" w:eastAsia="仿宋_GB2312" w:cs="Times New Roman"/>
          <w:sz w:val="32"/>
          <w:szCs w:val="32"/>
          <w:lang w:eastAsia="zh-CN"/>
        </w:rPr>
        <w:t>提交</w:t>
      </w:r>
      <w:r>
        <w:rPr>
          <w:rFonts w:hint="eastAsia" w:ascii="Times New Roman" w:hAnsi="Times New Roman" w:eastAsia="仿宋_GB2312" w:cs="Times New Roman"/>
          <w:sz w:val="32"/>
          <w:szCs w:val="32"/>
        </w:rPr>
        <w:t>2篇工作报告、</w:t>
      </w:r>
      <w:r>
        <w:rPr>
          <w:rFonts w:hint="eastAsia" w:ascii="Times New Roman" w:hAnsi="Times New Roman" w:eastAsia="仿宋_GB2312" w:cs="Times New Roman"/>
          <w:color w:val="000000"/>
          <w:sz w:val="32"/>
          <w:szCs w:val="32"/>
          <w:shd w:val="clear" w:fill="auto"/>
        </w:rPr>
        <w:t>技术</w:t>
      </w:r>
      <w:r>
        <w:rPr>
          <w:rFonts w:hint="eastAsia" w:ascii="Times New Roman" w:hAnsi="Times New Roman" w:eastAsia="仿宋_GB2312" w:cs="Times New Roman"/>
          <w:sz w:val="32"/>
          <w:szCs w:val="32"/>
        </w:rPr>
        <w:t>工艺改进方法或解决工作难题的案例；</w:t>
      </w:r>
      <w:r>
        <w:rPr>
          <w:rFonts w:hint="eastAsia" w:ascii="Times New Roman" w:hAnsi="Times New Roman" w:eastAsia="仿宋_GB2312" w:cs="Times New Roman"/>
          <w:sz w:val="32"/>
          <w:szCs w:val="32"/>
          <w:lang w:eastAsia="zh-CN"/>
        </w:rPr>
        <w:t>或提交</w:t>
      </w:r>
      <w:r>
        <w:rPr>
          <w:rFonts w:hint="eastAsia" w:ascii="Times New Roman" w:hAnsi="Times New Roman" w:eastAsia="仿宋_GB2312" w:cs="Times New Roman"/>
          <w:sz w:val="32"/>
          <w:szCs w:val="32"/>
          <w:lang w:val="en-US" w:eastAsia="zh-CN"/>
        </w:rPr>
        <w:t>1篇</w:t>
      </w:r>
      <w:r>
        <w:rPr>
          <w:rFonts w:hint="eastAsia" w:ascii="Times New Roman" w:hAnsi="Times New Roman" w:eastAsia="仿宋_GB2312" w:cs="Times New Roman"/>
          <w:sz w:val="32"/>
          <w:szCs w:val="32"/>
        </w:rPr>
        <w:t>作为第一作者撰写的论文或作为主要完成人参与科技项目的研发的鉴定或验收等证明材料。</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bookmarkStart w:id="1" w:name="_Hlk6742486"/>
      <w:r>
        <w:rPr>
          <w:rFonts w:hint="eastAsia" w:ascii="Times New Roman" w:hAnsi="Times New Roman" w:eastAsia="仿宋_GB2312" w:cs="Times New Roman"/>
          <w:sz w:val="32"/>
          <w:szCs w:val="32"/>
        </w:rPr>
        <w:t>.</w:t>
      </w:r>
      <w:bookmarkEnd w:id="1"/>
      <w:r>
        <w:rPr>
          <w:rFonts w:hint="eastAsia" w:ascii="Times New Roman" w:hAnsi="Times New Roman" w:eastAsia="仿宋_GB2312" w:cs="Times New Roman"/>
          <w:sz w:val="32"/>
          <w:szCs w:val="32"/>
        </w:rPr>
        <w:t>取得技师职业资格或职业技能等级后，从事相应专业技术技能工作满3年，可对应申报评审建筑工程专业的工程师。</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三</w:t>
      </w:r>
      <w:r>
        <w:rPr>
          <w:rFonts w:hint="eastAsia" w:ascii="Times New Roman" w:hAnsi="Times New Roman" w:eastAsia="仿宋_GB2312" w:cs="Times New Roman"/>
          <w:sz w:val="32"/>
          <w:szCs w:val="32"/>
        </w:rPr>
        <w:t>）高级工程师</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1.系统掌握专业基础理论知识和专业技术知识，具有跟踪本专业科技发展前沿水平的能力，熟练运用本专业技术标准和规程，在相关领域取得重要成果。</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2.长期从事本专业工作，业绩突出，能主持</w:t>
      </w:r>
      <w:r>
        <w:rPr>
          <w:rFonts w:hint="eastAsia" w:ascii="Times New Roman" w:hAnsi="Times New Roman" w:eastAsia="仿宋_GB2312" w:cs="Times New Roman"/>
          <w:sz w:val="32"/>
          <w:szCs w:val="32"/>
          <w:lang w:eastAsia="zh-CN"/>
        </w:rPr>
        <w:t>完成</w:t>
      </w:r>
      <w:r>
        <w:rPr>
          <w:rFonts w:hint="eastAsia" w:ascii="Times New Roman" w:hAnsi="Times New Roman" w:eastAsia="仿宋_GB2312" w:cs="Times New Roman"/>
          <w:sz w:val="32"/>
          <w:szCs w:val="32"/>
        </w:rPr>
        <w:t>重大工程</w:t>
      </w:r>
      <w:r>
        <w:rPr>
          <w:rFonts w:hint="eastAsia" w:ascii="Times New Roman" w:hAnsi="Times New Roman" w:eastAsia="仿宋_GB2312" w:cs="Times New Roman"/>
          <w:sz w:val="32"/>
          <w:szCs w:val="32"/>
          <w:lang w:eastAsia="zh-CN"/>
        </w:rPr>
        <w:t>技术</w:t>
      </w:r>
      <w:r>
        <w:rPr>
          <w:rFonts w:hint="eastAsia" w:ascii="Times New Roman" w:hAnsi="Times New Roman" w:eastAsia="仿宋_GB2312" w:cs="Times New Roman"/>
          <w:sz w:val="32"/>
          <w:szCs w:val="32"/>
        </w:rPr>
        <w:t>项目，能够解决复杂工程问题，取得了较高的经济效益和社会效益。</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3.取得高级技师职业技能等级证书后，业绩、成果要求符合下列条件之一：</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（1）主持或承担研制开发的新产品、新材料、新设备、新工艺等已投入生产，可比性技术经济指标处于国内较高水平；</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（2）作为主要发明人，获得具有较高经济和社会效益的发明专利；</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（3）参与的重点项目技术报告，经同行专家评议具有较高技术水平，技术论证有深度，调研、设计、测试数据齐全、准确；</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（4）发表的本领域研究成果，受到同行专家认可，也可以提交相关论文作为佐证材料；</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（5）作为主要参编者，参与完成省部级以上行业技术标准或技术规范的编写</w:t>
      </w:r>
      <w:r>
        <w:rPr>
          <w:rFonts w:hint="eastAsia" w:ascii="Times New Roman" w:hAnsi="Times New Roman" w:eastAsia="仿宋_GB2312" w:cs="Times New Roman"/>
          <w:sz w:val="32"/>
          <w:szCs w:val="32"/>
          <w:lang w:eastAsia="zh-CN"/>
        </w:rPr>
        <w:t>；</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w:t>
      </w:r>
      <w:r>
        <w:rPr>
          <w:rFonts w:hint="eastAsia" w:ascii="Times New Roman" w:hAnsi="Times New Roman" w:eastAsia="仿宋_GB2312" w:cs="Times New Roman"/>
          <w:sz w:val="32"/>
          <w:szCs w:val="32"/>
          <w:lang w:eastAsia="zh-CN"/>
        </w:rPr>
        <w:t>以</w:t>
      </w:r>
      <w:r>
        <w:rPr>
          <w:rFonts w:hint="eastAsia" w:ascii="Times New Roman" w:hAnsi="Times New Roman" w:eastAsia="仿宋_GB2312" w:cs="Times New Roman"/>
          <w:sz w:val="32"/>
          <w:szCs w:val="32"/>
        </w:rPr>
        <w:t>本人技能技艺、工作实绩、生产效率、产品质量、技术和专利发明、科研成果、技能竞赛成绩等作为重要依据或证明，</w:t>
      </w:r>
      <w:r>
        <w:rPr>
          <w:rFonts w:hint="eastAsia" w:ascii="Times New Roman" w:hAnsi="Times New Roman" w:eastAsia="仿宋_GB2312" w:cs="Times New Roman"/>
          <w:sz w:val="32"/>
          <w:szCs w:val="32"/>
          <w:lang w:eastAsia="zh-CN"/>
        </w:rPr>
        <w:t>提交</w:t>
      </w:r>
      <w:r>
        <w:rPr>
          <w:rFonts w:hint="eastAsia" w:ascii="Times New Roman" w:hAnsi="Times New Roman" w:eastAsia="仿宋_GB2312" w:cs="Times New Roman"/>
          <w:sz w:val="32"/>
          <w:szCs w:val="32"/>
        </w:rPr>
        <w:t>2篇工</w:t>
      </w:r>
      <w:r>
        <w:rPr>
          <w:rFonts w:hint="eastAsia" w:ascii="Times New Roman" w:hAnsi="Times New Roman" w:eastAsia="仿宋_GB2312" w:cs="Times New Roman"/>
          <w:sz w:val="32"/>
          <w:szCs w:val="32"/>
          <w:lang w:eastAsia="zh-CN"/>
        </w:rPr>
        <w:t>作报告、</w:t>
      </w:r>
      <w:r>
        <w:rPr>
          <w:rFonts w:hint="default" w:ascii="Times New Roman" w:hAnsi="Times New Roman" w:eastAsia="仿宋_GB2312" w:cs="Times New Roman"/>
          <w:sz w:val="32"/>
          <w:szCs w:val="32"/>
          <w:u w:val="none"/>
          <w:lang w:eastAsia="zh-CN"/>
        </w:rPr>
        <w:t>技术</w:t>
      </w:r>
      <w:r>
        <w:rPr>
          <w:rFonts w:hint="eastAsia" w:ascii="Times New Roman" w:hAnsi="Times New Roman" w:eastAsia="仿宋_GB2312" w:cs="Times New Roman"/>
          <w:sz w:val="32"/>
          <w:szCs w:val="32"/>
          <w:lang w:eastAsia="zh-CN"/>
        </w:rPr>
        <w:t>工艺改进方法或解决工作难题的案例；或提交</w:t>
      </w:r>
      <w:r>
        <w:rPr>
          <w:rFonts w:hint="eastAsia" w:ascii="Times New Roman" w:hAnsi="Times New Roman" w:eastAsia="仿宋_GB2312" w:cs="Times New Roman"/>
          <w:sz w:val="32"/>
          <w:szCs w:val="32"/>
          <w:lang w:val="en-US" w:eastAsia="zh-CN"/>
        </w:rPr>
        <w:t>2篇</w:t>
      </w:r>
      <w:r>
        <w:rPr>
          <w:rFonts w:hint="eastAsia" w:ascii="Times New Roman" w:hAnsi="Times New Roman" w:eastAsia="仿宋_GB2312" w:cs="Times New Roman"/>
          <w:sz w:val="32"/>
          <w:szCs w:val="32"/>
          <w:lang w:eastAsia="zh-CN"/>
        </w:rPr>
        <w:t>作为第一作</w:t>
      </w:r>
      <w:r>
        <w:rPr>
          <w:rFonts w:hint="eastAsia" w:ascii="Times New Roman" w:hAnsi="Times New Roman" w:eastAsia="仿宋_GB2312" w:cs="Times New Roman"/>
          <w:sz w:val="32"/>
          <w:szCs w:val="32"/>
        </w:rPr>
        <w:t>者撰写的论文或作为主要完成人参与科技项目的研发的鉴定或验收等证明材料。</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4.取得高级技师职业资格或职业技能等级后，从事相应专业技术技能工作满4年，可对应申报评审建筑工程专业的高级工程师。</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六</w:t>
      </w:r>
      <w:r>
        <w:rPr>
          <w:rFonts w:hint="eastAsia" w:ascii="Times New Roman" w:hAnsi="Times New Roman" w:eastAsia="仿宋_GB2312" w:cs="Times New Roman"/>
          <w:sz w:val="32"/>
          <w:szCs w:val="32"/>
        </w:rPr>
        <w:t>、对于获得世界技能大赛金、银、铜牌和优胜奖或中华技能大奖，获得全国技术能手荣誉，担任国家级技能大师工作室负责人，享受省级以上政府特殊津贴的优秀高技能人才，可根据自身实际能力水平和工作业绩破格申报相应专业、档次的职称评审（含正高级工程师）。对于获得全国总工会、共青团中央、全国妇联和省部级</w:t>
      </w:r>
      <w:r>
        <w:rPr>
          <w:rFonts w:hint="eastAsia" w:ascii="Times New Roman" w:hAnsi="Times New Roman" w:eastAsia="仿宋_GB2312" w:cs="Times New Roman"/>
          <w:sz w:val="32"/>
          <w:szCs w:val="32"/>
          <w:lang w:eastAsia="zh-CN"/>
        </w:rPr>
        <w:t>专业技能水平类的</w:t>
      </w:r>
      <w:r>
        <w:rPr>
          <w:rFonts w:hint="eastAsia" w:ascii="Times New Roman" w:hAnsi="Times New Roman" w:eastAsia="仿宋_GB2312" w:cs="Times New Roman"/>
          <w:strike w:val="0"/>
          <w:sz w:val="32"/>
          <w:szCs w:val="32"/>
        </w:rPr>
        <w:t>表彰</w:t>
      </w:r>
      <w:r>
        <w:rPr>
          <w:rFonts w:hint="eastAsia" w:ascii="Times New Roman" w:hAnsi="Times New Roman" w:eastAsia="仿宋_GB2312" w:cs="Times New Roman"/>
          <w:sz w:val="32"/>
          <w:szCs w:val="32"/>
        </w:rPr>
        <w:t>，或取得省部级以上技能大赛奖项的优秀高技能人才，可破格申报高级工程师</w:t>
      </w:r>
      <w:r>
        <w:rPr>
          <w:rFonts w:hint="eastAsia" w:ascii="Times New Roman" w:hAnsi="Times New Roman" w:eastAsia="仿宋_GB2312" w:cs="Times New Roman"/>
          <w:sz w:val="32"/>
          <w:szCs w:val="32"/>
          <w:lang w:eastAsia="zh-CN"/>
        </w:rPr>
        <w:t>及以下级别的职称评审</w:t>
      </w:r>
      <w:r>
        <w:rPr>
          <w:rFonts w:hint="eastAsia" w:ascii="Times New Roman" w:hAnsi="Times New Roman" w:eastAsia="仿宋_GB2312" w:cs="Times New Roman"/>
          <w:sz w:val="32"/>
          <w:szCs w:val="32"/>
        </w:rPr>
        <w:t>。</w:t>
      </w: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widowControl/>
        <w:jc w:val="left"/>
        <w:rPr>
          <w:rFonts w:hint="eastAsia" w:ascii="黑体" w:hAnsi="黑体" w:eastAsia="黑体" w:cs="黑体"/>
          <w:sz w:val="36"/>
          <w:szCs w:val="36"/>
        </w:rPr>
      </w:pPr>
      <w:r>
        <w:rPr>
          <w:rFonts w:ascii="黑体" w:hAnsi="黑体" w:eastAsia="黑体" w:cs="黑体"/>
          <w:sz w:val="32"/>
          <w:szCs w:val="32"/>
        </w:rPr>
        <w:br w:type="page"/>
      </w:r>
    </w:p>
    <w:p>
      <w:pPr>
        <w:spacing w:line="580" w:lineRule="exact"/>
        <w:jc w:val="center"/>
        <w:rPr>
          <w:rFonts w:hint="eastAsia" w:ascii="黑体" w:hAnsi="黑体" w:eastAsia="黑体" w:cs="黑体"/>
          <w:sz w:val="36"/>
          <w:szCs w:val="36"/>
        </w:rPr>
      </w:pPr>
      <w:r>
        <w:rPr>
          <w:rFonts w:hint="eastAsia" w:ascii="黑体" w:hAnsi="黑体" w:eastAsia="黑体" w:cs="黑体"/>
          <w:sz w:val="36"/>
          <w:szCs w:val="36"/>
        </w:rPr>
        <w:t>广东省建筑工程技能类职业（工种）与职称专业</w:t>
      </w:r>
    </w:p>
    <w:p>
      <w:pPr>
        <w:spacing w:line="580" w:lineRule="exact"/>
        <w:jc w:val="center"/>
        <w:rPr>
          <w:rFonts w:ascii="黑体" w:hAnsi="黑体" w:eastAsia="黑体" w:cs="黑体"/>
          <w:sz w:val="36"/>
          <w:szCs w:val="36"/>
        </w:rPr>
      </w:pPr>
      <w:r>
        <w:rPr>
          <w:rFonts w:hint="eastAsia" w:ascii="黑体" w:hAnsi="黑体" w:eastAsia="黑体" w:cs="黑体"/>
          <w:sz w:val="36"/>
          <w:szCs w:val="36"/>
        </w:rPr>
        <w:t>对应目录</w:t>
      </w:r>
    </w:p>
    <w:bookmarkEnd w:id="0"/>
    <w:tbl>
      <w:tblPr>
        <w:tblStyle w:val="11"/>
        <w:tblW w:w="9540" w:type="dxa"/>
        <w:tblInd w:w="-4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5408"/>
        <w:gridCol w:w="2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1590"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仿宋" w:hAnsi="仿宋" w:eastAsia="仿宋" w:cs="Times New Roman"/>
                <w:b/>
                <w:bCs/>
                <w:sz w:val="32"/>
                <w:szCs w:val="32"/>
                <w:lang w:eastAsia="zh-CN"/>
              </w:rPr>
            </w:pPr>
            <w:r>
              <w:rPr>
                <w:rFonts w:hint="eastAsia" w:ascii="仿宋" w:hAnsi="仿宋" w:eastAsia="仿宋" w:cs="宋体"/>
                <w:b/>
                <w:bCs/>
                <w:color w:val="000000"/>
                <w:kern w:val="0"/>
                <w:sz w:val="32"/>
                <w:szCs w:val="32"/>
                <w:lang w:eastAsia="zh-CN"/>
              </w:rPr>
              <w:t>依据</w:t>
            </w:r>
          </w:p>
        </w:tc>
        <w:tc>
          <w:tcPr>
            <w:tcW w:w="540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ascii="仿宋" w:hAnsi="仿宋" w:eastAsia="仿宋" w:cs="宋体"/>
                <w:b/>
                <w:bCs/>
                <w:color w:val="000000"/>
                <w:kern w:val="0"/>
                <w:sz w:val="32"/>
                <w:szCs w:val="32"/>
              </w:rPr>
            </w:pPr>
            <w:r>
              <w:rPr>
                <w:rFonts w:hint="eastAsia" w:ascii="仿宋" w:hAnsi="仿宋" w:eastAsia="仿宋" w:cs="宋体"/>
                <w:b/>
                <w:bCs/>
                <w:color w:val="000000"/>
                <w:kern w:val="0"/>
                <w:sz w:val="32"/>
                <w:szCs w:val="32"/>
                <w:lang w:eastAsia="zh-CN"/>
              </w:rPr>
              <w:t>技能类职业</w:t>
            </w:r>
            <w:r>
              <w:rPr>
                <w:rFonts w:hint="eastAsia" w:ascii="仿宋" w:hAnsi="仿宋" w:eastAsia="仿宋" w:cs="宋体"/>
                <w:b/>
                <w:bCs/>
                <w:color w:val="000000"/>
                <w:kern w:val="0"/>
                <w:sz w:val="32"/>
                <w:szCs w:val="32"/>
              </w:rPr>
              <w:t>（工种）</w:t>
            </w:r>
          </w:p>
        </w:tc>
        <w:tc>
          <w:tcPr>
            <w:tcW w:w="254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仿宋" w:hAnsi="仿宋" w:eastAsia="仿宋" w:cs="宋体"/>
                <w:b/>
                <w:bCs/>
                <w:color w:val="000000"/>
                <w:kern w:val="0"/>
                <w:sz w:val="32"/>
                <w:szCs w:val="32"/>
                <w:lang w:eastAsia="zh-CN"/>
              </w:rPr>
            </w:pPr>
            <w:r>
              <w:rPr>
                <w:rFonts w:hint="eastAsia" w:ascii="仿宋" w:hAnsi="仿宋" w:eastAsia="仿宋" w:cs="宋体"/>
                <w:b/>
                <w:bCs/>
                <w:color w:val="000000"/>
                <w:kern w:val="0"/>
                <w:sz w:val="32"/>
                <w:szCs w:val="32"/>
                <w:lang w:eastAsia="zh-CN"/>
              </w:rPr>
              <w:t>职称专业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1590"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outlineLvl w:val="9"/>
              <w:rPr>
                <w:rFonts w:hint="eastAsia" w:ascii="仿宋" w:hAnsi="仿宋" w:eastAsia="仿宋" w:cs="宋体"/>
                <w:color w:val="000000"/>
                <w:kern w:val="0"/>
                <w:sz w:val="32"/>
                <w:szCs w:val="32"/>
                <w:lang w:eastAsia="zh-CN"/>
              </w:rPr>
            </w:pPr>
            <w:r>
              <w:rPr>
                <w:rFonts w:ascii="仿宋" w:hAnsi="仿宋" w:eastAsia="仿宋" w:cs="宋体"/>
                <w:color w:val="000000"/>
                <w:kern w:val="0"/>
                <w:sz w:val="32"/>
                <w:szCs w:val="32"/>
              </w:rPr>
              <w:t>2017年</w:t>
            </w:r>
            <w:r>
              <w:rPr>
                <w:rFonts w:hint="eastAsia" w:ascii="仿宋" w:hAnsi="仿宋" w:eastAsia="仿宋" w:cs="宋体"/>
                <w:color w:val="000000"/>
                <w:kern w:val="0"/>
                <w:sz w:val="32"/>
                <w:szCs w:val="32"/>
                <w:lang w:val="en-US" w:eastAsia="zh-CN"/>
              </w:rPr>
              <w:t>9月</w:t>
            </w:r>
            <w:r>
              <w:rPr>
                <w:rFonts w:ascii="仿宋" w:hAnsi="仿宋" w:eastAsia="仿宋" w:cs="宋体"/>
                <w:color w:val="000000"/>
                <w:kern w:val="0"/>
                <w:sz w:val="32"/>
                <w:szCs w:val="32"/>
              </w:rPr>
              <w:t>《</w:t>
            </w:r>
            <w:r>
              <w:rPr>
                <w:rFonts w:hint="eastAsia" w:ascii="仿宋" w:hAnsi="仿宋" w:eastAsia="仿宋" w:cs="宋体"/>
                <w:color w:val="000000"/>
                <w:kern w:val="0"/>
                <w:sz w:val="32"/>
                <w:szCs w:val="32"/>
                <w:lang w:eastAsia="zh-CN"/>
              </w:rPr>
              <w:t>国家职业资格目录</w:t>
            </w:r>
            <w:r>
              <w:rPr>
                <w:rFonts w:ascii="仿宋" w:hAnsi="仿宋" w:eastAsia="仿宋" w:cs="宋体"/>
                <w:color w:val="000000"/>
                <w:kern w:val="0"/>
                <w:sz w:val="32"/>
                <w:szCs w:val="32"/>
              </w:rPr>
              <w:t>》</w:t>
            </w:r>
            <w:r>
              <w:rPr>
                <w:rFonts w:hint="eastAsia" w:ascii="仿宋" w:hAnsi="仿宋" w:eastAsia="仿宋" w:cs="宋体"/>
                <w:color w:val="000000"/>
                <w:kern w:val="0"/>
                <w:sz w:val="32"/>
                <w:szCs w:val="32"/>
                <w:lang w:eastAsia="zh-CN"/>
              </w:rPr>
              <w:t>后获得</w:t>
            </w:r>
            <w:r>
              <w:rPr>
                <w:rFonts w:ascii="仿宋" w:hAnsi="仿宋" w:eastAsia="仿宋" w:cs="宋体"/>
                <w:color w:val="000000"/>
                <w:kern w:val="0"/>
                <w:sz w:val="32"/>
                <w:szCs w:val="32"/>
              </w:rPr>
              <w:t>的</w:t>
            </w:r>
            <w:r>
              <w:rPr>
                <w:rFonts w:hint="eastAsia" w:ascii="仿宋" w:hAnsi="仿宋" w:eastAsia="仿宋" w:cs="宋体"/>
                <w:color w:val="000000"/>
                <w:kern w:val="0"/>
                <w:sz w:val="32"/>
                <w:szCs w:val="32"/>
                <w:lang w:eastAsia="zh-CN"/>
              </w:rPr>
              <w:t>职业资格证书</w:t>
            </w:r>
          </w:p>
        </w:tc>
        <w:tc>
          <w:tcPr>
            <w:tcW w:w="5408"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ascii="仿宋" w:hAnsi="仿宋" w:eastAsia="仿宋" w:cs="Times New Roman"/>
                <w:sz w:val="32"/>
                <w:szCs w:val="32"/>
              </w:rPr>
            </w:pPr>
            <w:r>
              <w:rPr>
                <w:rFonts w:hint="eastAsia" w:ascii="仿宋" w:hAnsi="仿宋" w:eastAsia="仿宋" w:cs="宋体"/>
                <w:color w:val="000000"/>
                <w:kern w:val="0"/>
                <w:sz w:val="32"/>
                <w:szCs w:val="32"/>
              </w:rPr>
              <w:t>防水工、砌筑工、混凝土工、钢筋工、架子工</w:t>
            </w:r>
            <w:r>
              <w:rPr>
                <w:rFonts w:hint="eastAsia" w:ascii="仿宋" w:hAnsi="仿宋" w:eastAsia="仿宋" w:cs="宋体"/>
                <w:color w:val="000000"/>
                <w:kern w:val="0"/>
                <w:sz w:val="32"/>
                <w:szCs w:val="32"/>
                <w:lang w:eastAsia="zh-CN"/>
              </w:rPr>
              <w:t>、</w:t>
            </w:r>
            <w:r>
              <w:rPr>
                <w:rFonts w:hint="eastAsia" w:ascii="仿宋" w:hAnsi="仿宋" w:eastAsia="仿宋" w:cs="宋体"/>
                <w:color w:val="000000"/>
                <w:kern w:val="0"/>
                <w:sz w:val="32"/>
                <w:szCs w:val="32"/>
              </w:rPr>
              <w:t>水工建构筑物维修检修工</w:t>
            </w:r>
          </w:p>
        </w:tc>
        <w:tc>
          <w:tcPr>
            <w:tcW w:w="2542"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建筑施工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159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outlineLvl w:val="9"/>
              <w:rPr>
                <w:rFonts w:hint="eastAsia" w:ascii="仿宋" w:hAnsi="仿宋" w:eastAsia="仿宋" w:cs="宋体"/>
                <w:color w:val="000000"/>
                <w:kern w:val="0"/>
                <w:sz w:val="32"/>
                <w:szCs w:val="32"/>
                <w:lang w:eastAsia="zh-CN"/>
              </w:rPr>
            </w:pPr>
          </w:p>
        </w:tc>
        <w:tc>
          <w:tcPr>
            <w:tcW w:w="5408"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32"/>
                <w:szCs w:val="32"/>
              </w:rPr>
            </w:pPr>
            <w:r>
              <w:rPr>
                <w:rFonts w:hint="eastAsia" w:ascii="仿宋" w:hAnsi="仿宋" w:eastAsia="仿宋" w:cs="宋体"/>
                <w:color w:val="000000"/>
                <w:kern w:val="0"/>
                <w:sz w:val="32"/>
                <w:szCs w:val="32"/>
              </w:rPr>
              <w:t>电力电缆安装运维工</w:t>
            </w:r>
          </w:p>
        </w:tc>
        <w:tc>
          <w:tcPr>
            <w:tcW w:w="2542"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rPr>
              <w:t>建筑电气</w:t>
            </w:r>
            <w:r>
              <w:rPr>
                <w:rFonts w:hint="eastAsia" w:ascii="仿宋" w:hAnsi="仿宋" w:eastAsia="仿宋" w:cs="宋体"/>
                <w:color w:val="000000"/>
                <w:kern w:val="0"/>
                <w:sz w:val="32"/>
                <w:szCs w:val="32"/>
                <w:lang w:eastAsia="zh-CN"/>
              </w:rPr>
              <w:t>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590" w:type="dxa"/>
            <w:vMerge w:val="continue"/>
          </w:tcPr>
          <w:p>
            <w:pPr>
              <w:keepNext w:val="0"/>
              <w:keepLines w:val="0"/>
              <w:pageBreakBefore w:val="0"/>
              <w:kinsoku/>
              <w:wordWrap/>
              <w:overflowPunct/>
              <w:topLinePunct w:val="0"/>
              <w:autoSpaceDE/>
              <w:autoSpaceDN/>
              <w:bidi w:val="0"/>
              <w:adjustRightInd/>
              <w:snapToGrid/>
              <w:spacing w:line="360" w:lineRule="exact"/>
              <w:textAlignment w:val="auto"/>
              <w:outlineLvl w:val="9"/>
              <w:rPr>
                <w:rFonts w:ascii="仿宋" w:hAnsi="仿宋" w:eastAsia="仿宋" w:cs="Times New Roman"/>
                <w:sz w:val="32"/>
                <w:szCs w:val="32"/>
              </w:rPr>
            </w:pPr>
          </w:p>
        </w:tc>
        <w:tc>
          <w:tcPr>
            <w:tcW w:w="5408"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32"/>
                <w:szCs w:val="32"/>
              </w:rPr>
            </w:pPr>
            <w:r>
              <w:rPr>
                <w:rFonts w:hint="eastAsia" w:ascii="仿宋" w:hAnsi="仿宋" w:eastAsia="仿宋" w:cs="宋体"/>
                <w:color w:val="000000"/>
                <w:kern w:val="0"/>
                <w:sz w:val="32"/>
                <w:szCs w:val="32"/>
              </w:rPr>
              <w:t>锅炉设备安装工</w:t>
            </w:r>
            <w:r>
              <w:rPr>
                <w:rFonts w:ascii="仿宋" w:hAnsi="仿宋" w:eastAsia="仿宋" w:cs="Times New Roman"/>
                <w:sz w:val="32"/>
                <w:szCs w:val="32"/>
              </w:rPr>
              <w:t>、制冷空调系统安装维修工</w:t>
            </w:r>
          </w:p>
        </w:tc>
        <w:tc>
          <w:tcPr>
            <w:tcW w:w="2542"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rPr>
              <w:t>暖通与空调</w:t>
            </w:r>
            <w:r>
              <w:rPr>
                <w:rFonts w:hint="eastAsia" w:ascii="仿宋" w:hAnsi="仿宋" w:eastAsia="仿宋" w:cs="宋体"/>
                <w:color w:val="000000"/>
                <w:kern w:val="0"/>
                <w:sz w:val="32"/>
                <w:szCs w:val="32"/>
                <w:lang w:eastAsia="zh-CN"/>
              </w:rPr>
              <w:t>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1590" w:type="dxa"/>
            <w:vMerge w:val="continue"/>
          </w:tcPr>
          <w:p>
            <w:pPr>
              <w:keepNext w:val="0"/>
              <w:keepLines w:val="0"/>
              <w:pageBreakBefore w:val="0"/>
              <w:kinsoku/>
              <w:wordWrap/>
              <w:overflowPunct/>
              <w:topLinePunct w:val="0"/>
              <w:autoSpaceDE/>
              <w:autoSpaceDN/>
              <w:bidi w:val="0"/>
              <w:adjustRightInd/>
              <w:snapToGrid/>
              <w:spacing w:line="360" w:lineRule="exact"/>
              <w:textAlignment w:val="auto"/>
              <w:outlineLvl w:val="9"/>
              <w:rPr>
                <w:rFonts w:ascii="仿宋" w:hAnsi="仿宋" w:eastAsia="仿宋" w:cs="Times New Roman"/>
                <w:sz w:val="32"/>
                <w:szCs w:val="32"/>
              </w:rPr>
            </w:pPr>
          </w:p>
        </w:tc>
        <w:tc>
          <w:tcPr>
            <w:tcW w:w="5408"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32"/>
                <w:szCs w:val="32"/>
              </w:rPr>
            </w:pPr>
            <w:r>
              <w:rPr>
                <w:rFonts w:hint="eastAsia" w:ascii="仿宋" w:hAnsi="仿宋" w:eastAsia="仿宋" w:cs="宋体"/>
                <w:color w:val="000000"/>
                <w:kern w:val="0"/>
                <w:sz w:val="32"/>
                <w:szCs w:val="32"/>
              </w:rPr>
              <w:t>筑路工、桥隧工</w:t>
            </w:r>
          </w:p>
        </w:tc>
        <w:tc>
          <w:tcPr>
            <w:tcW w:w="2542"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rPr>
              <w:t>市政路桥施工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1590" w:type="dxa"/>
            <w:vMerge w:val="continue"/>
          </w:tcPr>
          <w:p>
            <w:pPr>
              <w:keepNext w:val="0"/>
              <w:keepLines w:val="0"/>
              <w:pageBreakBefore w:val="0"/>
              <w:kinsoku/>
              <w:wordWrap/>
              <w:overflowPunct/>
              <w:topLinePunct w:val="0"/>
              <w:autoSpaceDE/>
              <w:autoSpaceDN/>
              <w:bidi w:val="0"/>
              <w:adjustRightInd/>
              <w:snapToGrid/>
              <w:spacing w:line="360" w:lineRule="exact"/>
              <w:textAlignment w:val="auto"/>
              <w:outlineLvl w:val="9"/>
              <w:rPr>
                <w:rFonts w:ascii="仿宋" w:hAnsi="仿宋" w:eastAsia="仿宋" w:cs="Times New Roman"/>
                <w:sz w:val="32"/>
                <w:szCs w:val="32"/>
              </w:rPr>
            </w:pPr>
          </w:p>
        </w:tc>
        <w:tc>
          <w:tcPr>
            <w:tcW w:w="5408"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32"/>
                <w:szCs w:val="32"/>
              </w:rPr>
            </w:pPr>
            <w:r>
              <w:rPr>
                <w:rFonts w:ascii="仿宋" w:hAnsi="仿宋" w:eastAsia="仿宋" w:cs="Times New Roman"/>
                <w:sz w:val="32"/>
                <w:szCs w:val="32"/>
              </w:rPr>
              <w:t>电梯安装维修工</w:t>
            </w:r>
          </w:p>
        </w:tc>
        <w:tc>
          <w:tcPr>
            <w:tcW w:w="2542"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rPr>
              <w:t>建筑机电设备安装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trPr>
        <w:tc>
          <w:tcPr>
            <w:tcW w:w="1590"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outlineLvl w:val="9"/>
              <w:rPr>
                <w:rFonts w:hint="eastAsia" w:ascii="仿宋" w:hAnsi="仿宋" w:eastAsia="仿宋" w:cs="宋体"/>
                <w:color w:val="000000"/>
                <w:kern w:val="0"/>
                <w:sz w:val="32"/>
                <w:szCs w:val="32"/>
                <w:lang w:eastAsia="zh-CN"/>
              </w:rPr>
            </w:pPr>
            <w:r>
              <w:rPr>
                <w:rFonts w:ascii="仿宋" w:hAnsi="仿宋" w:eastAsia="仿宋" w:cs="宋体"/>
                <w:color w:val="000000"/>
                <w:kern w:val="0"/>
                <w:sz w:val="32"/>
                <w:szCs w:val="32"/>
              </w:rPr>
              <w:t>2017年</w:t>
            </w:r>
            <w:r>
              <w:rPr>
                <w:rFonts w:hint="eastAsia" w:ascii="仿宋" w:hAnsi="仿宋" w:eastAsia="仿宋" w:cs="宋体"/>
                <w:color w:val="000000"/>
                <w:kern w:val="0"/>
                <w:sz w:val="32"/>
                <w:szCs w:val="32"/>
                <w:lang w:val="en-US" w:eastAsia="zh-CN"/>
              </w:rPr>
              <w:t>9月</w:t>
            </w:r>
            <w:r>
              <w:rPr>
                <w:rFonts w:ascii="仿宋" w:hAnsi="仿宋" w:eastAsia="仿宋" w:cs="宋体"/>
                <w:color w:val="000000"/>
                <w:kern w:val="0"/>
                <w:sz w:val="32"/>
                <w:szCs w:val="32"/>
              </w:rPr>
              <w:t>《</w:t>
            </w:r>
            <w:r>
              <w:rPr>
                <w:rFonts w:hint="eastAsia" w:ascii="仿宋" w:hAnsi="仿宋" w:eastAsia="仿宋" w:cs="宋体"/>
                <w:color w:val="000000"/>
                <w:kern w:val="0"/>
                <w:sz w:val="32"/>
                <w:szCs w:val="32"/>
                <w:lang w:eastAsia="zh-CN"/>
              </w:rPr>
              <w:t>国家职业资格目录</w:t>
            </w:r>
            <w:r>
              <w:rPr>
                <w:rFonts w:ascii="仿宋" w:hAnsi="仿宋" w:eastAsia="仿宋" w:cs="宋体"/>
                <w:color w:val="000000"/>
                <w:kern w:val="0"/>
                <w:sz w:val="32"/>
                <w:szCs w:val="32"/>
              </w:rPr>
              <w:t>》</w:t>
            </w:r>
            <w:r>
              <w:rPr>
                <w:rFonts w:hint="eastAsia" w:ascii="仿宋" w:hAnsi="仿宋" w:eastAsia="仿宋" w:cs="宋体"/>
                <w:color w:val="000000"/>
                <w:kern w:val="0"/>
                <w:sz w:val="32"/>
                <w:szCs w:val="32"/>
                <w:lang w:eastAsia="zh-CN"/>
              </w:rPr>
              <w:t>前获得</w:t>
            </w:r>
            <w:r>
              <w:rPr>
                <w:rFonts w:ascii="仿宋" w:hAnsi="仿宋" w:eastAsia="仿宋" w:cs="宋体"/>
                <w:color w:val="000000"/>
                <w:kern w:val="0"/>
                <w:sz w:val="32"/>
                <w:szCs w:val="32"/>
              </w:rPr>
              <w:t>的</w:t>
            </w:r>
            <w:r>
              <w:rPr>
                <w:rFonts w:hint="eastAsia" w:ascii="仿宋" w:hAnsi="仿宋" w:eastAsia="仿宋" w:cs="宋体"/>
                <w:color w:val="000000"/>
                <w:kern w:val="0"/>
                <w:sz w:val="32"/>
                <w:szCs w:val="32"/>
                <w:lang w:eastAsia="zh-CN"/>
              </w:rPr>
              <w:t>职业资格证书</w:t>
            </w:r>
          </w:p>
        </w:tc>
        <w:tc>
          <w:tcPr>
            <w:tcW w:w="5408"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Times New Roman"/>
                <w:sz w:val="32"/>
                <w:szCs w:val="32"/>
              </w:rPr>
            </w:pPr>
            <w:r>
              <w:rPr>
                <w:rFonts w:hint="eastAsia" w:ascii="仿宋" w:hAnsi="仿宋" w:eastAsia="仿宋" w:cs="宋体"/>
                <w:color w:val="000000"/>
                <w:kern w:val="0"/>
                <w:sz w:val="32"/>
                <w:szCs w:val="32"/>
              </w:rPr>
              <w:t>测量放线工、工程测量工</w:t>
            </w:r>
          </w:p>
        </w:tc>
        <w:tc>
          <w:tcPr>
            <w:tcW w:w="2542"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ascii="仿宋" w:hAnsi="仿宋" w:eastAsia="仿宋" w:cs="Times New Roman"/>
                <w:sz w:val="32"/>
                <w:szCs w:val="32"/>
              </w:rPr>
            </w:pPr>
            <w:r>
              <w:rPr>
                <w:rFonts w:ascii="仿宋" w:hAnsi="仿宋" w:eastAsia="仿宋" w:cs="Times New Roman"/>
                <w:sz w:val="32"/>
                <w:szCs w:val="32"/>
              </w:rPr>
              <w:t>建筑工程测量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59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outlineLvl w:val="9"/>
              <w:rPr>
                <w:rFonts w:hint="eastAsia" w:ascii="仿宋" w:hAnsi="仿宋" w:eastAsia="仿宋" w:cs="宋体"/>
                <w:color w:val="000000"/>
                <w:kern w:val="0"/>
                <w:sz w:val="32"/>
                <w:szCs w:val="32"/>
                <w:lang w:eastAsia="zh-CN"/>
              </w:rPr>
            </w:pPr>
          </w:p>
        </w:tc>
        <w:tc>
          <w:tcPr>
            <w:tcW w:w="5408"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32"/>
                <w:szCs w:val="32"/>
              </w:rPr>
            </w:pPr>
            <w:r>
              <w:rPr>
                <w:rFonts w:hint="eastAsia" w:ascii="仿宋" w:hAnsi="仿宋" w:eastAsia="仿宋" w:cs="Times New Roman"/>
                <w:sz w:val="32"/>
                <w:szCs w:val="32"/>
              </w:rPr>
              <w:t>防水工、砖瓦工（瓦工）、砼工（混凝土工）、钢筋工、架子工</w:t>
            </w:r>
            <w:r>
              <w:rPr>
                <w:rFonts w:hint="eastAsia" w:ascii="仿宋" w:hAnsi="仿宋" w:eastAsia="仿宋" w:cs="Times New Roman"/>
                <w:sz w:val="32"/>
                <w:szCs w:val="32"/>
                <w:lang w:eastAsia="zh-CN"/>
              </w:rPr>
              <w:t>、</w:t>
            </w:r>
            <w:r>
              <w:rPr>
                <w:rFonts w:hint="eastAsia" w:ascii="仿宋" w:hAnsi="仿宋" w:eastAsia="仿宋" w:cs="Times New Roman"/>
                <w:sz w:val="32"/>
                <w:szCs w:val="32"/>
              </w:rPr>
              <w:t>抹灰工、油漆工、木工、</w:t>
            </w:r>
            <w:r>
              <w:rPr>
                <w:rFonts w:hint="eastAsia" w:ascii="仿宋" w:hAnsi="仿宋" w:eastAsia="仿宋" w:cs="宋体"/>
                <w:color w:val="000000"/>
                <w:kern w:val="0"/>
                <w:sz w:val="32"/>
                <w:szCs w:val="32"/>
              </w:rPr>
              <w:t>安装起重工、机械操作工、打桩工</w:t>
            </w:r>
          </w:p>
        </w:tc>
        <w:tc>
          <w:tcPr>
            <w:tcW w:w="2542"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32"/>
                <w:szCs w:val="32"/>
                <w:lang w:val="en-US" w:eastAsia="zh-CN"/>
              </w:rPr>
            </w:pPr>
            <w:r>
              <w:rPr>
                <w:rFonts w:ascii="仿宋" w:hAnsi="仿宋" w:eastAsia="仿宋" w:cs="Times New Roman"/>
                <w:sz w:val="32"/>
                <w:szCs w:val="32"/>
              </w:rPr>
              <w:t>建筑施工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5" w:hRule="atLeast"/>
        </w:trPr>
        <w:tc>
          <w:tcPr>
            <w:tcW w:w="1590" w:type="dxa"/>
            <w:vMerge w:val="continue"/>
          </w:tcPr>
          <w:p>
            <w:pPr>
              <w:keepNext w:val="0"/>
              <w:keepLines w:val="0"/>
              <w:pageBreakBefore w:val="0"/>
              <w:kinsoku/>
              <w:wordWrap/>
              <w:overflowPunct/>
              <w:topLinePunct w:val="0"/>
              <w:autoSpaceDE/>
              <w:autoSpaceDN/>
              <w:bidi w:val="0"/>
              <w:adjustRightInd/>
              <w:snapToGrid/>
              <w:spacing w:line="360" w:lineRule="exact"/>
              <w:textAlignment w:val="auto"/>
              <w:outlineLvl w:val="9"/>
              <w:rPr>
                <w:rFonts w:ascii="仿宋" w:hAnsi="仿宋" w:eastAsia="仿宋" w:cs="Times New Roman"/>
                <w:sz w:val="32"/>
                <w:szCs w:val="32"/>
              </w:rPr>
            </w:pPr>
          </w:p>
        </w:tc>
        <w:tc>
          <w:tcPr>
            <w:tcW w:w="5408"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32"/>
                <w:szCs w:val="32"/>
              </w:rPr>
            </w:pPr>
            <w:r>
              <w:rPr>
                <w:rFonts w:hint="eastAsia" w:ascii="仿宋" w:hAnsi="仿宋" w:eastAsia="仿宋" w:cs="宋体"/>
                <w:color w:val="000000"/>
                <w:kern w:val="0"/>
                <w:sz w:val="32"/>
                <w:szCs w:val="32"/>
              </w:rPr>
              <w:t>手工木工、精细木工、镶贴工、装饰装修工、涂裱工（装饰涂裱工）</w:t>
            </w:r>
          </w:p>
        </w:tc>
        <w:tc>
          <w:tcPr>
            <w:tcW w:w="2542"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32"/>
                <w:szCs w:val="32"/>
                <w:lang w:val="en-US" w:eastAsia="zh-CN"/>
              </w:rPr>
            </w:pPr>
            <w:r>
              <w:rPr>
                <w:rFonts w:hint="eastAsia" w:ascii="仿宋" w:hAnsi="仿宋" w:eastAsia="仿宋" w:cs="Times New Roman"/>
                <w:sz w:val="32"/>
                <w:szCs w:val="32"/>
              </w:rPr>
              <w:t>建筑装饰施工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1590" w:type="dxa"/>
            <w:vMerge w:val="continue"/>
          </w:tcPr>
          <w:p>
            <w:pPr>
              <w:keepNext w:val="0"/>
              <w:keepLines w:val="0"/>
              <w:pageBreakBefore w:val="0"/>
              <w:kinsoku/>
              <w:wordWrap/>
              <w:overflowPunct/>
              <w:topLinePunct w:val="0"/>
              <w:autoSpaceDE/>
              <w:autoSpaceDN/>
              <w:bidi w:val="0"/>
              <w:adjustRightInd/>
              <w:snapToGrid/>
              <w:spacing w:line="360" w:lineRule="exact"/>
              <w:textAlignment w:val="auto"/>
              <w:outlineLvl w:val="9"/>
              <w:rPr>
                <w:rFonts w:ascii="仿宋" w:hAnsi="仿宋" w:eastAsia="仿宋" w:cs="Times New Roman"/>
                <w:sz w:val="32"/>
                <w:szCs w:val="32"/>
              </w:rPr>
            </w:pPr>
          </w:p>
        </w:tc>
        <w:tc>
          <w:tcPr>
            <w:tcW w:w="5408"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管道工</w:t>
            </w:r>
          </w:p>
        </w:tc>
        <w:tc>
          <w:tcPr>
            <w:tcW w:w="2542"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Times New Roman"/>
                <w:sz w:val="32"/>
                <w:szCs w:val="32"/>
              </w:rPr>
            </w:pPr>
            <w:r>
              <w:rPr>
                <w:rFonts w:hint="eastAsia" w:ascii="仿宋" w:hAnsi="仿宋" w:eastAsia="仿宋" w:cs="Times New Roman"/>
                <w:sz w:val="32"/>
                <w:szCs w:val="32"/>
              </w:rPr>
              <w:t>给水排水施工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0" w:hRule="atLeast"/>
        </w:trPr>
        <w:tc>
          <w:tcPr>
            <w:tcW w:w="1590" w:type="dxa"/>
            <w:vMerge w:val="continue"/>
          </w:tcPr>
          <w:p>
            <w:pPr>
              <w:keepNext w:val="0"/>
              <w:keepLines w:val="0"/>
              <w:pageBreakBefore w:val="0"/>
              <w:kinsoku/>
              <w:wordWrap/>
              <w:overflowPunct/>
              <w:topLinePunct w:val="0"/>
              <w:autoSpaceDE/>
              <w:autoSpaceDN/>
              <w:bidi w:val="0"/>
              <w:adjustRightInd/>
              <w:snapToGrid/>
              <w:spacing w:line="360" w:lineRule="exact"/>
              <w:textAlignment w:val="auto"/>
              <w:outlineLvl w:val="9"/>
              <w:rPr>
                <w:rFonts w:ascii="仿宋" w:hAnsi="仿宋" w:eastAsia="仿宋" w:cs="Times New Roman"/>
                <w:sz w:val="32"/>
                <w:szCs w:val="32"/>
              </w:rPr>
            </w:pPr>
          </w:p>
        </w:tc>
        <w:tc>
          <w:tcPr>
            <w:tcW w:w="5408"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32"/>
                <w:szCs w:val="32"/>
              </w:rPr>
            </w:pPr>
            <w:r>
              <w:rPr>
                <w:rFonts w:hint="eastAsia" w:ascii="仿宋" w:hAnsi="仿宋" w:eastAsia="仿宋" w:cs="宋体"/>
                <w:color w:val="000000"/>
                <w:kern w:val="0"/>
                <w:sz w:val="32"/>
                <w:szCs w:val="32"/>
              </w:rPr>
              <w:t>建筑电工（电工）、维修电工、安装电工、工程电气设备安装工</w:t>
            </w:r>
          </w:p>
        </w:tc>
        <w:tc>
          <w:tcPr>
            <w:tcW w:w="2542"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32"/>
                <w:szCs w:val="32"/>
                <w:lang w:val="en-US" w:eastAsia="zh-CN"/>
              </w:rPr>
            </w:pPr>
            <w:r>
              <w:rPr>
                <w:rFonts w:hint="eastAsia" w:ascii="仿宋" w:hAnsi="仿宋" w:eastAsia="仿宋" w:cs="Times New Roman"/>
                <w:sz w:val="32"/>
                <w:szCs w:val="32"/>
              </w:rPr>
              <w:t>建筑电气</w:t>
            </w:r>
            <w:r>
              <w:rPr>
                <w:rFonts w:hint="eastAsia" w:ascii="仿宋" w:hAnsi="仿宋" w:eastAsia="仿宋" w:cs="Times New Roman"/>
                <w:sz w:val="32"/>
                <w:szCs w:val="32"/>
                <w:lang w:eastAsia="zh-CN"/>
              </w:rPr>
              <w:t>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1590" w:type="dxa"/>
            <w:vMerge w:val="continue"/>
          </w:tcPr>
          <w:p>
            <w:pPr>
              <w:keepNext w:val="0"/>
              <w:keepLines w:val="0"/>
              <w:pageBreakBefore w:val="0"/>
              <w:kinsoku/>
              <w:wordWrap/>
              <w:overflowPunct/>
              <w:topLinePunct w:val="0"/>
              <w:autoSpaceDE/>
              <w:autoSpaceDN/>
              <w:bidi w:val="0"/>
              <w:adjustRightInd/>
              <w:snapToGrid/>
              <w:spacing w:line="360" w:lineRule="exact"/>
              <w:textAlignment w:val="auto"/>
              <w:outlineLvl w:val="9"/>
              <w:rPr>
                <w:rFonts w:ascii="仿宋" w:hAnsi="仿宋" w:eastAsia="仿宋" w:cs="Times New Roman"/>
                <w:sz w:val="32"/>
                <w:szCs w:val="32"/>
              </w:rPr>
            </w:pPr>
          </w:p>
        </w:tc>
        <w:tc>
          <w:tcPr>
            <w:tcW w:w="5408"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32"/>
                <w:szCs w:val="32"/>
              </w:rPr>
            </w:pPr>
            <w:r>
              <w:rPr>
                <w:rFonts w:hint="eastAsia" w:ascii="仿宋" w:hAnsi="仿宋" w:eastAsia="仿宋" w:cs="宋体"/>
                <w:color w:val="000000"/>
                <w:kern w:val="0"/>
                <w:sz w:val="32"/>
                <w:szCs w:val="32"/>
              </w:rPr>
              <w:t>水暖工</w:t>
            </w:r>
          </w:p>
        </w:tc>
        <w:tc>
          <w:tcPr>
            <w:tcW w:w="2542"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32"/>
                <w:szCs w:val="32"/>
                <w:lang w:val="en-US" w:eastAsia="zh-CN"/>
              </w:rPr>
            </w:pPr>
            <w:r>
              <w:rPr>
                <w:rFonts w:hint="eastAsia" w:ascii="仿宋" w:hAnsi="仿宋" w:eastAsia="仿宋" w:cs="Times New Roman"/>
                <w:sz w:val="32"/>
                <w:szCs w:val="32"/>
              </w:rPr>
              <w:t>暖通与空调</w:t>
            </w:r>
            <w:r>
              <w:rPr>
                <w:rFonts w:hint="eastAsia" w:ascii="仿宋" w:hAnsi="仿宋" w:eastAsia="仿宋" w:cs="Times New Roman"/>
                <w:sz w:val="32"/>
                <w:szCs w:val="32"/>
                <w:lang w:eastAsia="zh-CN"/>
              </w:rPr>
              <w:t>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0" w:hRule="atLeast"/>
        </w:trPr>
        <w:tc>
          <w:tcPr>
            <w:tcW w:w="1590" w:type="dxa"/>
            <w:vMerge w:val="continue"/>
          </w:tcPr>
          <w:p>
            <w:pPr>
              <w:keepNext w:val="0"/>
              <w:keepLines w:val="0"/>
              <w:pageBreakBefore w:val="0"/>
              <w:kinsoku/>
              <w:wordWrap/>
              <w:overflowPunct/>
              <w:topLinePunct w:val="0"/>
              <w:autoSpaceDE/>
              <w:autoSpaceDN/>
              <w:bidi w:val="0"/>
              <w:adjustRightInd/>
              <w:snapToGrid/>
              <w:spacing w:line="360" w:lineRule="exact"/>
              <w:textAlignment w:val="auto"/>
              <w:outlineLvl w:val="9"/>
              <w:rPr>
                <w:rFonts w:ascii="仿宋" w:hAnsi="仿宋" w:eastAsia="仿宋" w:cs="Times New Roman"/>
                <w:sz w:val="32"/>
                <w:szCs w:val="32"/>
              </w:rPr>
            </w:pPr>
          </w:p>
        </w:tc>
        <w:tc>
          <w:tcPr>
            <w:tcW w:w="5408"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32"/>
                <w:szCs w:val="32"/>
                <w:highlight w:val="yellow"/>
              </w:rPr>
            </w:pPr>
            <w:r>
              <w:rPr>
                <w:rFonts w:hint="eastAsia" w:ascii="仿宋" w:hAnsi="仿宋" w:eastAsia="仿宋" w:cs="宋体"/>
                <w:color w:val="000000"/>
                <w:kern w:val="0"/>
                <w:sz w:val="32"/>
                <w:szCs w:val="32"/>
              </w:rPr>
              <w:t>燃气输送工、燃气管道工、燃气用具修理工、燃气用具安装检修工、燃气调压工、燃气表装修工</w:t>
            </w:r>
          </w:p>
        </w:tc>
        <w:tc>
          <w:tcPr>
            <w:tcW w:w="2542"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32"/>
                <w:szCs w:val="32"/>
                <w:highlight w:val="yellow"/>
              </w:rPr>
            </w:pPr>
            <w:r>
              <w:rPr>
                <w:rFonts w:hint="eastAsia" w:ascii="仿宋" w:hAnsi="仿宋" w:eastAsia="仿宋" w:cs="Times New Roman"/>
                <w:sz w:val="32"/>
                <w:szCs w:val="32"/>
              </w:rPr>
              <w:t>城市燃气施工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1590" w:type="dxa"/>
            <w:vMerge w:val="continue"/>
          </w:tcPr>
          <w:p>
            <w:pPr>
              <w:keepNext w:val="0"/>
              <w:keepLines w:val="0"/>
              <w:pageBreakBefore w:val="0"/>
              <w:kinsoku/>
              <w:wordWrap/>
              <w:overflowPunct/>
              <w:topLinePunct w:val="0"/>
              <w:autoSpaceDE/>
              <w:autoSpaceDN/>
              <w:bidi w:val="0"/>
              <w:adjustRightInd/>
              <w:snapToGrid/>
              <w:spacing w:line="360" w:lineRule="exact"/>
              <w:textAlignment w:val="auto"/>
              <w:outlineLvl w:val="9"/>
              <w:rPr>
                <w:rFonts w:ascii="仿宋" w:hAnsi="仿宋" w:eastAsia="仿宋" w:cs="Times New Roman"/>
                <w:sz w:val="32"/>
                <w:szCs w:val="32"/>
              </w:rPr>
            </w:pPr>
          </w:p>
        </w:tc>
        <w:tc>
          <w:tcPr>
            <w:tcW w:w="5408"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32"/>
                <w:szCs w:val="32"/>
              </w:rPr>
            </w:pPr>
            <w:r>
              <w:rPr>
                <w:rFonts w:hint="eastAsia" w:ascii="仿宋" w:hAnsi="仿宋" w:eastAsia="仿宋" w:cs="宋体"/>
                <w:color w:val="000000"/>
                <w:kern w:val="0"/>
                <w:sz w:val="32"/>
                <w:szCs w:val="32"/>
              </w:rPr>
              <w:t>绿化工、花卉工、假山工</w:t>
            </w:r>
          </w:p>
        </w:tc>
        <w:tc>
          <w:tcPr>
            <w:tcW w:w="2542"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default" w:ascii="仿宋" w:hAnsi="仿宋" w:eastAsia="仿宋" w:cs="宋体"/>
                <w:color w:val="000000"/>
                <w:kern w:val="0"/>
                <w:sz w:val="32"/>
                <w:szCs w:val="32"/>
                <w:lang w:val="en-US" w:eastAsia="zh-CN"/>
              </w:rPr>
            </w:pPr>
            <w:r>
              <w:rPr>
                <w:rFonts w:hint="eastAsia" w:ascii="仿宋" w:hAnsi="仿宋" w:eastAsia="仿宋" w:cs="Times New Roman"/>
                <w:sz w:val="32"/>
                <w:szCs w:val="32"/>
              </w:rPr>
              <w:t>风景园林施工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1590" w:type="dxa"/>
            <w:vMerge w:val="continue"/>
          </w:tcPr>
          <w:p>
            <w:pPr>
              <w:keepNext w:val="0"/>
              <w:keepLines w:val="0"/>
              <w:pageBreakBefore w:val="0"/>
              <w:kinsoku/>
              <w:wordWrap/>
              <w:overflowPunct/>
              <w:topLinePunct w:val="0"/>
              <w:autoSpaceDE/>
              <w:autoSpaceDN/>
              <w:bidi w:val="0"/>
              <w:adjustRightInd/>
              <w:snapToGrid/>
              <w:spacing w:line="360" w:lineRule="exact"/>
              <w:textAlignment w:val="auto"/>
              <w:outlineLvl w:val="9"/>
              <w:rPr>
                <w:rFonts w:ascii="仿宋" w:hAnsi="仿宋" w:eastAsia="仿宋" w:cs="Times New Roman"/>
                <w:sz w:val="32"/>
                <w:szCs w:val="32"/>
              </w:rPr>
            </w:pPr>
          </w:p>
        </w:tc>
        <w:tc>
          <w:tcPr>
            <w:tcW w:w="5408"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32"/>
                <w:szCs w:val="32"/>
              </w:rPr>
            </w:pPr>
            <w:r>
              <w:rPr>
                <w:rFonts w:hint="eastAsia" w:ascii="仿宋" w:hAnsi="仿宋" w:eastAsia="仿宋" w:cs="宋体"/>
                <w:color w:val="000000"/>
                <w:kern w:val="0"/>
                <w:sz w:val="32"/>
                <w:szCs w:val="32"/>
              </w:rPr>
              <w:t>电焊工（建筑电工）、工程安装钳工</w:t>
            </w:r>
          </w:p>
        </w:tc>
        <w:tc>
          <w:tcPr>
            <w:tcW w:w="2542"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32"/>
                <w:szCs w:val="32"/>
                <w:lang w:val="en-US" w:eastAsia="zh-CN"/>
              </w:rPr>
            </w:pPr>
            <w:r>
              <w:rPr>
                <w:rFonts w:hint="eastAsia" w:ascii="仿宋" w:hAnsi="仿宋" w:eastAsia="仿宋" w:cs="Times New Roman"/>
                <w:sz w:val="32"/>
                <w:szCs w:val="32"/>
              </w:rPr>
              <w:t>建筑机电设备安装</w:t>
            </w:r>
          </w:p>
        </w:tc>
      </w:tr>
    </w:tbl>
    <w:p>
      <w:pPr>
        <w:spacing w:line="520" w:lineRule="exact"/>
        <w:rPr>
          <w:rFonts w:ascii="宋体" w:hAnsi="宋体" w:eastAsia="宋体"/>
          <w:b/>
          <w:sz w:val="40"/>
          <w:szCs w:val="28"/>
        </w:rPr>
      </w:pPr>
    </w:p>
    <w:sectPr>
      <w:footerReference r:id="rId3" w:type="default"/>
      <w:pgSz w:w="11906" w:h="16838"/>
      <w:pgMar w:top="1644" w:right="1474" w:bottom="1417"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0463411"/>
                          </w:sdtPr>
                          <w:sdtEndPr>
                            <w:rPr>
                              <w:sz w:val="24"/>
                              <w:szCs w:val="24"/>
                            </w:rPr>
                          </w:sdtEndPr>
                          <w:sdtContent>
                            <w:p>
                              <w:pPr>
                                <w:pStyle w:val="5"/>
                                <w:jc w:val="center"/>
                                <w:rPr>
                                  <w:sz w:val="24"/>
                                  <w:szCs w:val="24"/>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1</w:t>
                              </w:r>
                              <w:r>
                                <w:rPr>
                                  <w:rFonts w:hint="eastAsia" w:ascii="仿宋_GB2312" w:hAnsi="仿宋_GB2312" w:eastAsia="仿宋_GB2312" w:cs="仿宋_GB2312"/>
                                  <w:sz w:val="28"/>
                                  <w:szCs w:val="28"/>
                                </w:rP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sdt>
                    <w:sdtPr>
                      <w:id w:val="30463411"/>
                    </w:sdtPr>
                    <w:sdtEndPr>
                      <w:rPr>
                        <w:sz w:val="24"/>
                        <w:szCs w:val="24"/>
                      </w:rPr>
                    </w:sdtEndPr>
                    <w:sdtContent>
                      <w:p>
                        <w:pPr>
                          <w:pStyle w:val="5"/>
                          <w:jc w:val="center"/>
                          <w:rPr>
                            <w:sz w:val="24"/>
                            <w:szCs w:val="24"/>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1</w:t>
                        </w:r>
                        <w:r>
                          <w:rPr>
                            <w:rFonts w:hint="eastAsia" w:ascii="仿宋_GB2312" w:hAnsi="仿宋_GB2312" w:eastAsia="仿宋_GB2312" w:cs="仿宋_GB2312"/>
                            <w:sz w:val="28"/>
                            <w:szCs w:val="28"/>
                          </w:rPr>
                          <w:fldChar w:fldCharType="end"/>
                        </w:r>
                      </w:p>
                    </w:sdtContent>
                  </w:sdt>
                  <w:p>
                    <w:pPr>
                      <w:pStyle w:val="2"/>
                    </w:pPr>
                  </w:p>
                </w:txbxContent>
              </v:textbox>
            </v:shape>
          </w:pict>
        </mc:Fallback>
      </mc:AlternateConten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B84"/>
    <w:rsid w:val="00055494"/>
    <w:rsid w:val="000C41A0"/>
    <w:rsid w:val="000D5C10"/>
    <w:rsid w:val="00107DDF"/>
    <w:rsid w:val="00140A21"/>
    <w:rsid w:val="001526E4"/>
    <w:rsid w:val="00154D80"/>
    <w:rsid w:val="00165B2C"/>
    <w:rsid w:val="00235FF4"/>
    <w:rsid w:val="00271C39"/>
    <w:rsid w:val="00311641"/>
    <w:rsid w:val="00331DB1"/>
    <w:rsid w:val="00365155"/>
    <w:rsid w:val="0039262B"/>
    <w:rsid w:val="00397326"/>
    <w:rsid w:val="00485F86"/>
    <w:rsid w:val="0048689E"/>
    <w:rsid w:val="004E0C58"/>
    <w:rsid w:val="005222B3"/>
    <w:rsid w:val="00522424"/>
    <w:rsid w:val="005508FD"/>
    <w:rsid w:val="005518F3"/>
    <w:rsid w:val="005717C4"/>
    <w:rsid w:val="005B0E36"/>
    <w:rsid w:val="005B1428"/>
    <w:rsid w:val="006308F4"/>
    <w:rsid w:val="00631BF9"/>
    <w:rsid w:val="006341EF"/>
    <w:rsid w:val="006B353D"/>
    <w:rsid w:val="006E2B84"/>
    <w:rsid w:val="006E4F48"/>
    <w:rsid w:val="00704241"/>
    <w:rsid w:val="0070596E"/>
    <w:rsid w:val="00716CF5"/>
    <w:rsid w:val="00794A26"/>
    <w:rsid w:val="007964D6"/>
    <w:rsid w:val="007C3A84"/>
    <w:rsid w:val="007E29A0"/>
    <w:rsid w:val="00837098"/>
    <w:rsid w:val="0084060C"/>
    <w:rsid w:val="00842E10"/>
    <w:rsid w:val="00896349"/>
    <w:rsid w:val="008D3456"/>
    <w:rsid w:val="008E79C7"/>
    <w:rsid w:val="008F6146"/>
    <w:rsid w:val="008F75AE"/>
    <w:rsid w:val="0093323A"/>
    <w:rsid w:val="009460A2"/>
    <w:rsid w:val="00972B7C"/>
    <w:rsid w:val="00A4328B"/>
    <w:rsid w:val="00A50243"/>
    <w:rsid w:val="00AA6EE4"/>
    <w:rsid w:val="00AB1F21"/>
    <w:rsid w:val="00AB4D49"/>
    <w:rsid w:val="00B34EFF"/>
    <w:rsid w:val="00B36A46"/>
    <w:rsid w:val="00B53B16"/>
    <w:rsid w:val="00B6459F"/>
    <w:rsid w:val="00B73AF2"/>
    <w:rsid w:val="00B83DDC"/>
    <w:rsid w:val="00BA4077"/>
    <w:rsid w:val="00BD1812"/>
    <w:rsid w:val="00BE505D"/>
    <w:rsid w:val="00BF5CB1"/>
    <w:rsid w:val="00BF6001"/>
    <w:rsid w:val="00C11B0F"/>
    <w:rsid w:val="00C51361"/>
    <w:rsid w:val="00C53982"/>
    <w:rsid w:val="00C75339"/>
    <w:rsid w:val="00C87C4E"/>
    <w:rsid w:val="00CE3AF7"/>
    <w:rsid w:val="00D23195"/>
    <w:rsid w:val="00D37D17"/>
    <w:rsid w:val="00D52CCF"/>
    <w:rsid w:val="00D62573"/>
    <w:rsid w:val="00D92162"/>
    <w:rsid w:val="00DA2AA0"/>
    <w:rsid w:val="00DB5D93"/>
    <w:rsid w:val="00DD4319"/>
    <w:rsid w:val="00DD6DE4"/>
    <w:rsid w:val="00E22F97"/>
    <w:rsid w:val="00E317D5"/>
    <w:rsid w:val="00E34B5B"/>
    <w:rsid w:val="00E43C72"/>
    <w:rsid w:val="00E7452F"/>
    <w:rsid w:val="00EA2F58"/>
    <w:rsid w:val="00EA6105"/>
    <w:rsid w:val="00EC24FD"/>
    <w:rsid w:val="00ED60C7"/>
    <w:rsid w:val="00EE6EAF"/>
    <w:rsid w:val="00F11E85"/>
    <w:rsid w:val="00F417E4"/>
    <w:rsid w:val="00F551F1"/>
    <w:rsid w:val="00F80386"/>
    <w:rsid w:val="00FE1AD0"/>
    <w:rsid w:val="0DB61AF4"/>
    <w:rsid w:val="102A5276"/>
    <w:rsid w:val="1037096B"/>
    <w:rsid w:val="10604C65"/>
    <w:rsid w:val="10B5671D"/>
    <w:rsid w:val="1D1726D3"/>
    <w:rsid w:val="217843F5"/>
    <w:rsid w:val="21AC4434"/>
    <w:rsid w:val="27691A53"/>
    <w:rsid w:val="282E24F2"/>
    <w:rsid w:val="28F83C94"/>
    <w:rsid w:val="29741221"/>
    <w:rsid w:val="297E1832"/>
    <w:rsid w:val="29C40105"/>
    <w:rsid w:val="2EC957B1"/>
    <w:rsid w:val="39BC48DF"/>
    <w:rsid w:val="3D62716E"/>
    <w:rsid w:val="3E974FC1"/>
    <w:rsid w:val="3FDF77FB"/>
    <w:rsid w:val="404E67C1"/>
    <w:rsid w:val="42187A7B"/>
    <w:rsid w:val="431412A0"/>
    <w:rsid w:val="43BD18A2"/>
    <w:rsid w:val="44A04349"/>
    <w:rsid w:val="4B38129D"/>
    <w:rsid w:val="4FF45560"/>
    <w:rsid w:val="52944DA2"/>
    <w:rsid w:val="53B274D6"/>
    <w:rsid w:val="56235711"/>
    <w:rsid w:val="5B5B784C"/>
    <w:rsid w:val="5FFA2C61"/>
    <w:rsid w:val="6F71163D"/>
    <w:rsid w:val="70B56750"/>
    <w:rsid w:val="78936E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8">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4">
    <w:name w:val="Balloon Text"/>
    <w:basedOn w:val="1"/>
    <w:link w:val="16"/>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100" w:beforeAutospacing="1" w:after="100" w:afterAutospacing="1"/>
      <w:jc w:val="left"/>
    </w:pPr>
    <w:rPr>
      <w:kern w:val="0"/>
      <w:sz w:val="24"/>
    </w:rPr>
  </w:style>
  <w:style w:type="character" w:styleId="9">
    <w:name w:val="Strong"/>
    <w:basedOn w:val="8"/>
    <w:qFormat/>
    <w:uiPriority w:val="22"/>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2">
    <w:name w:val="页眉 Char"/>
    <w:basedOn w:val="8"/>
    <w:link w:val="6"/>
    <w:qFormat/>
    <w:uiPriority w:val="99"/>
    <w:rPr>
      <w:sz w:val="18"/>
      <w:szCs w:val="18"/>
    </w:rPr>
  </w:style>
  <w:style w:type="character" w:customStyle="1" w:styleId="13">
    <w:name w:val="页脚 Char"/>
    <w:basedOn w:val="8"/>
    <w:link w:val="5"/>
    <w:qFormat/>
    <w:uiPriority w:val="99"/>
    <w:rPr>
      <w:sz w:val="18"/>
      <w:szCs w:val="18"/>
    </w:rPr>
  </w:style>
  <w:style w:type="paragraph" w:customStyle="1" w:styleId="14">
    <w:name w:val="正文1"/>
    <w:qFormat/>
    <w:uiPriority w:val="0"/>
    <w:rPr>
      <w:rFonts w:hint="eastAsia" w:ascii="Arial Unicode MS" w:hAnsi="Arial Unicode MS" w:eastAsia="Arial Unicode MS" w:cs="Arial Unicode MS"/>
      <w:color w:val="000000"/>
      <w:sz w:val="22"/>
      <w:szCs w:val="22"/>
      <w:lang w:val="zh-CN" w:eastAsia="zh-CN" w:bidi="ar-SA"/>
    </w:rPr>
  </w:style>
  <w:style w:type="paragraph" w:customStyle="1" w:styleId="15">
    <w:name w:val="List Paragraph"/>
    <w:basedOn w:val="1"/>
    <w:qFormat/>
    <w:uiPriority w:val="34"/>
    <w:pPr>
      <w:ind w:firstLine="420" w:firstLineChars="200"/>
    </w:pPr>
  </w:style>
  <w:style w:type="character" w:customStyle="1" w:styleId="16">
    <w:name w:val="批注框文本 Char"/>
    <w:basedOn w:val="8"/>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37BEE3-60A0-4F82-979D-A9D422A5A2CC}">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666</Words>
  <Characters>3797</Characters>
  <Lines>31</Lines>
  <Paragraphs>8</Paragraphs>
  <TotalTime>0</TotalTime>
  <ScaleCrop>false</ScaleCrop>
  <LinksUpToDate>false</LinksUpToDate>
  <CharactersWithSpaces>4455</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2019-04-26T02:07:00Z</dcterms:created>
  <dc:creator>18193</dc:creator>
  <cp:lastModifiedBy>rsc</cp:lastModifiedBy>
  <cp:lastPrinted>2021-11-10T07:28:00Z</cp:lastPrinted>
  <dcterms:modified xsi:type="dcterms:W3CDTF">2021-11-10T10:25:25Z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ribbonExt">
    <vt:lpwstr>{"WPSExtOfficeTab":{"OnGetEnabled":false,"OnGetVisible":false}}</vt:lpwstr>
  </property>
</Properties>
</file>