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80A" w:rsidRDefault="00A5780A" w:rsidP="00A5780A">
      <w:pPr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附件1</w:t>
      </w:r>
    </w:p>
    <w:p w:rsidR="00A5780A" w:rsidRDefault="00A5780A" w:rsidP="00A5780A">
      <w:pPr>
        <w:jc w:val="center"/>
        <w:rPr>
          <w:rFonts w:ascii="仿宋" w:hAnsi="仿宋" w:cs="仿宋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各类民用建筑典型建筑形式列表</w:t>
      </w:r>
    </w:p>
    <w:tbl>
      <w:tblPr>
        <w:tblW w:w="8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6735"/>
      </w:tblGrid>
      <w:tr w:rsidR="00A5780A" w:rsidTr="00E10AD1">
        <w:trPr>
          <w:trHeight w:val="482"/>
        </w:trPr>
        <w:tc>
          <w:tcPr>
            <w:tcW w:w="2169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民用建筑类别</w:t>
            </w:r>
          </w:p>
        </w:tc>
        <w:tc>
          <w:tcPr>
            <w:tcW w:w="6735" w:type="dxa"/>
          </w:tcPr>
          <w:p w:rsidR="00A5780A" w:rsidRDefault="00A5780A" w:rsidP="00E10AD1">
            <w:pPr>
              <w:autoSpaceDN w:val="0"/>
              <w:spacing w:line="280" w:lineRule="exact"/>
              <w:jc w:val="center"/>
              <w:textAlignment w:val="top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典型建筑形式</w:t>
            </w:r>
          </w:p>
        </w:tc>
      </w:tr>
      <w:tr w:rsidR="00A5780A" w:rsidTr="00E10AD1">
        <w:trPr>
          <w:trHeight w:val="539"/>
        </w:trPr>
        <w:tc>
          <w:tcPr>
            <w:tcW w:w="2169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  <w:shd w:val="clear" w:color="auto" w:fill="FFFFFF"/>
              </w:rPr>
              <w:t>居住建筑</w:t>
            </w:r>
          </w:p>
        </w:tc>
        <w:tc>
          <w:tcPr>
            <w:tcW w:w="6735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  <w:shd w:val="clear" w:color="auto" w:fill="FFFFFF"/>
              </w:rPr>
              <w:t>别墅、公寓、普通住宅、集体宿舍等。</w:t>
            </w:r>
          </w:p>
        </w:tc>
      </w:tr>
      <w:tr w:rsidR="00A5780A" w:rsidTr="00E10AD1">
        <w:trPr>
          <w:trHeight w:val="539"/>
        </w:trPr>
        <w:tc>
          <w:tcPr>
            <w:tcW w:w="2169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</w:rPr>
              <w:t>办公建筑</w:t>
            </w:r>
          </w:p>
        </w:tc>
        <w:tc>
          <w:tcPr>
            <w:tcW w:w="6735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  <w:shd w:val="clear" w:color="auto" w:fill="FFFFFF"/>
              </w:rPr>
              <w:t>企业、事业、机关、团体、学校、医院等单位的办公用房。</w:t>
            </w:r>
          </w:p>
        </w:tc>
      </w:tr>
      <w:tr w:rsidR="00A5780A" w:rsidTr="00E10AD1">
        <w:trPr>
          <w:trHeight w:val="539"/>
        </w:trPr>
        <w:tc>
          <w:tcPr>
            <w:tcW w:w="2169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  <w:shd w:val="clear" w:color="auto" w:fill="FFFFFF"/>
              </w:rPr>
              <w:t>旅馆酒店建筑</w:t>
            </w:r>
          </w:p>
        </w:tc>
        <w:tc>
          <w:tcPr>
            <w:tcW w:w="6735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  <w:shd w:val="clear" w:color="auto" w:fill="FFFFFF"/>
              </w:rPr>
              <w:t>旅游饭店、普通旅馆、招待所等。</w:t>
            </w:r>
          </w:p>
        </w:tc>
      </w:tr>
      <w:tr w:rsidR="00A5780A" w:rsidTr="00E10AD1">
        <w:trPr>
          <w:trHeight w:val="654"/>
        </w:trPr>
        <w:tc>
          <w:tcPr>
            <w:tcW w:w="2169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  <w:shd w:val="clear" w:color="auto" w:fill="FFFFFF"/>
              </w:rPr>
              <w:t>商业建筑</w:t>
            </w:r>
          </w:p>
        </w:tc>
        <w:tc>
          <w:tcPr>
            <w:tcW w:w="6735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  <w:shd w:val="clear" w:color="auto" w:fill="FFFFFF"/>
              </w:rPr>
              <w:t>百货商场、综合商厦、购物中心、会展中心、超市、菜市场、专业商店等。</w:t>
            </w:r>
          </w:p>
        </w:tc>
      </w:tr>
      <w:tr w:rsidR="00A5780A" w:rsidTr="00E10AD1">
        <w:trPr>
          <w:trHeight w:val="985"/>
        </w:trPr>
        <w:tc>
          <w:tcPr>
            <w:tcW w:w="2169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  <w:shd w:val="clear" w:color="auto" w:fill="FFFFFF"/>
              </w:rPr>
              <w:t>居民服务建筑</w:t>
            </w:r>
          </w:p>
        </w:tc>
        <w:tc>
          <w:tcPr>
            <w:tcW w:w="6735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  <w:shd w:val="clear" w:color="auto" w:fill="FFFFFF"/>
              </w:rPr>
              <w:t>餐饮用房屋，银行营业和证券营业用房屋，电信及计算机服务用房屋，邮政用房屋，居住小区的会所，以及洗染店、洗浴室、理发美容店、家电维修、殡仪馆等。</w:t>
            </w:r>
          </w:p>
        </w:tc>
      </w:tr>
      <w:tr w:rsidR="00A5780A" w:rsidTr="00E10AD1">
        <w:trPr>
          <w:trHeight w:val="1010"/>
        </w:trPr>
        <w:tc>
          <w:tcPr>
            <w:tcW w:w="2169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  <w:shd w:val="clear" w:color="auto" w:fill="FFFFFF"/>
              </w:rPr>
              <w:t>文化建筑</w:t>
            </w:r>
          </w:p>
        </w:tc>
        <w:tc>
          <w:tcPr>
            <w:tcW w:w="6735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  <w:shd w:val="clear" w:color="auto" w:fill="FFFFFF"/>
              </w:rPr>
              <w:t>文艺演出用房、艺术展览用房、图书馆、纪念馆、档案馆、博物馆、文化宫、游乐场馆、电影院（含影城）、宗教寺院以及舞厅、歌厅、游艺厅等。</w:t>
            </w:r>
          </w:p>
        </w:tc>
      </w:tr>
      <w:tr w:rsidR="00A5780A" w:rsidTr="00E10AD1">
        <w:trPr>
          <w:trHeight w:val="539"/>
        </w:trPr>
        <w:tc>
          <w:tcPr>
            <w:tcW w:w="2169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  <w:shd w:val="clear" w:color="auto" w:fill="FFFFFF"/>
              </w:rPr>
              <w:t>教育建筑</w:t>
            </w:r>
          </w:p>
        </w:tc>
        <w:tc>
          <w:tcPr>
            <w:tcW w:w="6735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  <w:shd w:val="clear" w:color="auto" w:fill="FFFFFF"/>
              </w:rPr>
              <w:t>各类学校的教学楼、图书馆、试验室、体育馆、展览馆等。</w:t>
            </w:r>
          </w:p>
        </w:tc>
      </w:tr>
      <w:tr w:rsidR="00A5780A" w:rsidTr="00E10AD1">
        <w:trPr>
          <w:trHeight w:val="539"/>
        </w:trPr>
        <w:tc>
          <w:tcPr>
            <w:tcW w:w="2169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  <w:shd w:val="clear" w:color="auto" w:fill="FFFFFF"/>
              </w:rPr>
              <w:t>体育建筑</w:t>
            </w:r>
          </w:p>
        </w:tc>
        <w:tc>
          <w:tcPr>
            <w:tcW w:w="6735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  <w:shd w:val="clear" w:color="auto" w:fill="FFFFFF"/>
              </w:rPr>
              <w:t>体育馆、体育场、游泳馆、跳水馆等。</w:t>
            </w:r>
          </w:p>
        </w:tc>
      </w:tr>
      <w:tr w:rsidR="00A5780A" w:rsidTr="00E10AD1">
        <w:trPr>
          <w:trHeight w:val="494"/>
        </w:trPr>
        <w:tc>
          <w:tcPr>
            <w:tcW w:w="2169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  <w:shd w:val="clear" w:color="auto" w:fill="FFFFFF"/>
              </w:rPr>
              <w:t>科研建筑</w:t>
            </w:r>
          </w:p>
        </w:tc>
        <w:tc>
          <w:tcPr>
            <w:tcW w:w="6735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</w:rPr>
              <w:t>科研楼、实验楼等。</w:t>
            </w:r>
          </w:p>
        </w:tc>
      </w:tr>
      <w:tr w:rsidR="00A5780A" w:rsidTr="00E10AD1">
        <w:trPr>
          <w:trHeight w:val="740"/>
        </w:trPr>
        <w:tc>
          <w:tcPr>
            <w:tcW w:w="2169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  <w:shd w:val="clear" w:color="auto" w:fill="FFFFFF"/>
              </w:rPr>
              <w:t>卫生建筑</w:t>
            </w:r>
          </w:p>
        </w:tc>
        <w:tc>
          <w:tcPr>
            <w:tcW w:w="6735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  <w:shd w:val="clear" w:color="auto" w:fill="FFFFFF"/>
              </w:rPr>
              <w:t>各类医疗机构的病房、医技楼、门诊部、保健站、卫生所、化验室、药房、病案室、太平间等。</w:t>
            </w:r>
          </w:p>
        </w:tc>
      </w:tr>
      <w:tr w:rsidR="00A5780A" w:rsidTr="00E10AD1">
        <w:trPr>
          <w:trHeight w:val="1002"/>
        </w:trPr>
        <w:tc>
          <w:tcPr>
            <w:tcW w:w="2169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  <w:shd w:val="clear" w:color="auto" w:fill="FFFFFF"/>
              </w:rPr>
              <w:t>交通建筑</w:t>
            </w:r>
          </w:p>
        </w:tc>
        <w:tc>
          <w:tcPr>
            <w:tcW w:w="6735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textAlignment w:val="center"/>
              <w:rPr>
                <w:rFonts w:ascii="仿宋" w:hAnsi="仿宋" w:cs="仿宋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  <w:shd w:val="clear" w:color="auto" w:fill="FFFFFF"/>
              </w:rPr>
              <w:t>机场航站楼，机场指挥塔，交通枢纽，停车楼，高速公路服务区用房，汽车、铁路和城市轨道交通车站的站房，港口码头建筑等。</w:t>
            </w:r>
          </w:p>
        </w:tc>
      </w:tr>
      <w:tr w:rsidR="00A5780A" w:rsidTr="00E10AD1">
        <w:trPr>
          <w:trHeight w:val="1020"/>
        </w:trPr>
        <w:tc>
          <w:tcPr>
            <w:tcW w:w="2169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  <w:shd w:val="clear" w:color="auto" w:fill="FFFFFF"/>
              </w:rPr>
              <w:t>广播电影电视建筑</w:t>
            </w:r>
          </w:p>
        </w:tc>
        <w:tc>
          <w:tcPr>
            <w:tcW w:w="6735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  <w:shd w:val="clear" w:color="auto" w:fill="FFFFFF"/>
              </w:rPr>
              <w:t>广播电台、电视台、发射台（站）、地球站、监测台（站）、广播电视节目监管建筑、有线电视网络中心、综合发射塔（含机房、塔座、塌楼等）等。</w:t>
            </w:r>
          </w:p>
        </w:tc>
      </w:tr>
      <w:tr w:rsidR="00A5780A" w:rsidTr="00E10AD1">
        <w:trPr>
          <w:trHeight w:val="902"/>
        </w:trPr>
        <w:tc>
          <w:tcPr>
            <w:tcW w:w="2169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</w:rPr>
              <w:t>物流项目内</w:t>
            </w:r>
          </w:p>
          <w:p w:rsidR="00A5780A" w:rsidRDefault="00A5780A" w:rsidP="00E10AD1"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</w:rPr>
              <w:t>非生产性建筑</w:t>
            </w:r>
          </w:p>
        </w:tc>
        <w:tc>
          <w:tcPr>
            <w:tcW w:w="6735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</w:rPr>
              <w:t>物流建筑群功能组成中的办公建筑、生活服务设施、其他配套设施中的“展示及交易建筑”、“培训或研发建筑”等。</w:t>
            </w:r>
          </w:p>
        </w:tc>
      </w:tr>
      <w:tr w:rsidR="00A5780A" w:rsidTr="00E10AD1">
        <w:trPr>
          <w:trHeight w:val="853"/>
        </w:trPr>
        <w:tc>
          <w:tcPr>
            <w:tcW w:w="2169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jc w:val="center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</w:rPr>
              <w:t>备注</w:t>
            </w:r>
          </w:p>
        </w:tc>
        <w:tc>
          <w:tcPr>
            <w:tcW w:w="6735" w:type="dxa"/>
            <w:vAlign w:val="center"/>
          </w:tcPr>
          <w:p w:rsidR="00A5780A" w:rsidRDefault="00A5780A" w:rsidP="00E10AD1">
            <w:pPr>
              <w:autoSpaceDN w:val="0"/>
              <w:spacing w:line="280" w:lineRule="exact"/>
              <w:textAlignment w:val="center"/>
              <w:rPr>
                <w:rFonts w:ascii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hAnsi="仿宋" w:cs="仿宋" w:hint="eastAsia"/>
                <w:color w:val="000000"/>
                <w:sz w:val="22"/>
                <w:szCs w:val="22"/>
              </w:rPr>
              <w:t>以上典型建筑形式主要依据《建设工程分类标准》（GB/T 50841-2013)，《物流建筑设计规范》（GB51157-2016）确定。</w:t>
            </w:r>
          </w:p>
        </w:tc>
      </w:tr>
    </w:tbl>
    <w:p w:rsidR="00A5780A" w:rsidRDefault="00A5780A" w:rsidP="00A5780A">
      <w:pPr>
        <w:ind w:firstLineChars="200" w:firstLine="640"/>
        <w:jc w:val="center"/>
        <w:rPr>
          <w:rFonts w:ascii="仿宋_GB2312" w:eastAsia="仿宋_GB2312" w:hAnsi="楷体"/>
        </w:rPr>
      </w:pPr>
    </w:p>
    <w:p w:rsidR="00A5780A" w:rsidRPr="00A5780A" w:rsidRDefault="00A5780A">
      <w:bookmarkStart w:id="0" w:name="_GoBack"/>
      <w:bookmarkEnd w:id="0"/>
    </w:p>
    <w:sectPr w:rsidR="00A5780A" w:rsidRPr="00A57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0A"/>
    <w:rsid w:val="00A5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39C49-C25F-413E-BB09-19873D5E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2"/>
    <w:qFormat/>
    <w:rsid w:val="00A5780A"/>
    <w:pPr>
      <w:widowControl w:val="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autoRedefine/>
    <w:uiPriority w:val="39"/>
    <w:semiHidden/>
    <w:unhideWhenUsed/>
    <w:rsid w:val="00A5780A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江定倍</dc:creator>
  <cp:keywords/>
  <dc:description/>
  <cp:lastModifiedBy>江定倍</cp:lastModifiedBy>
  <cp:revision>1</cp:revision>
  <dcterms:created xsi:type="dcterms:W3CDTF">2021-09-08T01:26:00Z</dcterms:created>
  <dcterms:modified xsi:type="dcterms:W3CDTF">2021-09-08T01:27:00Z</dcterms:modified>
</cp:coreProperties>
</file>